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673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b w:val="0"/>
          <w:bCs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lang w:val="en-US" w:eastAsia="zh-CN"/>
        </w:rPr>
        <w:t>附件1</w:t>
      </w:r>
    </w:p>
    <w:p w14:paraId="6C9C2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4413C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问题清单</w:t>
      </w:r>
      <w:bookmarkEnd w:id="0"/>
    </w:p>
    <w:p w14:paraId="368956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6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3458"/>
        <w:gridCol w:w="4462"/>
        <w:gridCol w:w="795"/>
      </w:tblGrid>
      <w:tr w14:paraId="1B21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7" w:type="dxa"/>
            <w:noWrap w:val="0"/>
            <w:vAlign w:val="center"/>
          </w:tcPr>
          <w:p w14:paraId="4632C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/>
                <w:bCs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楷体简体" w:cs="方正楷体简体"/>
                <w:b/>
                <w:bCs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458" w:type="dxa"/>
            <w:noWrap w:val="0"/>
            <w:vAlign w:val="center"/>
          </w:tcPr>
          <w:p w14:paraId="2E7E2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/>
                <w:bCs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楷体简体" w:cs="方正楷体简体"/>
                <w:b/>
                <w:bCs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4462" w:type="dxa"/>
            <w:noWrap w:val="0"/>
            <w:vAlign w:val="center"/>
          </w:tcPr>
          <w:p w14:paraId="0B28A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/>
                <w:bCs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楷体简体" w:cs="方正楷体简体"/>
                <w:b/>
                <w:bCs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问题清单</w:t>
            </w:r>
          </w:p>
        </w:tc>
        <w:tc>
          <w:tcPr>
            <w:tcW w:w="795" w:type="dxa"/>
            <w:noWrap w:val="0"/>
            <w:vAlign w:val="center"/>
          </w:tcPr>
          <w:p w14:paraId="57D61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/>
                <w:bCs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楷体简体" w:cs="方正楷体简体"/>
                <w:b/>
                <w:bCs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49A2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57" w:type="dxa"/>
            <w:noWrap w:val="0"/>
            <w:vAlign w:val="center"/>
          </w:tcPr>
          <w:p w14:paraId="454FC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458" w:type="dxa"/>
            <w:noWrap w:val="0"/>
            <w:vAlign w:val="center"/>
          </w:tcPr>
          <w:p w14:paraId="140FF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各团镇</w:t>
            </w:r>
          </w:p>
        </w:tc>
        <w:tc>
          <w:tcPr>
            <w:tcW w:w="4462" w:type="dxa"/>
            <w:noWrap w:val="0"/>
            <w:vAlign w:val="center"/>
          </w:tcPr>
          <w:p w14:paraId="7E403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应急处置流程匹配性、操作性不强，未制定或完善团镇受限空间一张图。</w:t>
            </w:r>
          </w:p>
        </w:tc>
        <w:tc>
          <w:tcPr>
            <w:tcW w:w="795" w:type="dxa"/>
            <w:noWrap w:val="0"/>
            <w:vAlign w:val="center"/>
          </w:tcPr>
          <w:p w14:paraId="43A64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49F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57" w:type="dxa"/>
            <w:shd w:val="clear" w:color="auto" w:fill="auto"/>
            <w:noWrap w:val="0"/>
            <w:vAlign w:val="center"/>
          </w:tcPr>
          <w:p w14:paraId="0A921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458" w:type="dxa"/>
            <w:noWrap w:val="0"/>
            <w:vAlign w:val="center"/>
          </w:tcPr>
          <w:p w14:paraId="16DE7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四团永宁镇</w:t>
            </w:r>
          </w:p>
        </w:tc>
        <w:tc>
          <w:tcPr>
            <w:tcW w:w="4462" w:type="dxa"/>
            <w:noWrap w:val="0"/>
            <w:vAlign w:val="center"/>
          </w:tcPr>
          <w:p w14:paraId="5AD7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有限空间作业检测、救援装备在人员使用、日常维护保养方面仍不熟练、不到位现象。</w:t>
            </w:r>
          </w:p>
        </w:tc>
        <w:tc>
          <w:tcPr>
            <w:tcW w:w="795" w:type="dxa"/>
            <w:noWrap w:val="0"/>
            <w:vAlign w:val="center"/>
          </w:tcPr>
          <w:p w14:paraId="27EE1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DEF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shd w:val="clear" w:color="auto" w:fill="auto"/>
            <w:noWrap w:val="0"/>
            <w:vAlign w:val="center"/>
          </w:tcPr>
          <w:p w14:paraId="4F936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458" w:type="dxa"/>
            <w:vMerge w:val="restart"/>
            <w:noWrap w:val="0"/>
            <w:vAlign w:val="center"/>
          </w:tcPr>
          <w:p w14:paraId="58A00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阿拉尔市锦科环境科技</w:t>
            </w:r>
          </w:p>
          <w:p w14:paraId="7674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有限公司</w:t>
            </w:r>
          </w:p>
        </w:tc>
        <w:tc>
          <w:tcPr>
            <w:tcW w:w="4462" w:type="dxa"/>
            <w:noWrap w:val="0"/>
            <w:vAlign w:val="center"/>
          </w:tcPr>
          <w:p w14:paraId="021E1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格栅间PLC1柜门板跨接缺失；</w:t>
            </w:r>
          </w:p>
        </w:tc>
        <w:tc>
          <w:tcPr>
            <w:tcW w:w="795" w:type="dxa"/>
            <w:noWrap w:val="0"/>
            <w:vAlign w:val="center"/>
          </w:tcPr>
          <w:p w14:paraId="1F451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DAE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shd w:val="clear" w:color="auto" w:fill="auto"/>
            <w:noWrap w:val="0"/>
            <w:vAlign w:val="center"/>
          </w:tcPr>
          <w:p w14:paraId="137B5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458" w:type="dxa"/>
            <w:vMerge w:val="continue"/>
            <w:noWrap w:val="0"/>
            <w:vAlign w:val="center"/>
          </w:tcPr>
          <w:p w14:paraId="5D47C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462" w:type="dxa"/>
            <w:noWrap w:val="0"/>
            <w:vAlign w:val="center"/>
          </w:tcPr>
          <w:p w14:paraId="35523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现场可燃、有毒报警信号未远传至24小时有人值守的值班室内；</w:t>
            </w:r>
          </w:p>
        </w:tc>
        <w:tc>
          <w:tcPr>
            <w:tcW w:w="795" w:type="dxa"/>
            <w:noWrap w:val="0"/>
            <w:vAlign w:val="center"/>
          </w:tcPr>
          <w:p w14:paraId="00DFD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3D3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shd w:val="clear" w:color="auto" w:fill="auto"/>
            <w:noWrap w:val="0"/>
            <w:vAlign w:val="center"/>
          </w:tcPr>
          <w:p w14:paraId="0EB15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458" w:type="dxa"/>
            <w:vMerge w:val="continue"/>
            <w:noWrap w:val="0"/>
            <w:vAlign w:val="center"/>
          </w:tcPr>
          <w:p w14:paraId="00F40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462" w:type="dxa"/>
            <w:noWrap w:val="0"/>
            <w:vAlign w:val="center"/>
          </w:tcPr>
          <w:p w14:paraId="5224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风机房配电柜旁存放废机油；</w:t>
            </w:r>
          </w:p>
        </w:tc>
        <w:tc>
          <w:tcPr>
            <w:tcW w:w="795" w:type="dxa"/>
            <w:noWrap w:val="0"/>
            <w:vAlign w:val="center"/>
          </w:tcPr>
          <w:p w14:paraId="546AE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37C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shd w:val="clear" w:color="auto" w:fill="auto"/>
            <w:noWrap w:val="0"/>
            <w:vAlign w:val="center"/>
          </w:tcPr>
          <w:p w14:paraId="625AA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458" w:type="dxa"/>
            <w:vMerge w:val="continue"/>
            <w:noWrap w:val="0"/>
            <w:vAlign w:val="center"/>
          </w:tcPr>
          <w:p w14:paraId="1C777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462" w:type="dxa"/>
            <w:noWrap w:val="0"/>
            <w:vAlign w:val="center"/>
          </w:tcPr>
          <w:p w14:paraId="34F6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污泥间配电柜旁配备灭火器为水基灭火器，且只有一具；</w:t>
            </w:r>
          </w:p>
        </w:tc>
        <w:tc>
          <w:tcPr>
            <w:tcW w:w="795" w:type="dxa"/>
            <w:noWrap w:val="0"/>
            <w:vAlign w:val="center"/>
          </w:tcPr>
          <w:p w14:paraId="176B1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AB4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shd w:val="clear" w:color="auto" w:fill="auto"/>
            <w:noWrap w:val="0"/>
            <w:vAlign w:val="center"/>
          </w:tcPr>
          <w:p w14:paraId="71F1C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458" w:type="dxa"/>
            <w:vMerge w:val="continue"/>
            <w:noWrap w:val="0"/>
            <w:vAlign w:val="center"/>
          </w:tcPr>
          <w:p w14:paraId="2007C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462" w:type="dxa"/>
            <w:noWrap w:val="0"/>
            <w:vAlign w:val="center"/>
          </w:tcPr>
          <w:p w14:paraId="2337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现场有限空间风险告知牌部分内容未填写（企业紧急联系人、紧急联系电话等）；</w:t>
            </w:r>
          </w:p>
        </w:tc>
        <w:tc>
          <w:tcPr>
            <w:tcW w:w="795" w:type="dxa"/>
            <w:noWrap w:val="0"/>
            <w:vAlign w:val="center"/>
          </w:tcPr>
          <w:p w14:paraId="3D645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7550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shd w:val="clear" w:color="auto" w:fill="auto"/>
            <w:noWrap w:val="0"/>
            <w:vAlign w:val="center"/>
          </w:tcPr>
          <w:p w14:paraId="4AF87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458" w:type="dxa"/>
            <w:vMerge w:val="continue"/>
            <w:noWrap w:val="0"/>
            <w:vAlign w:val="center"/>
          </w:tcPr>
          <w:p w14:paraId="43EA5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462" w:type="dxa"/>
            <w:noWrap w:val="0"/>
            <w:vAlign w:val="center"/>
          </w:tcPr>
          <w:p w14:paraId="5AF2F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公司便携式报警仪、固定式报警器、绝缘工具均未定期校检；</w:t>
            </w:r>
          </w:p>
        </w:tc>
        <w:tc>
          <w:tcPr>
            <w:tcW w:w="795" w:type="dxa"/>
            <w:noWrap w:val="0"/>
            <w:vAlign w:val="center"/>
          </w:tcPr>
          <w:p w14:paraId="53726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A13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shd w:val="clear" w:color="auto" w:fill="auto"/>
            <w:noWrap w:val="0"/>
            <w:vAlign w:val="center"/>
          </w:tcPr>
          <w:p w14:paraId="0F49D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3458" w:type="dxa"/>
            <w:vMerge w:val="continue"/>
            <w:noWrap w:val="0"/>
            <w:vAlign w:val="center"/>
          </w:tcPr>
          <w:p w14:paraId="596B9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462" w:type="dxa"/>
            <w:noWrap w:val="0"/>
            <w:vAlign w:val="center"/>
          </w:tcPr>
          <w:p w14:paraId="6FB2D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公司生产安全事故应急救援预案未在主管部门备案；</w:t>
            </w:r>
          </w:p>
        </w:tc>
        <w:tc>
          <w:tcPr>
            <w:tcW w:w="795" w:type="dxa"/>
            <w:noWrap w:val="0"/>
            <w:vAlign w:val="center"/>
          </w:tcPr>
          <w:p w14:paraId="46321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AEF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shd w:val="clear" w:color="auto" w:fill="auto"/>
            <w:noWrap w:val="0"/>
            <w:vAlign w:val="center"/>
          </w:tcPr>
          <w:p w14:paraId="4A550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3458" w:type="dxa"/>
            <w:vMerge w:val="continue"/>
            <w:noWrap w:val="0"/>
            <w:vAlign w:val="center"/>
          </w:tcPr>
          <w:p w14:paraId="65BA7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462" w:type="dxa"/>
            <w:noWrap w:val="0"/>
            <w:vAlign w:val="center"/>
          </w:tcPr>
          <w:p w14:paraId="5214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格栅间可燃气体报警器未与轴流风机联动，格栅间内轴流风机建议设置在屋内低点；</w:t>
            </w:r>
          </w:p>
        </w:tc>
        <w:tc>
          <w:tcPr>
            <w:tcW w:w="795" w:type="dxa"/>
            <w:noWrap w:val="0"/>
            <w:vAlign w:val="center"/>
          </w:tcPr>
          <w:p w14:paraId="1DA87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5FE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noWrap w:val="0"/>
            <w:vAlign w:val="center"/>
          </w:tcPr>
          <w:p w14:paraId="2F9FB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3458" w:type="dxa"/>
            <w:vMerge w:val="continue"/>
            <w:noWrap w:val="0"/>
            <w:vAlign w:val="center"/>
          </w:tcPr>
          <w:p w14:paraId="5B061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462" w:type="dxa"/>
            <w:noWrap w:val="0"/>
            <w:vAlign w:val="center"/>
          </w:tcPr>
          <w:p w14:paraId="2D95F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风机房应急照明灯损坏。</w:t>
            </w:r>
          </w:p>
        </w:tc>
        <w:tc>
          <w:tcPr>
            <w:tcW w:w="795" w:type="dxa"/>
            <w:noWrap w:val="0"/>
            <w:vAlign w:val="center"/>
          </w:tcPr>
          <w:p w14:paraId="064A3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6189CF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NWFhMDU4NzcxNjJiNGQwNmM2OWI4YjE0ZTdkMDYifQ=="/>
  </w:docVars>
  <w:rsids>
    <w:rsidRoot w:val="68E60B58"/>
    <w:rsid w:val="68E6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adjustRightInd/>
      <w:snapToGrid/>
    </w:pPr>
    <w:rPr>
      <w:rFonts w:ascii="Arial" w:hAnsi="Arial" w:cs="Times New Roman"/>
      <w:b/>
      <w:kern w:val="2"/>
      <w:szCs w:val="24"/>
    </w:rPr>
  </w:style>
  <w:style w:type="paragraph" w:styleId="3">
    <w:name w:val="Body Text"/>
    <w:basedOn w:val="1"/>
    <w:next w:val="4"/>
    <w:qFormat/>
    <w:uiPriority w:val="0"/>
    <w:pPr>
      <w:spacing w:before="0" w:after="120"/>
    </w:pPr>
  </w:style>
  <w:style w:type="paragraph" w:styleId="4">
    <w:name w:val="Body Text First Indent"/>
    <w:basedOn w:val="3"/>
    <w:next w:val="1"/>
    <w:qFormat/>
    <w:uiPriority w:val="0"/>
    <w:pPr>
      <w:spacing w:after="0"/>
      <w:ind w:firstLine="420" w:firstLineChars="100"/>
      <w:jc w:val="center"/>
    </w:pPr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2024-11-11T05:49:00Z</dcterms:created>
  <dc:creator>__我</dc:creator>
  <cp:lastModifiedBy>__我</cp:lastModifiedBy>
  <dcterms:modified xsi:type="dcterms:W3CDTF">2024-11-11T05:49:45Z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59935F7EF59B4F14A97ACF030F6A8FF4_11</vt:lpwstr>
  </property>
</Properties>
</file>