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72"/>
          <w:szCs w:val="7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师市环审〔2026〕</w:t>
      </w:r>
      <w:r>
        <w:rPr>
          <w:rFonts w:hint="default" w:ascii="Times New Roman" w:hAnsi="Times New Roman" w:eastAsia="方正仿宋_GB2312" w:cs="Times New Roman"/>
          <w:sz w:val="32"/>
          <w:szCs w:val="32"/>
          <w:lang w:val="en-US" w:eastAsia="zh-CN"/>
        </w:rPr>
        <w:t>81</w:t>
      </w:r>
      <w:r>
        <w:rPr>
          <w:rFonts w:hint="default" w:ascii="Times New Roman" w:hAnsi="Times New Roman" w:eastAsia="方正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Cs w:val="21"/>
        </w:rPr>
      </w:pPr>
    </w:p>
    <w:p>
      <w:pPr>
        <w:widowControl/>
        <w:spacing w:line="52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_GBK" w:cs="Times New Roman"/>
          <w:bCs/>
          <w:sz w:val="44"/>
          <w:szCs w:val="44"/>
        </w:rPr>
        <w:t>关于</w:t>
      </w:r>
      <w:r>
        <w:rPr>
          <w:rFonts w:hint="default" w:ascii="Times New Roman" w:hAnsi="Times New Roman" w:eastAsia="方正小标宋简体" w:cs="Times New Roman"/>
          <w:bCs/>
          <w:sz w:val="44"/>
          <w:szCs w:val="44"/>
        </w:rPr>
        <w:t>新疆嘉联纺织有限公司织布及配套项目</w:t>
      </w:r>
    </w:p>
    <w:p>
      <w:pPr>
        <w:widowControl/>
        <w:spacing w:line="520" w:lineRule="exact"/>
        <w:jc w:val="center"/>
        <w:rPr>
          <w:rFonts w:hint="default" w:ascii="Times New Roman" w:hAnsi="Times New Roman" w:eastAsia="方正小标宋_GBK" w:cs="Times New Roman"/>
          <w:bCs/>
          <w:sz w:val="44"/>
          <w:szCs w:val="44"/>
        </w:rPr>
      </w:pPr>
      <w:r>
        <w:rPr>
          <w:rFonts w:hint="default" w:ascii="Times New Roman" w:hAnsi="Times New Roman" w:eastAsia="方正小标宋简体" w:cs="Times New Roman"/>
          <w:bCs/>
          <w:sz w:val="44"/>
          <w:szCs w:val="44"/>
        </w:rPr>
        <w:t>生态环境影响报告表</w:t>
      </w:r>
      <w:r>
        <w:rPr>
          <w:rFonts w:hint="default" w:ascii="Times New Roman" w:hAnsi="Times New Roman" w:eastAsia="方正小标宋_GBK" w:cs="Times New Roman"/>
          <w:bCs/>
          <w:sz w:val="44"/>
          <w:szCs w:val="44"/>
        </w:rPr>
        <w:t>的批复</w:t>
      </w:r>
    </w:p>
    <w:p>
      <w:pPr>
        <w:widowControl/>
        <w:spacing w:line="530" w:lineRule="exact"/>
        <w:rPr>
          <w:rFonts w:hint="default" w:ascii="Times New Roman" w:hAnsi="Times New Roman" w:eastAsia="方正小标宋简体" w:cs="Times New Roman"/>
          <w:bCs/>
          <w:color w:val="0000FF"/>
          <w:sz w:val="44"/>
          <w:szCs w:val="44"/>
        </w:rPr>
      </w:pPr>
    </w:p>
    <w:p>
      <w:pPr>
        <w:widowControl/>
        <w:spacing w:line="530" w:lineRule="exact"/>
        <w:ind w:left="640" w:hanging="640" w:hangingChars="2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新疆嘉联纺织有限公司：</w:t>
      </w:r>
    </w:p>
    <w:p>
      <w:pPr>
        <w:widowControl/>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sz w:val="32"/>
          <w:szCs w:val="32"/>
        </w:rPr>
        <w:t>你单位报送的《关于送审新疆嘉联纺织有限公司织布及配套项目生态环境影响报告表</w:t>
      </w:r>
      <w:r>
        <w:rPr>
          <w:rFonts w:hint="default" w:ascii="Times New Roman" w:hAnsi="Times New Roman" w:eastAsia="方正仿宋简体" w:cs="Times New Roman"/>
          <w:kern w:val="0"/>
          <w:sz w:val="32"/>
          <w:szCs w:val="32"/>
        </w:rPr>
        <w:t>的请示</w:t>
      </w:r>
      <w:r>
        <w:rPr>
          <w:rFonts w:hint="default" w:ascii="Times New Roman" w:hAnsi="Times New Roman" w:eastAsia="方正仿宋简体" w:cs="Times New Roman"/>
          <w:sz w:val="32"/>
          <w:szCs w:val="32"/>
        </w:rPr>
        <w:t>》及《新疆嘉联纺织有限公司织布及配套项目生态环境影响报告表》（以下简称《报告表》）已收悉。经研究，现批复如下：</w:t>
      </w:r>
    </w:p>
    <w:p>
      <w:pPr>
        <w:widowControl/>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rPr>
        <w:t>一、</w:t>
      </w:r>
      <w:r>
        <w:rPr>
          <w:rFonts w:hint="default" w:ascii="Times New Roman" w:hAnsi="Times New Roman" w:eastAsia="方正仿宋简体" w:cs="Times New Roman"/>
          <w:kern w:val="0"/>
          <w:sz w:val="32"/>
          <w:szCs w:val="32"/>
        </w:rPr>
        <w:t>该项目位于阿拉尔经济技术开发区纺织服装产业片区，占地面积为101818平方米。项目区东侧为空地，北侧为新疆东裕织造有限公司，西侧为新疆臻彩控股集团有限公司，南侧为阿拉尔市润彩纺织科技有限公司。项目区中心地理位置坐标为东经81°13′54.822″，北纬40°34′55.553″。该项目建设内容为新建900台喷水织机、14台加弹机、5间钢结构标准厂房、1座综合办公楼、1栋员工宿舍，配套建设给排水、供暖、供电等公用工程。项目建成后年产化纤布9720万米。项目总投资26815.25万元，其中环保投资215万元，占总投资的0.8%。</w:t>
      </w:r>
    </w:p>
    <w:p>
      <w:pPr>
        <w:widowControl/>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lang w:val="zh-CN"/>
        </w:rPr>
        <w:t>二、</w:t>
      </w:r>
      <w:r>
        <w:rPr>
          <w:rFonts w:hint="default" w:ascii="Times New Roman" w:hAnsi="Times New Roman" w:eastAsia="方正仿宋简体" w:cs="Times New Roman"/>
          <w:kern w:val="0"/>
          <w:sz w:val="32"/>
          <w:szCs w:val="32"/>
        </w:rPr>
        <w:t>根据新疆天地源环保科技发展股份有限公司编制的《报告表》评价结论及兵团环境工程评估中心出具的技术评估意见（兵环评估〔2026〕</w:t>
      </w:r>
      <w:r>
        <w:rPr>
          <w:rFonts w:hint="default" w:ascii="Times New Roman" w:hAnsi="Times New Roman" w:eastAsia="方正仿宋简体" w:cs="Times New Roman"/>
          <w:kern w:val="0"/>
          <w:sz w:val="32"/>
          <w:szCs w:val="32"/>
          <w:lang w:val="en-US" w:eastAsia="zh-CN"/>
        </w:rPr>
        <w:t>85</w:t>
      </w:r>
      <w:r>
        <w:rPr>
          <w:rFonts w:hint="default" w:ascii="Times New Roman" w:hAnsi="Times New Roman" w:eastAsia="方正仿宋简体" w:cs="Times New Roman"/>
          <w:kern w:val="0"/>
          <w:sz w:val="32"/>
          <w:szCs w:val="32"/>
        </w:rPr>
        <w:t>号），该项目属于纺织业项目，在符合产业政策、选址符合《阿拉尔经济技术开发区总体规划（2024-2035）》《阿拉尔经济技术开发区总体规划（2024-2035年）环境影响报告书》等相关规划的前提下，从环境保护的角度，我局原则同意《报告表》结论。</w:t>
      </w:r>
    </w:p>
    <w:p>
      <w:pPr>
        <w:widowControl/>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lang w:val="zh-CN"/>
        </w:rPr>
        <w:t>三、</w:t>
      </w:r>
      <w:r>
        <w:rPr>
          <w:rFonts w:hint="default" w:ascii="Times New Roman" w:hAnsi="Times New Roman" w:eastAsia="方正仿宋简体" w:cs="Times New Roman"/>
          <w:kern w:val="0"/>
          <w:sz w:val="32"/>
          <w:szCs w:val="32"/>
        </w:rPr>
        <w:t>你单位在项目建设和运营中，应严格执行有关环境质量标准和污染物排放标准，认真、全面落实报告表提出的各项环保对策措施和要求，确保污染物达标排放和各环境敏感点满足相应功能要求。重点做好以下工作：</w:t>
      </w:r>
    </w:p>
    <w:p>
      <w:pPr>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（一）</w:t>
      </w:r>
      <w:r>
        <w:rPr>
          <w:rFonts w:hint="default" w:ascii="Times New Roman" w:hAnsi="Times New Roman" w:eastAsia="方正楷体简体" w:cs="Times New Roman"/>
          <w:kern w:val="0"/>
          <w:sz w:val="32"/>
          <w:szCs w:val="32"/>
        </w:rPr>
        <w:t>认真落实施工期生态环境保护和防沙治沙措施。</w:t>
      </w:r>
      <w:r>
        <w:rPr>
          <w:rFonts w:hint="default" w:ascii="Times New Roman" w:hAnsi="Times New Roman" w:eastAsia="方正仿宋简体" w:cs="Times New Roman"/>
          <w:kern w:val="0"/>
          <w:sz w:val="32"/>
          <w:szCs w:val="32"/>
        </w:rPr>
        <w:t>做好施工过程中的降噪、防尘、施工固废清理和水土保持、防沙治沙等生态环境保护措施，妥善处置施工废弃物、生活垃圾及生活污水。</w:t>
      </w:r>
    </w:p>
    <w:p>
      <w:pPr>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二</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严格落实大气污染防治措施。</w:t>
      </w:r>
      <w:r>
        <w:rPr>
          <w:rFonts w:hint="default" w:ascii="Times New Roman" w:hAnsi="Times New Roman" w:eastAsia="方正仿宋简体" w:cs="Times New Roman"/>
          <w:kern w:val="0"/>
          <w:sz w:val="32"/>
          <w:szCs w:val="32"/>
        </w:rPr>
        <w:t>该项目运营期产生的废气主要为加弹工序废气、磨毛工序废气、污水处理设施臭气。加弹工序废气采取集气罩负压收集，收集后的废气经水喷淋+静电除油+二级活性炭吸附处理，废气中非甲烷总烃、颗粒物排放须满足《大气污染物综合排放标准》（GB16297-1996）表2二级排放限值要求后，通过1根15m高排气筒（DA001）排放。</w:t>
      </w:r>
    </w:p>
    <w:p>
      <w:pPr>
        <w:pStyle w:val="15"/>
        <w:spacing w:after="0"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通过各生产环节采用密闭设备，均在密闭车间中操作；加强车间通风换气，厂区加强绿化；定期对</w:t>
      </w:r>
      <w:r>
        <w:rPr>
          <w:rFonts w:hint="default" w:ascii="Times New Roman" w:hAnsi="Times New Roman" w:eastAsia="方正仿宋简体" w:cs="Times New Roman"/>
          <w:color w:val="auto"/>
          <w:kern w:val="0"/>
          <w:sz w:val="32"/>
          <w:szCs w:val="32"/>
        </w:rPr>
        <w:t>污水处理设施</w:t>
      </w:r>
      <w:r>
        <w:rPr>
          <w:rFonts w:hint="default" w:ascii="Times New Roman" w:hAnsi="Times New Roman" w:eastAsia="方正仿宋简体" w:cs="Times New Roman"/>
          <w:kern w:val="0"/>
          <w:sz w:val="32"/>
          <w:szCs w:val="32"/>
        </w:rPr>
        <w:t>周围喷洒除臭剂等措施，确保厂界颗粒物排放满足《大气污染物综合排放标准》（GB16297-1996）中表2新污染源大气污染物排放限值要求，厂内非甲烷总烃无组织排放满足《挥发性有机物无组织排放控制标准》（GB37822-2019）中表A.1厂区内VOCs无组织排放限值要求，氨、硫化氢、臭气浓度排放满足《恶臭污染物排放标准》（GB14554-93）中表1恶臭污染物厂界二级标准值限值要求。</w:t>
      </w:r>
    </w:p>
    <w:p>
      <w:pPr>
        <w:pStyle w:val="15"/>
        <w:spacing w:after="0" w:line="530" w:lineRule="exact"/>
        <w:ind w:firstLine="640" w:firstLineChars="200"/>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kern w:val="0"/>
          <w:sz w:val="32"/>
          <w:szCs w:val="32"/>
        </w:rPr>
        <w:t>（三）严格落实水污染防治措施。</w:t>
      </w:r>
      <w:r>
        <w:rPr>
          <w:rFonts w:hint="default" w:ascii="Times New Roman" w:hAnsi="Times New Roman" w:eastAsia="方正仿宋简体" w:cs="Times New Roman"/>
          <w:kern w:val="0"/>
          <w:sz w:val="32"/>
          <w:szCs w:val="32"/>
        </w:rPr>
        <w:t>该项目</w:t>
      </w:r>
      <w:r>
        <w:rPr>
          <w:rFonts w:hint="default" w:ascii="Times New Roman" w:hAnsi="Times New Roman" w:eastAsia="方正仿宋简体" w:cs="Times New Roman"/>
          <w:color w:val="auto"/>
          <w:kern w:val="0"/>
          <w:sz w:val="32"/>
          <w:szCs w:val="32"/>
        </w:rPr>
        <w:t>运营期产生的废水主要是喷水织造废水、生活污水。喷水织造废水经厂区污水处理设施（采用“沉淀+气浮+精密袋滤”工艺）处理后，出水水质须满足《纺织染整工业回用水水质》（FZ/T 01107-202</w:t>
      </w:r>
      <w:r>
        <w:rPr>
          <w:rFonts w:hint="default" w:ascii="Times New Roman" w:hAnsi="Times New Roman" w:eastAsia="方正仿宋简体" w:cs="Times New Roman"/>
          <w:kern w:val="0"/>
          <w:sz w:val="32"/>
          <w:szCs w:val="32"/>
        </w:rPr>
        <w:t>5）表1限值要求后，回用于织布机喷织生产；生活污水经厂区化粪池预处理，须满足《污水综合排放标准》（GB8978-1996）表4中三级标准及</w:t>
      </w:r>
      <w:r>
        <w:rPr>
          <w:rFonts w:hint="default" w:ascii="Times New Roman" w:hAnsi="Times New Roman" w:eastAsia="方正仿宋简体" w:cs="Times New Roman"/>
          <w:color w:val="auto"/>
          <w:kern w:val="0"/>
          <w:sz w:val="32"/>
          <w:szCs w:val="32"/>
        </w:rPr>
        <w:t>污水处理厂纳管要求后，通过市政污水管网进入经开区污水处理厂处理。</w:t>
      </w:r>
    </w:p>
    <w:p>
      <w:pPr>
        <w:pStyle w:val="14"/>
        <w:overflowPunct w:val="0"/>
        <w:topLinePunct/>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（四）严格落实噪声污染防治措施。</w:t>
      </w:r>
      <w:r>
        <w:rPr>
          <w:rFonts w:hint="default" w:ascii="Times New Roman" w:hAnsi="Times New Roman" w:eastAsia="方正仿宋简体" w:cs="Times New Roman"/>
          <w:kern w:val="0"/>
          <w:sz w:val="32"/>
          <w:szCs w:val="32"/>
        </w:rPr>
        <w:t>该项目运营期产生的噪声主要为喷水织机、磨毛机、自动穿综机等设备在运行时产生的噪声。通过选择先进可靠的低噪声设备，对高噪声设备采取安装减振垫、用弹性连接代替设备与地面刚性连接、在噪声源强较大的设备处设置围护；定期维护设备等措施，确保厂界噪声满足《工业企业厂界环境噪声排放标准》（GB12348-2008）中3类标准要求。</w:t>
      </w:r>
    </w:p>
    <w:p>
      <w:pPr>
        <w:pStyle w:val="14"/>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（五）严格落实固体废物分类处置措施。</w:t>
      </w:r>
      <w:r>
        <w:rPr>
          <w:rFonts w:hint="default" w:ascii="Times New Roman" w:hAnsi="Times New Roman" w:eastAsia="方正仿宋简体" w:cs="Times New Roman"/>
          <w:kern w:val="0"/>
          <w:sz w:val="32"/>
          <w:szCs w:val="32"/>
        </w:rPr>
        <w:t>该项目运营期固体废物主要为废润滑油、废油剂包装桶、废活性炭等危险废物；加弹废丝、残次</w:t>
      </w:r>
      <w:r>
        <w:rPr>
          <w:rFonts w:hint="default" w:ascii="Times New Roman" w:hAnsi="Times New Roman" w:eastAsia="方正仿宋简体" w:cs="Times New Roman"/>
          <w:kern w:val="0"/>
          <w:sz w:val="32"/>
          <w:szCs w:val="32"/>
          <w:lang w:eastAsia="zh-CN"/>
        </w:rPr>
        <w:t>坯布</w:t>
      </w:r>
      <w:r>
        <w:rPr>
          <w:rFonts w:hint="default" w:ascii="Times New Roman" w:hAnsi="Times New Roman" w:eastAsia="方正仿宋简体" w:cs="Times New Roman"/>
          <w:kern w:val="0"/>
          <w:sz w:val="32"/>
          <w:szCs w:val="32"/>
        </w:rPr>
        <w:t>、废原料包装物、污水处理站污泥等一般工业固废及生活垃圾。各类危险废物分类分区暂存于危险废物贮存点，定期委托有资质的危险废物经营单位处置。严格执行危险废物转移联单制度，按照《危险废物贮存污染控制标准》（GB18597-2023）的相关要求建设和管理危险废物贮存库。加弹废丝、残次</w:t>
      </w:r>
      <w:r>
        <w:rPr>
          <w:rFonts w:hint="default" w:ascii="Times New Roman" w:hAnsi="Times New Roman" w:eastAsia="方正仿宋简体" w:cs="Times New Roman"/>
          <w:kern w:val="0"/>
          <w:sz w:val="32"/>
          <w:szCs w:val="32"/>
          <w:lang w:eastAsia="zh-CN"/>
        </w:rPr>
        <w:t>坯布</w:t>
      </w:r>
      <w:r>
        <w:rPr>
          <w:rFonts w:hint="default" w:ascii="Times New Roman" w:hAnsi="Times New Roman" w:eastAsia="方正仿宋简体" w:cs="Times New Roman"/>
          <w:kern w:val="0"/>
          <w:sz w:val="32"/>
          <w:szCs w:val="32"/>
        </w:rPr>
        <w:t>、废原料包装物暂存于一般工业固体废物暂存库，</w:t>
      </w:r>
      <w:r>
        <w:rPr>
          <w:rFonts w:hint="default" w:ascii="Times New Roman" w:hAnsi="Times New Roman" w:eastAsia="方正仿宋简体" w:cs="Times New Roman"/>
          <w:color w:val="auto"/>
          <w:kern w:val="0"/>
          <w:sz w:val="32"/>
          <w:szCs w:val="32"/>
        </w:rPr>
        <w:t>定期外售；污水处理站污泥经脱水至60%以下后送至阿拉尔经济开发区一般固</w:t>
      </w:r>
      <w:r>
        <w:rPr>
          <w:rFonts w:hint="default" w:ascii="Times New Roman" w:hAnsi="Times New Roman" w:eastAsia="方正仿宋简体" w:cs="Times New Roman"/>
          <w:kern w:val="0"/>
          <w:sz w:val="32"/>
          <w:szCs w:val="32"/>
        </w:rPr>
        <w:t>废填埋场处置。生活垃圾集中收集后交由当地环卫部门统一处理。</w:t>
      </w:r>
    </w:p>
    <w:p>
      <w:pPr>
        <w:spacing w:line="53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六</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严格落实地下水和土壤污染防治措施</w:t>
      </w:r>
      <w:r>
        <w:rPr>
          <w:rFonts w:hint="default" w:ascii="Times New Roman" w:hAnsi="Times New Roman" w:eastAsia="方正仿宋_GB2312" w:cs="Times New Roman"/>
          <w:kern w:val="0"/>
          <w:sz w:val="32"/>
          <w:szCs w:val="32"/>
        </w:rPr>
        <w:t>。</w:t>
      </w:r>
      <w:r>
        <w:rPr>
          <w:rFonts w:hint="default" w:ascii="Times New Roman" w:hAnsi="Times New Roman" w:eastAsia="方正仿宋简体" w:cs="Times New Roman"/>
          <w:kern w:val="0"/>
          <w:sz w:val="32"/>
          <w:szCs w:val="32"/>
        </w:rPr>
        <w:t>项目厂区划分重点防渗区、一般防渗区、简单防渗区。根据不同的防渗区采取相应的防渗措施。重点防渗区为危废贮存点，按照《危险废物贮存污染控制标准》（GB18597-2023）的相关要求进行建设；一般防渗区为污水处理设施，防渗要求为“等效黏土防渗层Mb≥1.5米，K≤1×10</w:t>
      </w:r>
      <w:r>
        <w:rPr>
          <w:rFonts w:hint="default" w:ascii="Times New Roman" w:hAnsi="Times New Roman" w:eastAsia="方正仿宋简体" w:cs="Times New Roman"/>
          <w:kern w:val="0"/>
          <w:sz w:val="32"/>
          <w:szCs w:val="32"/>
          <w:vertAlign w:val="superscript"/>
        </w:rPr>
        <w:t>-7</w:t>
      </w:r>
      <w:r>
        <w:rPr>
          <w:rFonts w:hint="default" w:ascii="Times New Roman" w:hAnsi="Times New Roman" w:eastAsia="方正仿宋简体" w:cs="Times New Roman"/>
          <w:kern w:val="0"/>
          <w:sz w:val="32"/>
          <w:szCs w:val="32"/>
        </w:rPr>
        <w:t>厘米/秒”；简单防渗区为其他区域，采取一般性的地面硬化措施。</w:t>
      </w:r>
    </w:p>
    <w:p>
      <w:pPr>
        <w:pStyle w:val="3"/>
        <w:adjustRightInd w:val="0"/>
        <w:snapToGrid w:val="0"/>
        <w:spacing w:line="53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七</w:t>
      </w:r>
      <w:r>
        <w:rPr>
          <w:rFonts w:hint="default" w:ascii="Times New Roman" w:hAnsi="Times New Roman" w:eastAsia="方正楷体简体" w:cs="Times New Roman"/>
          <w:kern w:val="0"/>
          <w:sz w:val="32"/>
          <w:szCs w:val="32"/>
          <w:lang w:val="zh-CN"/>
        </w:rPr>
        <w:t>）加强项目环境风险防范。</w:t>
      </w:r>
      <w:r>
        <w:rPr>
          <w:rFonts w:hint="default" w:ascii="Times New Roman" w:hAnsi="Times New Roman" w:eastAsia="方正仿宋简体" w:cs="Times New Roman"/>
          <w:sz w:val="32"/>
          <w:szCs w:val="32"/>
        </w:rPr>
        <w:t>建立严格的环境风险管理制度，认真落实《报告表》提出的各项风险防范措施；制定相关应急预案，编制《突发生态环境事件应急预案》报生态环境主管部门备案，定期开展环境风险应急培训和突发</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环境事件应急演练，有效防控环境风险。一旦发生突发</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环境事件，立即启动应急预案，采取有效措施控制、减轻或消除对大气、土壤、地下水环境的污染。</w:t>
      </w:r>
    </w:p>
    <w:p>
      <w:pPr>
        <w:spacing w:line="530" w:lineRule="exact"/>
        <w:ind w:firstLine="640" w:firstLineChars="200"/>
        <w:rPr>
          <w:rFonts w:hint="default" w:ascii="Times New Roman" w:hAnsi="Times New Roman" w:eastAsia="方正仿宋_GB2312" w:cs="Times New Roman"/>
          <w:kern w:val="0"/>
          <w:sz w:val="32"/>
          <w:szCs w:val="32"/>
        </w:rPr>
      </w:pPr>
      <w:r>
        <w:rPr>
          <w:rFonts w:hint="default" w:ascii="Times New Roman" w:hAnsi="Times New Roman" w:eastAsia="方正黑体简体" w:cs="Times New Roman"/>
          <w:kern w:val="0"/>
          <w:sz w:val="32"/>
          <w:szCs w:val="32"/>
          <w:lang w:val="zh-CN"/>
        </w:rPr>
        <w:t>四、</w:t>
      </w:r>
      <w:r>
        <w:rPr>
          <w:rFonts w:hint="default" w:ascii="Times New Roman" w:hAnsi="Times New Roman" w:eastAsia="方正仿宋简体" w:cs="Times New Roman"/>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pPr>
        <w:pStyle w:val="9"/>
        <w:spacing w:after="0" w:line="530" w:lineRule="exact"/>
        <w:ind w:left="0" w:leftChars="0" w:firstLine="64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五、</w:t>
      </w:r>
      <w:r>
        <w:rPr>
          <w:rFonts w:hint="default" w:ascii="Times New Roman" w:hAnsi="Times New Roman" w:eastAsia="方正仿宋简体" w:cs="Times New Roman"/>
          <w:kern w:val="0"/>
          <w:sz w:val="32"/>
          <w:szCs w:val="32"/>
        </w:rPr>
        <w:t>根据《中华人民共和国生态环境法典》第一百零六条规定，若项目性质、规模、地点、采用的防治污染、防止生态破坏的措施等发生重大变化的，应依法重新报批环评文件。自批准之日起超过5年方决定该项目开工建设的，其环评文件应当报我局重新审核。</w:t>
      </w:r>
    </w:p>
    <w:p>
      <w:pPr>
        <w:pStyle w:val="9"/>
        <w:spacing w:after="0" w:line="530" w:lineRule="exact"/>
        <w:ind w:left="0" w:leftChars="0" w:firstLine="640"/>
        <w:rPr>
          <w:rFonts w:hint="default" w:ascii="Times New Roman" w:hAnsi="Times New Roman" w:cs="Times New Roman"/>
        </w:rPr>
      </w:pPr>
      <w:r>
        <w:rPr>
          <w:rFonts w:hint="default" w:ascii="Times New Roman" w:hAnsi="Times New Roman" w:eastAsia="方正黑体简体" w:cs="Times New Roman"/>
          <w:kern w:val="0"/>
          <w:sz w:val="32"/>
          <w:szCs w:val="32"/>
        </w:rPr>
        <w:t>六</w:t>
      </w:r>
      <w:r>
        <w:rPr>
          <w:rFonts w:hint="default" w:ascii="Times New Roman" w:hAnsi="Times New Roman" w:eastAsia="方正黑体简体" w:cs="Times New Roman"/>
          <w:kern w:val="0"/>
          <w:sz w:val="32"/>
          <w:szCs w:val="32"/>
          <w:lang w:val="zh-CN"/>
        </w:rPr>
        <w:t>、</w:t>
      </w:r>
      <w:r>
        <w:rPr>
          <w:rFonts w:hint="default" w:ascii="Times New Roman" w:hAnsi="Times New Roman" w:eastAsia="方正仿宋简体" w:cs="Times New Roman"/>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pPr>
        <w:pStyle w:val="9"/>
        <w:spacing w:after="0" w:line="530" w:lineRule="exact"/>
        <w:ind w:left="0" w:leftChars="0" w:firstLine="64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rPr>
        <w:t>七</w:t>
      </w:r>
      <w:r>
        <w:rPr>
          <w:rFonts w:hint="default" w:ascii="Times New Roman" w:hAnsi="Times New Roman" w:eastAsia="方正黑体简体" w:cs="Times New Roman"/>
          <w:kern w:val="0"/>
          <w:sz w:val="32"/>
          <w:szCs w:val="32"/>
          <w:lang w:val="zh-CN"/>
        </w:rPr>
        <w:t>、</w:t>
      </w:r>
      <w:r>
        <w:rPr>
          <w:rFonts w:hint="default" w:ascii="Times New Roman" w:hAnsi="Times New Roman" w:eastAsia="方正仿宋简体" w:cs="Times New Roman"/>
          <w:kern w:val="0"/>
          <w:sz w:val="32"/>
          <w:szCs w:val="32"/>
        </w:rPr>
        <w:t>阿拉尔经济技术开发区按照《经济技术开发区管理条例》</w:t>
      </w:r>
      <w:r>
        <w:rPr>
          <w:rFonts w:hint="default" w:ascii="Times New Roman" w:hAnsi="Times New Roman" w:eastAsia="方正仿宋简体" w:cs="Times New Roman"/>
          <w:kern w:val="0"/>
          <w:sz w:val="32"/>
          <w:szCs w:val="32"/>
          <w:lang w:val="zh-CN"/>
        </w:rPr>
        <w:t>，做好该项目环境保护管理工作，师市生态环境保护综合行政执法支队做好该项目的抽查</w:t>
      </w:r>
      <w:r>
        <w:rPr>
          <w:rFonts w:hint="default" w:ascii="Times New Roman" w:hAnsi="Times New Roman" w:eastAsia="方正仿宋简体" w:cs="Times New Roman"/>
          <w:kern w:val="0"/>
          <w:sz w:val="32"/>
          <w:szCs w:val="32"/>
        </w:rPr>
        <w:t>及</w:t>
      </w:r>
      <w:r>
        <w:rPr>
          <w:rFonts w:hint="default" w:ascii="Times New Roman" w:hAnsi="Times New Roman" w:eastAsia="方正仿宋简体" w:cs="Times New Roman"/>
          <w:kern w:val="0"/>
          <w:sz w:val="32"/>
          <w:szCs w:val="32"/>
          <w:lang w:val="zh-CN"/>
        </w:rPr>
        <w:t>日常监督管理工作</w:t>
      </w:r>
      <w:r>
        <w:rPr>
          <w:rFonts w:hint="default" w:ascii="Times New Roman" w:hAnsi="Times New Roman" w:eastAsia="方正仿宋简体" w:cs="Times New Roman"/>
          <w:kern w:val="0"/>
          <w:sz w:val="32"/>
          <w:szCs w:val="32"/>
        </w:rPr>
        <w:t>。</w:t>
      </w:r>
    </w:p>
    <w:p>
      <w:pPr>
        <w:pStyle w:val="9"/>
        <w:spacing w:after="0" w:line="530" w:lineRule="exact"/>
        <w:ind w:left="0" w:leftChars="0" w:firstLine="64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如你单位对本审批决定有不同意见，可在接到本决定书之日起六十日内向阿拉尔市人民政府申请行政复议，也可在六个月内依法向阿拉尔垦区人民法院起诉。</w:t>
      </w:r>
    </w:p>
    <w:p>
      <w:pPr>
        <w:widowControl/>
        <w:spacing w:line="530" w:lineRule="exact"/>
        <w:rPr>
          <w:rFonts w:hint="default" w:ascii="Times New Roman" w:hAnsi="Times New Roman" w:eastAsia="方正仿宋_GB2312" w:cs="Times New Roman"/>
          <w:kern w:val="0"/>
          <w:sz w:val="32"/>
          <w:szCs w:val="32"/>
        </w:rPr>
      </w:pPr>
    </w:p>
    <w:p>
      <w:pPr>
        <w:widowControl/>
        <w:spacing w:line="530" w:lineRule="exact"/>
        <w:rPr>
          <w:rFonts w:hint="default" w:ascii="Times New Roman" w:hAnsi="Times New Roman" w:eastAsia="方正仿宋_GB2312" w:cs="Times New Roman"/>
          <w:kern w:val="0"/>
          <w:sz w:val="32"/>
          <w:szCs w:val="32"/>
        </w:rPr>
      </w:pPr>
    </w:p>
    <w:p>
      <w:pPr>
        <w:widowControl/>
        <w:spacing w:line="530" w:lineRule="exact"/>
        <w:ind w:firstLine="4800" w:firstLineChars="1500"/>
        <w:rPr>
          <w:rFonts w:hint="default" w:ascii="Times New Roman" w:hAnsi="Times New Roman" w:eastAsia="方正仿宋_GB2312" w:cs="Times New Roman"/>
          <w:kern w:val="0"/>
          <w:sz w:val="32"/>
          <w:szCs w:val="32"/>
        </w:rPr>
      </w:pPr>
      <w:r>
        <w:rPr>
          <w:rFonts w:hint="default" w:ascii="Times New Roman" w:hAnsi="Times New Roman" w:eastAsia="方正仿宋简体" w:cs="Times New Roman"/>
          <w:kern w:val="0"/>
          <w:sz w:val="32"/>
          <w:szCs w:val="32"/>
        </w:rPr>
        <w:t>第一师阿拉尔市生态环境局</w:t>
      </w:r>
    </w:p>
    <w:p>
      <w:pPr>
        <w:widowControl/>
        <w:spacing w:line="530" w:lineRule="exact"/>
        <w:ind w:firstLine="5600" w:firstLineChars="1750"/>
        <w:rPr>
          <w:rFonts w:hint="default" w:ascii="Times New Roman" w:hAnsi="Times New Roman" w:eastAsia="方正仿宋_GB2312" w:cs="Times New Roman"/>
          <w:kern w:val="0"/>
          <w:sz w:val="32"/>
          <w:szCs w:val="32"/>
          <w:highlight w:val="yellow"/>
        </w:rPr>
      </w:pPr>
      <w:r>
        <w:rPr>
          <w:rFonts w:hint="default" w:ascii="Times New Roman" w:hAnsi="Times New Roman" w:eastAsia="方正仿宋_GB2312" w:cs="Times New Roman"/>
          <w:kern w:val="0"/>
          <w:sz w:val="32"/>
          <w:szCs w:val="32"/>
        </w:rPr>
        <w:t>2026</w:t>
      </w:r>
      <w:r>
        <w:rPr>
          <w:rFonts w:hint="default" w:ascii="Times New Roman" w:hAnsi="Times New Roman" w:eastAsia="方正仿宋简体" w:cs="Times New Roman"/>
          <w:kern w:val="0"/>
          <w:sz w:val="32"/>
          <w:szCs w:val="32"/>
        </w:rPr>
        <w:t>年</w:t>
      </w:r>
      <w:r>
        <w:rPr>
          <w:rFonts w:hint="default" w:ascii="Times New Roman" w:hAnsi="Times New Roman" w:eastAsia="方正仿宋_GB2312" w:cs="Times New Roman"/>
          <w:kern w:val="0"/>
          <w:sz w:val="32"/>
          <w:szCs w:val="32"/>
        </w:rPr>
        <w:t>10</w:t>
      </w:r>
      <w:r>
        <w:rPr>
          <w:rFonts w:hint="default" w:ascii="Times New Roman" w:hAnsi="Times New Roman" w:eastAsia="方正仿宋简体" w:cs="Times New Roman"/>
          <w:kern w:val="0"/>
          <w:sz w:val="32"/>
          <w:szCs w:val="32"/>
        </w:rPr>
        <w:t>月</w:t>
      </w:r>
      <w:r>
        <w:rPr>
          <w:rFonts w:hint="default" w:ascii="Times New Roman" w:hAnsi="Times New Roman" w:eastAsia="方正仿宋_GB2312" w:cs="Times New Roman"/>
          <w:kern w:val="0"/>
          <w:sz w:val="32"/>
          <w:szCs w:val="32"/>
          <w:lang w:val="en-US" w:eastAsia="zh-CN"/>
        </w:rPr>
        <w:t>26</w:t>
      </w:r>
      <w:r>
        <w:rPr>
          <w:rFonts w:hint="default" w:ascii="Times New Roman" w:hAnsi="Times New Roman" w:eastAsia="方正仿宋简体" w:cs="Times New Roman"/>
          <w:kern w:val="0"/>
          <w:sz w:val="32"/>
          <w:szCs w:val="32"/>
        </w:rPr>
        <w:t>日</w:t>
      </w:r>
    </w:p>
    <w:p>
      <w:pPr>
        <w:widowControl/>
        <w:spacing w:line="53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3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3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widowControl/>
        <w:spacing w:line="540" w:lineRule="exact"/>
        <w:ind w:firstLine="5600" w:firstLineChars="1750"/>
        <w:rPr>
          <w:rFonts w:hint="default" w:ascii="Times New Roman" w:hAnsi="Times New Roman" w:eastAsia="方正仿宋_GB2312" w:cs="Times New Roman"/>
          <w:kern w:val="0"/>
          <w:sz w:val="32"/>
          <w:szCs w:val="32"/>
          <w:highlight w:val="yellow"/>
        </w:rPr>
      </w:pPr>
    </w:p>
    <w:p>
      <w:pPr>
        <w:topLinePunct/>
        <w:adjustRightInd w:val="0"/>
        <w:snapToGrid w:val="0"/>
        <w:spacing w:line="540" w:lineRule="exact"/>
        <w:ind w:left="700" w:hanging="560" w:hangingChars="250"/>
        <w:rPr>
          <w:rFonts w:hint="default" w:ascii="Times New Roman" w:hAnsi="Times New Roman" w:eastAsia="方正仿宋简体" w:cs="Times New Roman"/>
          <w:color w:val="000000"/>
          <w:spacing w:val="-28"/>
          <w:sz w:val="28"/>
          <w:szCs w:val="28"/>
        </w:rPr>
      </w:pPr>
      <w:r>
        <w:rPr>
          <w:rFonts w:hint="default" w:ascii="Times New Roman" w:hAnsi="Times New Roman" w:eastAsia="方正仿宋_GB2312" w:cs="Times New Roman"/>
          <w:color w:val="000000"/>
          <w:spacing w:val="-28"/>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oI9NYAAAAJAQAADwAAAAAAAAABACAA&#10;AAAiAAAAZHJzL2Rvd25yZXYueG1sUEsBAhQAFAAAAAgAh07iQHbS+cP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_GB2312" w:cs="Times New Roman"/>
          <w:color w:val="000000"/>
          <w:spacing w:val="-28"/>
          <w:sz w:val="28"/>
          <w:szCs w:val="28"/>
        </w:rPr>
        <w:t>抄送：</w:t>
      </w:r>
      <w:r>
        <w:rPr>
          <w:rFonts w:hint="default" w:ascii="Times New Roman" w:hAnsi="Times New Roman" w:eastAsia="方正仿宋简体" w:cs="Times New Roman"/>
          <w:color w:val="000000"/>
          <w:spacing w:val="-28"/>
          <w:sz w:val="28"/>
          <w:szCs w:val="28"/>
        </w:rPr>
        <w:t>阿拉尔经济技术开发区</w:t>
      </w:r>
      <w:r>
        <w:rPr>
          <w:rFonts w:hint="default" w:ascii="Times New Roman" w:hAnsi="Times New Roman" w:eastAsia="方正仿宋简体" w:cs="Times New Roman"/>
          <w:color w:val="000000"/>
          <w:spacing w:val="-28"/>
          <w:sz w:val="24"/>
        </w:rPr>
        <w:t>，</w:t>
      </w:r>
      <w:r>
        <w:rPr>
          <w:rFonts w:hint="default" w:ascii="Times New Roman" w:hAnsi="Times New Roman" w:eastAsia="方正仿宋简体" w:cs="Times New Roman"/>
          <w:color w:val="000000"/>
          <w:spacing w:val="-28"/>
          <w:sz w:val="28"/>
          <w:szCs w:val="28"/>
        </w:rPr>
        <w:t>生态环境保护综合行政执法支队，</w:t>
      </w:r>
      <w:r>
        <w:rPr>
          <w:rFonts w:hint="default" w:ascii="Times New Roman" w:hAnsi="Times New Roman" w:eastAsia="方正仿宋简体" w:cs="Times New Roman"/>
          <w:sz w:val="28"/>
          <w:szCs w:val="28"/>
        </w:rPr>
        <w:t>新疆天地源环保科技发展股份有限公司</w:t>
      </w:r>
    </w:p>
    <w:p>
      <w:pPr>
        <w:spacing w:line="540" w:lineRule="exact"/>
        <w:rPr>
          <w:rFonts w:hint="default" w:ascii="Times New Roman" w:hAnsi="Times New Roman" w:eastAsia="方正仿宋_GB2312" w:cs="Times New Roman"/>
        </w:rPr>
      </w:pPr>
      <w:r>
        <w:rPr>
          <w:rFonts w:hint="default" w:ascii="Times New Roman" w:hAnsi="Times New Roman" w:eastAsia="方正仿宋简体"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DoZZdYAAAAIAQAADwAAAAAAAAABACAA&#10;AAAiAAAAZHJzL2Rvd25yZXYueG1sUEsBAhQAFAAAAAgAh07iQNrz53f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jhgg1AAAAAYBAAAPAAAAAAAAAAEAIAAA&#10;ACIAAABkcnMvZG93bnJldi54bWxQSwECFAAUAAAACACHTuJAcHBNXdcBAACYAwAADgAAAAAAAAAB&#10;ACAAAAAjAQAAZHJzL2Uyb0RvYy54bWxQSwUGAAAAAAYABgBZAQAAbAUAAAAA&#10;">
                <v:fill on="f" focussize="0,0"/>
                <v:stroke color="#000000" joinstyle="round"/>
                <v:imagedata o:title=""/>
                <o:lock v:ext="edit" aspectratio="f"/>
              </v:line>
            </w:pict>
          </mc:Fallback>
        </mc:AlternateContent>
      </w:r>
      <w:r>
        <w:rPr>
          <w:rFonts w:hint="default" w:ascii="Times New Roman" w:hAnsi="Times New Roman" w:eastAsia="方正仿宋简体" w:cs="Times New Roman"/>
          <w:color w:val="000000" w:themeColor="text1"/>
          <w:sz w:val="28"/>
          <w:szCs w:val="28"/>
          <w14:textFill>
            <w14:solidFill>
              <w14:schemeClr w14:val="tx1"/>
            </w14:solidFill>
          </w14:textFill>
        </w:rPr>
        <w:t>第一师阿拉尔市生态环境局</w:t>
      </w:r>
      <w:r>
        <w:rPr>
          <w:rFonts w:hint="default" w:ascii="Times New Roman" w:hAnsi="Times New Roman" w:eastAsia="方正仿宋_GB2312" w:cs="Times New Roman"/>
          <w:sz w:val="28"/>
          <w:szCs w:val="28"/>
        </w:rPr>
        <w:t xml:space="preserve">                   2026年10月</w:t>
      </w:r>
      <w:r>
        <w:rPr>
          <w:rFonts w:hint="default" w:ascii="Times New Roman" w:hAnsi="Times New Roman" w:eastAsia="方正仿宋_GB2312" w:cs="Times New Roman"/>
          <w:sz w:val="28"/>
          <w:szCs w:val="28"/>
          <w:lang w:val="en-US" w:eastAsia="zh-CN"/>
        </w:rPr>
        <w:t>27</w:t>
      </w:r>
      <w:r>
        <w:rPr>
          <w:rFonts w:hint="default" w:ascii="Times New Roman" w:hAnsi="Times New Roman" w:eastAsia="方正仿宋_GB2312" w:cs="Times New Roman"/>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embedRegular r:id="rId1" w:fontKey="{90199149-9907-4BE1-989B-25ACD2F25C82}"/>
  </w:font>
  <w:font w:name="仿宋_GB2312">
    <w:panose1 w:val="02010609030101010101"/>
    <w:charset w:val="86"/>
    <w:family w:val="modern"/>
    <w:pitch w:val="default"/>
    <w:sig w:usb0="00000000" w:usb1="00000000" w:usb2="00000000" w:usb3="00000000" w:csb0="00000000" w:csb1="00000000"/>
    <w:embedRegular r:id="rId2" w:fontKey="{5136EF1B-CADE-4CA7-A06A-050D4B5A5AF5}"/>
  </w:font>
  <w:font w:name="方正仿宋_GB2312">
    <w:altName w:val="仿宋"/>
    <w:panose1 w:val="02000000000000000000"/>
    <w:charset w:val="86"/>
    <w:family w:val="auto"/>
    <w:pitch w:val="default"/>
    <w:sig w:usb0="00000000" w:usb1="00000000" w:usb2="00000012" w:usb3="00000000" w:csb0="00040001" w:csb1="00000000"/>
    <w:embedRegular r:id="rId3" w:fontKey="{2A0DBD95-2FCD-45B6-A962-A46C52CF1B2A}"/>
  </w:font>
  <w:font w:name="方正小标宋简体">
    <w:panose1 w:val="02010601030101010101"/>
    <w:charset w:val="86"/>
    <w:family w:val="auto"/>
    <w:pitch w:val="default"/>
    <w:sig w:usb0="00000001" w:usb1="080E0000" w:usb2="00000000" w:usb3="00000000" w:csb0="00040000" w:csb1="00000000"/>
    <w:embedRegular r:id="rId4" w:fontKey="{2F74E136-F4E0-4E3D-9E15-722597A51184}"/>
  </w:font>
  <w:font w:name="方正小标宋_GBK">
    <w:panose1 w:val="03000509000000000000"/>
    <w:charset w:val="86"/>
    <w:family w:val="auto"/>
    <w:pitch w:val="default"/>
    <w:sig w:usb0="00000000" w:usb1="00000000" w:usb2="00000000" w:usb3="00000000" w:csb0="00000000" w:csb1="00000000"/>
    <w:embedRegular r:id="rId5" w:fontKey="{B0E37865-BDC4-492A-A76E-9EB814E530ED}"/>
  </w:font>
  <w:font w:name="方正黑体简体">
    <w:panose1 w:val="02010601030101010101"/>
    <w:charset w:val="86"/>
    <w:family w:val="auto"/>
    <w:pitch w:val="default"/>
    <w:sig w:usb0="00000001" w:usb1="080E0000" w:usb2="00000000" w:usb3="00000000" w:csb0="00040000" w:csb1="00000000"/>
    <w:embedRegular r:id="rId6" w:fontKey="{8B64C2FA-D26B-49BB-8EB2-EB8EC2C6258B}"/>
  </w:font>
  <w:font w:name="方正楷体简体">
    <w:panose1 w:val="02010601030101010101"/>
    <w:charset w:val="86"/>
    <w:family w:val="auto"/>
    <w:pitch w:val="default"/>
    <w:sig w:usb0="00000001" w:usb1="080E0000" w:usb2="00000000" w:usb3="00000000" w:csb0="00040000" w:csb1="00000000"/>
    <w:embedRegular r:id="rId7" w:fontKey="{9582C55E-D232-436D-928D-9F47F2FABEBB}"/>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7D102"/>
    <w:multiLevelType w:val="singleLevel"/>
    <w:tmpl w:val="69F7D102"/>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577F7"/>
    <w:rsid w:val="00096A3B"/>
    <w:rsid w:val="001A5B26"/>
    <w:rsid w:val="002800A3"/>
    <w:rsid w:val="00283EF0"/>
    <w:rsid w:val="006206AF"/>
    <w:rsid w:val="008A3AF5"/>
    <w:rsid w:val="0091765E"/>
    <w:rsid w:val="00AB652D"/>
    <w:rsid w:val="00BA5300"/>
    <w:rsid w:val="00C40713"/>
    <w:rsid w:val="00CF6C54"/>
    <w:rsid w:val="01AD4976"/>
    <w:rsid w:val="01D54B7E"/>
    <w:rsid w:val="02CF517F"/>
    <w:rsid w:val="02D972F5"/>
    <w:rsid w:val="02DA7847"/>
    <w:rsid w:val="05AD48C9"/>
    <w:rsid w:val="066D5199"/>
    <w:rsid w:val="09577D60"/>
    <w:rsid w:val="0A7C794A"/>
    <w:rsid w:val="0AC12522"/>
    <w:rsid w:val="0C7B2648"/>
    <w:rsid w:val="0C8A53CB"/>
    <w:rsid w:val="0CB536A7"/>
    <w:rsid w:val="0DCE6ECC"/>
    <w:rsid w:val="0E310070"/>
    <w:rsid w:val="0E5C209B"/>
    <w:rsid w:val="10AB3168"/>
    <w:rsid w:val="113B44EC"/>
    <w:rsid w:val="13BF1F8A"/>
    <w:rsid w:val="13C763A8"/>
    <w:rsid w:val="13F50A51"/>
    <w:rsid w:val="142A63F2"/>
    <w:rsid w:val="15487381"/>
    <w:rsid w:val="15576A90"/>
    <w:rsid w:val="161964B5"/>
    <w:rsid w:val="18923D42"/>
    <w:rsid w:val="1893524B"/>
    <w:rsid w:val="18B13BE0"/>
    <w:rsid w:val="18CE20EA"/>
    <w:rsid w:val="194C5FD6"/>
    <w:rsid w:val="1A797E6C"/>
    <w:rsid w:val="1B3E4C43"/>
    <w:rsid w:val="1C8D2073"/>
    <w:rsid w:val="1CAA5872"/>
    <w:rsid w:val="1E423D43"/>
    <w:rsid w:val="20654122"/>
    <w:rsid w:val="20B834A0"/>
    <w:rsid w:val="21154EE7"/>
    <w:rsid w:val="21633681"/>
    <w:rsid w:val="237E6C9D"/>
    <w:rsid w:val="24702EC1"/>
    <w:rsid w:val="24AE2000"/>
    <w:rsid w:val="25272CFC"/>
    <w:rsid w:val="25783B09"/>
    <w:rsid w:val="25B71CDA"/>
    <w:rsid w:val="262F4CC7"/>
    <w:rsid w:val="28DB65A4"/>
    <w:rsid w:val="2CF565EF"/>
    <w:rsid w:val="2D087BDF"/>
    <w:rsid w:val="2E563679"/>
    <w:rsid w:val="2E7B7DE7"/>
    <w:rsid w:val="2F422BC3"/>
    <w:rsid w:val="2F505B14"/>
    <w:rsid w:val="2FA54F96"/>
    <w:rsid w:val="3029612C"/>
    <w:rsid w:val="30A035BB"/>
    <w:rsid w:val="30DA29B8"/>
    <w:rsid w:val="31B148A8"/>
    <w:rsid w:val="31F1590E"/>
    <w:rsid w:val="328330A2"/>
    <w:rsid w:val="33E636E2"/>
    <w:rsid w:val="34E450A8"/>
    <w:rsid w:val="35E12C8E"/>
    <w:rsid w:val="37CF27BE"/>
    <w:rsid w:val="381D1CB1"/>
    <w:rsid w:val="39870834"/>
    <w:rsid w:val="39CD29B4"/>
    <w:rsid w:val="3A033932"/>
    <w:rsid w:val="3B132C17"/>
    <w:rsid w:val="3B506C62"/>
    <w:rsid w:val="3CF63D19"/>
    <w:rsid w:val="3DF3675E"/>
    <w:rsid w:val="3FD557A5"/>
    <w:rsid w:val="3FFD71BC"/>
    <w:rsid w:val="40FE5FEE"/>
    <w:rsid w:val="49F02B32"/>
    <w:rsid w:val="4AD72475"/>
    <w:rsid w:val="4ADF7615"/>
    <w:rsid w:val="4AF13073"/>
    <w:rsid w:val="4B8F0F1D"/>
    <w:rsid w:val="4C8362DC"/>
    <w:rsid w:val="4EB22390"/>
    <w:rsid w:val="4F4C059B"/>
    <w:rsid w:val="4F974A08"/>
    <w:rsid w:val="51002F43"/>
    <w:rsid w:val="53D6683C"/>
    <w:rsid w:val="53D96FF6"/>
    <w:rsid w:val="547F78C3"/>
    <w:rsid w:val="563620CF"/>
    <w:rsid w:val="56463710"/>
    <w:rsid w:val="57FB18AC"/>
    <w:rsid w:val="5A4E1B08"/>
    <w:rsid w:val="5B1A029B"/>
    <w:rsid w:val="5B3873D9"/>
    <w:rsid w:val="5E6D5D9C"/>
    <w:rsid w:val="5EB73272"/>
    <w:rsid w:val="60CE1E21"/>
    <w:rsid w:val="612B3202"/>
    <w:rsid w:val="62E37E3C"/>
    <w:rsid w:val="641B6A8D"/>
    <w:rsid w:val="65B26EE5"/>
    <w:rsid w:val="6727066C"/>
    <w:rsid w:val="6859222C"/>
    <w:rsid w:val="6A346C5E"/>
    <w:rsid w:val="6ADB5079"/>
    <w:rsid w:val="6C9577F7"/>
    <w:rsid w:val="6DA41A46"/>
    <w:rsid w:val="70DD49B2"/>
    <w:rsid w:val="720C27E4"/>
    <w:rsid w:val="72207C37"/>
    <w:rsid w:val="75CB690A"/>
    <w:rsid w:val="768371E5"/>
    <w:rsid w:val="776C31FA"/>
    <w:rsid w:val="785D3E82"/>
    <w:rsid w:val="7BDB726D"/>
    <w:rsid w:val="7CFE6B21"/>
    <w:rsid w:val="7DDF3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kern w:val="0"/>
      <w:sz w:val="20"/>
    </w:rPr>
  </w:style>
  <w:style w:type="paragraph" w:customStyle="1" w:styleId="6">
    <w:name w:val="Default"/>
    <w:basedOn w:val="7"/>
    <w:next w:val="1"/>
    <w:qFormat/>
    <w:uiPriority w:val="0"/>
    <w:pPr>
      <w:tabs>
        <w:tab w:val="left" w:pos="2760"/>
      </w:tabs>
      <w:autoSpaceDE w:val="0"/>
      <w:autoSpaceDN w:val="0"/>
    </w:pPr>
    <w:rPr>
      <w:rFonts w:ascii="Times New Roman" w:hAnsi="Times New Roman"/>
      <w:color w:val="000000"/>
      <w:sz w:val="24"/>
    </w:rPr>
  </w:style>
  <w:style w:type="paragraph" w:customStyle="1" w:styleId="7">
    <w:name w:val="纯文本1"/>
    <w:basedOn w:val="1"/>
    <w:qFormat/>
    <w:uiPriority w:val="0"/>
    <w:pPr>
      <w:tabs>
        <w:tab w:val="left" w:pos="2760"/>
      </w:tabs>
      <w:adjustRightInd w:val="0"/>
    </w:pPr>
    <w:rPr>
      <w:rFonts w:ascii="宋体" w:hAnsi="Courier New"/>
    </w:rPr>
  </w:style>
  <w:style w:type="paragraph" w:styleId="8">
    <w:name w:val="Body Text Indent"/>
    <w:basedOn w:val="1"/>
    <w:next w:val="9"/>
    <w:qFormat/>
    <w:uiPriority w:val="0"/>
    <w:pPr>
      <w:spacing w:after="120"/>
      <w:ind w:left="420" w:leftChars="200"/>
    </w:pPr>
  </w:style>
  <w:style w:type="paragraph" w:styleId="9">
    <w:name w:val="Body Text First Indent 2"/>
    <w:basedOn w:val="8"/>
    <w:next w:val="1"/>
    <w:qFormat/>
    <w:uiPriority w:val="0"/>
    <w:pPr>
      <w:ind w:firstLine="420" w:firstLineChars="200"/>
    </w:pPr>
  </w:style>
  <w:style w:type="paragraph" w:styleId="10">
    <w:name w:val="Plain Text"/>
    <w:basedOn w:val="1"/>
    <w:next w:val="11"/>
    <w:qFormat/>
    <w:uiPriority w:val="0"/>
    <w:pPr>
      <w:spacing w:line="500" w:lineRule="exact"/>
    </w:pPr>
    <w:rPr>
      <w:rFonts w:ascii="宋体" w:hAnsi="Courier New"/>
      <w:sz w:val="28"/>
      <w:szCs w:val="21"/>
    </w:rPr>
  </w:style>
  <w:style w:type="paragraph" w:styleId="11">
    <w:name w:val="List Number 5"/>
    <w:basedOn w:val="1"/>
    <w:qFormat/>
    <w:uiPriority w:val="0"/>
    <w:pPr>
      <w:numPr>
        <w:ilvl w:val="0"/>
        <w:numId w:val="1"/>
      </w:numPr>
    </w:pPr>
  </w:style>
  <w:style w:type="paragraph" w:styleId="12">
    <w:name w:val="footer"/>
    <w:basedOn w:val="1"/>
    <w:qFormat/>
    <w:uiPriority w:val="0"/>
    <w:pPr>
      <w:tabs>
        <w:tab w:val="center" w:pos="4153"/>
        <w:tab w:val="right" w:pos="8306"/>
      </w:tabs>
      <w:snapToGrid w:val="0"/>
      <w:jc w:val="left"/>
    </w:pPr>
    <w:rPr>
      <w:sz w:val="28"/>
      <w:szCs w:val="18"/>
    </w:rPr>
  </w:style>
  <w:style w:type="paragraph" w:styleId="13">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1"/>
  </w:style>
  <w:style w:type="paragraph" w:styleId="15">
    <w:name w:val="Body Text 2"/>
    <w:basedOn w:val="1"/>
    <w:unhideWhenUsed/>
    <w:qFormat/>
    <w:uiPriority w:val="99"/>
    <w:pPr>
      <w:spacing w:after="120" w:line="480" w:lineRule="auto"/>
    </w:pPr>
  </w:style>
  <w:style w:type="character" w:styleId="18">
    <w:name w:val="Strong"/>
    <w:basedOn w:val="17"/>
    <w:qFormat/>
    <w:uiPriority w:val="0"/>
    <w:rPr>
      <w:b/>
    </w:rPr>
  </w:style>
  <w:style w:type="paragraph" w:customStyle="1" w:styleId="19">
    <w:name w:val="样式 首行缩进:  2 字符1"/>
    <w:qFormat/>
    <w:uiPriority w:val="0"/>
    <w:pPr>
      <w:widowControl w:val="0"/>
      <w:spacing w:line="360" w:lineRule="auto"/>
      <w:ind w:firstLine="200" w:firstLineChars="200"/>
      <w:jc w:val="both"/>
    </w:pPr>
    <w:rPr>
      <w:rFonts w:ascii="Times New Roman" w:hAnsi="Times New Roman" w:eastAsia="宋体" w:cs="宋体"/>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68a1b571-9015-40f1-bee2-d8586b2d8db2</errorID>
      <errorWord> </errorWord>
      <group>L1_Word</group>
      <groupName>字词问题</groupName>
      <ability>L2_Typo</ability>
      <abilityName>字词错误</abilityName>
      <candidateList>
        <item>°</item>
      </candidateList>
      <explain/>
      <paraID>6A79438B</paraID>
      <start>114</start>
      <end>115</end>
      <status>ignored</status>
      <modifiedWord/>
      <trackRevisions>false</trackRevisions>
    </reviewItem>
    <reviewItem>
      <errorID>b803a8d6-7eae-4406-a961-0d23e470825a</errorID>
      <errorWord> </errorWord>
      <group>L1_Word</group>
      <groupName>字词问题</groupName>
      <ability>L2_Typo</ability>
      <abilityName>字词错误</abilityName>
      <candidateList>
        <item>°</item>
      </candidateList>
      <explain/>
      <paraID>6A79438B</paraID>
      <start>130</start>
      <end>131</end>
      <status>ignored</status>
      <modifiedWord/>
      <trackRevisions>false</trackRevisions>
    </reviewItem>
    <reviewItem>
      <errorID>20175fc7-ef9f-4a08-9f73-dd59a0e88721</errorID>
      <errorWord>的</errorWord>
      <group>L1_Grammar</group>
      <groupName>语法问题</groupName>
      <ability>L2_Grammar</ability>
      <abilityName>语法错误</abilityName>
      <candidateList>
        <item>要求的</item>
      </candidateList>
      <explain/>
      <paraID>4D4B816F</paraID>
      <start>158</start>
      <end>159</end>
      <status>ignored</status>
      <modifiedWord/>
      <trackRevisions>false</trackRevisions>
    </reviewItem>
    <reviewItem>
      <errorID>f7e8eb2f-053b-4d89-b42a-36c178ee5b4a</errorID>
      <errorWord>通过各</errorWord>
      <group>L1_Grammar</group>
      <groupName>语法问题</groupName>
      <ability>L2_Grammar</ability>
      <abilityName>语法错误</abilityName>
      <candidateList>
        <item>各</item>
      </candidateList>
      <explain/>
      <paraID> 4EBACED</paraID>
      <start>0</start>
      <end>3</end>
      <status>ignored</status>
      <modifiedWord/>
      <trackRevisions>false</trackRevisions>
    </reviewItem>
    <reviewItem>
      <errorID>f7a41f9f-8f6a-40a7-b323-c02a874457b5</errorID>
      <errorWord>；</errorWord>
      <group>L1_Grammar</group>
      <groupName>语法问题</groupName>
      <ability>L2_Grammar</ability>
      <abilityName>语法错误</abilityName>
      <candidateList>
        <item>等措施；</item>
      </candidateList>
      <explain/>
      <paraID>2112A296</paraID>
      <start>118</start>
      <end>119</end>
      <status>ignored</status>
      <modifiedWord/>
      <trackRevisions>false</trackRevisions>
    </reviewItem>
    <reviewItem>
      <errorID>2e4d547e-1a69-4532-bc2b-7b07c98bcbc0</errorID>
      <errorWord>胚布</errorWord>
      <group>L1_Word</group>
      <groupName>字词问题</groupName>
      <ability>L2_Typo</ability>
      <abilityName>字词错误</abilityName>
      <candidateList>
        <item>坯布</item>
      </candidateList>
      <explain>存在发音相近字词的误用。</explain>
      <paraID>433FCFEB</paraID>
      <start>60</start>
      <end>62</end>
      <status>modified</status>
      <modifiedWord>坯布</modifiedWord>
      <trackRevisions>false</trackRevisions>
    </reviewItem>
    <reviewItem>
      <errorID>2935f0a3-d42d-4181-ba98-2e4a15ba2a07</errorID>
      <errorWord>胚布</errorWord>
      <group>L1_Word</group>
      <groupName>字词问题</groupName>
      <ability>L2_Typo</ability>
      <abilityName>字词错误</abilityName>
      <candidateList>
        <item>坯布</item>
      </candidateList>
      <explain>存在发音相近字词的误用。</explain>
      <paraID>433FCFEB</paraID>
      <start>200</start>
      <end>202</end>
      <status>modified</status>
      <modifiedWord>坯布</modifiedWord>
      <trackRevisions>false</trackRevisions>
    </reviewItem>
    <reviewItem>
      <errorID>8dd57763-5b19-4fa8-9b39-6ff2c2933d0d</errorID>
      <errorWord>合同招标文件</errorWord>
      <group>L1_Grammar</group>
      <groupName>语法问题</groupName>
      <ability>L2_Grammar</ability>
      <abilityName>语法错误</abilityName>
      <candidateList>
        <item>合同</item>
      </candidateList>
      <explain/>
      <paraID>5EFB93F2</paraID>
      <start>64</start>
      <end>70</end>
      <status>ignored</status>
      <modifiedWord/>
      <trackRevisions>false</trackRevisions>
    </reviewItem>
    <reviewItem>
      <errorID>43f76d5f-dbdc-447c-816f-c0321534378d</errorID>
      <errorWord>经济技术开发区管理条例</errorWord>
      <group>L1_Knowledge</group>
      <groupName>知识性问题</groupName>
      <ability>L2_Knowledge</ability>
      <abilityName>其他知识</abilityName>
      <candidateList>
        <item>长春经济技术开发区管理条例</item>
      </candidateList>
      <explain>当前法律法规未收录或尚未生效，注意核查是否正确。</explain>
      <paraID>2DF46266</paraID>
      <start>15</start>
      <end>26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63f0af-36e4-4bba-a887-bb0e72b1104b}">
  <ds:schemaRefs/>
</ds:datastoreItem>
</file>

<file path=docProps/app.xml><?xml version="1.0" encoding="utf-8"?>
<Properties xmlns="http://schemas.openxmlformats.org/officeDocument/2006/extended-properties" xmlns:vt="http://schemas.openxmlformats.org/officeDocument/2006/docPropsVTypes">
  <Template>Normal</Template>
  <Pages>6</Pages>
  <Words>2578</Words>
  <Characters>2770</Characters>
  <Lines>20</Lines>
  <Paragraphs>5</Paragraphs>
  <TotalTime>35</TotalTime>
  <ScaleCrop>false</ScaleCrop>
  <LinksUpToDate>false</LinksUpToDate>
  <CharactersWithSpaces>2791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Administrator</cp:lastModifiedBy>
  <cp:lastPrinted>2026-10-27T11:09:53Z</cp:lastPrinted>
  <dcterms:modified xsi:type="dcterms:W3CDTF">2026-10-27T11:10:38Z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3223D3B5652749C999BF7EA64873565C_13</vt:lpwstr>
  </property>
  <property fmtid="{D5CDD505-2E9C-101B-9397-08002B2CF9AE}" pid="4" name="KSOTemplateDocerSaveRecord">
    <vt:lpwstr>eyJoZGlkIjoiZjEzODdhZDFmYzk5ODE2MmE3OTk4OTBkMjc2NjcxZTIiLCJ1c2VySWQiOiI2NDkyMTQ2MzcifQ==</vt:lpwstr>
  </property>
</Properties>
</file>