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DF8D1">
      <w:pPr>
        <w:pStyle w:val="9"/>
        <w:bidi w:val="0"/>
        <w:jc w:val="left"/>
        <w:rPr>
          <w:rFonts w:hint="eastAsia" w:ascii="Times New Roman" w:hAnsi="Times New Roman" w:cs="Times New Roman"/>
          <w:sz w:val="32"/>
          <w:szCs w:val="40"/>
          <w:lang w:val="en-US" w:eastAsia="zh-CN"/>
        </w:rPr>
      </w:pPr>
      <w:r>
        <w:rPr>
          <w:rFonts w:hint="eastAsia" w:ascii="Times New Roman" w:hAnsi="Times New Roman" w:cs="Times New Roman"/>
          <w:sz w:val="32"/>
          <w:szCs w:val="40"/>
          <w:lang w:val="en-US" w:eastAsia="zh-CN"/>
        </w:rPr>
        <w:t>附件2</w:t>
      </w:r>
    </w:p>
    <w:p w14:paraId="112F35E0">
      <w:pPr>
        <w:pStyle w:val="9"/>
        <w:bidi w:val="0"/>
        <w:jc w:val="center"/>
        <w:rPr>
          <w:rFonts w:hint="eastAsia" w:ascii="Times New Roman" w:hAnsi="Times New Roman" w:cs="Times New Roman"/>
          <w:lang w:val="en-US" w:eastAsia="zh-CN"/>
        </w:rPr>
      </w:pPr>
      <w:r>
        <w:rPr>
          <w:rFonts w:hint="eastAsia" w:ascii="Times New Roman" w:hAnsi="Times New Roman" w:cs="Times New Roman"/>
          <w:lang w:val="en-US" w:eastAsia="zh-CN"/>
        </w:rPr>
        <w:t>关于《</w:t>
      </w:r>
      <w:r>
        <w:rPr>
          <w:rFonts w:hint="default" w:ascii="Times New Roman" w:hAnsi="Times New Roman" w:cs="Times New Roman"/>
          <w:lang w:val="en-US" w:eastAsia="zh-CN"/>
        </w:rPr>
        <w:t>第一师阿拉尔市国有建设用地批后监管办法</w:t>
      </w:r>
      <w:r>
        <w:rPr>
          <w:rFonts w:hint="eastAsia" w:ascii="Times New Roman" w:hAnsi="Times New Roman" w:cs="Times New Roman"/>
          <w:lang w:val="en-US" w:eastAsia="zh-CN"/>
        </w:rPr>
        <w:t>（征求意见稿）》的起草说明</w:t>
      </w:r>
    </w:p>
    <w:p w14:paraId="7B5FC435">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line="550" w:lineRule="exact"/>
        <w:textAlignment w:val="auto"/>
        <w:rPr>
          <w:rFonts w:hint="eastAsia" w:ascii="Times New Roman" w:hAnsi="Times New Roman" w:eastAsia="仿宋_GB2312" w:cs="Times New Roman"/>
          <w:color w:val="1F2329"/>
          <w:spacing w:val="-6"/>
          <w:sz w:val="32"/>
          <w:lang w:val="en-US" w:eastAsia="zh-CN"/>
        </w:rPr>
      </w:pPr>
    </w:p>
    <w:p w14:paraId="173799E0">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line="550" w:lineRule="exact"/>
        <w:ind w:left="0" w:leftChars="0" w:firstLine="616" w:firstLineChars="200"/>
        <w:jc w:val="both"/>
        <w:textAlignment w:val="auto"/>
        <w:rPr>
          <w:rFonts w:hint="eastAsia" w:ascii="Times New Roman" w:hAnsi="Times New Roman" w:eastAsia="仿宋_GB2312" w:cs="Times New Roman"/>
          <w:color w:val="1F2329"/>
          <w:spacing w:val="-6"/>
          <w:kern w:val="2"/>
          <w:sz w:val="32"/>
          <w:szCs w:val="24"/>
          <w:lang w:val="en-US" w:eastAsia="zh-CN" w:bidi="ar-SA"/>
        </w:rPr>
      </w:pPr>
      <w:r>
        <w:rPr>
          <w:rFonts w:hint="default" w:ascii="Times New Roman" w:hAnsi="Times New Roman" w:eastAsia="仿宋_GB2312" w:cs="Times New Roman"/>
          <w:color w:val="1F2329"/>
          <w:spacing w:val="-6"/>
          <w:sz w:val="32"/>
        </w:rPr>
        <w:t>为规范师市国有建设用地开发利用，建立建设用地批后全周期监管机制，防范</w:t>
      </w:r>
      <w:r>
        <w:rPr>
          <w:rFonts w:hint="eastAsia" w:ascii="Times New Roman" w:hAnsi="Times New Roman" w:eastAsia="仿宋_GB2312" w:cs="Times New Roman"/>
          <w:color w:val="1F2329"/>
          <w:spacing w:val="-6"/>
          <w:sz w:val="32"/>
          <w:lang w:val="en-US" w:eastAsia="zh-CN"/>
        </w:rPr>
        <w:t>批而未供、闲置土地、改变用途等行为，</w:t>
      </w:r>
      <w:r>
        <w:rPr>
          <w:rFonts w:hint="eastAsia" w:eastAsia="仿宋_GB2312" w:cs="Times New Roman"/>
          <w:color w:val="1F2329"/>
          <w:spacing w:val="-6"/>
          <w:sz w:val="32"/>
          <w:lang w:val="en-US" w:eastAsia="zh-CN"/>
        </w:rPr>
        <w:t>我局</w:t>
      </w:r>
      <w:r>
        <w:rPr>
          <w:rFonts w:hint="eastAsia" w:ascii="Times New Roman" w:hAnsi="Times New Roman" w:eastAsia="仿宋_GB2312" w:cs="Times New Roman"/>
          <w:color w:val="1F2329"/>
          <w:spacing w:val="-6"/>
          <w:sz w:val="32"/>
          <w:lang w:val="en-US" w:eastAsia="zh-CN"/>
        </w:rPr>
        <w:t>拟</w:t>
      </w:r>
      <w:r>
        <w:rPr>
          <w:rFonts w:hint="eastAsia" w:eastAsia="仿宋_GB2312" w:cs="Times New Roman"/>
          <w:color w:val="1F2329"/>
          <w:spacing w:val="-6"/>
          <w:sz w:val="32"/>
          <w:lang w:val="en-US" w:eastAsia="zh-CN"/>
        </w:rPr>
        <w:t>定了</w:t>
      </w:r>
      <w:r>
        <w:rPr>
          <w:rFonts w:hint="eastAsia" w:ascii="Times New Roman" w:hAnsi="Times New Roman" w:eastAsia="仿宋_GB2312" w:cs="Times New Roman"/>
          <w:bCs w:val="0"/>
          <w:color w:val="1F2329"/>
          <w:spacing w:val="-6"/>
          <w:kern w:val="2"/>
          <w:sz w:val="32"/>
          <w:szCs w:val="24"/>
          <w:lang w:val="en-US" w:eastAsia="zh-CN" w:bidi="ar-SA"/>
        </w:rPr>
        <w:t>《</w:t>
      </w:r>
      <w:r>
        <w:rPr>
          <w:rFonts w:hint="default" w:ascii="Times New Roman" w:hAnsi="Times New Roman" w:eastAsia="仿宋_GB2312" w:cs="Times New Roman"/>
          <w:bCs w:val="0"/>
          <w:color w:val="1F2329"/>
          <w:spacing w:val="-6"/>
          <w:kern w:val="2"/>
          <w:sz w:val="32"/>
          <w:szCs w:val="24"/>
          <w:lang w:val="en-US" w:eastAsia="zh-CN" w:bidi="ar-SA"/>
        </w:rPr>
        <w:t>第一师阿拉尔市国有建设用地批后监管办法</w:t>
      </w:r>
      <w:r>
        <w:rPr>
          <w:rFonts w:hint="eastAsia" w:ascii="Times New Roman" w:hAnsi="Times New Roman" w:eastAsia="仿宋_GB2312" w:cs="Times New Roman"/>
          <w:bCs w:val="0"/>
          <w:color w:val="1F2329"/>
          <w:spacing w:val="-6"/>
          <w:kern w:val="2"/>
          <w:sz w:val="32"/>
          <w:szCs w:val="24"/>
          <w:lang w:val="en-US" w:eastAsia="zh-CN" w:bidi="ar-SA"/>
        </w:rPr>
        <w:t>》（以下简称《办法》）</w:t>
      </w:r>
      <w:r>
        <w:rPr>
          <w:rFonts w:hint="eastAsia" w:ascii="Times New Roman" w:hAnsi="Times New Roman" w:eastAsia="仿宋_GB2312" w:cs="Times New Roman"/>
          <w:color w:val="1F2329"/>
          <w:spacing w:val="-6"/>
          <w:kern w:val="2"/>
          <w:sz w:val="32"/>
          <w:szCs w:val="24"/>
          <w:lang w:val="en-US" w:eastAsia="zh-CN" w:bidi="ar-SA"/>
        </w:rPr>
        <w:t>。</w:t>
      </w:r>
    </w:p>
    <w:p w14:paraId="1E02EC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黑体" w:hAnsi="黑体" w:eastAsia="黑体" w:cs="黑体"/>
          <w:szCs w:val="22"/>
        </w:rPr>
      </w:pPr>
      <w:r>
        <w:rPr>
          <w:rFonts w:hint="eastAsia" w:ascii="黑体" w:hAnsi="黑体" w:eastAsia="黑体" w:cs="黑体"/>
          <w:szCs w:val="22"/>
          <w:lang w:eastAsia="zh-CN"/>
        </w:rPr>
        <w:t>一、</w:t>
      </w:r>
      <w:r>
        <w:rPr>
          <w:rFonts w:hint="eastAsia" w:ascii="黑体" w:hAnsi="黑体" w:eastAsia="黑体" w:cs="黑体"/>
          <w:szCs w:val="22"/>
        </w:rPr>
        <w:t>起草背景</w:t>
      </w:r>
    </w:p>
    <w:p w14:paraId="5109EDE0">
      <w:pPr>
        <w:keepNext w:val="0"/>
        <w:keepLines w:val="0"/>
        <w:widowControl/>
        <w:suppressLineNumbers w:val="0"/>
        <w:jc w:val="left"/>
        <w:rPr>
          <w:rFonts w:hint="default" w:ascii="Times New Roman" w:hAnsi="Times New Roman" w:eastAsia="仿宋_GB2312" w:cs="Times New Roman"/>
          <w:b/>
          <w:color w:val="1F2329"/>
          <w:kern w:val="0"/>
          <w:sz w:val="32"/>
          <w:szCs w:val="22"/>
        </w:rPr>
      </w:pPr>
      <w:r>
        <w:rPr>
          <w:rFonts w:hint="eastAsia" w:ascii="Times New Roman" w:hAnsi="Times New Roman" w:eastAsia="仿宋_GB2312" w:cs="Times New Roman"/>
          <w:color w:val="1F2329"/>
          <w:kern w:val="0"/>
          <w:sz w:val="32"/>
          <w:szCs w:val="22"/>
          <w:lang w:val="en-US" w:eastAsia="zh-CN"/>
        </w:rPr>
        <w:t>建设用地使用全过程监</w:t>
      </w:r>
      <w:bookmarkStart w:id="0" w:name="_GoBack"/>
      <w:bookmarkEnd w:id="0"/>
      <w:r>
        <w:rPr>
          <w:rFonts w:hint="eastAsia" w:ascii="Times New Roman" w:hAnsi="Times New Roman" w:eastAsia="仿宋_GB2312" w:cs="Times New Roman"/>
          <w:color w:val="1F2329"/>
          <w:kern w:val="0"/>
          <w:sz w:val="32"/>
          <w:szCs w:val="22"/>
          <w:lang w:val="en-US" w:eastAsia="zh-CN"/>
        </w:rPr>
        <w:t>管是规范土地利用，促进资源节约集约利用的重要手段，为规范监管内容、落实部门责任</w:t>
      </w:r>
      <w:r>
        <w:rPr>
          <w:rFonts w:hint="default" w:ascii="Times New Roman" w:hAnsi="Times New Roman" w:eastAsia="仿宋_GB2312" w:cs="Times New Roman"/>
          <w:color w:val="1F2329"/>
          <w:kern w:val="0"/>
          <w:sz w:val="32"/>
          <w:szCs w:val="22"/>
          <w:lang w:val="en-US" w:eastAsia="zh-CN"/>
        </w:rPr>
        <w:t>，</w:t>
      </w:r>
      <w:r>
        <w:rPr>
          <w:rFonts w:hint="default" w:ascii="Times New Roman" w:hAnsi="Times New Roman" w:eastAsia="仿宋_GB2312" w:cs="Times New Roman"/>
          <w:color w:val="1F2329"/>
          <w:kern w:val="0"/>
          <w:sz w:val="32"/>
          <w:szCs w:val="22"/>
        </w:rPr>
        <w:t>依据《中华人民共和国土地管理法》《</w:t>
      </w:r>
      <w:r>
        <w:rPr>
          <w:rFonts w:hint="eastAsia" w:ascii="Times New Roman" w:hAnsi="Times New Roman" w:cs="Times New Roman"/>
          <w:color w:val="1F2329"/>
          <w:kern w:val="0"/>
          <w:sz w:val="32"/>
          <w:szCs w:val="22"/>
          <w:lang w:val="en-US" w:eastAsia="zh-CN"/>
        </w:rPr>
        <w:t>新疆生产建设兵团土地管理规定（试行）》</w:t>
      </w:r>
      <w:r>
        <w:rPr>
          <w:rFonts w:hint="default" w:ascii="Times New Roman" w:hAnsi="Times New Roman" w:eastAsia="仿宋_GB2312" w:cs="Times New Roman"/>
          <w:color w:val="1F2329"/>
          <w:kern w:val="0"/>
          <w:sz w:val="32"/>
          <w:szCs w:val="22"/>
        </w:rPr>
        <w:t>等规定，结合师市实际，制定本办法。</w:t>
      </w:r>
    </w:p>
    <w:p w14:paraId="7A9224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黑体" w:hAnsi="黑体" w:eastAsia="黑体" w:cs="黑体"/>
          <w:szCs w:val="22"/>
          <w:lang w:val="en-US" w:eastAsia="zh-CN"/>
        </w:rPr>
      </w:pPr>
      <w:r>
        <w:rPr>
          <w:rFonts w:hint="eastAsia" w:ascii="黑体" w:hAnsi="黑体" w:eastAsia="黑体" w:cs="黑体"/>
          <w:szCs w:val="22"/>
          <w:lang w:val="en-US" w:eastAsia="zh-CN"/>
        </w:rPr>
        <w:t>二、主要内容</w:t>
      </w:r>
    </w:p>
    <w:p w14:paraId="519068E1">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line="550" w:lineRule="exact"/>
        <w:ind w:left="0" w:leftChars="0" w:firstLine="616" w:firstLineChars="200"/>
        <w:textAlignment w:val="auto"/>
        <w:rPr>
          <w:rFonts w:hint="eastAsia" w:ascii="Times New Roman" w:hAnsi="Times New Roman" w:eastAsia="仿宋_GB2312" w:cs="Times New Roman"/>
          <w:color w:val="1F2329"/>
          <w:spacing w:val="-6"/>
          <w:kern w:val="2"/>
          <w:sz w:val="32"/>
          <w:szCs w:val="24"/>
          <w:lang w:val="en-US" w:eastAsia="zh-CN" w:bidi="ar-SA"/>
        </w:rPr>
      </w:pPr>
      <w:r>
        <w:rPr>
          <w:rFonts w:hint="eastAsia" w:ascii="Times New Roman" w:hAnsi="Times New Roman" w:eastAsia="仿宋_GB2312" w:cs="Times New Roman"/>
          <w:color w:val="1F2329"/>
          <w:spacing w:val="-6"/>
          <w:kern w:val="2"/>
          <w:sz w:val="32"/>
          <w:szCs w:val="24"/>
          <w:lang w:val="en-US" w:eastAsia="zh-CN" w:bidi="ar-SA"/>
        </w:rPr>
        <w:t>《办法》共十章，三十二条内容。</w:t>
      </w:r>
    </w:p>
    <w:p w14:paraId="38609928">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line="550" w:lineRule="exact"/>
        <w:ind w:left="0" w:leftChars="0" w:firstLine="619" w:firstLineChars="200"/>
        <w:textAlignment w:val="auto"/>
        <w:rPr>
          <w:rFonts w:hint="eastAsia" w:ascii="Times New Roman" w:hAnsi="Times New Roman" w:eastAsia="仿宋_GB2312" w:cs="Times New Roman"/>
          <w:color w:val="1F2329"/>
          <w:spacing w:val="-6"/>
          <w:kern w:val="2"/>
          <w:sz w:val="32"/>
          <w:szCs w:val="24"/>
          <w:lang w:val="en-US" w:eastAsia="zh-CN" w:bidi="ar-SA"/>
        </w:rPr>
      </w:pPr>
      <w:r>
        <w:rPr>
          <w:rFonts w:hint="eastAsia" w:ascii="Times New Roman" w:hAnsi="Times New Roman" w:eastAsia="仿宋_GB2312" w:cs="Times New Roman"/>
          <w:b/>
          <w:bCs/>
          <w:color w:val="1F2329"/>
          <w:spacing w:val="-6"/>
          <w:kern w:val="2"/>
          <w:sz w:val="32"/>
          <w:szCs w:val="24"/>
          <w:lang w:val="en-US" w:eastAsia="zh-CN" w:bidi="ar-SA"/>
        </w:rPr>
        <w:t>第一章总则，共三条内容，</w:t>
      </w:r>
      <w:r>
        <w:rPr>
          <w:rFonts w:hint="eastAsia" w:ascii="Times New Roman" w:hAnsi="Times New Roman" w:eastAsia="仿宋_GB2312" w:cs="Times New Roman"/>
          <w:color w:val="1F2329"/>
          <w:spacing w:val="-6"/>
          <w:kern w:val="2"/>
          <w:sz w:val="32"/>
          <w:szCs w:val="24"/>
          <w:lang w:val="en-US" w:eastAsia="zh-CN" w:bidi="ar-SA"/>
        </w:rPr>
        <w:t>明确了办法的制定依据、适用范围和工作原则；</w:t>
      </w:r>
    </w:p>
    <w:p w14:paraId="7E430A79">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line="550" w:lineRule="exact"/>
        <w:ind w:left="0" w:leftChars="0" w:firstLine="619" w:firstLineChars="200"/>
        <w:textAlignment w:val="auto"/>
        <w:rPr>
          <w:rFonts w:hint="default" w:ascii="Times New Roman" w:hAnsi="Times New Roman" w:eastAsia="仿宋_GB2312" w:cs="Times New Roman"/>
          <w:color w:val="1F2329"/>
          <w:spacing w:val="-6"/>
          <w:kern w:val="2"/>
          <w:sz w:val="32"/>
          <w:szCs w:val="24"/>
          <w:lang w:val="en-US" w:eastAsia="zh-CN" w:bidi="ar-SA"/>
        </w:rPr>
      </w:pPr>
      <w:r>
        <w:rPr>
          <w:rFonts w:hint="eastAsia" w:ascii="Times New Roman" w:hAnsi="Times New Roman" w:eastAsia="仿宋_GB2312" w:cs="Times New Roman"/>
          <w:b/>
          <w:bCs/>
          <w:color w:val="1F2329"/>
          <w:spacing w:val="-6"/>
          <w:kern w:val="2"/>
          <w:sz w:val="32"/>
          <w:szCs w:val="24"/>
          <w:lang w:val="en-US" w:eastAsia="zh-CN" w:bidi="ar-SA"/>
        </w:rPr>
        <w:t>第二章增存挂钩管理，共两条内容</w:t>
      </w:r>
      <w:r>
        <w:rPr>
          <w:rFonts w:hint="eastAsia" w:ascii="Times New Roman" w:hAnsi="Times New Roman" w:eastAsia="仿宋_GB2312" w:cs="Times New Roman"/>
          <w:color w:val="1F2329"/>
          <w:spacing w:val="-6"/>
          <w:kern w:val="2"/>
          <w:sz w:val="32"/>
          <w:szCs w:val="24"/>
          <w:lang w:val="en-US" w:eastAsia="zh-CN" w:bidi="ar-SA"/>
        </w:rPr>
        <w:t>，明确了批而未供和闲置土地处置作为新增建设用地报批和土地招拍挂的核心审查依据；</w:t>
      </w:r>
    </w:p>
    <w:p w14:paraId="7EE4B4FB">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line="550" w:lineRule="exact"/>
        <w:ind w:left="0" w:leftChars="0" w:firstLine="619" w:firstLineChars="200"/>
        <w:textAlignment w:val="auto"/>
        <w:rPr>
          <w:rFonts w:hint="eastAsia" w:ascii="Times New Roman" w:hAnsi="Times New Roman" w:eastAsia="仿宋_GB2312" w:cs="Times New Roman"/>
          <w:color w:val="1F2329"/>
          <w:spacing w:val="-6"/>
          <w:kern w:val="2"/>
          <w:sz w:val="32"/>
          <w:szCs w:val="24"/>
          <w:lang w:val="en-US" w:eastAsia="zh-CN" w:bidi="ar-SA"/>
        </w:rPr>
      </w:pPr>
      <w:r>
        <w:rPr>
          <w:rFonts w:hint="eastAsia" w:ascii="Times New Roman" w:hAnsi="Times New Roman" w:eastAsia="仿宋_GB2312" w:cs="Times New Roman"/>
          <w:b/>
          <w:bCs/>
          <w:color w:val="1F2329"/>
          <w:spacing w:val="-6"/>
          <w:kern w:val="2"/>
          <w:sz w:val="32"/>
          <w:szCs w:val="24"/>
          <w:lang w:val="en-US" w:eastAsia="zh-CN" w:bidi="ar-SA"/>
        </w:rPr>
        <w:t>第三章净地供应管理，共三条内容</w:t>
      </w:r>
      <w:r>
        <w:rPr>
          <w:rFonts w:hint="eastAsia" w:ascii="Times New Roman" w:hAnsi="Times New Roman" w:eastAsia="仿宋_GB2312" w:cs="Times New Roman"/>
          <w:color w:val="1F2329"/>
          <w:spacing w:val="-6"/>
          <w:kern w:val="2"/>
          <w:sz w:val="32"/>
          <w:szCs w:val="24"/>
          <w:lang w:val="en-US" w:eastAsia="zh-CN" w:bidi="ar-SA"/>
        </w:rPr>
        <w:t>，明确了净地供应的原则，以及净地工作的责任单位；</w:t>
      </w:r>
    </w:p>
    <w:p w14:paraId="72F95BE0">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line="550" w:lineRule="exact"/>
        <w:ind w:left="0" w:leftChars="0" w:firstLine="619" w:firstLineChars="200"/>
        <w:textAlignment w:val="auto"/>
        <w:rPr>
          <w:rFonts w:hint="eastAsia" w:ascii="Times New Roman" w:hAnsi="Times New Roman" w:eastAsia="仿宋_GB2312" w:cs="Times New Roman"/>
          <w:color w:val="1F2329"/>
          <w:spacing w:val="-6"/>
          <w:kern w:val="2"/>
          <w:sz w:val="32"/>
          <w:szCs w:val="24"/>
          <w:lang w:val="en-US" w:eastAsia="zh-CN" w:bidi="ar-SA"/>
        </w:rPr>
      </w:pPr>
      <w:r>
        <w:rPr>
          <w:rFonts w:hint="eastAsia" w:ascii="Times New Roman" w:hAnsi="Times New Roman" w:eastAsia="仿宋_GB2312" w:cs="Times New Roman"/>
          <w:b/>
          <w:bCs/>
          <w:color w:val="1F2329"/>
          <w:spacing w:val="-6"/>
          <w:kern w:val="2"/>
          <w:sz w:val="32"/>
          <w:szCs w:val="24"/>
          <w:lang w:val="en-US" w:eastAsia="zh-CN" w:bidi="ar-SA"/>
        </w:rPr>
        <w:t>第四章交地管理，共两条内容</w:t>
      </w:r>
      <w:r>
        <w:rPr>
          <w:rFonts w:hint="eastAsia" w:ascii="Times New Roman" w:hAnsi="Times New Roman" w:eastAsia="仿宋_GB2312" w:cs="Times New Roman"/>
          <w:color w:val="1F2329"/>
          <w:spacing w:val="-6"/>
          <w:kern w:val="2"/>
          <w:sz w:val="32"/>
          <w:szCs w:val="24"/>
          <w:lang w:val="en-US" w:eastAsia="zh-CN" w:bidi="ar-SA"/>
        </w:rPr>
        <w:t>，明确了交地责任主体和交地责任；</w:t>
      </w:r>
    </w:p>
    <w:p w14:paraId="538F8252">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line="550" w:lineRule="exact"/>
        <w:ind w:left="0" w:leftChars="0" w:firstLine="619" w:firstLineChars="200"/>
        <w:textAlignment w:val="auto"/>
        <w:rPr>
          <w:rFonts w:hint="eastAsia" w:ascii="Times New Roman" w:hAnsi="Times New Roman" w:eastAsia="仿宋_GB2312" w:cs="Times New Roman"/>
          <w:color w:val="1F2329"/>
          <w:spacing w:val="-6"/>
          <w:kern w:val="2"/>
          <w:sz w:val="32"/>
          <w:szCs w:val="24"/>
          <w:lang w:val="en-US" w:eastAsia="zh-CN" w:bidi="ar-SA"/>
        </w:rPr>
      </w:pPr>
      <w:r>
        <w:rPr>
          <w:rFonts w:hint="eastAsia" w:ascii="Times New Roman" w:hAnsi="Times New Roman" w:eastAsia="仿宋_GB2312" w:cs="Times New Roman"/>
          <w:b/>
          <w:bCs/>
          <w:color w:val="1F2329"/>
          <w:spacing w:val="-6"/>
          <w:kern w:val="2"/>
          <w:sz w:val="32"/>
          <w:szCs w:val="24"/>
          <w:lang w:val="en-US" w:eastAsia="zh-CN" w:bidi="ar-SA"/>
        </w:rPr>
        <w:t>第五章开竣工管理，共四条内容</w:t>
      </w:r>
      <w:r>
        <w:rPr>
          <w:rFonts w:hint="eastAsia" w:ascii="Times New Roman" w:hAnsi="Times New Roman" w:eastAsia="仿宋_GB2312" w:cs="Times New Roman"/>
          <w:color w:val="1F2329"/>
          <w:spacing w:val="-6"/>
          <w:kern w:val="2"/>
          <w:sz w:val="32"/>
          <w:szCs w:val="24"/>
          <w:lang w:val="en-US" w:eastAsia="zh-CN" w:bidi="ar-SA"/>
        </w:rPr>
        <w:t>，明确了开竣工的标准、开竣工申报和延期审查审批管理规范；</w:t>
      </w:r>
    </w:p>
    <w:p w14:paraId="00BC3245">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line="550" w:lineRule="exact"/>
        <w:ind w:left="0" w:leftChars="0" w:firstLine="619" w:firstLineChars="200"/>
        <w:textAlignment w:val="auto"/>
        <w:rPr>
          <w:rFonts w:hint="eastAsia" w:ascii="Times New Roman" w:hAnsi="Times New Roman" w:eastAsia="仿宋_GB2312" w:cs="Times New Roman"/>
          <w:color w:val="1F2329"/>
          <w:spacing w:val="-6"/>
          <w:kern w:val="2"/>
          <w:sz w:val="32"/>
          <w:szCs w:val="24"/>
          <w:lang w:val="en-US" w:eastAsia="zh-CN" w:bidi="ar-SA"/>
        </w:rPr>
      </w:pPr>
      <w:r>
        <w:rPr>
          <w:rFonts w:hint="eastAsia" w:ascii="Times New Roman" w:hAnsi="Times New Roman" w:eastAsia="仿宋_GB2312" w:cs="Times New Roman"/>
          <w:b/>
          <w:bCs/>
          <w:color w:val="1F2329"/>
          <w:spacing w:val="-6"/>
          <w:kern w:val="2"/>
          <w:sz w:val="32"/>
          <w:szCs w:val="24"/>
          <w:lang w:val="en-US" w:eastAsia="zh-CN" w:bidi="ar-SA"/>
        </w:rPr>
        <w:t>第六章批后日常监管，共五条内容</w:t>
      </w:r>
      <w:r>
        <w:rPr>
          <w:rFonts w:hint="eastAsia" w:ascii="Times New Roman" w:hAnsi="Times New Roman" w:eastAsia="仿宋_GB2312" w:cs="Times New Roman"/>
          <w:color w:val="1F2329"/>
          <w:spacing w:val="-6"/>
          <w:kern w:val="2"/>
          <w:sz w:val="32"/>
          <w:szCs w:val="24"/>
          <w:lang w:val="en-US" w:eastAsia="zh-CN" w:bidi="ar-SA"/>
        </w:rPr>
        <w:t>，明确了现场公示、动态巡查跟踪、竣工核验管理规范；</w:t>
      </w:r>
    </w:p>
    <w:p w14:paraId="6E33D4A2">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line="550" w:lineRule="exact"/>
        <w:ind w:left="0" w:leftChars="0" w:firstLine="619" w:firstLineChars="200"/>
        <w:textAlignment w:val="auto"/>
        <w:rPr>
          <w:rFonts w:hint="default" w:ascii="Times New Roman" w:hAnsi="Times New Roman" w:eastAsia="仿宋_GB2312" w:cs="Times New Roman"/>
          <w:color w:val="1F2329"/>
          <w:spacing w:val="-6"/>
          <w:kern w:val="2"/>
          <w:sz w:val="32"/>
          <w:szCs w:val="24"/>
          <w:lang w:val="en-US" w:eastAsia="zh-CN" w:bidi="ar-SA"/>
        </w:rPr>
      </w:pPr>
      <w:r>
        <w:rPr>
          <w:rFonts w:hint="eastAsia" w:ascii="Times New Roman" w:hAnsi="Times New Roman" w:eastAsia="仿宋_GB2312" w:cs="Times New Roman"/>
          <w:b/>
          <w:bCs/>
          <w:color w:val="1F2329"/>
          <w:spacing w:val="-6"/>
          <w:kern w:val="2"/>
          <w:sz w:val="32"/>
          <w:szCs w:val="24"/>
          <w:lang w:val="en-US" w:eastAsia="zh-CN" w:bidi="ar-SA"/>
        </w:rPr>
        <w:t>第七章 违约及闲置土地处置，共七条内容</w:t>
      </w:r>
      <w:r>
        <w:rPr>
          <w:rFonts w:hint="eastAsia" w:ascii="Times New Roman" w:hAnsi="Times New Roman" w:eastAsia="仿宋_GB2312" w:cs="Times New Roman"/>
          <w:color w:val="1F2329"/>
          <w:spacing w:val="-6"/>
          <w:kern w:val="2"/>
          <w:sz w:val="32"/>
          <w:szCs w:val="24"/>
          <w:lang w:val="en-US" w:eastAsia="zh-CN" w:bidi="ar-SA"/>
        </w:rPr>
        <w:t>，明确未按期缴纳出让金、未按期开工、竣工的违约责任和处置规范；</w:t>
      </w:r>
    </w:p>
    <w:p w14:paraId="65E904E3">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line="550" w:lineRule="exact"/>
        <w:ind w:left="0" w:leftChars="0" w:firstLine="619" w:firstLineChars="200"/>
        <w:textAlignment w:val="auto"/>
        <w:rPr>
          <w:rFonts w:hint="eastAsia" w:ascii="Times New Roman" w:hAnsi="Times New Roman" w:eastAsia="仿宋_GB2312" w:cs="Times New Roman"/>
          <w:color w:val="1F2329"/>
          <w:spacing w:val="-6"/>
          <w:kern w:val="2"/>
          <w:sz w:val="32"/>
          <w:szCs w:val="24"/>
          <w:lang w:val="en-US" w:eastAsia="zh-CN" w:bidi="ar-SA"/>
        </w:rPr>
      </w:pPr>
      <w:r>
        <w:rPr>
          <w:rFonts w:hint="eastAsia" w:ascii="Times New Roman" w:hAnsi="Times New Roman" w:eastAsia="仿宋_GB2312" w:cs="Times New Roman"/>
          <w:b/>
          <w:bCs/>
          <w:color w:val="1F2329"/>
          <w:spacing w:val="-6"/>
          <w:kern w:val="2"/>
          <w:sz w:val="32"/>
          <w:szCs w:val="24"/>
          <w:lang w:val="en-US" w:eastAsia="zh-CN" w:bidi="ar-SA"/>
        </w:rPr>
        <w:t>第八章土地用途监管，共三条内容</w:t>
      </w:r>
      <w:r>
        <w:rPr>
          <w:rFonts w:hint="eastAsia" w:ascii="Times New Roman" w:hAnsi="Times New Roman" w:eastAsia="仿宋_GB2312" w:cs="Times New Roman"/>
          <w:color w:val="1F2329"/>
          <w:spacing w:val="-6"/>
          <w:kern w:val="2"/>
          <w:sz w:val="32"/>
          <w:szCs w:val="24"/>
          <w:lang w:val="en-US" w:eastAsia="zh-CN" w:bidi="ar-SA"/>
        </w:rPr>
        <w:t>，明确了改变土地用途</w:t>
      </w:r>
      <w:r>
        <w:rPr>
          <w:rFonts w:hint="eastAsia" w:eastAsia="仿宋_GB2312" w:cs="Times New Roman"/>
          <w:color w:val="1F2329"/>
          <w:spacing w:val="-6"/>
          <w:kern w:val="2"/>
          <w:sz w:val="32"/>
          <w:szCs w:val="24"/>
          <w:lang w:val="en-US" w:eastAsia="zh-CN" w:bidi="ar-SA"/>
        </w:rPr>
        <w:t>的</w:t>
      </w:r>
      <w:r>
        <w:rPr>
          <w:rFonts w:hint="eastAsia" w:ascii="Times New Roman" w:hAnsi="Times New Roman" w:eastAsia="仿宋_GB2312" w:cs="Times New Roman"/>
          <w:color w:val="1F2329"/>
          <w:spacing w:val="-6"/>
          <w:kern w:val="2"/>
          <w:sz w:val="32"/>
          <w:szCs w:val="24"/>
          <w:lang w:val="en-US" w:eastAsia="zh-CN" w:bidi="ar-SA"/>
        </w:rPr>
        <w:t>处置规范；</w:t>
      </w:r>
    </w:p>
    <w:p w14:paraId="1AD84CED">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line="550" w:lineRule="exact"/>
        <w:ind w:left="0" w:leftChars="0" w:firstLine="619" w:firstLineChars="200"/>
        <w:textAlignment w:val="auto"/>
        <w:rPr>
          <w:rFonts w:hint="eastAsia" w:ascii="Times New Roman" w:hAnsi="Times New Roman" w:eastAsia="仿宋_GB2312" w:cs="Times New Roman"/>
          <w:color w:val="1F2329"/>
          <w:spacing w:val="-6"/>
          <w:kern w:val="2"/>
          <w:sz w:val="32"/>
          <w:szCs w:val="24"/>
          <w:lang w:val="en-US" w:eastAsia="zh-CN" w:bidi="ar-SA"/>
        </w:rPr>
      </w:pPr>
      <w:r>
        <w:rPr>
          <w:rFonts w:hint="eastAsia" w:ascii="Times New Roman" w:hAnsi="Times New Roman" w:eastAsia="仿宋_GB2312" w:cs="Times New Roman"/>
          <w:b/>
          <w:bCs/>
          <w:color w:val="1F2329"/>
          <w:spacing w:val="-6"/>
          <w:kern w:val="2"/>
          <w:sz w:val="32"/>
          <w:szCs w:val="24"/>
          <w:lang w:val="en-US" w:eastAsia="zh-CN" w:bidi="ar-SA"/>
        </w:rPr>
        <w:t>第九章批后监管共同责任，共两条内容</w:t>
      </w:r>
      <w:r>
        <w:rPr>
          <w:rFonts w:hint="eastAsia" w:ascii="Times New Roman" w:hAnsi="Times New Roman" w:eastAsia="仿宋_GB2312" w:cs="Times New Roman"/>
          <w:color w:val="1F2329"/>
          <w:spacing w:val="-6"/>
          <w:kern w:val="2"/>
          <w:sz w:val="32"/>
          <w:szCs w:val="24"/>
          <w:lang w:val="en-US" w:eastAsia="zh-CN" w:bidi="ar-SA"/>
        </w:rPr>
        <w:t>，明确了发改</w:t>
      </w:r>
      <w:r>
        <w:rPr>
          <w:rFonts w:hint="eastAsia" w:eastAsia="仿宋_GB2312" w:cs="Times New Roman"/>
          <w:color w:val="1F2329"/>
          <w:spacing w:val="-6"/>
          <w:kern w:val="2"/>
          <w:sz w:val="32"/>
          <w:szCs w:val="24"/>
          <w:lang w:val="en-US" w:eastAsia="zh-CN" w:bidi="ar-SA"/>
        </w:rPr>
        <w:t>委</w:t>
      </w:r>
      <w:r>
        <w:rPr>
          <w:rFonts w:hint="eastAsia" w:ascii="Times New Roman" w:hAnsi="Times New Roman" w:eastAsia="仿宋_GB2312" w:cs="Times New Roman"/>
          <w:color w:val="1F2329"/>
          <w:spacing w:val="-6"/>
          <w:kern w:val="2"/>
          <w:sz w:val="32"/>
          <w:szCs w:val="24"/>
          <w:lang w:val="en-US" w:eastAsia="zh-CN" w:bidi="ar-SA"/>
        </w:rPr>
        <w:t>、</w:t>
      </w:r>
      <w:r>
        <w:rPr>
          <w:rFonts w:hint="eastAsia" w:eastAsia="仿宋_GB2312" w:cs="Times New Roman"/>
          <w:color w:val="1F2329"/>
          <w:spacing w:val="-6"/>
          <w:kern w:val="2"/>
          <w:sz w:val="32"/>
          <w:szCs w:val="24"/>
          <w:lang w:val="en-US" w:eastAsia="zh-CN" w:bidi="ar-SA"/>
        </w:rPr>
        <w:t>住房和城乡建设局</w:t>
      </w:r>
      <w:r>
        <w:rPr>
          <w:rFonts w:hint="eastAsia" w:ascii="Times New Roman" w:hAnsi="Times New Roman" w:eastAsia="仿宋_GB2312" w:cs="Times New Roman"/>
          <w:color w:val="1F2329"/>
          <w:spacing w:val="-6"/>
          <w:kern w:val="2"/>
          <w:sz w:val="32"/>
          <w:szCs w:val="24"/>
          <w:lang w:val="en-US" w:eastAsia="zh-CN" w:bidi="ar-SA"/>
        </w:rPr>
        <w:t>、</w:t>
      </w:r>
      <w:r>
        <w:rPr>
          <w:rFonts w:hint="eastAsia" w:eastAsia="仿宋_GB2312" w:cs="Times New Roman"/>
          <w:color w:val="1F2329"/>
          <w:spacing w:val="-6"/>
          <w:kern w:val="2"/>
          <w:sz w:val="32"/>
          <w:szCs w:val="24"/>
          <w:lang w:val="en-US" w:eastAsia="zh-CN" w:bidi="ar-SA"/>
        </w:rPr>
        <w:t>自然资源和规划局</w:t>
      </w:r>
      <w:r>
        <w:rPr>
          <w:rFonts w:hint="eastAsia" w:ascii="Times New Roman" w:hAnsi="Times New Roman" w:eastAsia="仿宋_GB2312" w:cs="Times New Roman"/>
          <w:color w:val="1F2329"/>
          <w:spacing w:val="-6"/>
          <w:kern w:val="2"/>
          <w:sz w:val="32"/>
          <w:szCs w:val="24"/>
          <w:lang w:val="en-US" w:eastAsia="zh-CN" w:bidi="ar-SA"/>
        </w:rPr>
        <w:t>、团场、园区</w:t>
      </w:r>
      <w:r>
        <w:rPr>
          <w:rFonts w:hint="eastAsia" w:eastAsia="仿宋_GB2312" w:cs="Times New Roman"/>
          <w:color w:val="1F2329"/>
          <w:spacing w:val="-6"/>
          <w:kern w:val="2"/>
          <w:sz w:val="32"/>
          <w:szCs w:val="24"/>
          <w:lang w:val="en-US" w:eastAsia="zh-CN" w:bidi="ar-SA"/>
        </w:rPr>
        <w:t>等部门的</w:t>
      </w:r>
      <w:r>
        <w:rPr>
          <w:rFonts w:hint="eastAsia" w:ascii="Times New Roman" w:hAnsi="Times New Roman" w:eastAsia="仿宋_GB2312" w:cs="Times New Roman"/>
          <w:color w:val="1F2329"/>
          <w:spacing w:val="-6"/>
          <w:kern w:val="2"/>
          <w:sz w:val="32"/>
          <w:szCs w:val="24"/>
          <w:lang w:val="en-US" w:eastAsia="zh-CN" w:bidi="ar-SA"/>
        </w:rPr>
        <w:t>监管职责；</w:t>
      </w:r>
    </w:p>
    <w:p w14:paraId="75E06359">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line="550" w:lineRule="exact"/>
        <w:ind w:left="0" w:leftChars="0" w:firstLine="619" w:firstLineChars="200"/>
        <w:textAlignment w:val="auto"/>
        <w:rPr>
          <w:rFonts w:hint="default" w:ascii="Times New Roman" w:hAnsi="Times New Roman" w:eastAsia="仿宋_GB2312" w:cs="Times New Roman"/>
          <w:color w:val="1F2329"/>
          <w:spacing w:val="-6"/>
          <w:kern w:val="2"/>
          <w:sz w:val="32"/>
          <w:szCs w:val="24"/>
          <w:lang w:val="en-US" w:eastAsia="zh-CN" w:bidi="ar-SA"/>
        </w:rPr>
      </w:pPr>
      <w:r>
        <w:rPr>
          <w:rFonts w:hint="eastAsia" w:ascii="Times New Roman" w:hAnsi="Times New Roman" w:eastAsia="仿宋_GB2312" w:cs="Times New Roman"/>
          <w:b/>
          <w:bCs/>
          <w:color w:val="1F2329"/>
          <w:spacing w:val="-6"/>
          <w:kern w:val="2"/>
          <w:sz w:val="32"/>
          <w:szCs w:val="24"/>
          <w:lang w:val="en-US" w:eastAsia="zh-CN" w:bidi="ar-SA"/>
        </w:rPr>
        <w:t>第十章附则，共两条内容</w:t>
      </w:r>
      <w:r>
        <w:rPr>
          <w:rFonts w:hint="eastAsia" w:ascii="Times New Roman" w:hAnsi="Times New Roman" w:eastAsia="仿宋_GB2312" w:cs="Times New Roman"/>
          <w:color w:val="1F2329"/>
          <w:spacing w:val="-6"/>
          <w:kern w:val="2"/>
          <w:sz w:val="32"/>
          <w:szCs w:val="24"/>
          <w:lang w:val="en-US" w:eastAsia="zh-CN" w:bidi="ar-SA"/>
        </w:rPr>
        <w:t>，明确了生效时间和解释归口部门。</w:t>
      </w:r>
    </w:p>
    <w:sectPr>
      <w:pgSz w:w="11906" w:h="16838"/>
      <w:pgMar w:top="1871" w:right="1474" w:bottom="1701" w:left="1474"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104FB5A-A713-41DA-8971-A163708FC9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1E6435C-7772-47D8-803C-F21544A7FAA1}"/>
  </w:font>
  <w:font w:name="方正仿宋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黑体简体">
    <w:panose1 w:val="02000000000000000000"/>
    <w:charset w:val="86"/>
    <w:family w:val="auto"/>
    <w:pitch w:val="default"/>
    <w:sig w:usb0="A00002BF" w:usb1="184F6CFA" w:usb2="00000012" w:usb3="00000000" w:csb0="00040001" w:csb1="00000000"/>
  </w:font>
  <w:font w:name="方正楷体简体">
    <w:panose1 w:val="02000000000000000000"/>
    <w:charset w:val="86"/>
    <w:family w:val="auto"/>
    <w:pitch w:val="default"/>
    <w:sig w:usb0="A00002BF" w:usb1="184F6CFA" w:usb2="00000012" w:usb3="00000000" w:csb0="00040001" w:csb1="00000000"/>
  </w:font>
  <w:font w:name="仿宋_GB2312">
    <w:altName w:val="仿宋"/>
    <w:panose1 w:val="00000000000000000000"/>
    <w:charset w:val="00"/>
    <w:family w:val="auto"/>
    <w:pitch w:val="default"/>
    <w:sig w:usb0="00000000" w:usb1="00000000" w:usb2="00000000" w:usb3="00000000" w:csb0="00000000" w:csb1="00000000"/>
    <w:embedRegular r:id="rId3" w:fontKey="{2FC31392-17B5-4E43-9E57-3F69F17963EE}"/>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13458"/>
    <w:rsid w:val="01A0660B"/>
    <w:rsid w:val="025B0BD4"/>
    <w:rsid w:val="03522419"/>
    <w:rsid w:val="03577A2F"/>
    <w:rsid w:val="038A1BB2"/>
    <w:rsid w:val="04505BCE"/>
    <w:rsid w:val="053A13B6"/>
    <w:rsid w:val="08095765"/>
    <w:rsid w:val="084A7B62"/>
    <w:rsid w:val="0ACF0C60"/>
    <w:rsid w:val="0E807489"/>
    <w:rsid w:val="0ED308B1"/>
    <w:rsid w:val="0EEB5EC4"/>
    <w:rsid w:val="10611EED"/>
    <w:rsid w:val="10AD6B4D"/>
    <w:rsid w:val="10B84845"/>
    <w:rsid w:val="10D95F27"/>
    <w:rsid w:val="118D733C"/>
    <w:rsid w:val="12FB7C2C"/>
    <w:rsid w:val="14FB46BE"/>
    <w:rsid w:val="158741A4"/>
    <w:rsid w:val="167B7A43"/>
    <w:rsid w:val="17051824"/>
    <w:rsid w:val="1831400C"/>
    <w:rsid w:val="185D743E"/>
    <w:rsid w:val="19F45B80"/>
    <w:rsid w:val="1A4E34E2"/>
    <w:rsid w:val="1BE337C6"/>
    <w:rsid w:val="1C2269D4"/>
    <w:rsid w:val="1D6B55ED"/>
    <w:rsid w:val="1FD06747"/>
    <w:rsid w:val="2059498F"/>
    <w:rsid w:val="208A57FD"/>
    <w:rsid w:val="211F34E2"/>
    <w:rsid w:val="232D106D"/>
    <w:rsid w:val="25072C0B"/>
    <w:rsid w:val="253A4D8F"/>
    <w:rsid w:val="25F018F1"/>
    <w:rsid w:val="26451C3D"/>
    <w:rsid w:val="26AC3A6A"/>
    <w:rsid w:val="27C13545"/>
    <w:rsid w:val="27C60B5C"/>
    <w:rsid w:val="28090A48"/>
    <w:rsid w:val="29A34FDC"/>
    <w:rsid w:val="2AC04393"/>
    <w:rsid w:val="2C8C2B04"/>
    <w:rsid w:val="2EEF5137"/>
    <w:rsid w:val="2F6F643D"/>
    <w:rsid w:val="2F754C15"/>
    <w:rsid w:val="341C5D39"/>
    <w:rsid w:val="34346E4D"/>
    <w:rsid w:val="34D3636B"/>
    <w:rsid w:val="35E13004"/>
    <w:rsid w:val="371D62BE"/>
    <w:rsid w:val="37425D25"/>
    <w:rsid w:val="3999711F"/>
    <w:rsid w:val="3C2F4ACA"/>
    <w:rsid w:val="3D037D04"/>
    <w:rsid w:val="408731EC"/>
    <w:rsid w:val="408B24EB"/>
    <w:rsid w:val="40D432EC"/>
    <w:rsid w:val="425F778B"/>
    <w:rsid w:val="4289397B"/>
    <w:rsid w:val="43770B04"/>
    <w:rsid w:val="439873F8"/>
    <w:rsid w:val="458B7124"/>
    <w:rsid w:val="46E82B97"/>
    <w:rsid w:val="47DE272E"/>
    <w:rsid w:val="490E6F34"/>
    <w:rsid w:val="4A174C7C"/>
    <w:rsid w:val="4A4A6F73"/>
    <w:rsid w:val="4B8464B4"/>
    <w:rsid w:val="4B8C67A1"/>
    <w:rsid w:val="4BD5033F"/>
    <w:rsid w:val="4CE4545C"/>
    <w:rsid w:val="4D1675E0"/>
    <w:rsid w:val="4DBA61BD"/>
    <w:rsid w:val="4E102281"/>
    <w:rsid w:val="4FC11A85"/>
    <w:rsid w:val="4FD5108C"/>
    <w:rsid w:val="4FE13ED5"/>
    <w:rsid w:val="50B25FB2"/>
    <w:rsid w:val="51035EB3"/>
    <w:rsid w:val="533B1B4E"/>
    <w:rsid w:val="54114422"/>
    <w:rsid w:val="57A35F14"/>
    <w:rsid w:val="57CD32DE"/>
    <w:rsid w:val="588418A2"/>
    <w:rsid w:val="58AD704A"/>
    <w:rsid w:val="5A8262B5"/>
    <w:rsid w:val="5D077809"/>
    <w:rsid w:val="5DE0757A"/>
    <w:rsid w:val="5E856373"/>
    <w:rsid w:val="5EBB3B43"/>
    <w:rsid w:val="600734E4"/>
    <w:rsid w:val="612956DC"/>
    <w:rsid w:val="6220088D"/>
    <w:rsid w:val="62C9483C"/>
    <w:rsid w:val="66F864A9"/>
    <w:rsid w:val="6715319B"/>
    <w:rsid w:val="67DF4D46"/>
    <w:rsid w:val="68356714"/>
    <w:rsid w:val="68C301C4"/>
    <w:rsid w:val="69392234"/>
    <w:rsid w:val="6A590DE0"/>
    <w:rsid w:val="6DDB32B5"/>
    <w:rsid w:val="6EA36ACE"/>
    <w:rsid w:val="700D7F77"/>
    <w:rsid w:val="70500E8A"/>
    <w:rsid w:val="705E3AE9"/>
    <w:rsid w:val="72BE7843"/>
    <w:rsid w:val="72C5470C"/>
    <w:rsid w:val="749F1AE5"/>
    <w:rsid w:val="74C23A26"/>
    <w:rsid w:val="75497CA3"/>
    <w:rsid w:val="75846F2D"/>
    <w:rsid w:val="75BC5076"/>
    <w:rsid w:val="775E009E"/>
    <w:rsid w:val="785C103B"/>
    <w:rsid w:val="79EB757B"/>
    <w:rsid w:val="7A666D32"/>
    <w:rsid w:val="7B717696"/>
    <w:rsid w:val="7CF41F55"/>
    <w:rsid w:val="7DDF73F6"/>
    <w:rsid w:val="7E413C0D"/>
    <w:rsid w:val="7EDC39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3" w:firstLineChars="200"/>
      <w:jc w:val="both"/>
    </w:pPr>
    <w:rPr>
      <w:rFonts w:ascii="Times New Roman" w:hAnsi="Times New Roman" w:eastAsia="方正仿宋简体" w:cstheme="minorBidi"/>
      <w:kern w:val="2"/>
      <w:sz w:val="32"/>
      <w:szCs w:val="24"/>
      <w:lang w:val="en-US" w:eastAsia="zh-CN" w:bidi="ar-SA"/>
    </w:rPr>
  </w:style>
  <w:style w:type="paragraph" w:styleId="4">
    <w:name w:val="heading 1"/>
    <w:basedOn w:val="1"/>
    <w:next w:val="1"/>
    <w:link w:val="13"/>
    <w:qFormat/>
    <w:uiPriority w:val="0"/>
    <w:pPr>
      <w:spacing w:before="0" w:beforeAutospacing="0" w:after="0" w:afterAutospacing="0"/>
      <w:ind w:firstLine="0" w:firstLineChars="0"/>
      <w:jc w:val="center"/>
      <w:outlineLvl w:val="0"/>
    </w:pPr>
    <w:rPr>
      <w:rFonts w:hint="eastAsia" w:ascii="宋体" w:hAnsi="宋体" w:eastAsia="方正小标宋简体" w:cs="宋体"/>
      <w:bCs/>
      <w:kern w:val="44"/>
      <w:sz w:val="44"/>
      <w:szCs w:val="48"/>
      <w:lang w:val="en-US" w:eastAsia="zh-CN" w:bidi="ar"/>
    </w:rPr>
  </w:style>
  <w:style w:type="paragraph" w:styleId="2">
    <w:name w:val="heading 2"/>
    <w:basedOn w:val="1"/>
    <w:next w:val="3"/>
    <w:unhideWhenUsed/>
    <w:qFormat/>
    <w:uiPriority w:val="0"/>
    <w:pPr>
      <w:keepNext/>
      <w:keepLines/>
      <w:spacing w:beforeLines="0" w:beforeAutospacing="0" w:afterLines="0" w:afterAutospacing="0" w:line="560" w:lineRule="exact"/>
      <w:ind w:firstLine="883" w:firstLineChars="200"/>
      <w:jc w:val="left"/>
      <w:outlineLvl w:val="1"/>
    </w:pPr>
    <w:rPr>
      <w:rFonts w:ascii="Arial" w:hAnsi="Arial" w:eastAsia="方正黑体简体"/>
      <w:kern w:val="2"/>
      <w:sz w:val="32"/>
      <w:szCs w:val="24"/>
      <w:lang w:val="en-US" w:eastAsia="zh-CN" w:bidi="ar-SA"/>
    </w:rPr>
  </w:style>
  <w:style w:type="paragraph" w:styleId="5">
    <w:name w:val="heading 3"/>
    <w:basedOn w:val="1"/>
    <w:next w:val="1"/>
    <w:unhideWhenUsed/>
    <w:qFormat/>
    <w:uiPriority w:val="0"/>
    <w:pPr>
      <w:keepNext/>
      <w:keepLines/>
      <w:spacing w:line="560" w:lineRule="exact"/>
      <w:ind w:firstLine="883" w:firstLineChars="200"/>
      <w:outlineLvl w:val="2"/>
    </w:pPr>
    <w:rPr>
      <w:rFonts w:ascii="Times New Roman" w:hAnsi="Times New Roman" w:eastAsia="方正楷体简体"/>
      <w:bCs/>
      <w:kern w:val="2"/>
      <w:sz w:val="32"/>
      <w:szCs w:val="32"/>
      <w:lang w:val="en-US" w:eastAsia="zh-CN" w:bidi="ar-SA"/>
    </w:rPr>
  </w:style>
  <w:style w:type="paragraph" w:styleId="6">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方正仿宋简体"/>
      <w:b/>
      <w:sz w:val="32"/>
    </w:rPr>
  </w:style>
  <w:style w:type="character" w:default="1" w:styleId="11">
    <w:name w:val="Default Paragraph Font"/>
    <w:link w:val="12"/>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3">
    <w:name w:val="正文缩进1"/>
    <w:qFormat/>
    <w:uiPriority w:val="0"/>
    <w:pPr>
      <w:widowControl w:val="0"/>
      <w:spacing w:line="360" w:lineRule="auto"/>
      <w:ind w:firstLine="420" w:firstLineChars="200"/>
      <w:jc w:val="both"/>
    </w:pPr>
    <w:rPr>
      <w:rFonts w:ascii="Times New Roman" w:hAnsi="Times New Roman" w:eastAsia="仿宋_GB2312" w:cs="Times New Roman"/>
      <w:kern w:val="2"/>
      <w:sz w:val="32"/>
      <w:szCs w:val="22"/>
      <w:lang w:val="en-US" w:eastAsia="zh-CN" w:bidi="ar-SA"/>
    </w:rPr>
  </w:style>
  <w:style w:type="paragraph" w:styleId="7">
    <w:name w:val="Plain Text"/>
    <w:basedOn w:val="1"/>
    <w:link w:val="15"/>
    <w:qFormat/>
    <w:uiPriority w:val="0"/>
    <w:pPr>
      <w:widowControl/>
      <w:overflowPunct w:val="0"/>
      <w:autoSpaceDE w:val="0"/>
      <w:autoSpaceDN w:val="0"/>
      <w:spacing w:line="560" w:lineRule="exact"/>
      <w:ind w:firstLine="883" w:firstLineChars="200"/>
      <w:jc w:val="left"/>
    </w:pPr>
    <w:rPr>
      <w:rFonts w:ascii="宋体" w:hAnsi="宋体" w:eastAsia="方正仿宋简体" w:cs="宋体"/>
      <w:kern w:val="2"/>
      <w:sz w:val="32"/>
      <w:szCs w:val="21"/>
      <w:lang w:val="en-GB" w:eastAsia="zh-CN" w:bidi="ar-SA"/>
    </w:rPr>
  </w:style>
  <w:style w:type="paragraph" w:styleId="8">
    <w:name w:val="Body Text Indent 2"/>
    <w:basedOn w:val="1"/>
    <w:next w:val="1"/>
    <w:qFormat/>
    <w:uiPriority w:val="0"/>
    <w:pPr>
      <w:spacing w:line="600" w:lineRule="exact"/>
      <w:ind w:left="0" w:leftChars="0"/>
    </w:pPr>
  </w:style>
  <w:style w:type="paragraph" w:styleId="9">
    <w:name w:val="Title"/>
    <w:qFormat/>
    <w:uiPriority w:val="0"/>
    <w:pPr>
      <w:spacing w:line="700" w:lineRule="exact"/>
      <w:ind w:left="0"/>
    </w:pPr>
    <w:rPr>
      <w:rFonts w:ascii="Arial" w:hAnsi="Arial" w:eastAsia="方正小标宋简体" w:cs="Arial"/>
      <w:bCs/>
      <w:sz w:val="44"/>
      <w:szCs w:val="52"/>
    </w:rPr>
  </w:style>
  <w:style w:type="paragraph" w:customStyle="1" w:styleId="12">
    <w:name w:val="1 Char Char Char Char Char Char Char"/>
    <w:basedOn w:val="1"/>
    <w:link w:val="11"/>
    <w:semiHidden/>
    <w:qFormat/>
    <w:uiPriority w:val="0"/>
  </w:style>
  <w:style w:type="character" w:customStyle="1" w:styleId="13">
    <w:name w:val="标题 1 Char"/>
    <w:link w:val="4"/>
    <w:autoRedefine/>
    <w:qFormat/>
    <w:uiPriority w:val="9"/>
    <w:rPr>
      <w:rFonts w:ascii="宋体" w:hAnsi="宋体" w:eastAsia="方正小标宋简体"/>
      <w:bCs/>
      <w:kern w:val="44"/>
      <w:sz w:val="44"/>
      <w:szCs w:val="44"/>
    </w:rPr>
  </w:style>
  <w:style w:type="paragraph" w:customStyle="1" w:styleId="14">
    <w:name w:val="样式1"/>
    <w:basedOn w:val="1"/>
    <w:next w:val="1"/>
    <w:qFormat/>
    <w:uiPriority w:val="0"/>
    <w:pPr>
      <w:keepNext/>
      <w:keepLines/>
      <w:spacing w:beforeLines="0" w:afterLines="0" w:line="560" w:lineRule="exact"/>
      <w:ind w:firstLine="883" w:firstLineChars="200"/>
      <w:outlineLvl w:val="1"/>
    </w:pPr>
    <w:rPr>
      <w:rFonts w:hint="eastAsia" w:ascii="Arial" w:hAnsi="Arial" w:eastAsia="方正黑体简体"/>
      <w:kern w:val="2"/>
      <w:sz w:val="28"/>
      <w:szCs w:val="24"/>
      <w:lang w:val="en-US" w:eastAsia="zh-CN" w:bidi="ar-SA"/>
    </w:rPr>
  </w:style>
  <w:style w:type="character" w:customStyle="1" w:styleId="15">
    <w:name w:val="普通文字 Char1"/>
    <w:basedOn w:val="11"/>
    <w:link w:val="7"/>
    <w:qFormat/>
    <w:uiPriority w:val="0"/>
    <w:rPr>
      <w:rFonts w:ascii="宋体" w:hAnsi="宋体" w:eastAsia="方正仿宋简体" w:cs="宋体"/>
      <w:kern w:val="2"/>
      <w:sz w:val="32"/>
      <w:szCs w:val="21"/>
      <w:lang w:val="en-GB"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8ba45259-9801-4163-aba0-5bcc9a954dd0</errorID>
      <errorWord>办法</errorWord>
      <group>L1_Word</group>
      <groupName>字词问题</groupName>
      <ability>L2_Typo</ability>
      <abilityName>字词错误</abilityName>
      <candidateList>
        <item>本办法</item>
      </candidateList>
      <explain/>
      <paraID>38609928</paraID>
      <start>15</start>
      <end>17</end>
      <status>unmodified</status>
      <modifiedWord/>
      <trackRevisions>false</trackRevisions>
    </reviewItem>
    <reviewItem>
      <errorID>81ab0a57-7356-4fc1-a208-83a43f6b49da</errorID>
      <errorWord>的</errorWord>
      <group>L1_Grammar</group>
      <groupName>语法问题</groupName>
      <ability>L2_Grammar</ability>
      <abilityName>语法错误</abilityName>
      <candidateList>
        <item>等部门的</item>
      </candidateList>
      <explain/>
      <paraID>1AD84CED</paraID>
      <start>48</start>
      <end>52</end>
      <status>modified</status>
      <modifiedWord>等部门的</modifiedWord>
      <trackRevisions>false</trackRevisions>
    </reviewItem>
  </reviewItems>
  <config/>
</contractReview>
</file>

<file path=customXml/itemProps1.xml><?xml version="1.0" encoding="utf-8"?>
<ds:datastoreItem xmlns:ds="http://schemas.openxmlformats.org/officeDocument/2006/customXml" ds:itemID="{0d1b3b70-5c51-4b9c-9193-08a2981b18bf}">
  <ds:schemaRefs/>
</ds:datastoreItem>
</file>

<file path=docProps/app.xml><?xml version="1.0" encoding="utf-8"?>
<Properties xmlns="http://schemas.openxmlformats.org/officeDocument/2006/extended-properties" xmlns:vt="http://schemas.openxmlformats.org/officeDocument/2006/docPropsVTypes">
  <Template>Normal.dotm</Template>
  <Pages>2</Pages>
  <Words>643</Words>
  <Characters>643</Characters>
  <Lines>0</Lines>
  <Paragraphs>0</Paragraphs>
  <TotalTime>14</TotalTime>
  <ScaleCrop>false</ScaleCrop>
  <LinksUpToDate>false</LinksUpToDate>
  <CharactersWithSpaces>644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2025-05-28T09:23:00Z</dcterms:created>
  <dc:creator>Administrator</dc:creator>
  <cp:lastModifiedBy>李钊</cp:lastModifiedBy>
  <cp:lastPrinted>2026-10-19T04:33:46Z</cp:lastPrinted>
  <dcterms:modified xsi:type="dcterms:W3CDTF">2026-10-19T04:53:52Z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E426EF3CBA9F4FF186AC5AE8B88EB183_12</vt:lpwstr>
  </property>
  <property fmtid="{D5CDD505-2E9C-101B-9397-08002B2CF9AE}" pid="4" name="KSOTemplateDocerSaveRecord">
    <vt:lpwstr>eyJoZGlkIjoiOTUwMDgwMTMyMmZhMzgyYmFhMzg5NjY5OThkODUwYmIiLCJ1c2VySWQiOiI1ODUzMjY2NTkifQ==</vt:lpwstr>
  </property>
</Properties>
</file>