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AF916" w14:textId="77777777" w:rsidR="00107085" w:rsidRDefault="00107085">
      <w:pPr>
        <w:ind w:firstLineChars="0" w:firstLine="0"/>
        <w:rPr>
          <w:rFonts w:eastAsia="仿宋"/>
        </w:rPr>
      </w:pPr>
    </w:p>
    <w:p w14:paraId="53B29596" w14:textId="77777777" w:rsidR="00107085" w:rsidRDefault="00107085">
      <w:pPr>
        <w:adjustRightInd w:val="0"/>
        <w:snapToGrid w:val="0"/>
        <w:spacing w:line="900" w:lineRule="exact"/>
        <w:ind w:firstLineChars="0" w:firstLine="0"/>
        <w:rPr>
          <w:rFonts w:eastAsia="仿宋"/>
          <w:b/>
          <w:snapToGrid w:val="0"/>
          <w:spacing w:val="4"/>
          <w:kern w:val="0"/>
          <w:sz w:val="44"/>
          <w:szCs w:val="44"/>
        </w:rPr>
      </w:pPr>
    </w:p>
    <w:p w14:paraId="0521781C" w14:textId="77777777" w:rsidR="00107085" w:rsidRDefault="00107085">
      <w:pPr>
        <w:adjustRightInd w:val="0"/>
        <w:snapToGrid w:val="0"/>
        <w:spacing w:line="900" w:lineRule="exact"/>
        <w:ind w:firstLineChars="0" w:firstLine="0"/>
        <w:rPr>
          <w:rFonts w:eastAsia="仿宋"/>
          <w:b/>
          <w:snapToGrid w:val="0"/>
          <w:spacing w:val="4"/>
          <w:kern w:val="0"/>
          <w:sz w:val="44"/>
          <w:szCs w:val="44"/>
        </w:rPr>
      </w:pPr>
    </w:p>
    <w:p w14:paraId="70096AC3" w14:textId="77777777" w:rsidR="00107085" w:rsidRDefault="00000000">
      <w:pPr>
        <w:adjustRightInd w:val="0"/>
        <w:snapToGrid w:val="0"/>
        <w:spacing w:line="900" w:lineRule="exact"/>
        <w:ind w:firstLineChars="0" w:firstLine="0"/>
        <w:jc w:val="center"/>
        <w:rPr>
          <w:rFonts w:eastAsia="方正小标宋简体"/>
          <w:b/>
          <w:snapToGrid w:val="0"/>
          <w:spacing w:val="4"/>
          <w:kern w:val="0"/>
          <w:sz w:val="52"/>
          <w:szCs w:val="52"/>
        </w:rPr>
      </w:pPr>
      <w:r>
        <w:rPr>
          <w:rFonts w:eastAsia="方正小标宋简体"/>
          <w:b/>
          <w:snapToGrid w:val="0"/>
          <w:spacing w:val="4"/>
          <w:kern w:val="0"/>
          <w:sz w:val="52"/>
          <w:szCs w:val="52"/>
        </w:rPr>
        <w:t>新疆生产建设兵团第一师</w:t>
      </w:r>
      <w:bookmarkStart w:id="0" w:name="OLE_LINK23"/>
      <w:r>
        <w:rPr>
          <w:rFonts w:eastAsia="方正小标宋简体"/>
          <w:b/>
          <w:snapToGrid w:val="0"/>
          <w:spacing w:val="4"/>
          <w:kern w:val="0"/>
          <w:sz w:val="52"/>
          <w:szCs w:val="52"/>
        </w:rPr>
        <w:t>阿拉</w:t>
      </w:r>
      <w:bookmarkEnd w:id="0"/>
      <w:r>
        <w:rPr>
          <w:rFonts w:eastAsia="方正小标宋简体"/>
          <w:b/>
          <w:snapToGrid w:val="0"/>
          <w:spacing w:val="4"/>
          <w:kern w:val="0"/>
          <w:sz w:val="52"/>
          <w:szCs w:val="52"/>
        </w:rPr>
        <w:t>尔市矿产资源规划</w:t>
      </w:r>
    </w:p>
    <w:p w14:paraId="3451BB91" w14:textId="77777777" w:rsidR="00107085" w:rsidRDefault="00000000">
      <w:pPr>
        <w:adjustRightInd w:val="0"/>
        <w:snapToGrid w:val="0"/>
        <w:spacing w:line="900" w:lineRule="exact"/>
        <w:ind w:firstLineChars="0" w:firstLine="0"/>
        <w:jc w:val="center"/>
        <w:rPr>
          <w:rFonts w:eastAsia="黑体"/>
          <w:sz w:val="52"/>
          <w:szCs w:val="52"/>
        </w:rPr>
      </w:pPr>
      <w:r>
        <w:rPr>
          <w:rFonts w:eastAsia="方正小标宋简体"/>
          <w:b/>
          <w:snapToGrid w:val="0"/>
          <w:spacing w:val="4"/>
          <w:kern w:val="0"/>
          <w:sz w:val="52"/>
          <w:szCs w:val="52"/>
        </w:rPr>
        <w:t>（</w:t>
      </w:r>
      <w:r>
        <w:rPr>
          <w:rFonts w:eastAsia="方正小标宋简体"/>
          <w:b/>
          <w:snapToGrid w:val="0"/>
          <w:spacing w:val="4"/>
          <w:kern w:val="0"/>
          <w:sz w:val="52"/>
          <w:szCs w:val="52"/>
        </w:rPr>
        <w:t>2026—2030</w:t>
      </w:r>
      <w:r>
        <w:rPr>
          <w:rFonts w:eastAsia="方正小标宋简体"/>
          <w:b/>
          <w:snapToGrid w:val="0"/>
          <w:spacing w:val="4"/>
          <w:kern w:val="0"/>
          <w:sz w:val="52"/>
          <w:szCs w:val="52"/>
        </w:rPr>
        <w:t>年）</w:t>
      </w:r>
    </w:p>
    <w:p w14:paraId="3E9585EA" w14:textId="77777777" w:rsidR="00107085" w:rsidRDefault="00107085">
      <w:pPr>
        <w:adjustRightInd w:val="0"/>
        <w:snapToGrid w:val="0"/>
        <w:spacing w:line="360" w:lineRule="auto"/>
        <w:ind w:firstLineChars="0" w:firstLine="0"/>
        <w:jc w:val="center"/>
        <w:rPr>
          <w:rFonts w:eastAsia="宋体"/>
          <w:b/>
          <w:bCs/>
          <w:sz w:val="44"/>
          <w:szCs w:val="44"/>
        </w:rPr>
      </w:pPr>
    </w:p>
    <w:p w14:paraId="093F2C7D" w14:textId="77777777" w:rsidR="00107085" w:rsidRDefault="00107085">
      <w:pPr>
        <w:adjustRightInd w:val="0"/>
        <w:snapToGrid w:val="0"/>
        <w:spacing w:line="360" w:lineRule="auto"/>
        <w:ind w:firstLineChars="0" w:firstLine="0"/>
        <w:jc w:val="center"/>
        <w:rPr>
          <w:rFonts w:eastAsia="宋体"/>
          <w:b/>
          <w:bCs/>
          <w:sz w:val="44"/>
          <w:szCs w:val="44"/>
        </w:rPr>
      </w:pPr>
    </w:p>
    <w:p w14:paraId="579A8004" w14:textId="77777777" w:rsidR="00107085" w:rsidRDefault="00107085">
      <w:pPr>
        <w:adjustRightInd w:val="0"/>
        <w:snapToGrid w:val="0"/>
        <w:spacing w:line="360" w:lineRule="auto"/>
        <w:ind w:firstLineChars="0" w:firstLine="0"/>
        <w:jc w:val="center"/>
        <w:rPr>
          <w:rFonts w:eastAsia="宋体"/>
          <w:b/>
          <w:bCs/>
          <w:sz w:val="44"/>
          <w:szCs w:val="44"/>
        </w:rPr>
      </w:pPr>
    </w:p>
    <w:p w14:paraId="5D2DF3AA" w14:textId="77777777" w:rsidR="00107085" w:rsidRDefault="00107085">
      <w:pPr>
        <w:adjustRightInd w:val="0"/>
        <w:snapToGrid w:val="0"/>
        <w:spacing w:line="360" w:lineRule="auto"/>
        <w:ind w:firstLineChars="0" w:firstLine="0"/>
        <w:jc w:val="center"/>
        <w:rPr>
          <w:rFonts w:eastAsia="宋体"/>
          <w:b/>
          <w:bCs/>
          <w:sz w:val="44"/>
          <w:szCs w:val="44"/>
        </w:rPr>
      </w:pPr>
    </w:p>
    <w:p w14:paraId="46E9B545" w14:textId="77777777" w:rsidR="00107085" w:rsidRDefault="00107085">
      <w:pPr>
        <w:adjustRightInd w:val="0"/>
        <w:snapToGrid w:val="0"/>
        <w:spacing w:line="360" w:lineRule="auto"/>
        <w:ind w:firstLineChars="0" w:firstLine="0"/>
        <w:jc w:val="center"/>
        <w:rPr>
          <w:rFonts w:eastAsia="宋体"/>
          <w:b/>
          <w:bCs/>
          <w:sz w:val="44"/>
          <w:szCs w:val="44"/>
        </w:rPr>
      </w:pPr>
    </w:p>
    <w:p w14:paraId="0EDC0338" w14:textId="77777777" w:rsidR="00107085" w:rsidRDefault="00107085">
      <w:pPr>
        <w:adjustRightInd w:val="0"/>
        <w:snapToGrid w:val="0"/>
        <w:spacing w:line="360" w:lineRule="auto"/>
        <w:ind w:firstLineChars="0" w:firstLine="0"/>
        <w:jc w:val="center"/>
        <w:rPr>
          <w:rFonts w:eastAsia="宋体"/>
          <w:b/>
          <w:bCs/>
          <w:sz w:val="44"/>
          <w:szCs w:val="44"/>
        </w:rPr>
      </w:pPr>
    </w:p>
    <w:p w14:paraId="29742515" w14:textId="77777777" w:rsidR="00107085" w:rsidRDefault="00107085">
      <w:pPr>
        <w:adjustRightInd w:val="0"/>
        <w:snapToGrid w:val="0"/>
        <w:spacing w:line="360" w:lineRule="auto"/>
        <w:ind w:firstLineChars="0" w:firstLine="0"/>
        <w:rPr>
          <w:rFonts w:eastAsia="宋体"/>
          <w:b/>
          <w:bCs/>
          <w:sz w:val="44"/>
          <w:szCs w:val="44"/>
        </w:rPr>
      </w:pPr>
    </w:p>
    <w:p w14:paraId="67BF50C5" w14:textId="77777777" w:rsidR="00107085" w:rsidRDefault="00107085">
      <w:pPr>
        <w:adjustRightInd w:val="0"/>
        <w:snapToGrid w:val="0"/>
        <w:spacing w:line="240" w:lineRule="auto"/>
        <w:ind w:firstLineChars="0" w:firstLine="0"/>
        <w:rPr>
          <w:rFonts w:eastAsia="宋体"/>
          <w:b/>
          <w:bCs/>
          <w:sz w:val="44"/>
          <w:szCs w:val="44"/>
        </w:rPr>
      </w:pPr>
    </w:p>
    <w:p w14:paraId="318A93F9" w14:textId="77777777" w:rsidR="00107085" w:rsidRDefault="00000000">
      <w:pPr>
        <w:ind w:firstLineChars="0" w:firstLine="0"/>
        <w:jc w:val="center"/>
        <w:rPr>
          <w:rFonts w:eastAsia="方正小标宋简体"/>
          <w:sz w:val="36"/>
          <w:szCs w:val="36"/>
        </w:rPr>
      </w:pPr>
      <w:bookmarkStart w:id="1" w:name="OLE_LINK30"/>
      <w:r>
        <w:rPr>
          <w:rFonts w:eastAsia="方正小标宋简体"/>
          <w:sz w:val="36"/>
          <w:szCs w:val="36"/>
        </w:rPr>
        <w:t>新疆生产建设兵团第一师阿拉尔市人民政府</w:t>
      </w:r>
    </w:p>
    <w:bookmarkEnd w:id="1"/>
    <w:p w14:paraId="2C5B7B58" w14:textId="77777777" w:rsidR="00107085" w:rsidRDefault="00000000">
      <w:pPr>
        <w:ind w:firstLineChars="0" w:firstLine="0"/>
        <w:jc w:val="center"/>
        <w:rPr>
          <w:rFonts w:eastAsia="方正小标宋简体"/>
          <w:sz w:val="36"/>
          <w:szCs w:val="36"/>
        </w:rPr>
      </w:pPr>
      <w:r>
        <w:rPr>
          <w:rFonts w:eastAsia="方正小标宋简体"/>
          <w:sz w:val="36"/>
          <w:szCs w:val="36"/>
        </w:rPr>
        <w:t>2026</w:t>
      </w:r>
      <w:r>
        <w:rPr>
          <w:rFonts w:eastAsia="方正小标宋简体"/>
          <w:sz w:val="36"/>
          <w:szCs w:val="36"/>
        </w:rPr>
        <w:t>年</w:t>
      </w:r>
      <w:r>
        <w:rPr>
          <w:rFonts w:eastAsia="方正小标宋简体" w:hint="eastAsia"/>
          <w:sz w:val="36"/>
          <w:szCs w:val="36"/>
        </w:rPr>
        <w:t>6</w:t>
      </w:r>
      <w:r>
        <w:rPr>
          <w:rFonts w:eastAsia="方正小标宋简体"/>
          <w:sz w:val="36"/>
          <w:szCs w:val="36"/>
        </w:rPr>
        <w:t>月</w:t>
      </w:r>
    </w:p>
    <w:p w14:paraId="4C97A82C" w14:textId="77777777" w:rsidR="00107085" w:rsidRDefault="00107085">
      <w:pPr>
        <w:spacing w:line="540" w:lineRule="exact"/>
        <w:ind w:firstLineChars="0" w:firstLine="0"/>
        <w:jc w:val="center"/>
        <w:rPr>
          <w:rFonts w:eastAsia="黑体"/>
          <w:sz w:val="36"/>
          <w:szCs w:val="36"/>
        </w:rPr>
        <w:sectPr w:rsidR="00107085">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531" w:header="851" w:footer="851" w:gutter="0"/>
          <w:pgNumType w:start="0"/>
          <w:cols w:space="425"/>
          <w:titlePg/>
          <w:docGrid w:type="lines" w:linePitch="560"/>
        </w:sectPr>
      </w:pPr>
    </w:p>
    <w:bookmarkStart w:id="2" w:name="_Toc151984467" w:displacedByCustomXml="next"/>
    <w:sdt>
      <w:sdtPr>
        <w:rPr>
          <w:rFonts w:ascii="Times New Roman" w:eastAsia="仿宋_GB2312" w:hAnsi="Times New Roman" w:cs="Times New Roman"/>
          <w:bCs/>
          <w:caps/>
          <w:smallCaps/>
          <w:color w:val="auto"/>
          <w:kern w:val="2"/>
          <w:sz w:val="24"/>
          <w:szCs w:val="24"/>
          <w:lang w:val="zh-CN"/>
        </w:rPr>
        <w:id w:val="-529567586"/>
        <w:docPartObj>
          <w:docPartGallery w:val="Table of Contents"/>
          <w:docPartUnique/>
        </w:docPartObj>
      </w:sdtPr>
      <w:sdtEndPr>
        <w:rPr>
          <w:rFonts w:ascii="Calibri" w:hAnsi="Calibri"/>
          <w:b/>
          <w:bCs w:val="0"/>
          <w:caps w:val="0"/>
          <w:sz w:val="20"/>
          <w:szCs w:val="20"/>
        </w:rPr>
      </w:sdtEndPr>
      <w:sdtContent>
        <w:p w14:paraId="711B8B94" w14:textId="77777777" w:rsidR="00107085" w:rsidRDefault="00000000">
          <w:pPr>
            <w:pStyle w:val="TOC20"/>
            <w:jc w:val="center"/>
            <w:rPr>
              <w:rFonts w:ascii="方正小标宋_GBK" w:eastAsia="方正小标宋_GBK" w:hAnsi="Cambria" w:cs="Times New Roman"/>
              <w:b/>
              <w:bCs/>
              <w:color w:val="auto"/>
              <w:sz w:val="36"/>
              <w:szCs w:val="36"/>
            </w:rPr>
          </w:pPr>
          <w:r>
            <w:rPr>
              <w:rFonts w:ascii="方正小标宋_GBK" w:eastAsia="方正小标宋_GBK" w:hAnsi="Cambria" w:cs="Times New Roman"/>
              <w:b/>
              <w:bCs/>
              <w:color w:val="auto"/>
              <w:sz w:val="36"/>
              <w:szCs w:val="36"/>
            </w:rPr>
            <w:t>目</w:t>
          </w:r>
          <w:r>
            <w:rPr>
              <w:rFonts w:ascii="方正小标宋_GBK" w:eastAsia="方正小标宋_GBK" w:hAnsi="Cambria" w:cs="Times New Roman" w:hint="eastAsia"/>
              <w:b/>
              <w:bCs/>
              <w:color w:val="auto"/>
              <w:sz w:val="36"/>
              <w:szCs w:val="36"/>
            </w:rPr>
            <w:t xml:space="preserve">  </w:t>
          </w:r>
          <w:r>
            <w:rPr>
              <w:rFonts w:ascii="方正小标宋_GBK" w:eastAsia="方正小标宋_GBK" w:hAnsi="Cambria" w:cs="Times New Roman"/>
              <w:b/>
              <w:bCs/>
              <w:color w:val="auto"/>
              <w:sz w:val="36"/>
              <w:szCs w:val="36"/>
            </w:rPr>
            <w:t>录</w:t>
          </w:r>
        </w:p>
        <w:p w14:paraId="62491998" w14:textId="5DF6832F" w:rsidR="008F1EC5" w:rsidRPr="00EB3F0D" w:rsidRDefault="00000000" w:rsidP="004E528E">
          <w:pPr>
            <w:pStyle w:val="TOC2"/>
            <w:tabs>
              <w:tab w:val="right" w:leader="dot" w:pos="8834"/>
            </w:tabs>
            <w:ind w:left="0" w:firstLine="400"/>
            <w:rPr>
              <w:rStyle w:val="af8"/>
              <w:rFonts w:ascii="Times New Roman" w:eastAsia="黑体" w:hAnsi="Times New Roman"/>
              <w:sz w:val="32"/>
              <w:szCs w:val="32"/>
            </w:rPr>
          </w:pPr>
          <w:r w:rsidRPr="00EB3F0D">
            <w:rPr>
              <w:rFonts w:ascii="Times New Roman" w:hAnsi="Times New Roman"/>
            </w:rPr>
            <w:fldChar w:fldCharType="begin"/>
          </w:r>
          <w:r w:rsidRPr="00EB3F0D">
            <w:rPr>
              <w:rFonts w:ascii="Times New Roman" w:hAnsi="Times New Roman"/>
            </w:rPr>
            <w:instrText xml:space="preserve"> TOC \o "1-3" \h \z \u </w:instrText>
          </w:r>
          <w:r w:rsidRPr="00EB3F0D">
            <w:rPr>
              <w:rFonts w:ascii="Times New Roman" w:hAnsi="Times New Roman"/>
            </w:rPr>
            <w:fldChar w:fldCharType="separate"/>
          </w:r>
          <w:hyperlink w:anchor="_Toc237883248" w:history="1">
            <w:r w:rsidR="008F1EC5" w:rsidRPr="00EB3F0D">
              <w:rPr>
                <w:rStyle w:val="af8"/>
                <w:rFonts w:ascii="Times New Roman" w:eastAsia="黑体" w:hAnsi="Times New Roman"/>
                <w:sz w:val="32"/>
                <w:szCs w:val="32"/>
              </w:rPr>
              <w:t>总</w:t>
            </w:r>
            <w:r w:rsidR="008F1EC5" w:rsidRPr="00EB3F0D">
              <w:rPr>
                <w:rStyle w:val="af8"/>
                <w:rFonts w:ascii="Times New Roman" w:eastAsia="黑体" w:hAnsi="Times New Roman"/>
                <w:sz w:val="32"/>
                <w:szCs w:val="32"/>
              </w:rPr>
              <w:t xml:space="preserve">  </w:t>
            </w:r>
            <w:r w:rsidR="008F1EC5" w:rsidRPr="00EB3F0D">
              <w:rPr>
                <w:rStyle w:val="af8"/>
                <w:rFonts w:ascii="Times New Roman" w:eastAsia="黑体" w:hAnsi="Times New Roman"/>
                <w:sz w:val="32"/>
                <w:szCs w:val="32"/>
              </w:rPr>
              <w:t>则</w:t>
            </w:r>
            <w:r w:rsidR="008F1EC5" w:rsidRPr="00EB3F0D">
              <w:rPr>
                <w:rStyle w:val="af8"/>
                <w:rFonts w:ascii="Times New Roman" w:eastAsia="黑体" w:hAnsi="Times New Roman"/>
                <w:webHidden/>
                <w:sz w:val="32"/>
                <w:szCs w:val="32"/>
              </w:rPr>
              <w:tab/>
            </w:r>
            <w:r w:rsidR="008F1EC5" w:rsidRPr="00EB3F0D">
              <w:rPr>
                <w:rStyle w:val="af8"/>
                <w:rFonts w:ascii="Times New Roman" w:eastAsia="黑体" w:hAnsi="Times New Roman"/>
                <w:webHidden/>
                <w:sz w:val="32"/>
                <w:szCs w:val="32"/>
              </w:rPr>
              <w:fldChar w:fldCharType="begin"/>
            </w:r>
            <w:r w:rsidR="008F1EC5" w:rsidRPr="00EB3F0D">
              <w:rPr>
                <w:rStyle w:val="af8"/>
                <w:rFonts w:ascii="Times New Roman" w:eastAsia="黑体" w:hAnsi="Times New Roman"/>
                <w:webHidden/>
                <w:sz w:val="32"/>
                <w:szCs w:val="32"/>
              </w:rPr>
              <w:instrText xml:space="preserve"> PAGEREF _Toc237883248 \h </w:instrText>
            </w:r>
            <w:r w:rsidR="008F1EC5" w:rsidRPr="00EB3F0D">
              <w:rPr>
                <w:rStyle w:val="af8"/>
                <w:rFonts w:ascii="Times New Roman" w:eastAsia="黑体" w:hAnsi="Times New Roman"/>
                <w:webHidden/>
                <w:sz w:val="32"/>
                <w:szCs w:val="32"/>
              </w:rPr>
            </w:r>
            <w:r w:rsidR="008F1EC5" w:rsidRPr="00EB3F0D">
              <w:rPr>
                <w:rStyle w:val="af8"/>
                <w:rFonts w:ascii="Times New Roman" w:eastAsia="黑体" w:hAnsi="Times New Roman"/>
                <w:webHidden/>
                <w:sz w:val="32"/>
                <w:szCs w:val="32"/>
              </w:rPr>
              <w:fldChar w:fldCharType="separate"/>
            </w:r>
            <w:r w:rsidR="008F1EC5" w:rsidRPr="00EB3F0D">
              <w:rPr>
                <w:rStyle w:val="af8"/>
                <w:rFonts w:ascii="Times New Roman" w:eastAsia="黑体" w:hAnsi="Times New Roman"/>
                <w:webHidden/>
                <w:sz w:val="32"/>
                <w:szCs w:val="32"/>
              </w:rPr>
              <w:t>1</w:t>
            </w:r>
            <w:r w:rsidR="008F1EC5" w:rsidRPr="00EB3F0D">
              <w:rPr>
                <w:rStyle w:val="af8"/>
                <w:rFonts w:ascii="Times New Roman" w:eastAsia="黑体" w:hAnsi="Times New Roman"/>
                <w:webHidden/>
                <w:sz w:val="32"/>
                <w:szCs w:val="32"/>
              </w:rPr>
              <w:fldChar w:fldCharType="end"/>
            </w:r>
          </w:hyperlink>
        </w:p>
        <w:p w14:paraId="2967B47C" w14:textId="69151FB4" w:rsidR="008F1EC5" w:rsidRPr="00EB3F0D" w:rsidRDefault="008F1EC5" w:rsidP="008F1EC5">
          <w:pPr>
            <w:pStyle w:val="TOC2"/>
            <w:tabs>
              <w:tab w:val="right" w:leader="dot" w:pos="8834"/>
            </w:tabs>
            <w:ind w:left="0" w:firstLineChars="0" w:firstLine="0"/>
            <w:rPr>
              <w:rStyle w:val="af8"/>
              <w:rFonts w:ascii="Times New Roman" w:eastAsia="黑体" w:hAnsi="Times New Roman"/>
            </w:rPr>
          </w:pPr>
          <w:hyperlink w:anchor="_Toc237883249" w:history="1">
            <w:r w:rsidRPr="00EB3F0D">
              <w:rPr>
                <w:rStyle w:val="af8"/>
                <w:rFonts w:ascii="Times New Roman" w:eastAsia="黑体" w:hAnsi="Times New Roman"/>
                <w:sz w:val="32"/>
                <w:szCs w:val="32"/>
              </w:rPr>
              <w:t>一、现状与形势</w:t>
            </w:r>
            <w:r w:rsidRPr="00EB3F0D">
              <w:rPr>
                <w:rStyle w:val="af8"/>
                <w:rFonts w:ascii="Times New Roman" w:eastAsia="黑体" w:hAnsi="Times New Roman"/>
                <w:webHidden/>
                <w:sz w:val="32"/>
                <w:szCs w:val="32"/>
              </w:rPr>
              <w:tab/>
            </w:r>
            <w:r w:rsidRPr="00EB3F0D">
              <w:rPr>
                <w:rStyle w:val="af8"/>
                <w:rFonts w:ascii="Times New Roman" w:eastAsia="黑体" w:hAnsi="Times New Roman"/>
                <w:webHidden/>
                <w:sz w:val="32"/>
                <w:szCs w:val="32"/>
              </w:rPr>
              <w:fldChar w:fldCharType="begin"/>
            </w:r>
            <w:r w:rsidRPr="00EB3F0D">
              <w:rPr>
                <w:rStyle w:val="af8"/>
                <w:rFonts w:ascii="Times New Roman" w:eastAsia="黑体" w:hAnsi="Times New Roman"/>
                <w:webHidden/>
                <w:sz w:val="32"/>
                <w:szCs w:val="32"/>
              </w:rPr>
              <w:instrText xml:space="preserve"> PAGEREF _Toc237883249 \h </w:instrText>
            </w:r>
            <w:r w:rsidRPr="00EB3F0D">
              <w:rPr>
                <w:rStyle w:val="af8"/>
                <w:rFonts w:ascii="Times New Roman" w:eastAsia="黑体" w:hAnsi="Times New Roman"/>
                <w:webHidden/>
                <w:sz w:val="32"/>
                <w:szCs w:val="32"/>
              </w:rPr>
            </w:r>
            <w:r w:rsidRPr="00EB3F0D">
              <w:rPr>
                <w:rStyle w:val="af8"/>
                <w:rFonts w:ascii="Times New Roman" w:eastAsia="黑体" w:hAnsi="Times New Roman"/>
                <w:webHidden/>
                <w:sz w:val="32"/>
                <w:szCs w:val="32"/>
              </w:rPr>
              <w:fldChar w:fldCharType="separate"/>
            </w:r>
            <w:r w:rsidRPr="00EB3F0D">
              <w:rPr>
                <w:rStyle w:val="af8"/>
                <w:rFonts w:ascii="Times New Roman" w:eastAsia="黑体" w:hAnsi="Times New Roman"/>
                <w:webHidden/>
                <w:sz w:val="32"/>
                <w:szCs w:val="32"/>
              </w:rPr>
              <w:t>3</w:t>
            </w:r>
            <w:r w:rsidRPr="00EB3F0D">
              <w:rPr>
                <w:rStyle w:val="af8"/>
                <w:rFonts w:ascii="Times New Roman" w:eastAsia="黑体" w:hAnsi="Times New Roman"/>
                <w:webHidden/>
                <w:sz w:val="32"/>
                <w:szCs w:val="32"/>
              </w:rPr>
              <w:fldChar w:fldCharType="end"/>
            </w:r>
          </w:hyperlink>
        </w:p>
        <w:p w14:paraId="0A83D1D7" w14:textId="1CAB035C"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50" w:history="1">
            <w:r w:rsidRPr="00EB3F0D">
              <w:rPr>
                <w:rStyle w:val="af8"/>
                <w:rFonts w:ascii="Times New Roman" w:eastAsia="楷体" w:hAnsi="Times New Roman"/>
                <w:sz w:val="32"/>
                <w:szCs w:val="32"/>
              </w:rPr>
              <w:t>（一）自然地理及经济概况</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_Toc237883250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3</w:t>
            </w:r>
            <w:r w:rsidRPr="00EB3F0D">
              <w:rPr>
                <w:rStyle w:val="af8"/>
                <w:rFonts w:ascii="Times New Roman" w:eastAsia="楷体" w:hAnsi="Times New Roman"/>
                <w:webHidden/>
                <w:sz w:val="32"/>
                <w:szCs w:val="32"/>
              </w:rPr>
              <w:fldChar w:fldCharType="end"/>
            </w:r>
          </w:hyperlink>
        </w:p>
        <w:p w14:paraId="7E15E1F2" w14:textId="61F7D8A2"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51" w:history="1">
            <w:r w:rsidRPr="00EB3F0D">
              <w:rPr>
                <w:rStyle w:val="af8"/>
                <w:rFonts w:ascii="Times New Roman" w:eastAsia="楷体" w:hAnsi="Times New Roman"/>
                <w:sz w:val="32"/>
                <w:szCs w:val="32"/>
              </w:rPr>
              <w:t>（二）矿产资源及勘查开发现状</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_Toc237883251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4</w:t>
            </w:r>
            <w:r w:rsidRPr="00EB3F0D">
              <w:rPr>
                <w:rStyle w:val="af8"/>
                <w:rFonts w:ascii="Times New Roman" w:eastAsia="楷体" w:hAnsi="Times New Roman"/>
                <w:webHidden/>
                <w:sz w:val="32"/>
                <w:szCs w:val="32"/>
              </w:rPr>
              <w:fldChar w:fldCharType="end"/>
            </w:r>
          </w:hyperlink>
        </w:p>
        <w:p w14:paraId="2889EDA3" w14:textId="084971EB"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52" w:history="1">
            <w:r w:rsidRPr="00EB3F0D">
              <w:rPr>
                <w:rStyle w:val="af8"/>
                <w:rFonts w:ascii="Times New Roman" w:eastAsia="楷体" w:hAnsi="Times New Roman"/>
                <w:sz w:val="32"/>
                <w:szCs w:val="32"/>
              </w:rPr>
              <w:t>（三）</w:t>
            </w:r>
            <w:r w:rsidRPr="00EB3F0D">
              <w:rPr>
                <w:rStyle w:val="af8"/>
                <w:rFonts w:ascii="Times New Roman" w:eastAsia="楷体" w:hAnsi="Times New Roman"/>
                <w:sz w:val="32"/>
                <w:szCs w:val="32"/>
              </w:rPr>
              <w:t>“</w:t>
            </w:r>
            <w:r w:rsidRPr="00EB3F0D">
              <w:rPr>
                <w:rStyle w:val="af8"/>
                <w:rFonts w:ascii="Times New Roman" w:eastAsia="楷体" w:hAnsi="Times New Roman"/>
                <w:sz w:val="32"/>
                <w:szCs w:val="32"/>
              </w:rPr>
              <w:t>十四五</w:t>
            </w:r>
            <w:r w:rsidRPr="00EB3F0D">
              <w:rPr>
                <w:rStyle w:val="af8"/>
                <w:rFonts w:ascii="Times New Roman" w:eastAsia="楷体" w:hAnsi="Times New Roman"/>
                <w:sz w:val="32"/>
                <w:szCs w:val="32"/>
              </w:rPr>
              <w:t>”</w:t>
            </w:r>
            <w:r w:rsidRPr="00EB3F0D">
              <w:rPr>
                <w:rStyle w:val="af8"/>
                <w:rFonts w:ascii="Times New Roman" w:eastAsia="楷体" w:hAnsi="Times New Roman"/>
                <w:sz w:val="32"/>
                <w:szCs w:val="32"/>
              </w:rPr>
              <w:t>取得主要成效</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_Toc237883252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7</w:t>
            </w:r>
            <w:r w:rsidRPr="00EB3F0D">
              <w:rPr>
                <w:rStyle w:val="af8"/>
                <w:rFonts w:ascii="Times New Roman" w:eastAsia="楷体" w:hAnsi="Times New Roman"/>
                <w:webHidden/>
                <w:sz w:val="32"/>
                <w:szCs w:val="32"/>
              </w:rPr>
              <w:fldChar w:fldCharType="end"/>
            </w:r>
          </w:hyperlink>
        </w:p>
        <w:p w14:paraId="4E6E4F45" w14:textId="1F1DABE4"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53" w:history="1">
            <w:r w:rsidRPr="00EB3F0D">
              <w:rPr>
                <w:rStyle w:val="af8"/>
                <w:rFonts w:ascii="Times New Roman" w:eastAsia="楷体" w:hAnsi="Times New Roman"/>
                <w:sz w:val="32"/>
                <w:szCs w:val="32"/>
              </w:rPr>
              <w:t>（四）存在的主要问题</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_Toc237883253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11</w:t>
            </w:r>
            <w:r w:rsidRPr="00EB3F0D">
              <w:rPr>
                <w:rStyle w:val="af8"/>
                <w:rFonts w:ascii="Times New Roman" w:eastAsia="楷体" w:hAnsi="Times New Roman"/>
                <w:webHidden/>
                <w:sz w:val="32"/>
                <w:szCs w:val="32"/>
              </w:rPr>
              <w:fldChar w:fldCharType="end"/>
            </w:r>
          </w:hyperlink>
        </w:p>
        <w:p w14:paraId="78E3E7B9" w14:textId="5A0DB179"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54" w:history="1">
            <w:r w:rsidRPr="00EB3F0D">
              <w:rPr>
                <w:rStyle w:val="af8"/>
                <w:rFonts w:ascii="Times New Roman" w:eastAsia="楷体" w:hAnsi="Times New Roman"/>
                <w:sz w:val="32"/>
                <w:szCs w:val="32"/>
              </w:rPr>
              <w:t>（五）形势与需求</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_Toc237883254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12</w:t>
            </w:r>
            <w:r w:rsidRPr="00EB3F0D">
              <w:rPr>
                <w:rStyle w:val="af8"/>
                <w:rFonts w:ascii="Times New Roman" w:eastAsia="楷体" w:hAnsi="Times New Roman"/>
                <w:webHidden/>
                <w:sz w:val="32"/>
                <w:szCs w:val="32"/>
              </w:rPr>
              <w:fldChar w:fldCharType="end"/>
            </w:r>
          </w:hyperlink>
        </w:p>
        <w:p w14:paraId="5A3DA65B" w14:textId="702C73FC" w:rsidR="008F1EC5" w:rsidRPr="00EB3F0D" w:rsidRDefault="008F1EC5" w:rsidP="00600591">
          <w:pPr>
            <w:pStyle w:val="TOC2"/>
            <w:tabs>
              <w:tab w:val="right" w:leader="dot" w:pos="8834"/>
            </w:tabs>
            <w:ind w:left="0" w:firstLineChars="0" w:firstLine="0"/>
            <w:rPr>
              <w:rStyle w:val="af8"/>
              <w:rFonts w:ascii="Times New Roman" w:eastAsia="黑体" w:hAnsi="Times New Roman"/>
              <w:sz w:val="32"/>
              <w:szCs w:val="32"/>
            </w:rPr>
          </w:pPr>
          <w:hyperlink w:anchor="_Toc237883255" w:history="1">
            <w:r w:rsidRPr="00EB3F0D">
              <w:rPr>
                <w:rStyle w:val="af8"/>
                <w:rFonts w:ascii="Times New Roman" w:eastAsia="黑体" w:hAnsi="Times New Roman"/>
                <w:sz w:val="32"/>
                <w:szCs w:val="32"/>
              </w:rPr>
              <w:t>二、指导思想与基本原则</w:t>
            </w:r>
            <w:r w:rsidRPr="00EB3F0D">
              <w:rPr>
                <w:rStyle w:val="af8"/>
                <w:rFonts w:ascii="Times New Roman" w:eastAsia="黑体" w:hAnsi="Times New Roman"/>
                <w:webHidden/>
                <w:sz w:val="32"/>
                <w:szCs w:val="32"/>
              </w:rPr>
              <w:tab/>
            </w:r>
            <w:r w:rsidRPr="00EB3F0D">
              <w:rPr>
                <w:rStyle w:val="af8"/>
                <w:rFonts w:ascii="Times New Roman" w:eastAsia="黑体" w:hAnsi="Times New Roman"/>
                <w:webHidden/>
                <w:sz w:val="32"/>
                <w:szCs w:val="32"/>
              </w:rPr>
              <w:fldChar w:fldCharType="begin"/>
            </w:r>
            <w:r w:rsidRPr="00EB3F0D">
              <w:rPr>
                <w:rStyle w:val="af8"/>
                <w:rFonts w:ascii="Times New Roman" w:eastAsia="黑体" w:hAnsi="Times New Roman"/>
                <w:webHidden/>
                <w:sz w:val="32"/>
                <w:szCs w:val="32"/>
              </w:rPr>
              <w:instrText xml:space="preserve"> PAGEREF _Toc237883255 \h </w:instrText>
            </w:r>
            <w:r w:rsidRPr="00EB3F0D">
              <w:rPr>
                <w:rStyle w:val="af8"/>
                <w:rFonts w:ascii="Times New Roman" w:eastAsia="黑体" w:hAnsi="Times New Roman"/>
                <w:webHidden/>
                <w:sz w:val="32"/>
                <w:szCs w:val="32"/>
              </w:rPr>
            </w:r>
            <w:r w:rsidRPr="00EB3F0D">
              <w:rPr>
                <w:rStyle w:val="af8"/>
                <w:rFonts w:ascii="Times New Roman" w:eastAsia="黑体" w:hAnsi="Times New Roman"/>
                <w:webHidden/>
                <w:sz w:val="32"/>
                <w:szCs w:val="32"/>
              </w:rPr>
              <w:fldChar w:fldCharType="separate"/>
            </w:r>
            <w:r w:rsidRPr="00EB3F0D">
              <w:rPr>
                <w:rStyle w:val="af8"/>
                <w:rFonts w:ascii="Times New Roman" w:eastAsia="黑体" w:hAnsi="Times New Roman"/>
                <w:webHidden/>
                <w:sz w:val="32"/>
                <w:szCs w:val="32"/>
              </w:rPr>
              <w:t>16</w:t>
            </w:r>
            <w:r w:rsidRPr="00EB3F0D">
              <w:rPr>
                <w:rStyle w:val="af8"/>
                <w:rFonts w:ascii="Times New Roman" w:eastAsia="黑体" w:hAnsi="Times New Roman"/>
                <w:webHidden/>
                <w:sz w:val="32"/>
                <w:szCs w:val="32"/>
              </w:rPr>
              <w:fldChar w:fldCharType="end"/>
            </w:r>
          </w:hyperlink>
        </w:p>
        <w:p w14:paraId="0A23DE88" w14:textId="31E1ACF8"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56" w:history="1">
            <w:r w:rsidRPr="00EB3F0D">
              <w:rPr>
                <w:rStyle w:val="af8"/>
                <w:rFonts w:ascii="Times New Roman" w:eastAsia="楷体" w:hAnsi="Times New Roman"/>
                <w:sz w:val="32"/>
                <w:szCs w:val="32"/>
              </w:rPr>
              <w:t>（一）指导思想</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_Toc237883256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16</w:t>
            </w:r>
            <w:r w:rsidRPr="00EB3F0D">
              <w:rPr>
                <w:rStyle w:val="af8"/>
                <w:rFonts w:ascii="Times New Roman" w:eastAsia="楷体" w:hAnsi="Times New Roman"/>
                <w:webHidden/>
                <w:sz w:val="32"/>
                <w:szCs w:val="32"/>
              </w:rPr>
              <w:fldChar w:fldCharType="end"/>
            </w:r>
          </w:hyperlink>
        </w:p>
        <w:p w14:paraId="1D1CC958" w14:textId="028C8A6A"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57" w:history="1">
            <w:r w:rsidRPr="00EB3F0D">
              <w:rPr>
                <w:rStyle w:val="af8"/>
                <w:rFonts w:ascii="Times New Roman" w:eastAsia="楷体" w:hAnsi="Times New Roman"/>
                <w:sz w:val="32"/>
                <w:szCs w:val="32"/>
              </w:rPr>
              <w:t>（二）基本原则</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_Toc237883257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16</w:t>
            </w:r>
            <w:r w:rsidRPr="00EB3F0D">
              <w:rPr>
                <w:rStyle w:val="af8"/>
                <w:rFonts w:ascii="Times New Roman" w:eastAsia="楷体" w:hAnsi="Times New Roman"/>
                <w:webHidden/>
                <w:sz w:val="32"/>
                <w:szCs w:val="32"/>
              </w:rPr>
              <w:fldChar w:fldCharType="end"/>
            </w:r>
          </w:hyperlink>
        </w:p>
        <w:p w14:paraId="746508D0" w14:textId="6B548B90" w:rsidR="008F1EC5" w:rsidRPr="00EB3F0D" w:rsidRDefault="008F1EC5" w:rsidP="00600591">
          <w:pPr>
            <w:pStyle w:val="TOC2"/>
            <w:tabs>
              <w:tab w:val="right" w:leader="dot" w:pos="8834"/>
            </w:tabs>
            <w:ind w:left="0" w:firstLineChars="0" w:firstLine="0"/>
            <w:rPr>
              <w:rStyle w:val="af8"/>
              <w:rFonts w:ascii="Times New Roman" w:eastAsia="黑体" w:hAnsi="Times New Roman"/>
              <w:sz w:val="32"/>
              <w:szCs w:val="32"/>
            </w:rPr>
          </w:pPr>
          <w:hyperlink w:anchor="_Toc237883258" w:history="1">
            <w:r w:rsidRPr="00EB3F0D">
              <w:rPr>
                <w:rStyle w:val="af8"/>
                <w:rFonts w:ascii="Times New Roman" w:eastAsia="黑体" w:hAnsi="Times New Roman"/>
                <w:sz w:val="32"/>
                <w:szCs w:val="32"/>
              </w:rPr>
              <w:t>三、规划目标</w:t>
            </w:r>
            <w:r w:rsidRPr="00EB3F0D">
              <w:rPr>
                <w:rStyle w:val="af8"/>
                <w:rFonts w:ascii="Times New Roman" w:eastAsia="黑体" w:hAnsi="Times New Roman"/>
                <w:webHidden/>
                <w:sz w:val="32"/>
                <w:szCs w:val="32"/>
              </w:rPr>
              <w:tab/>
            </w:r>
            <w:r w:rsidRPr="00EB3F0D">
              <w:rPr>
                <w:rStyle w:val="af8"/>
                <w:rFonts w:ascii="Times New Roman" w:eastAsia="黑体" w:hAnsi="Times New Roman"/>
                <w:webHidden/>
                <w:sz w:val="32"/>
                <w:szCs w:val="32"/>
              </w:rPr>
              <w:fldChar w:fldCharType="begin"/>
            </w:r>
            <w:r w:rsidRPr="00EB3F0D">
              <w:rPr>
                <w:rStyle w:val="af8"/>
                <w:rFonts w:ascii="Times New Roman" w:eastAsia="黑体" w:hAnsi="Times New Roman"/>
                <w:webHidden/>
                <w:sz w:val="32"/>
                <w:szCs w:val="32"/>
              </w:rPr>
              <w:instrText xml:space="preserve"> PAGEREF _Toc237883258 \h </w:instrText>
            </w:r>
            <w:r w:rsidRPr="00EB3F0D">
              <w:rPr>
                <w:rStyle w:val="af8"/>
                <w:rFonts w:ascii="Times New Roman" w:eastAsia="黑体" w:hAnsi="Times New Roman"/>
                <w:webHidden/>
                <w:sz w:val="32"/>
                <w:szCs w:val="32"/>
              </w:rPr>
            </w:r>
            <w:r w:rsidRPr="00EB3F0D">
              <w:rPr>
                <w:rStyle w:val="af8"/>
                <w:rFonts w:ascii="Times New Roman" w:eastAsia="黑体" w:hAnsi="Times New Roman"/>
                <w:webHidden/>
                <w:sz w:val="32"/>
                <w:szCs w:val="32"/>
              </w:rPr>
              <w:fldChar w:fldCharType="separate"/>
            </w:r>
            <w:r w:rsidRPr="00EB3F0D">
              <w:rPr>
                <w:rStyle w:val="af8"/>
                <w:rFonts w:ascii="Times New Roman" w:eastAsia="黑体" w:hAnsi="Times New Roman"/>
                <w:webHidden/>
                <w:sz w:val="32"/>
                <w:szCs w:val="32"/>
              </w:rPr>
              <w:t>19</w:t>
            </w:r>
            <w:r w:rsidRPr="00EB3F0D">
              <w:rPr>
                <w:rStyle w:val="af8"/>
                <w:rFonts w:ascii="Times New Roman" w:eastAsia="黑体" w:hAnsi="Times New Roman"/>
                <w:webHidden/>
                <w:sz w:val="32"/>
                <w:szCs w:val="32"/>
              </w:rPr>
              <w:fldChar w:fldCharType="end"/>
            </w:r>
          </w:hyperlink>
        </w:p>
        <w:p w14:paraId="630FF737" w14:textId="7C0D731D"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59" w:history="1">
            <w:r w:rsidRPr="00EB3F0D">
              <w:rPr>
                <w:rStyle w:val="af8"/>
                <w:rFonts w:ascii="Times New Roman" w:eastAsia="楷体" w:hAnsi="Times New Roman"/>
                <w:sz w:val="32"/>
                <w:szCs w:val="32"/>
              </w:rPr>
              <w:t>（一）总体目标</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_Toc237883259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19</w:t>
            </w:r>
            <w:r w:rsidRPr="00EB3F0D">
              <w:rPr>
                <w:rStyle w:val="af8"/>
                <w:rFonts w:ascii="Times New Roman" w:eastAsia="楷体" w:hAnsi="Times New Roman"/>
                <w:webHidden/>
                <w:sz w:val="32"/>
                <w:szCs w:val="32"/>
              </w:rPr>
              <w:fldChar w:fldCharType="end"/>
            </w:r>
          </w:hyperlink>
        </w:p>
        <w:p w14:paraId="768BE94C" w14:textId="26FEF056"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60" w:history="1">
            <w:r w:rsidRPr="00EB3F0D">
              <w:rPr>
                <w:rStyle w:val="af8"/>
                <w:rFonts w:ascii="Times New Roman" w:eastAsia="楷体" w:hAnsi="Times New Roman"/>
                <w:sz w:val="32"/>
                <w:szCs w:val="32"/>
              </w:rPr>
              <w:t>（二）具体目标</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_Toc237883260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19</w:t>
            </w:r>
            <w:r w:rsidRPr="00EB3F0D">
              <w:rPr>
                <w:rStyle w:val="af8"/>
                <w:rFonts w:ascii="Times New Roman" w:eastAsia="楷体" w:hAnsi="Times New Roman"/>
                <w:webHidden/>
                <w:sz w:val="32"/>
                <w:szCs w:val="32"/>
              </w:rPr>
              <w:fldChar w:fldCharType="end"/>
            </w:r>
          </w:hyperlink>
        </w:p>
        <w:p w14:paraId="7081ED29" w14:textId="25C76A5F"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61" w:history="1">
            <w:r w:rsidRPr="00EB3F0D">
              <w:rPr>
                <w:rStyle w:val="af8"/>
                <w:rFonts w:ascii="Times New Roman" w:eastAsia="楷体" w:hAnsi="Times New Roman"/>
                <w:sz w:val="32"/>
                <w:szCs w:val="32"/>
              </w:rPr>
              <w:t>（三）展望目标</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_Toc237883261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20</w:t>
            </w:r>
            <w:r w:rsidRPr="00EB3F0D">
              <w:rPr>
                <w:rStyle w:val="af8"/>
                <w:rFonts w:ascii="Times New Roman" w:eastAsia="楷体" w:hAnsi="Times New Roman"/>
                <w:webHidden/>
                <w:sz w:val="32"/>
                <w:szCs w:val="32"/>
              </w:rPr>
              <w:fldChar w:fldCharType="end"/>
            </w:r>
          </w:hyperlink>
        </w:p>
        <w:p w14:paraId="4374351B" w14:textId="6D8E99F7" w:rsidR="008F1EC5" w:rsidRPr="00EB3F0D" w:rsidRDefault="008F1EC5" w:rsidP="00600591">
          <w:pPr>
            <w:pStyle w:val="TOC2"/>
            <w:tabs>
              <w:tab w:val="right" w:leader="dot" w:pos="8834"/>
            </w:tabs>
            <w:ind w:left="0" w:firstLineChars="0" w:firstLine="0"/>
            <w:rPr>
              <w:rStyle w:val="af8"/>
              <w:rFonts w:ascii="Times New Roman" w:eastAsia="黑体" w:hAnsi="Times New Roman"/>
              <w:sz w:val="32"/>
              <w:szCs w:val="32"/>
            </w:rPr>
          </w:pPr>
          <w:hyperlink w:anchor="_Toc237883262" w:history="1">
            <w:r w:rsidRPr="00EB3F0D">
              <w:rPr>
                <w:rStyle w:val="af8"/>
                <w:rFonts w:ascii="Times New Roman" w:eastAsia="黑体" w:hAnsi="Times New Roman"/>
                <w:sz w:val="32"/>
                <w:szCs w:val="32"/>
              </w:rPr>
              <w:t>四、加强基础地质工作，优化矿产资源勘查格局</w:t>
            </w:r>
            <w:r w:rsidRPr="00EB3F0D">
              <w:rPr>
                <w:rStyle w:val="af8"/>
                <w:rFonts w:ascii="Times New Roman" w:eastAsia="黑体" w:hAnsi="Times New Roman"/>
                <w:webHidden/>
                <w:sz w:val="32"/>
                <w:szCs w:val="32"/>
              </w:rPr>
              <w:tab/>
            </w:r>
            <w:r w:rsidRPr="00EB3F0D">
              <w:rPr>
                <w:rStyle w:val="af8"/>
                <w:rFonts w:ascii="Times New Roman" w:eastAsia="黑体" w:hAnsi="Times New Roman"/>
                <w:webHidden/>
                <w:sz w:val="32"/>
                <w:szCs w:val="32"/>
              </w:rPr>
              <w:fldChar w:fldCharType="begin"/>
            </w:r>
            <w:r w:rsidRPr="00EB3F0D">
              <w:rPr>
                <w:rStyle w:val="af8"/>
                <w:rFonts w:ascii="Times New Roman" w:eastAsia="黑体" w:hAnsi="Times New Roman"/>
                <w:webHidden/>
                <w:sz w:val="32"/>
                <w:szCs w:val="32"/>
              </w:rPr>
              <w:instrText xml:space="preserve"> PAGEREF _Toc237883262 \h </w:instrText>
            </w:r>
            <w:r w:rsidRPr="00EB3F0D">
              <w:rPr>
                <w:rStyle w:val="af8"/>
                <w:rFonts w:ascii="Times New Roman" w:eastAsia="黑体" w:hAnsi="Times New Roman"/>
                <w:webHidden/>
                <w:sz w:val="32"/>
                <w:szCs w:val="32"/>
              </w:rPr>
            </w:r>
            <w:r w:rsidRPr="00EB3F0D">
              <w:rPr>
                <w:rStyle w:val="af8"/>
                <w:rFonts w:ascii="Times New Roman" w:eastAsia="黑体" w:hAnsi="Times New Roman"/>
                <w:webHidden/>
                <w:sz w:val="32"/>
                <w:szCs w:val="32"/>
              </w:rPr>
              <w:fldChar w:fldCharType="separate"/>
            </w:r>
            <w:r w:rsidRPr="00EB3F0D">
              <w:rPr>
                <w:rStyle w:val="af8"/>
                <w:rFonts w:ascii="Times New Roman" w:eastAsia="黑体" w:hAnsi="Times New Roman"/>
                <w:webHidden/>
                <w:sz w:val="32"/>
                <w:szCs w:val="32"/>
              </w:rPr>
              <w:t>22</w:t>
            </w:r>
            <w:r w:rsidRPr="00EB3F0D">
              <w:rPr>
                <w:rStyle w:val="af8"/>
                <w:rFonts w:ascii="Times New Roman" w:eastAsia="黑体" w:hAnsi="Times New Roman"/>
                <w:webHidden/>
                <w:sz w:val="32"/>
                <w:szCs w:val="32"/>
              </w:rPr>
              <w:fldChar w:fldCharType="end"/>
            </w:r>
          </w:hyperlink>
        </w:p>
        <w:p w14:paraId="5C262659" w14:textId="5ADE6466"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63" w:history="1">
            <w:r w:rsidRPr="00EB3F0D">
              <w:rPr>
                <w:rStyle w:val="af8"/>
                <w:rFonts w:ascii="Times New Roman" w:eastAsia="楷体" w:hAnsi="Times New Roman"/>
                <w:sz w:val="32"/>
                <w:szCs w:val="32"/>
              </w:rPr>
              <w:t>（一）开展区域地质等调查</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_Toc237883263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22</w:t>
            </w:r>
            <w:r w:rsidRPr="00EB3F0D">
              <w:rPr>
                <w:rStyle w:val="af8"/>
                <w:rFonts w:ascii="Times New Roman" w:eastAsia="楷体" w:hAnsi="Times New Roman"/>
                <w:webHidden/>
                <w:sz w:val="32"/>
                <w:szCs w:val="32"/>
              </w:rPr>
              <w:fldChar w:fldCharType="end"/>
            </w:r>
          </w:hyperlink>
        </w:p>
        <w:p w14:paraId="3E9A007F" w14:textId="47CF8AC0"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64" w:history="1">
            <w:r w:rsidRPr="00EB3F0D">
              <w:rPr>
                <w:rStyle w:val="af8"/>
                <w:rFonts w:ascii="Times New Roman" w:eastAsia="楷体" w:hAnsi="Times New Roman"/>
                <w:sz w:val="32"/>
                <w:szCs w:val="32"/>
              </w:rPr>
              <w:t>（二）加强战略性矿产地质调查评价</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_Toc237883264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23</w:t>
            </w:r>
            <w:r w:rsidRPr="00EB3F0D">
              <w:rPr>
                <w:rStyle w:val="af8"/>
                <w:rFonts w:ascii="Times New Roman" w:eastAsia="楷体" w:hAnsi="Times New Roman"/>
                <w:webHidden/>
                <w:sz w:val="32"/>
                <w:szCs w:val="32"/>
              </w:rPr>
              <w:fldChar w:fldCharType="end"/>
            </w:r>
          </w:hyperlink>
        </w:p>
        <w:p w14:paraId="3511CBA6" w14:textId="358108BF"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65" w:history="1">
            <w:r w:rsidRPr="00EB3F0D">
              <w:rPr>
                <w:rStyle w:val="af8"/>
                <w:rFonts w:ascii="Times New Roman" w:eastAsia="楷体" w:hAnsi="Times New Roman"/>
                <w:sz w:val="32"/>
                <w:szCs w:val="32"/>
              </w:rPr>
              <w:t>（三）加强重点成矿区带优势矿产勘查</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_Toc237883265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24</w:t>
            </w:r>
            <w:r w:rsidRPr="00EB3F0D">
              <w:rPr>
                <w:rStyle w:val="af8"/>
                <w:rFonts w:ascii="Times New Roman" w:eastAsia="楷体" w:hAnsi="Times New Roman"/>
                <w:webHidden/>
                <w:sz w:val="32"/>
                <w:szCs w:val="32"/>
              </w:rPr>
              <w:fldChar w:fldCharType="end"/>
            </w:r>
          </w:hyperlink>
        </w:p>
        <w:p w14:paraId="06BE6C09" w14:textId="5DF4F1A5"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66" w:history="1">
            <w:r w:rsidRPr="00EB3F0D">
              <w:rPr>
                <w:rStyle w:val="af8"/>
                <w:rFonts w:ascii="Times New Roman" w:eastAsia="楷体" w:hAnsi="Times New Roman"/>
                <w:sz w:val="32"/>
                <w:szCs w:val="32"/>
              </w:rPr>
              <w:t>（四）严格勘查区块管理</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_Toc237883266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26</w:t>
            </w:r>
            <w:r w:rsidRPr="00EB3F0D">
              <w:rPr>
                <w:rStyle w:val="af8"/>
                <w:rFonts w:ascii="Times New Roman" w:eastAsia="楷体" w:hAnsi="Times New Roman"/>
                <w:webHidden/>
                <w:sz w:val="32"/>
                <w:szCs w:val="32"/>
              </w:rPr>
              <w:fldChar w:fldCharType="end"/>
            </w:r>
          </w:hyperlink>
        </w:p>
        <w:p w14:paraId="524348BF" w14:textId="79486324" w:rsidR="008F1EC5" w:rsidRPr="00EB3F0D" w:rsidRDefault="008F1EC5" w:rsidP="00600591">
          <w:pPr>
            <w:pStyle w:val="TOC2"/>
            <w:tabs>
              <w:tab w:val="right" w:leader="dot" w:pos="8834"/>
            </w:tabs>
            <w:ind w:left="0" w:firstLineChars="0" w:firstLine="0"/>
            <w:rPr>
              <w:rStyle w:val="af8"/>
              <w:rFonts w:ascii="Times New Roman" w:eastAsia="黑体" w:hAnsi="Times New Roman"/>
              <w:sz w:val="32"/>
              <w:szCs w:val="32"/>
            </w:rPr>
          </w:pPr>
          <w:hyperlink w:anchor="_Toc237883267" w:history="1">
            <w:r w:rsidRPr="00EB3F0D">
              <w:rPr>
                <w:rStyle w:val="af8"/>
                <w:rFonts w:ascii="Times New Roman" w:eastAsia="黑体" w:hAnsi="Times New Roman"/>
                <w:sz w:val="32"/>
                <w:szCs w:val="32"/>
              </w:rPr>
              <w:t>五、统筹空间总体布局，优化矿产资源开发格局</w:t>
            </w:r>
            <w:r w:rsidRPr="00EB3F0D">
              <w:rPr>
                <w:rStyle w:val="af8"/>
                <w:rFonts w:ascii="Times New Roman" w:eastAsia="黑体" w:hAnsi="Times New Roman"/>
                <w:webHidden/>
                <w:sz w:val="32"/>
                <w:szCs w:val="32"/>
              </w:rPr>
              <w:tab/>
            </w:r>
            <w:r w:rsidRPr="00EB3F0D">
              <w:rPr>
                <w:rStyle w:val="af8"/>
                <w:rFonts w:ascii="Times New Roman" w:eastAsia="黑体" w:hAnsi="Times New Roman"/>
                <w:webHidden/>
                <w:sz w:val="32"/>
                <w:szCs w:val="32"/>
              </w:rPr>
              <w:fldChar w:fldCharType="begin"/>
            </w:r>
            <w:r w:rsidRPr="00EB3F0D">
              <w:rPr>
                <w:rStyle w:val="af8"/>
                <w:rFonts w:ascii="Times New Roman" w:eastAsia="黑体" w:hAnsi="Times New Roman"/>
                <w:webHidden/>
                <w:sz w:val="32"/>
                <w:szCs w:val="32"/>
              </w:rPr>
              <w:instrText xml:space="preserve"> PAGEREF _Toc237883267 \h </w:instrText>
            </w:r>
            <w:r w:rsidRPr="00EB3F0D">
              <w:rPr>
                <w:rStyle w:val="af8"/>
                <w:rFonts w:ascii="Times New Roman" w:eastAsia="黑体" w:hAnsi="Times New Roman"/>
                <w:webHidden/>
                <w:sz w:val="32"/>
                <w:szCs w:val="32"/>
              </w:rPr>
            </w:r>
            <w:r w:rsidRPr="00EB3F0D">
              <w:rPr>
                <w:rStyle w:val="af8"/>
                <w:rFonts w:ascii="Times New Roman" w:eastAsia="黑体" w:hAnsi="Times New Roman"/>
                <w:webHidden/>
                <w:sz w:val="32"/>
                <w:szCs w:val="32"/>
              </w:rPr>
              <w:fldChar w:fldCharType="separate"/>
            </w:r>
            <w:r w:rsidRPr="00EB3F0D">
              <w:rPr>
                <w:rStyle w:val="af8"/>
                <w:rFonts w:ascii="Times New Roman" w:eastAsia="黑体" w:hAnsi="Times New Roman"/>
                <w:webHidden/>
                <w:sz w:val="32"/>
                <w:szCs w:val="32"/>
              </w:rPr>
              <w:t>27</w:t>
            </w:r>
            <w:r w:rsidRPr="00EB3F0D">
              <w:rPr>
                <w:rStyle w:val="af8"/>
                <w:rFonts w:ascii="Times New Roman" w:eastAsia="黑体" w:hAnsi="Times New Roman"/>
                <w:webHidden/>
                <w:sz w:val="32"/>
                <w:szCs w:val="32"/>
              </w:rPr>
              <w:fldChar w:fldCharType="end"/>
            </w:r>
          </w:hyperlink>
        </w:p>
        <w:p w14:paraId="7A4A990E" w14:textId="30780CF2"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68" w:history="1">
            <w:r w:rsidRPr="00EB3F0D">
              <w:rPr>
                <w:rStyle w:val="af8"/>
                <w:rFonts w:ascii="Times New Roman" w:eastAsia="楷体" w:hAnsi="Times New Roman"/>
                <w:sz w:val="32"/>
                <w:szCs w:val="32"/>
              </w:rPr>
              <w:t>（一）统筹矿产资源勘查开发总体布局</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_Toc237883268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27</w:t>
            </w:r>
            <w:r w:rsidRPr="00EB3F0D">
              <w:rPr>
                <w:rStyle w:val="af8"/>
                <w:rFonts w:ascii="Times New Roman" w:eastAsia="楷体" w:hAnsi="Times New Roman"/>
                <w:webHidden/>
                <w:sz w:val="32"/>
                <w:szCs w:val="32"/>
              </w:rPr>
              <w:fldChar w:fldCharType="end"/>
            </w:r>
          </w:hyperlink>
        </w:p>
        <w:p w14:paraId="1ADEADD7" w14:textId="68615ECF"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69" w:history="1">
            <w:r w:rsidRPr="00EB3F0D">
              <w:rPr>
                <w:rStyle w:val="af8"/>
                <w:rFonts w:ascii="Times New Roman" w:eastAsia="楷体" w:hAnsi="Times New Roman"/>
                <w:sz w:val="32"/>
                <w:szCs w:val="32"/>
              </w:rPr>
              <w:t>（二）合理确定开发强度</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_Toc237883269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28</w:t>
            </w:r>
            <w:r w:rsidRPr="00EB3F0D">
              <w:rPr>
                <w:rStyle w:val="af8"/>
                <w:rFonts w:ascii="Times New Roman" w:eastAsia="楷体" w:hAnsi="Times New Roman"/>
                <w:webHidden/>
                <w:sz w:val="32"/>
                <w:szCs w:val="32"/>
              </w:rPr>
              <w:fldChar w:fldCharType="end"/>
            </w:r>
          </w:hyperlink>
        </w:p>
        <w:p w14:paraId="6BBFDF67" w14:textId="7B914182"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70" w:history="1">
            <w:r w:rsidRPr="00EB3F0D">
              <w:rPr>
                <w:rStyle w:val="af8"/>
                <w:rFonts w:ascii="Times New Roman" w:eastAsia="楷体" w:hAnsi="Times New Roman"/>
                <w:sz w:val="32"/>
                <w:szCs w:val="32"/>
              </w:rPr>
              <w:t>（三）优化矿产开采分区</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_Toc237883270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31</w:t>
            </w:r>
            <w:r w:rsidRPr="00EB3F0D">
              <w:rPr>
                <w:rStyle w:val="af8"/>
                <w:rFonts w:ascii="Times New Roman" w:eastAsia="楷体" w:hAnsi="Times New Roman"/>
                <w:webHidden/>
                <w:sz w:val="32"/>
                <w:szCs w:val="32"/>
              </w:rPr>
              <w:fldChar w:fldCharType="end"/>
            </w:r>
          </w:hyperlink>
        </w:p>
        <w:p w14:paraId="3AEA6B81" w14:textId="0A31FA55"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71" w:history="1">
            <w:r w:rsidRPr="00EB3F0D">
              <w:rPr>
                <w:rStyle w:val="af8"/>
                <w:rFonts w:ascii="Times New Roman" w:eastAsia="楷体" w:hAnsi="Times New Roman"/>
                <w:sz w:val="32"/>
                <w:szCs w:val="32"/>
              </w:rPr>
              <w:t>（四）合理划定开采规划区块</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_Toc237883271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32</w:t>
            </w:r>
            <w:r w:rsidRPr="00EB3F0D">
              <w:rPr>
                <w:rStyle w:val="af8"/>
                <w:rFonts w:ascii="Times New Roman" w:eastAsia="楷体" w:hAnsi="Times New Roman"/>
                <w:webHidden/>
                <w:sz w:val="32"/>
                <w:szCs w:val="32"/>
              </w:rPr>
              <w:fldChar w:fldCharType="end"/>
            </w:r>
          </w:hyperlink>
        </w:p>
        <w:p w14:paraId="4E2AFBB8" w14:textId="2526A17C"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72" w:history="1">
            <w:r w:rsidRPr="00EB3F0D">
              <w:rPr>
                <w:rStyle w:val="af8"/>
                <w:rFonts w:ascii="Times New Roman" w:eastAsia="楷体" w:hAnsi="Times New Roman"/>
                <w:sz w:val="32"/>
                <w:szCs w:val="32"/>
              </w:rPr>
              <w:t>（五）规范师市开采区划设置</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_Toc237883272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35</w:t>
            </w:r>
            <w:r w:rsidRPr="00EB3F0D">
              <w:rPr>
                <w:rStyle w:val="af8"/>
                <w:rFonts w:ascii="Times New Roman" w:eastAsia="楷体" w:hAnsi="Times New Roman"/>
                <w:webHidden/>
                <w:sz w:val="32"/>
                <w:szCs w:val="32"/>
              </w:rPr>
              <w:fldChar w:fldCharType="end"/>
            </w:r>
          </w:hyperlink>
        </w:p>
        <w:p w14:paraId="6207A319" w14:textId="6C9E31F9"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73" w:history="1">
            <w:r w:rsidRPr="00EB3F0D">
              <w:rPr>
                <w:rStyle w:val="af8"/>
                <w:rFonts w:ascii="Times New Roman" w:eastAsia="楷体" w:hAnsi="Times New Roman"/>
                <w:sz w:val="32"/>
                <w:szCs w:val="32"/>
              </w:rPr>
              <w:t>（六）加强矿产资源储备地建设</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_Toc237883273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37</w:t>
            </w:r>
            <w:r w:rsidRPr="00EB3F0D">
              <w:rPr>
                <w:rStyle w:val="af8"/>
                <w:rFonts w:ascii="Times New Roman" w:eastAsia="楷体" w:hAnsi="Times New Roman"/>
                <w:webHidden/>
                <w:sz w:val="32"/>
                <w:szCs w:val="32"/>
              </w:rPr>
              <w:fldChar w:fldCharType="end"/>
            </w:r>
          </w:hyperlink>
        </w:p>
        <w:p w14:paraId="5A08ED71" w14:textId="155B51F8"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74" w:history="1">
            <w:r w:rsidRPr="00EB3F0D">
              <w:rPr>
                <w:rStyle w:val="af8"/>
                <w:rFonts w:ascii="Times New Roman" w:eastAsia="楷体" w:hAnsi="Times New Roman"/>
                <w:sz w:val="32"/>
                <w:szCs w:val="32"/>
              </w:rPr>
              <w:t>（七）兵地矿产资源规划衔接与区域协同机制</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_Toc237883274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38</w:t>
            </w:r>
            <w:r w:rsidRPr="00EB3F0D">
              <w:rPr>
                <w:rStyle w:val="af8"/>
                <w:rFonts w:ascii="Times New Roman" w:eastAsia="楷体" w:hAnsi="Times New Roman"/>
                <w:webHidden/>
                <w:sz w:val="32"/>
                <w:szCs w:val="32"/>
              </w:rPr>
              <w:fldChar w:fldCharType="end"/>
            </w:r>
          </w:hyperlink>
        </w:p>
        <w:p w14:paraId="2389EF74" w14:textId="043C95CE" w:rsidR="008F1EC5" w:rsidRPr="00EB3F0D" w:rsidRDefault="008F1EC5" w:rsidP="00600591">
          <w:pPr>
            <w:pStyle w:val="TOC2"/>
            <w:tabs>
              <w:tab w:val="right" w:leader="dot" w:pos="8834"/>
            </w:tabs>
            <w:ind w:left="0" w:firstLineChars="0" w:firstLine="0"/>
            <w:rPr>
              <w:rStyle w:val="af8"/>
              <w:rFonts w:ascii="Times New Roman" w:eastAsia="黑体" w:hAnsi="Times New Roman"/>
              <w:sz w:val="32"/>
              <w:szCs w:val="32"/>
            </w:rPr>
          </w:pPr>
          <w:hyperlink w:anchor="_Toc237883275" w:history="1">
            <w:r w:rsidRPr="00EB3F0D">
              <w:rPr>
                <w:rStyle w:val="af8"/>
                <w:rFonts w:ascii="Times New Roman" w:eastAsia="黑体" w:hAnsi="Times New Roman"/>
                <w:sz w:val="32"/>
                <w:szCs w:val="32"/>
              </w:rPr>
              <w:t>六、库沙新拜产业园建设与发展</w:t>
            </w:r>
            <w:r w:rsidRPr="00EB3F0D">
              <w:rPr>
                <w:rStyle w:val="af8"/>
                <w:rFonts w:ascii="Times New Roman" w:eastAsia="黑体" w:hAnsi="Times New Roman"/>
                <w:webHidden/>
                <w:sz w:val="32"/>
                <w:szCs w:val="32"/>
              </w:rPr>
              <w:tab/>
            </w:r>
            <w:r w:rsidRPr="00EB3F0D">
              <w:rPr>
                <w:rStyle w:val="af8"/>
                <w:rFonts w:ascii="Times New Roman" w:eastAsia="黑体" w:hAnsi="Times New Roman"/>
                <w:webHidden/>
                <w:sz w:val="32"/>
                <w:szCs w:val="32"/>
              </w:rPr>
              <w:fldChar w:fldCharType="begin"/>
            </w:r>
            <w:r w:rsidRPr="00EB3F0D">
              <w:rPr>
                <w:rStyle w:val="af8"/>
                <w:rFonts w:ascii="Times New Roman" w:eastAsia="黑体" w:hAnsi="Times New Roman"/>
                <w:webHidden/>
                <w:sz w:val="32"/>
                <w:szCs w:val="32"/>
              </w:rPr>
              <w:instrText xml:space="preserve"> PAGEREF _Toc237883275 \h </w:instrText>
            </w:r>
            <w:r w:rsidRPr="00EB3F0D">
              <w:rPr>
                <w:rStyle w:val="af8"/>
                <w:rFonts w:ascii="Times New Roman" w:eastAsia="黑体" w:hAnsi="Times New Roman"/>
                <w:webHidden/>
                <w:sz w:val="32"/>
                <w:szCs w:val="32"/>
              </w:rPr>
            </w:r>
            <w:r w:rsidRPr="00EB3F0D">
              <w:rPr>
                <w:rStyle w:val="af8"/>
                <w:rFonts w:ascii="Times New Roman" w:eastAsia="黑体" w:hAnsi="Times New Roman"/>
                <w:webHidden/>
                <w:sz w:val="32"/>
                <w:szCs w:val="32"/>
              </w:rPr>
              <w:fldChar w:fldCharType="separate"/>
            </w:r>
            <w:r w:rsidRPr="00EB3F0D">
              <w:rPr>
                <w:rStyle w:val="af8"/>
                <w:rFonts w:ascii="Times New Roman" w:eastAsia="黑体" w:hAnsi="Times New Roman"/>
                <w:webHidden/>
                <w:sz w:val="32"/>
                <w:szCs w:val="32"/>
              </w:rPr>
              <w:t>40</w:t>
            </w:r>
            <w:r w:rsidRPr="00EB3F0D">
              <w:rPr>
                <w:rStyle w:val="af8"/>
                <w:rFonts w:ascii="Times New Roman" w:eastAsia="黑体" w:hAnsi="Times New Roman"/>
                <w:webHidden/>
                <w:sz w:val="32"/>
                <w:szCs w:val="32"/>
              </w:rPr>
              <w:fldChar w:fldCharType="end"/>
            </w:r>
          </w:hyperlink>
        </w:p>
        <w:p w14:paraId="7DB40217" w14:textId="2BFC80C9"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76" w:history="1">
            <w:r w:rsidRPr="00EB3F0D">
              <w:rPr>
                <w:rStyle w:val="af8"/>
                <w:rFonts w:ascii="Times New Roman" w:eastAsia="楷体" w:hAnsi="Times New Roman"/>
                <w:sz w:val="32"/>
                <w:szCs w:val="32"/>
              </w:rPr>
              <w:t>（一）战略定位与空间产业布局</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_Toc237883276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40</w:t>
            </w:r>
            <w:r w:rsidRPr="00EB3F0D">
              <w:rPr>
                <w:rStyle w:val="af8"/>
                <w:rFonts w:ascii="Times New Roman" w:eastAsia="楷体" w:hAnsi="Times New Roman"/>
                <w:webHidden/>
                <w:sz w:val="32"/>
                <w:szCs w:val="32"/>
              </w:rPr>
              <w:fldChar w:fldCharType="end"/>
            </w:r>
          </w:hyperlink>
        </w:p>
        <w:p w14:paraId="7DC11B19" w14:textId="4BF8FD03"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77" w:history="1">
            <w:r w:rsidRPr="00EB3F0D">
              <w:rPr>
                <w:rStyle w:val="af8"/>
                <w:rFonts w:ascii="Times New Roman" w:eastAsia="楷体" w:hAnsi="Times New Roman"/>
                <w:sz w:val="32"/>
                <w:szCs w:val="32"/>
              </w:rPr>
              <w:t>（二）支撑产业园建设与发展的主要举措</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_Toc237883277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40</w:t>
            </w:r>
            <w:r w:rsidRPr="00EB3F0D">
              <w:rPr>
                <w:rStyle w:val="af8"/>
                <w:rFonts w:ascii="Times New Roman" w:eastAsia="楷体" w:hAnsi="Times New Roman"/>
                <w:webHidden/>
                <w:sz w:val="32"/>
                <w:szCs w:val="32"/>
              </w:rPr>
              <w:fldChar w:fldCharType="end"/>
            </w:r>
          </w:hyperlink>
        </w:p>
        <w:p w14:paraId="743979E7" w14:textId="23360CEA"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78" w:history="1">
            <w:r w:rsidRPr="00EB3F0D">
              <w:rPr>
                <w:rStyle w:val="af8"/>
                <w:rFonts w:ascii="Times New Roman" w:eastAsia="楷体" w:hAnsi="Times New Roman"/>
                <w:sz w:val="32"/>
                <w:szCs w:val="32"/>
              </w:rPr>
              <w:t>（三）服务产业园建设的矿产资源工作任务</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_Toc237883278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41</w:t>
            </w:r>
            <w:r w:rsidRPr="00EB3F0D">
              <w:rPr>
                <w:rStyle w:val="af8"/>
                <w:rFonts w:ascii="Times New Roman" w:eastAsia="楷体" w:hAnsi="Times New Roman"/>
                <w:webHidden/>
                <w:sz w:val="32"/>
                <w:szCs w:val="32"/>
              </w:rPr>
              <w:fldChar w:fldCharType="end"/>
            </w:r>
          </w:hyperlink>
        </w:p>
        <w:p w14:paraId="5C067B71" w14:textId="13670084"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79" w:history="1">
            <w:r w:rsidRPr="00EB3F0D">
              <w:rPr>
                <w:rStyle w:val="af8"/>
                <w:rFonts w:ascii="Times New Roman" w:eastAsia="楷体" w:hAnsi="Times New Roman"/>
                <w:sz w:val="32"/>
                <w:szCs w:val="32"/>
              </w:rPr>
              <w:t>（四）产业链协同与政策集成保障</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_Toc237883279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44</w:t>
            </w:r>
            <w:r w:rsidRPr="00EB3F0D">
              <w:rPr>
                <w:rStyle w:val="af8"/>
                <w:rFonts w:ascii="Times New Roman" w:eastAsia="楷体" w:hAnsi="Times New Roman"/>
                <w:webHidden/>
                <w:sz w:val="32"/>
                <w:szCs w:val="32"/>
              </w:rPr>
              <w:fldChar w:fldCharType="end"/>
            </w:r>
          </w:hyperlink>
        </w:p>
        <w:p w14:paraId="7FBA86DF" w14:textId="0E198780" w:rsidR="008F1EC5" w:rsidRPr="00EB3F0D" w:rsidRDefault="008F1EC5" w:rsidP="00600591">
          <w:pPr>
            <w:pStyle w:val="TOC2"/>
            <w:tabs>
              <w:tab w:val="right" w:leader="dot" w:pos="8834"/>
            </w:tabs>
            <w:ind w:left="0" w:firstLineChars="0" w:firstLine="0"/>
            <w:rPr>
              <w:rStyle w:val="af8"/>
              <w:rFonts w:ascii="Times New Roman" w:eastAsia="黑体" w:hAnsi="Times New Roman"/>
              <w:sz w:val="32"/>
              <w:szCs w:val="32"/>
            </w:rPr>
          </w:pPr>
          <w:hyperlink w:anchor="_Toc237883280" w:history="1">
            <w:r w:rsidRPr="00EB3F0D">
              <w:rPr>
                <w:rStyle w:val="af8"/>
                <w:rFonts w:ascii="Times New Roman" w:eastAsia="黑体" w:hAnsi="Times New Roman"/>
                <w:sz w:val="32"/>
                <w:szCs w:val="32"/>
              </w:rPr>
              <w:t>七、加快科技创新，促进矿业绿色发展</w:t>
            </w:r>
            <w:r w:rsidRPr="00EB3F0D">
              <w:rPr>
                <w:rStyle w:val="af8"/>
                <w:rFonts w:ascii="Times New Roman" w:eastAsia="黑体" w:hAnsi="Times New Roman"/>
                <w:webHidden/>
                <w:sz w:val="32"/>
                <w:szCs w:val="32"/>
              </w:rPr>
              <w:tab/>
            </w:r>
            <w:r w:rsidRPr="00EB3F0D">
              <w:rPr>
                <w:rStyle w:val="af8"/>
                <w:rFonts w:ascii="Times New Roman" w:eastAsia="黑体" w:hAnsi="Times New Roman"/>
                <w:webHidden/>
                <w:sz w:val="32"/>
                <w:szCs w:val="32"/>
              </w:rPr>
              <w:fldChar w:fldCharType="begin"/>
            </w:r>
            <w:r w:rsidRPr="00EB3F0D">
              <w:rPr>
                <w:rStyle w:val="af8"/>
                <w:rFonts w:ascii="Times New Roman" w:eastAsia="黑体" w:hAnsi="Times New Roman"/>
                <w:webHidden/>
                <w:sz w:val="32"/>
                <w:szCs w:val="32"/>
              </w:rPr>
              <w:instrText xml:space="preserve"> PAGEREF _Toc237883280 \h </w:instrText>
            </w:r>
            <w:r w:rsidRPr="00EB3F0D">
              <w:rPr>
                <w:rStyle w:val="af8"/>
                <w:rFonts w:ascii="Times New Roman" w:eastAsia="黑体" w:hAnsi="Times New Roman"/>
                <w:webHidden/>
                <w:sz w:val="32"/>
                <w:szCs w:val="32"/>
              </w:rPr>
            </w:r>
            <w:r w:rsidRPr="00EB3F0D">
              <w:rPr>
                <w:rStyle w:val="af8"/>
                <w:rFonts w:ascii="Times New Roman" w:eastAsia="黑体" w:hAnsi="Times New Roman"/>
                <w:webHidden/>
                <w:sz w:val="32"/>
                <w:szCs w:val="32"/>
              </w:rPr>
              <w:fldChar w:fldCharType="separate"/>
            </w:r>
            <w:r w:rsidRPr="00EB3F0D">
              <w:rPr>
                <w:rStyle w:val="af8"/>
                <w:rFonts w:ascii="Times New Roman" w:eastAsia="黑体" w:hAnsi="Times New Roman"/>
                <w:webHidden/>
                <w:sz w:val="32"/>
                <w:szCs w:val="32"/>
              </w:rPr>
              <w:t>46</w:t>
            </w:r>
            <w:r w:rsidRPr="00EB3F0D">
              <w:rPr>
                <w:rStyle w:val="af8"/>
                <w:rFonts w:ascii="Times New Roman" w:eastAsia="黑体" w:hAnsi="Times New Roman"/>
                <w:webHidden/>
                <w:sz w:val="32"/>
                <w:szCs w:val="32"/>
              </w:rPr>
              <w:fldChar w:fldCharType="end"/>
            </w:r>
          </w:hyperlink>
        </w:p>
        <w:p w14:paraId="31D51DA3" w14:textId="54FA0375"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81" w:history="1">
            <w:r w:rsidRPr="00EB3F0D">
              <w:rPr>
                <w:rStyle w:val="af8"/>
                <w:rFonts w:ascii="Times New Roman" w:eastAsia="楷体" w:hAnsi="Times New Roman"/>
                <w:sz w:val="32"/>
                <w:szCs w:val="32"/>
              </w:rPr>
              <w:t>（一）明确砂石、粘土矿产的科技攻关方向与举措</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_Toc237883281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46</w:t>
            </w:r>
            <w:r w:rsidRPr="00EB3F0D">
              <w:rPr>
                <w:rStyle w:val="af8"/>
                <w:rFonts w:ascii="Times New Roman" w:eastAsia="楷体" w:hAnsi="Times New Roman"/>
                <w:webHidden/>
                <w:sz w:val="32"/>
                <w:szCs w:val="32"/>
              </w:rPr>
              <w:fldChar w:fldCharType="end"/>
            </w:r>
          </w:hyperlink>
        </w:p>
        <w:p w14:paraId="57DEBD2C" w14:textId="01F0AE1C"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82" w:history="1">
            <w:r w:rsidRPr="00EB3F0D">
              <w:rPr>
                <w:rStyle w:val="af8"/>
                <w:rFonts w:ascii="Times New Roman" w:eastAsia="楷体" w:hAnsi="Times New Roman"/>
                <w:sz w:val="32"/>
                <w:szCs w:val="32"/>
              </w:rPr>
              <w:t>（二）全面实施绿色勘查</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_Toc237883282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47</w:t>
            </w:r>
            <w:r w:rsidRPr="00EB3F0D">
              <w:rPr>
                <w:rStyle w:val="af8"/>
                <w:rFonts w:ascii="Times New Roman" w:eastAsia="楷体" w:hAnsi="Times New Roman"/>
                <w:webHidden/>
                <w:sz w:val="32"/>
                <w:szCs w:val="32"/>
              </w:rPr>
              <w:fldChar w:fldCharType="end"/>
            </w:r>
          </w:hyperlink>
        </w:p>
        <w:p w14:paraId="170C1B5A" w14:textId="7A2007B3"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83" w:history="1">
            <w:r w:rsidRPr="00EB3F0D">
              <w:rPr>
                <w:rStyle w:val="af8"/>
                <w:rFonts w:ascii="Times New Roman" w:eastAsia="楷体" w:hAnsi="Times New Roman"/>
                <w:sz w:val="32"/>
                <w:szCs w:val="32"/>
              </w:rPr>
              <w:t>（三）全面建设绿色矿山</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_Toc237883283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48</w:t>
            </w:r>
            <w:r w:rsidRPr="00EB3F0D">
              <w:rPr>
                <w:rStyle w:val="af8"/>
                <w:rFonts w:ascii="Times New Roman" w:eastAsia="楷体" w:hAnsi="Times New Roman"/>
                <w:webHidden/>
                <w:sz w:val="32"/>
                <w:szCs w:val="32"/>
              </w:rPr>
              <w:fldChar w:fldCharType="end"/>
            </w:r>
          </w:hyperlink>
        </w:p>
        <w:p w14:paraId="4682016B" w14:textId="242F47BC"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84" w:history="1">
            <w:r w:rsidRPr="00EB3F0D">
              <w:rPr>
                <w:rStyle w:val="af8"/>
                <w:rFonts w:ascii="Times New Roman" w:eastAsia="楷体" w:hAnsi="Times New Roman"/>
                <w:sz w:val="32"/>
                <w:szCs w:val="32"/>
              </w:rPr>
              <w:t>（四）数字赋能矿产资源绿色发展监督管理</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_Toc237883284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49</w:t>
            </w:r>
            <w:r w:rsidRPr="00EB3F0D">
              <w:rPr>
                <w:rStyle w:val="af8"/>
                <w:rFonts w:ascii="Times New Roman" w:eastAsia="楷体" w:hAnsi="Times New Roman"/>
                <w:webHidden/>
                <w:sz w:val="32"/>
                <w:szCs w:val="32"/>
              </w:rPr>
              <w:fldChar w:fldCharType="end"/>
            </w:r>
          </w:hyperlink>
        </w:p>
        <w:p w14:paraId="047D48C8" w14:textId="57E2EED8"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85" w:history="1">
            <w:r w:rsidRPr="00EB3F0D">
              <w:rPr>
                <w:rStyle w:val="af8"/>
                <w:rFonts w:ascii="Times New Roman" w:eastAsia="楷体" w:hAnsi="Times New Roman"/>
                <w:sz w:val="32"/>
                <w:szCs w:val="32"/>
              </w:rPr>
              <w:t>（五）规划实施的环境影响评价与管控对策</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_Toc237883285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49</w:t>
            </w:r>
            <w:r w:rsidRPr="00EB3F0D">
              <w:rPr>
                <w:rStyle w:val="af8"/>
                <w:rFonts w:ascii="Times New Roman" w:eastAsia="楷体" w:hAnsi="Times New Roman"/>
                <w:webHidden/>
                <w:sz w:val="32"/>
                <w:szCs w:val="32"/>
              </w:rPr>
              <w:fldChar w:fldCharType="end"/>
            </w:r>
          </w:hyperlink>
        </w:p>
        <w:p w14:paraId="555DCB24" w14:textId="508A5DE9" w:rsidR="008F1EC5" w:rsidRPr="00EB3F0D" w:rsidRDefault="008F1EC5" w:rsidP="00600591">
          <w:pPr>
            <w:pStyle w:val="TOC2"/>
            <w:tabs>
              <w:tab w:val="right" w:leader="dot" w:pos="8834"/>
            </w:tabs>
            <w:ind w:left="0" w:firstLineChars="0" w:firstLine="0"/>
            <w:rPr>
              <w:rStyle w:val="af8"/>
              <w:rFonts w:ascii="Times New Roman" w:eastAsia="黑体" w:hAnsi="Times New Roman"/>
              <w:sz w:val="32"/>
              <w:szCs w:val="32"/>
            </w:rPr>
          </w:pPr>
          <w:hyperlink w:anchor="_Toc237883286" w:history="1">
            <w:r w:rsidRPr="00EB3F0D">
              <w:rPr>
                <w:rStyle w:val="af8"/>
                <w:rFonts w:ascii="Times New Roman" w:eastAsia="黑体" w:hAnsi="Times New Roman"/>
                <w:sz w:val="32"/>
                <w:szCs w:val="32"/>
              </w:rPr>
              <w:t>八、深化矿产资源管理改革</w:t>
            </w:r>
            <w:r w:rsidRPr="00EB3F0D">
              <w:rPr>
                <w:rStyle w:val="af8"/>
                <w:rFonts w:ascii="Times New Roman" w:eastAsia="黑体" w:hAnsi="Times New Roman"/>
                <w:webHidden/>
                <w:sz w:val="32"/>
                <w:szCs w:val="32"/>
              </w:rPr>
              <w:tab/>
            </w:r>
            <w:r w:rsidRPr="00EB3F0D">
              <w:rPr>
                <w:rStyle w:val="af8"/>
                <w:rFonts w:ascii="Times New Roman" w:eastAsia="黑体" w:hAnsi="Times New Roman"/>
                <w:webHidden/>
                <w:sz w:val="32"/>
                <w:szCs w:val="32"/>
              </w:rPr>
              <w:fldChar w:fldCharType="begin"/>
            </w:r>
            <w:r w:rsidRPr="00EB3F0D">
              <w:rPr>
                <w:rStyle w:val="af8"/>
                <w:rFonts w:ascii="Times New Roman" w:eastAsia="黑体" w:hAnsi="Times New Roman"/>
                <w:webHidden/>
                <w:sz w:val="32"/>
                <w:szCs w:val="32"/>
              </w:rPr>
              <w:instrText xml:space="preserve"> PAGEREF _Toc237883286 \h </w:instrText>
            </w:r>
            <w:r w:rsidRPr="00EB3F0D">
              <w:rPr>
                <w:rStyle w:val="af8"/>
                <w:rFonts w:ascii="Times New Roman" w:eastAsia="黑体" w:hAnsi="Times New Roman"/>
                <w:webHidden/>
                <w:sz w:val="32"/>
                <w:szCs w:val="32"/>
              </w:rPr>
            </w:r>
            <w:r w:rsidRPr="00EB3F0D">
              <w:rPr>
                <w:rStyle w:val="af8"/>
                <w:rFonts w:ascii="Times New Roman" w:eastAsia="黑体" w:hAnsi="Times New Roman"/>
                <w:webHidden/>
                <w:sz w:val="32"/>
                <w:szCs w:val="32"/>
              </w:rPr>
              <w:fldChar w:fldCharType="separate"/>
            </w:r>
            <w:r w:rsidRPr="00EB3F0D">
              <w:rPr>
                <w:rStyle w:val="af8"/>
                <w:rFonts w:ascii="Times New Roman" w:eastAsia="黑体" w:hAnsi="Times New Roman"/>
                <w:webHidden/>
                <w:sz w:val="32"/>
                <w:szCs w:val="32"/>
              </w:rPr>
              <w:t>51</w:t>
            </w:r>
            <w:r w:rsidRPr="00EB3F0D">
              <w:rPr>
                <w:rStyle w:val="af8"/>
                <w:rFonts w:ascii="Times New Roman" w:eastAsia="黑体" w:hAnsi="Times New Roman"/>
                <w:webHidden/>
                <w:sz w:val="32"/>
                <w:szCs w:val="32"/>
              </w:rPr>
              <w:fldChar w:fldCharType="end"/>
            </w:r>
          </w:hyperlink>
        </w:p>
        <w:p w14:paraId="0A46FD8C" w14:textId="5902FE09"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87" w:history="1">
            <w:r w:rsidRPr="00EB3F0D">
              <w:rPr>
                <w:rStyle w:val="af8"/>
                <w:rFonts w:ascii="Times New Roman" w:eastAsia="楷体" w:hAnsi="Times New Roman"/>
                <w:sz w:val="32"/>
                <w:szCs w:val="32"/>
              </w:rPr>
              <w:t>（一）制度筑基与精准配置（源头管控）</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_Toc237883287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51</w:t>
            </w:r>
            <w:r w:rsidRPr="00EB3F0D">
              <w:rPr>
                <w:rStyle w:val="af8"/>
                <w:rFonts w:ascii="Times New Roman" w:eastAsia="楷体" w:hAnsi="Times New Roman"/>
                <w:webHidden/>
                <w:sz w:val="32"/>
                <w:szCs w:val="32"/>
              </w:rPr>
              <w:fldChar w:fldCharType="end"/>
            </w:r>
          </w:hyperlink>
        </w:p>
        <w:p w14:paraId="607992B0" w14:textId="2911F1A9"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88" w:history="1">
            <w:r w:rsidRPr="00EB3F0D">
              <w:rPr>
                <w:rStyle w:val="af8"/>
                <w:rFonts w:ascii="Times New Roman" w:eastAsia="楷体" w:hAnsi="Times New Roman"/>
                <w:sz w:val="32"/>
                <w:szCs w:val="32"/>
              </w:rPr>
              <w:t>（二）数字赋能与协同监管（过程严管）</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_Toc237883288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53</w:t>
            </w:r>
            <w:r w:rsidRPr="00EB3F0D">
              <w:rPr>
                <w:rStyle w:val="af8"/>
                <w:rFonts w:ascii="Times New Roman" w:eastAsia="楷体" w:hAnsi="Times New Roman"/>
                <w:webHidden/>
                <w:sz w:val="32"/>
                <w:szCs w:val="32"/>
              </w:rPr>
              <w:fldChar w:fldCharType="end"/>
            </w:r>
          </w:hyperlink>
        </w:p>
        <w:p w14:paraId="32FD57EF" w14:textId="6C6C6695"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89" w:history="1">
            <w:r w:rsidRPr="00EB3F0D">
              <w:rPr>
                <w:rStyle w:val="af8"/>
                <w:rFonts w:ascii="Times New Roman" w:eastAsia="楷体" w:hAnsi="Times New Roman"/>
                <w:sz w:val="32"/>
                <w:szCs w:val="32"/>
              </w:rPr>
              <w:t>（三）修复验收与评估退出（末端闭环）</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_Toc237883289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56</w:t>
            </w:r>
            <w:r w:rsidRPr="00EB3F0D">
              <w:rPr>
                <w:rStyle w:val="af8"/>
                <w:rFonts w:ascii="Times New Roman" w:eastAsia="楷体" w:hAnsi="Times New Roman"/>
                <w:webHidden/>
                <w:sz w:val="32"/>
                <w:szCs w:val="32"/>
              </w:rPr>
              <w:fldChar w:fldCharType="end"/>
            </w:r>
          </w:hyperlink>
        </w:p>
        <w:p w14:paraId="3C23382D" w14:textId="76C5D4BA" w:rsidR="008F1EC5" w:rsidRPr="00EB3F0D" w:rsidRDefault="008F1EC5" w:rsidP="00600591">
          <w:pPr>
            <w:pStyle w:val="TOC2"/>
            <w:tabs>
              <w:tab w:val="right" w:leader="dot" w:pos="8834"/>
            </w:tabs>
            <w:ind w:left="0" w:firstLineChars="0" w:firstLine="0"/>
            <w:rPr>
              <w:rStyle w:val="af8"/>
              <w:rFonts w:ascii="Times New Roman" w:eastAsia="黑体" w:hAnsi="Times New Roman"/>
              <w:sz w:val="32"/>
              <w:szCs w:val="32"/>
            </w:rPr>
          </w:pPr>
          <w:hyperlink w:anchor="_Toc237883290" w:history="1">
            <w:r w:rsidRPr="00EB3F0D">
              <w:rPr>
                <w:rStyle w:val="af8"/>
                <w:rFonts w:ascii="Times New Roman" w:eastAsia="黑体" w:hAnsi="Times New Roman"/>
                <w:sz w:val="32"/>
                <w:szCs w:val="32"/>
              </w:rPr>
              <w:t>九、规划实施保障</w:t>
            </w:r>
            <w:r w:rsidRPr="00EB3F0D">
              <w:rPr>
                <w:rStyle w:val="af8"/>
                <w:rFonts w:ascii="Times New Roman" w:eastAsia="黑体" w:hAnsi="Times New Roman"/>
                <w:webHidden/>
                <w:sz w:val="32"/>
                <w:szCs w:val="32"/>
              </w:rPr>
              <w:tab/>
            </w:r>
            <w:r w:rsidRPr="00EB3F0D">
              <w:rPr>
                <w:rStyle w:val="af8"/>
                <w:rFonts w:ascii="Times New Roman" w:eastAsia="黑体" w:hAnsi="Times New Roman"/>
                <w:webHidden/>
                <w:sz w:val="32"/>
                <w:szCs w:val="32"/>
              </w:rPr>
              <w:fldChar w:fldCharType="begin"/>
            </w:r>
            <w:r w:rsidRPr="00EB3F0D">
              <w:rPr>
                <w:rStyle w:val="af8"/>
                <w:rFonts w:ascii="Times New Roman" w:eastAsia="黑体" w:hAnsi="Times New Roman"/>
                <w:webHidden/>
                <w:sz w:val="32"/>
                <w:szCs w:val="32"/>
              </w:rPr>
              <w:instrText xml:space="preserve"> PAGEREF _Toc237883290 \h </w:instrText>
            </w:r>
            <w:r w:rsidRPr="00EB3F0D">
              <w:rPr>
                <w:rStyle w:val="af8"/>
                <w:rFonts w:ascii="Times New Roman" w:eastAsia="黑体" w:hAnsi="Times New Roman"/>
                <w:webHidden/>
                <w:sz w:val="32"/>
                <w:szCs w:val="32"/>
              </w:rPr>
            </w:r>
            <w:r w:rsidRPr="00EB3F0D">
              <w:rPr>
                <w:rStyle w:val="af8"/>
                <w:rFonts w:ascii="Times New Roman" w:eastAsia="黑体" w:hAnsi="Times New Roman"/>
                <w:webHidden/>
                <w:sz w:val="32"/>
                <w:szCs w:val="32"/>
              </w:rPr>
              <w:fldChar w:fldCharType="separate"/>
            </w:r>
            <w:r w:rsidRPr="00EB3F0D">
              <w:rPr>
                <w:rStyle w:val="af8"/>
                <w:rFonts w:ascii="Times New Roman" w:eastAsia="黑体" w:hAnsi="Times New Roman"/>
                <w:webHidden/>
                <w:sz w:val="32"/>
                <w:szCs w:val="32"/>
              </w:rPr>
              <w:t>60</w:t>
            </w:r>
            <w:r w:rsidRPr="00EB3F0D">
              <w:rPr>
                <w:rStyle w:val="af8"/>
                <w:rFonts w:ascii="Times New Roman" w:eastAsia="黑体" w:hAnsi="Times New Roman"/>
                <w:webHidden/>
                <w:sz w:val="32"/>
                <w:szCs w:val="32"/>
              </w:rPr>
              <w:fldChar w:fldCharType="end"/>
            </w:r>
          </w:hyperlink>
        </w:p>
        <w:p w14:paraId="2E2EF3B6" w14:textId="012C4057"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91" w:history="1">
            <w:r w:rsidRPr="00EB3F0D">
              <w:rPr>
                <w:rStyle w:val="af8"/>
                <w:rFonts w:ascii="Times New Roman" w:eastAsia="楷体" w:hAnsi="Times New Roman"/>
                <w:sz w:val="32"/>
                <w:szCs w:val="32"/>
              </w:rPr>
              <w:t>（一）加强组织领导</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_Toc237883291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60</w:t>
            </w:r>
            <w:r w:rsidRPr="00EB3F0D">
              <w:rPr>
                <w:rStyle w:val="af8"/>
                <w:rFonts w:ascii="Times New Roman" w:eastAsia="楷体" w:hAnsi="Times New Roman"/>
                <w:webHidden/>
                <w:sz w:val="32"/>
                <w:szCs w:val="32"/>
              </w:rPr>
              <w:fldChar w:fldCharType="end"/>
            </w:r>
          </w:hyperlink>
        </w:p>
        <w:p w14:paraId="5A484D08" w14:textId="19E39DEC"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92" w:history="1">
            <w:r w:rsidRPr="00EB3F0D">
              <w:rPr>
                <w:rStyle w:val="af8"/>
                <w:rFonts w:ascii="Times New Roman" w:eastAsia="楷体" w:hAnsi="Times New Roman"/>
                <w:sz w:val="32"/>
                <w:szCs w:val="32"/>
              </w:rPr>
              <w:t>（二）加强规划引领管控</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_Toc237883292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60</w:t>
            </w:r>
            <w:r w:rsidRPr="00EB3F0D">
              <w:rPr>
                <w:rStyle w:val="af8"/>
                <w:rFonts w:ascii="Times New Roman" w:eastAsia="楷体" w:hAnsi="Times New Roman"/>
                <w:webHidden/>
                <w:sz w:val="32"/>
                <w:szCs w:val="32"/>
              </w:rPr>
              <w:fldChar w:fldCharType="end"/>
            </w:r>
          </w:hyperlink>
        </w:p>
        <w:p w14:paraId="22C0036D" w14:textId="1F0B12BA"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93" w:history="1">
            <w:r w:rsidRPr="00EB3F0D">
              <w:rPr>
                <w:rStyle w:val="af8"/>
                <w:rFonts w:ascii="Times New Roman" w:eastAsia="楷体" w:hAnsi="Times New Roman"/>
                <w:sz w:val="32"/>
                <w:szCs w:val="32"/>
              </w:rPr>
              <w:t>（三）强化规划实施监督检查</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_Toc237883293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60</w:t>
            </w:r>
            <w:r w:rsidRPr="00EB3F0D">
              <w:rPr>
                <w:rStyle w:val="af8"/>
                <w:rFonts w:ascii="Times New Roman" w:eastAsia="楷体" w:hAnsi="Times New Roman"/>
                <w:webHidden/>
                <w:sz w:val="32"/>
                <w:szCs w:val="32"/>
              </w:rPr>
              <w:fldChar w:fldCharType="end"/>
            </w:r>
          </w:hyperlink>
        </w:p>
        <w:p w14:paraId="3B502611" w14:textId="7C6D5AED"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94" w:history="1">
            <w:r w:rsidRPr="00EB3F0D">
              <w:rPr>
                <w:rStyle w:val="af8"/>
                <w:rFonts w:ascii="Times New Roman" w:eastAsia="楷体" w:hAnsi="Times New Roman"/>
                <w:sz w:val="32"/>
                <w:szCs w:val="32"/>
              </w:rPr>
              <w:t>（四）提高规划信息化管理水平</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_Toc237883294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61</w:t>
            </w:r>
            <w:r w:rsidRPr="00EB3F0D">
              <w:rPr>
                <w:rStyle w:val="af8"/>
                <w:rFonts w:ascii="Times New Roman" w:eastAsia="楷体" w:hAnsi="Times New Roman"/>
                <w:webHidden/>
                <w:sz w:val="32"/>
                <w:szCs w:val="32"/>
              </w:rPr>
              <w:fldChar w:fldCharType="end"/>
            </w:r>
          </w:hyperlink>
        </w:p>
        <w:p w14:paraId="0CD1403B" w14:textId="44AC0221"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95" w:history="1">
            <w:r w:rsidRPr="00EB3F0D">
              <w:rPr>
                <w:rStyle w:val="af8"/>
                <w:rFonts w:ascii="Times New Roman" w:eastAsia="楷体" w:hAnsi="Times New Roman"/>
                <w:sz w:val="32"/>
                <w:szCs w:val="32"/>
              </w:rPr>
              <w:t>（五）推进规划实施监测评估</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_Toc237883295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61</w:t>
            </w:r>
            <w:r w:rsidRPr="00EB3F0D">
              <w:rPr>
                <w:rStyle w:val="af8"/>
                <w:rFonts w:ascii="Times New Roman" w:eastAsia="楷体" w:hAnsi="Times New Roman"/>
                <w:webHidden/>
                <w:sz w:val="32"/>
                <w:szCs w:val="32"/>
              </w:rPr>
              <w:fldChar w:fldCharType="end"/>
            </w:r>
          </w:hyperlink>
        </w:p>
        <w:p w14:paraId="5299DA0B" w14:textId="79899BFD" w:rsidR="008F1EC5" w:rsidRPr="00EB3F0D" w:rsidRDefault="008F1EC5" w:rsidP="008F1EC5">
          <w:pPr>
            <w:pStyle w:val="TOC2"/>
            <w:tabs>
              <w:tab w:val="right" w:leader="dot" w:pos="8834"/>
            </w:tabs>
            <w:ind w:left="0" w:firstLine="400"/>
            <w:rPr>
              <w:rStyle w:val="af8"/>
              <w:rFonts w:ascii="Times New Roman" w:eastAsia="楷体" w:hAnsi="Times New Roman"/>
              <w:sz w:val="32"/>
              <w:szCs w:val="32"/>
            </w:rPr>
          </w:pPr>
          <w:hyperlink w:anchor="_Toc237883296" w:history="1">
            <w:r w:rsidRPr="00EB3F0D">
              <w:rPr>
                <w:rStyle w:val="af8"/>
                <w:rFonts w:ascii="Times New Roman" w:eastAsia="楷体" w:hAnsi="Times New Roman"/>
                <w:sz w:val="32"/>
                <w:szCs w:val="32"/>
              </w:rPr>
              <w:t>（六）规划实施风险评估与应对预案</w:t>
            </w:r>
            <w:r w:rsidRPr="00EB3F0D">
              <w:rPr>
                <w:rStyle w:val="af8"/>
                <w:rFonts w:ascii="Times New Roman" w:eastAsia="楷体" w:hAnsi="Times New Roman"/>
                <w:webHidden/>
                <w:sz w:val="32"/>
                <w:szCs w:val="32"/>
              </w:rPr>
              <w:tab/>
            </w:r>
            <w:r w:rsidRPr="00EB3F0D">
              <w:rPr>
                <w:rStyle w:val="af8"/>
                <w:rFonts w:ascii="Times New Roman" w:eastAsia="楷体" w:hAnsi="Times New Roman"/>
                <w:webHidden/>
                <w:sz w:val="32"/>
                <w:szCs w:val="32"/>
              </w:rPr>
              <w:fldChar w:fldCharType="begin"/>
            </w:r>
            <w:r w:rsidRPr="00EB3F0D">
              <w:rPr>
                <w:rStyle w:val="af8"/>
                <w:rFonts w:ascii="Times New Roman" w:eastAsia="楷体" w:hAnsi="Times New Roman"/>
                <w:webHidden/>
                <w:sz w:val="32"/>
                <w:szCs w:val="32"/>
              </w:rPr>
              <w:instrText xml:space="preserve"> PAGEREF _Toc237883296 \h </w:instrText>
            </w:r>
            <w:r w:rsidRPr="00EB3F0D">
              <w:rPr>
                <w:rStyle w:val="af8"/>
                <w:rFonts w:ascii="Times New Roman" w:eastAsia="楷体" w:hAnsi="Times New Roman"/>
                <w:webHidden/>
                <w:sz w:val="32"/>
                <w:szCs w:val="32"/>
              </w:rPr>
            </w:r>
            <w:r w:rsidRPr="00EB3F0D">
              <w:rPr>
                <w:rStyle w:val="af8"/>
                <w:rFonts w:ascii="Times New Roman" w:eastAsia="楷体" w:hAnsi="Times New Roman"/>
                <w:webHidden/>
                <w:sz w:val="32"/>
                <w:szCs w:val="32"/>
              </w:rPr>
              <w:fldChar w:fldCharType="separate"/>
            </w:r>
            <w:r w:rsidRPr="00EB3F0D">
              <w:rPr>
                <w:rStyle w:val="af8"/>
                <w:rFonts w:ascii="Times New Roman" w:eastAsia="楷体" w:hAnsi="Times New Roman"/>
                <w:webHidden/>
                <w:sz w:val="32"/>
                <w:szCs w:val="32"/>
              </w:rPr>
              <w:t>61</w:t>
            </w:r>
            <w:r w:rsidRPr="00EB3F0D">
              <w:rPr>
                <w:rStyle w:val="af8"/>
                <w:rFonts w:ascii="Times New Roman" w:eastAsia="楷体" w:hAnsi="Times New Roman"/>
                <w:webHidden/>
                <w:sz w:val="32"/>
                <w:szCs w:val="32"/>
              </w:rPr>
              <w:fldChar w:fldCharType="end"/>
            </w:r>
          </w:hyperlink>
        </w:p>
        <w:p w14:paraId="4EB3EFBE" w14:textId="35A30472" w:rsidR="00107085" w:rsidRDefault="00000000" w:rsidP="008F1EC5">
          <w:pPr>
            <w:pStyle w:val="TOC2"/>
            <w:tabs>
              <w:tab w:val="right" w:leader="dot" w:pos="8834"/>
            </w:tabs>
            <w:snapToGrid w:val="0"/>
            <w:ind w:left="0" w:firstLine="402"/>
            <w:rPr>
              <w:rStyle w:val="af8"/>
              <w:b/>
              <w:bCs/>
              <w:color w:val="auto"/>
              <w:u w:val="none"/>
              <w:lang w:val="zh-CN"/>
            </w:rPr>
          </w:pPr>
          <w:r w:rsidRPr="00EB3F0D">
            <w:rPr>
              <w:rFonts w:ascii="Times New Roman" w:hAnsi="Times New Roman"/>
              <w:b/>
              <w:bCs/>
              <w:lang w:val="zh-CN"/>
            </w:rPr>
            <w:fldChar w:fldCharType="end"/>
          </w:r>
        </w:p>
      </w:sdtContent>
    </w:sdt>
    <w:p w14:paraId="68013931" w14:textId="77777777" w:rsidR="00107085" w:rsidRDefault="00000000">
      <w:pPr>
        <w:ind w:leftChars="100" w:left="320" w:firstLineChars="0" w:firstLine="0"/>
        <w:rPr>
          <w:rFonts w:ascii="方正楷体_GBK" w:eastAsia="方正楷体_GBK"/>
          <w:b/>
          <w:bCs/>
        </w:rPr>
      </w:pPr>
      <w:r>
        <w:rPr>
          <w:rFonts w:ascii="方正楷体_GBK" w:eastAsia="方正楷体_GBK"/>
          <w:b/>
          <w:bCs/>
        </w:rPr>
        <w:t>附图：</w:t>
      </w:r>
    </w:p>
    <w:p w14:paraId="11FBFF98" w14:textId="77777777" w:rsidR="00107085" w:rsidRDefault="00000000">
      <w:pPr>
        <w:ind w:leftChars="100" w:left="320" w:firstLineChars="0" w:firstLine="0"/>
      </w:pPr>
      <w:r>
        <w:t>附图</w:t>
      </w:r>
      <w:r>
        <w:t xml:space="preserve"> 1</w:t>
      </w:r>
      <w:r>
        <w:rPr>
          <w:rFonts w:hint="eastAsia"/>
        </w:rPr>
        <w:t xml:space="preserve"> </w:t>
      </w:r>
      <w:r>
        <w:t>新疆生产建设兵团第一师阿拉尔市矿产资源分布现状图</w:t>
      </w:r>
      <w:r>
        <w:rPr>
          <w:rFonts w:hint="eastAsia"/>
        </w:rPr>
        <w:t>（</w:t>
      </w:r>
      <w:r>
        <w:rPr>
          <w:rFonts w:hint="eastAsia"/>
        </w:rPr>
        <w:t>1</w:t>
      </w:r>
      <w:r>
        <w:rPr>
          <w:rFonts w:ascii="仿宋_GB2312" w:hAnsi="仿宋_GB2312" w:cs="仿宋_GB2312" w:hint="eastAsia"/>
          <w:sz w:val="28"/>
          <w:szCs w:val="28"/>
        </w:rPr>
        <w:t>∶</w:t>
      </w:r>
      <w:r>
        <w:rPr>
          <w:rFonts w:hint="eastAsia"/>
        </w:rPr>
        <w:t>250000</w:t>
      </w:r>
      <w:r>
        <w:rPr>
          <w:rFonts w:hint="eastAsia"/>
        </w:rPr>
        <w:t>）</w:t>
      </w:r>
    </w:p>
    <w:p w14:paraId="0B892830" w14:textId="77777777" w:rsidR="00107085" w:rsidRDefault="00000000">
      <w:pPr>
        <w:ind w:leftChars="100" w:left="320" w:firstLineChars="0" w:firstLine="0"/>
      </w:pPr>
      <w:r>
        <w:t>附图</w:t>
      </w:r>
      <w:r>
        <w:t xml:space="preserve"> 2 </w:t>
      </w:r>
      <w:r>
        <w:t>新疆生产建设兵团第一师阿拉尔市矿产资源勘查开发利用现状图</w:t>
      </w:r>
      <w:r>
        <w:rPr>
          <w:rFonts w:hint="eastAsia"/>
        </w:rPr>
        <w:t>（</w:t>
      </w:r>
      <w:r>
        <w:rPr>
          <w:rFonts w:hint="eastAsia"/>
        </w:rPr>
        <w:t>1</w:t>
      </w:r>
      <w:r>
        <w:rPr>
          <w:rFonts w:ascii="仿宋_GB2312" w:hAnsi="仿宋_GB2312" w:cs="仿宋_GB2312" w:hint="eastAsia"/>
          <w:sz w:val="28"/>
          <w:szCs w:val="28"/>
        </w:rPr>
        <w:t>∶</w:t>
      </w:r>
      <w:r>
        <w:rPr>
          <w:rFonts w:hint="eastAsia"/>
        </w:rPr>
        <w:t>250000</w:t>
      </w:r>
      <w:r>
        <w:rPr>
          <w:rFonts w:hint="eastAsia"/>
        </w:rPr>
        <w:t>）</w:t>
      </w:r>
    </w:p>
    <w:p w14:paraId="27D7753B" w14:textId="77777777" w:rsidR="00107085" w:rsidRDefault="00000000">
      <w:pPr>
        <w:ind w:leftChars="100" w:left="320" w:firstLineChars="0" w:firstLine="0"/>
      </w:pPr>
      <w:r>
        <w:t>附图</w:t>
      </w:r>
      <w:r>
        <w:t xml:space="preserve"> 3 </w:t>
      </w:r>
      <w:r>
        <w:t>新疆生产建设兵团第一师阿拉尔市矿产资源开采规划图</w:t>
      </w:r>
      <w:r>
        <w:rPr>
          <w:rFonts w:hint="eastAsia"/>
        </w:rPr>
        <w:t>（</w:t>
      </w:r>
      <w:r>
        <w:rPr>
          <w:rFonts w:hint="eastAsia"/>
        </w:rPr>
        <w:t>1</w:t>
      </w:r>
      <w:r>
        <w:rPr>
          <w:rFonts w:ascii="仿宋_GB2312" w:hAnsi="仿宋_GB2312" w:cs="仿宋_GB2312" w:hint="eastAsia"/>
          <w:sz w:val="28"/>
          <w:szCs w:val="28"/>
        </w:rPr>
        <w:t>∶</w:t>
      </w:r>
      <w:r>
        <w:rPr>
          <w:rFonts w:hint="eastAsia"/>
        </w:rPr>
        <w:t>250000</w:t>
      </w:r>
      <w:r>
        <w:rPr>
          <w:rFonts w:hint="eastAsia"/>
        </w:rPr>
        <w:t>）</w:t>
      </w:r>
    </w:p>
    <w:p w14:paraId="0FB93054" w14:textId="77777777" w:rsidR="00107085" w:rsidRDefault="00107085">
      <w:pPr>
        <w:ind w:leftChars="100" w:left="320" w:firstLineChars="0" w:firstLine="0"/>
      </w:pPr>
    </w:p>
    <w:p w14:paraId="4E7FBC77" w14:textId="77777777" w:rsidR="00107085" w:rsidRDefault="00000000">
      <w:pPr>
        <w:ind w:leftChars="100" w:left="320" w:firstLineChars="0" w:firstLine="0"/>
        <w:rPr>
          <w:rFonts w:ascii="方正楷体_GBK" w:eastAsia="方正楷体_GBK"/>
          <w:b/>
          <w:bCs/>
        </w:rPr>
      </w:pPr>
      <w:r>
        <w:rPr>
          <w:rFonts w:ascii="方正楷体_GBK" w:eastAsia="方正楷体_GBK"/>
          <w:b/>
          <w:bCs/>
        </w:rPr>
        <w:t>附</w:t>
      </w:r>
      <w:r>
        <w:rPr>
          <w:rFonts w:ascii="方正楷体_GBK" w:eastAsia="方正楷体_GBK" w:hint="eastAsia"/>
          <w:b/>
          <w:bCs/>
        </w:rPr>
        <w:t>表</w:t>
      </w:r>
      <w:r>
        <w:rPr>
          <w:rFonts w:ascii="方正楷体_GBK" w:eastAsia="方正楷体_GBK"/>
          <w:b/>
          <w:bCs/>
        </w:rPr>
        <w:t>：</w:t>
      </w:r>
    </w:p>
    <w:p w14:paraId="156DF2AE" w14:textId="77777777" w:rsidR="00107085" w:rsidRDefault="00000000">
      <w:pPr>
        <w:ind w:leftChars="100" w:left="320" w:firstLineChars="0" w:firstLine="0"/>
      </w:pPr>
      <w:r>
        <w:rPr>
          <w:rFonts w:hint="eastAsia"/>
        </w:rPr>
        <w:t>附表</w:t>
      </w:r>
      <w:r>
        <w:rPr>
          <w:rFonts w:hint="eastAsia"/>
        </w:rPr>
        <w:t xml:space="preserve"> 1 </w:t>
      </w:r>
      <w:r>
        <w:t>成果附表</w:t>
      </w:r>
    </w:p>
    <w:p w14:paraId="3603C1B2" w14:textId="77777777" w:rsidR="00107085" w:rsidRDefault="00000000">
      <w:pPr>
        <w:ind w:leftChars="100" w:left="320" w:firstLineChars="0" w:firstLine="0"/>
      </w:pPr>
      <w:r>
        <w:rPr>
          <w:rFonts w:hint="eastAsia"/>
        </w:rPr>
        <w:t>附表</w:t>
      </w:r>
      <w:r>
        <w:rPr>
          <w:rFonts w:hint="eastAsia"/>
        </w:rPr>
        <w:t xml:space="preserve"> 2 </w:t>
      </w:r>
      <w:r>
        <w:rPr>
          <w:rFonts w:hint="eastAsia"/>
        </w:rPr>
        <w:t>规划附表</w:t>
      </w:r>
    </w:p>
    <w:p w14:paraId="492AA441" w14:textId="77777777" w:rsidR="00107085" w:rsidRDefault="00107085">
      <w:pPr>
        <w:ind w:leftChars="100" w:left="320" w:firstLineChars="0" w:firstLine="0"/>
      </w:pPr>
    </w:p>
    <w:p w14:paraId="03EC1C3F" w14:textId="77777777" w:rsidR="00107085" w:rsidRDefault="00000000">
      <w:pPr>
        <w:ind w:leftChars="100" w:left="320" w:firstLineChars="0" w:firstLine="0"/>
        <w:rPr>
          <w:rFonts w:ascii="方正楷体_GBK" w:eastAsia="方正楷体_GBK"/>
          <w:b/>
          <w:bCs/>
        </w:rPr>
      </w:pPr>
      <w:r>
        <w:rPr>
          <w:rFonts w:ascii="方正楷体_GBK" w:eastAsia="方正楷体_GBK"/>
          <w:b/>
          <w:bCs/>
        </w:rPr>
        <w:t>附件：</w:t>
      </w:r>
    </w:p>
    <w:p w14:paraId="14044D12" w14:textId="77777777" w:rsidR="00107085" w:rsidRDefault="00000000">
      <w:pPr>
        <w:ind w:leftChars="100" w:left="320" w:firstLineChars="0" w:firstLine="0"/>
      </w:pPr>
      <w:r>
        <w:t>附件</w:t>
      </w:r>
      <w:r>
        <w:t xml:space="preserve"> 1 </w:t>
      </w:r>
      <w:r>
        <w:t>新疆生产建设兵团第一师阿拉尔市矿产资源总体规划（</w:t>
      </w:r>
      <w:r>
        <w:t>2026—2030</w:t>
      </w:r>
      <w:r>
        <w:t>年）编制说明</w:t>
      </w:r>
    </w:p>
    <w:p w14:paraId="040D5727" w14:textId="77777777" w:rsidR="00107085" w:rsidRDefault="00107085">
      <w:pPr>
        <w:ind w:leftChars="100" w:left="320" w:firstLineChars="0" w:firstLine="0"/>
      </w:pPr>
    </w:p>
    <w:p w14:paraId="0ED51BB5" w14:textId="77777777" w:rsidR="00107085" w:rsidRDefault="00107085">
      <w:pPr>
        <w:ind w:leftChars="100" w:left="320" w:firstLineChars="0" w:firstLine="0"/>
      </w:pPr>
    </w:p>
    <w:p w14:paraId="2094AC7F" w14:textId="77777777" w:rsidR="00107085" w:rsidRDefault="00107085">
      <w:pPr>
        <w:ind w:leftChars="100" w:left="320" w:firstLineChars="0" w:firstLine="0"/>
        <w:rPr>
          <w:rFonts w:eastAsia="仿宋"/>
          <w:b/>
          <w:bCs/>
          <w:lang w:val="zh-CN"/>
        </w:rPr>
        <w:sectPr w:rsidR="00107085">
          <w:footerReference w:type="default" r:id="rId14"/>
          <w:pgSz w:w="11906" w:h="16838"/>
          <w:pgMar w:top="1701" w:right="1701" w:bottom="1701" w:left="1701" w:header="851" w:footer="851" w:gutter="0"/>
          <w:pgNumType w:start="1"/>
          <w:cols w:space="425"/>
          <w:docGrid w:type="lines" w:linePitch="560"/>
        </w:sectPr>
      </w:pPr>
    </w:p>
    <w:p w14:paraId="02AA5164" w14:textId="77777777" w:rsidR="00107085" w:rsidRDefault="00000000" w:rsidP="00257987">
      <w:pPr>
        <w:spacing w:line="560" w:lineRule="atLeast"/>
        <w:ind w:firstLineChars="0" w:firstLine="420"/>
        <w:jc w:val="center"/>
        <w:outlineLvl w:val="0"/>
        <w:rPr>
          <w:rFonts w:eastAsia="黑体"/>
          <w:b/>
        </w:rPr>
      </w:pPr>
      <w:bookmarkStart w:id="3" w:name="_Toc227172368"/>
      <w:bookmarkStart w:id="4" w:name="_Toc237883248"/>
      <w:bookmarkStart w:id="5" w:name="_Toc472345076"/>
      <w:bookmarkStart w:id="6" w:name="_Toc472344867"/>
      <w:r>
        <w:rPr>
          <w:rFonts w:eastAsia="黑体"/>
          <w:sz w:val="36"/>
        </w:rPr>
        <w:lastRenderedPageBreak/>
        <w:t>总</w:t>
      </w:r>
      <w:r>
        <w:rPr>
          <w:rFonts w:eastAsia="黑体"/>
          <w:sz w:val="36"/>
        </w:rPr>
        <w:t xml:space="preserve">  </w:t>
      </w:r>
      <w:r>
        <w:rPr>
          <w:rFonts w:eastAsia="黑体"/>
          <w:sz w:val="36"/>
        </w:rPr>
        <w:t>则</w:t>
      </w:r>
      <w:bookmarkEnd w:id="3"/>
      <w:bookmarkEnd w:id="4"/>
    </w:p>
    <w:p w14:paraId="5B012738" w14:textId="409321AE" w:rsidR="00107085" w:rsidRDefault="00000000">
      <w:pPr>
        <w:ind w:firstLine="640"/>
      </w:pPr>
      <w:bookmarkStart w:id="7" w:name="OLE_LINK59"/>
      <w:r>
        <w:rPr>
          <w:rFonts w:hint="eastAsia"/>
        </w:rPr>
        <w:t>“十五五”时期，</w:t>
      </w:r>
      <w:r>
        <w:t>是</w:t>
      </w:r>
      <w:r>
        <w:rPr>
          <w:rFonts w:hint="eastAsia"/>
        </w:rPr>
        <w:t>第一师</w:t>
      </w:r>
      <w:r>
        <w:t>阿拉尔市以习近平新时代中国特色社会主义思想为指导，全面贯彻党的二十大和二十届历次全会精神，贯彻落实习近平总书记关于新疆和兵团工作的重要讲话重要指示批示精神，完整准确全面贯彻新时代党的治疆方略，牢牢把握党中央对兵团的定位要求，立足</w:t>
      </w:r>
      <w:r>
        <w:rPr>
          <w:rFonts w:hint="eastAsia"/>
        </w:rPr>
        <w:t>第一师</w:t>
      </w:r>
      <w:r>
        <w:t>阿拉尔市城市发展定位，加快完善矿产资源管理体制机制，健全管理制度标准体系、建强专业队伍力量、强化规划引领管控、加强基础地质工作、持续推进矿政管理改革，优化矿产勘查开发布局，提高开发利用水平、推动矿业绿色发展、深化兵地融合发展，特别是在重大基础项目中，加强协调兵团与地方的矿产资源配置，实现建材要素互保与共建共享，推进兵团向南发展，筑牢资源和生态安全底线，推进美丽阿拉尔建设，实现矿产资源开发质的有效提升和量的合理增长，提升</w:t>
      </w:r>
      <w:r>
        <w:rPr>
          <w:rFonts w:hint="eastAsia"/>
        </w:rPr>
        <w:t>第一师</w:t>
      </w:r>
      <w:r>
        <w:t>阿拉尔市矿产资源稳疆兴边富民保障能力，奋力实现</w:t>
      </w:r>
      <w:r>
        <w:rPr>
          <w:rFonts w:hint="eastAsia"/>
        </w:rPr>
        <w:t>第一师</w:t>
      </w:r>
      <w:r>
        <w:t>阿拉尔市社会主义现代化的关键五年</w:t>
      </w:r>
      <w:r>
        <w:rPr>
          <w:rFonts w:hint="eastAsia"/>
        </w:rPr>
        <w:t>。</w:t>
      </w:r>
      <w:bookmarkEnd w:id="7"/>
      <w:r>
        <w:rPr>
          <w:rFonts w:hint="eastAsia"/>
        </w:rPr>
        <w:t>为充分发挥矿产资源对经济社会发展的基础保障作用，统筹矿产资源开发与生态保护，推动矿业绿色高质量发展</w:t>
      </w:r>
      <w:r>
        <w:t>，依据《</w:t>
      </w:r>
      <w:bookmarkStart w:id="8" w:name="OLE_LINK12"/>
      <w:r>
        <w:t>中华人民共和国矿产资源法</w:t>
      </w:r>
      <w:bookmarkEnd w:id="8"/>
      <w:r>
        <w:t>》《矿产资源规划编制实施办法》等法律法规和规章，按照《全国</w:t>
      </w:r>
      <w:bookmarkStart w:id="9" w:name="OLE_LINK57"/>
      <w:r>
        <w:t>矿产资源规划（</w:t>
      </w:r>
      <w:r>
        <w:t>2026</w:t>
      </w:r>
      <w:r>
        <w:rPr>
          <w:rFonts w:hint="eastAsia"/>
        </w:rPr>
        <w:t>—</w:t>
      </w:r>
      <w:r>
        <w:t>20</w:t>
      </w:r>
      <w:bookmarkEnd w:id="9"/>
      <w:r>
        <w:t>30</w:t>
      </w:r>
      <w:r>
        <w:t>年）》《新疆生产建设兵团国民经济和社会发展第十五个五年规划</w:t>
      </w:r>
      <w:r>
        <w:rPr>
          <w:rFonts w:hint="eastAsia"/>
        </w:rPr>
        <w:t>纲要</w:t>
      </w:r>
      <w:r>
        <w:t>》《新疆生产建设兵团国土空间规划（</w:t>
      </w:r>
      <w:r>
        <w:t>2021</w:t>
      </w:r>
      <w:r>
        <w:rPr>
          <w:rFonts w:hint="eastAsia"/>
        </w:rPr>
        <w:t>—</w:t>
      </w:r>
      <w:r>
        <w:t>2035</w:t>
      </w:r>
      <w:r>
        <w:t>年）》《</w:t>
      </w:r>
      <w:bookmarkStart w:id="10" w:name="OLE_LINK1"/>
      <w:r>
        <w:t>新疆生产建设兵团</w:t>
      </w:r>
      <w:bookmarkEnd w:id="10"/>
      <w:r>
        <w:t>矿产资源总体规划（</w:t>
      </w:r>
      <w:r>
        <w:t>2026</w:t>
      </w:r>
      <w:r>
        <w:rPr>
          <w:rFonts w:hint="eastAsia"/>
        </w:rPr>
        <w:t>—</w:t>
      </w:r>
      <w:r>
        <w:t>2030</w:t>
      </w:r>
      <w:r>
        <w:t>年</w:t>
      </w:r>
      <w:r>
        <w:rPr>
          <w:rFonts w:hint="eastAsia"/>
        </w:rPr>
        <w:t>）（草案）</w:t>
      </w:r>
      <w:r>
        <w:t>》等要求，制定《新疆生产建设兵</w:t>
      </w:r>
      <w:r>
        <w:lastRenderedPageBreak/>
        <w:t>团第一师阿拉尔市矿产资源总体规划（</w:t>
      </w:r>
      <w:r>
        <w:t>2026</w:t>
      </w:r>
      <w:r>
        <w:rPr>
          <w:rFonts w:hint="eastAsia"/>
        </w:rPr>
        <w:t>—</w:t>
      </w:r>
      <w:r>
        <w:t>2030</w:t>
      </w:r>
      <w:r>
        <w:t>年</w:t>
      </w:r>
      <w:r>
        <w:rPr>
          <w:rFonts w:hint="eastAsia"/>
        </w:rPr>
        <w:t>）</w:t>
      </w:r>
      <w:r>
        <w:t>》</w:t>
      </w:r>
      <w:r>
        <w:rPr>
          <w:rFonts w:hint="eastAsia"/>
        </w:rPr>
        <w:t>（</w:t>
      </w:r>
      <w:r>
        <w:t>以下简称《规划》</w:t>
      </w:r>
      <w:r>
        <w:rPr>
          <w:rFonts w:hint="eastAsia"/>
        </w:rPr>
        <w:t>）</w:t>
      </w:r>
      <w:r>
        <w:t>。</w:t>
      </w:r>
    </w:p>
    <w:p w14:paraId="564A6A88" w14:textId="77777777" w:rsidR="00107085" w:rsidRDefault="00000000">
      <w:pPr>
        <w:ind w:firstLine="640"/>
      </w:pPr>
      <w:bookmarkStart w:id="11" w:name="OLE_LINK3"/>
      <w:r>
        <w:t>《规划》是落实国家资源安全战略、自治区和兵团规划总体部署及空间管控要求，加强和改善矿产资源宏观调控的重要手段，也是</w:t>
      </w:r>
      <w:r>
        <w:rPr>
          <w:rFonts w:hint="eastAsia"/>
        </w:rPr>
        <w:t>第一师</w:t>
      </w:r>
      <w:r>
        <w:t>阿拉尔市依法开展地质勘查、审批和监管矿产资源开发利用与保护、推进矿区生态保护修复与地质环境治理等工作的基本依据和核心遵循。凡涉及本市行政区域内矿产资源勘查开发保护活动的相关规划，均须与本《规划》有效衔接。</w:t>
      </w:r>
    </w:p>
    <w:bookmarkEnd w:id="11"/>
    <w:p w14:paraId="7FE5D66B" w14:textId="77777777" w:rsidR="00107085" w:rsidRDefault="00000000">
      <w:pPr>
        <w:ind w:firstLine="640"/>
      </w:pPr>
      <w:r>
        <w:t>《规划》以</w:t>
      </w:r>
      <w:r>
        <w:t>2025</w:t>
      </w:r>
      <w:r>
        <w:t>年为基准年，以</w:t>
      </w:r>
      <w:r>
        <w:t>2030</w:t>
      </w:r>
      <w:r>
        <w:t>年为目标年，展望到</w:t>
      </w:r>
      <w:r>
        <w:t>2035</w:t>
      </w:r>
      <w:r>
        <w:t>年。</w:t>
      </w:r>
    </w:p>
    <w:p w14:paraId="2F5FC01B" w14:textId="77777777" w:rsidR="00107085" w:rsidRDefault="00000000">
      <w:pPr>
        <w:ind w:firstLine="640"/>
        <w:sectPr w:rsidR="00107085">
          <w:footerReference w:type="default" r:id="rId15"/>
          <w:pgSz w:w="11906" w:h="16838"/>
          <w:pgMar w:top="1701" w:right="1701" w:bottom="1701" w:left="1701" w:header="851" w:footer="851" w:gutter="0"/>
          <w:pgNumType w:start="1"/>
          <w:cols w:space="425"/>
          <w:docGrid w:type="lines" w:linePitch="560"/>
        </w:sectPr>
      </w:pPr>
      <w:r>
        <w:t>《规划》适用范围为</w:t>
      </w:r>
      <w:r>
        <w:rPr>
          <w:rFonts w:eastAsia="仿宋"/>
        </w:rPr>
        <w:t>第一师阿拉尔市所辖范围</w:t>
      </w:r>
      <w:r>
        <w:t>。</w:t>
      </w:r>
    </w:p>
    <w:p w14:paraId="0759A1C1" w14:textId="77777777" w:rsidR="00107085" w:rsidRDefault="00107085">
      <w:pPr>
        <w:ind w:firstLine="640"/>
        <w:sectPr w:rsidR="00107085">
          <w:type w:val="continuous"/>
          <w:pgSz w:w="11906" w:h="16838"/>
          <w:pgMar w:top="1701" w:right="1701" w:bottom="1701" w:left="1701" w:header="851" w:footer="851" w:gutter="0"/>
          <w:pgNumType w:start="1"/>
          <w:cols w:space="425"/>
          <w:docGrid w:type="lines" w:linePitch="560"/>
        </w:sectPr>
      </w:pPr>
    </w:p>
    <w:p w14:paraId="149F29B4" w14:textId="77777777" w:rsidR="00107085" w:rsidRDefault="00000000">
      <w:pPr>
        <w:pStyle w:val="1"/>
        <w:keepLines w:val="0"/>
        <w:spacing w:beforeLines="0" w:before="0" w:afterLines="0" w:after="0"/>
        <w:ind w:firstLineChars="200" w:firstLine="640"/>
        <w:jc w:val="both"/>
        <w:rPr>
          <w:rFonts w:ascii="Times New Roman" w:eastAsia="黑体" w:hAnsi="Times New Roman"/>
          <w:b w:val="0"/>
          <w:sz w:val="32"/>
          <w:szCs w:val="32"/>
        </w:rPr>
      </w:pPr>
      <w:bookmarkStart w:id="12" w:name="_Toc227172369"/>
      <w:bookmarkStart w:id="13" w:name="_Toc237883249"/>
      <w:r>
        <w:rPr>
          <w:rFonts w:ascii="Times New Roman" w:eastAsia="黑体" w:hAnsi="Times New Roman"/>
          <w:b w:val="0"/>
          <w:sz w:val="32"/>
          <w:szCs w:val="32"/>
        </w:rPr>
        <w:lastRenderedPageBreak/>
        <w:t>一</w:t>
      </w:r>
      <w:bookmarkEnd w:id="5"/>
      <w:bookmarkEnd w:id="6"/>
      <w:r>
        <w:rPr>
          <w:rFonts w:ascii="Times New Roman" w:eastAsia="黑体" w:hAnsi="Times New Roman"/>
          <w:b w:val="0"/>
          <w:sz w:val="32"/>
          <w:szCs w:val="32"/>
        </w:rPr>
        <w:t>、现状与形势</w:t>
      </w:r>
      <w:bookmarkEnd w:id="12"/>
      <w:bookmarkEnd w:id="13"/>
    </w:p>
    <w:p w14:paraId="390FA7E5" w14:textId="77777777" w:rsidR="00107085" w:rsidRDefault="00000000">
      <w:pPr>
        <w:ind w:firstLine="640"/>
        <w:outlineLvl w:val="1"/>
        <w:rPr>
          <w:rFonts w:eastAsia="楷体"/>
        </w:rPr>
      </w:pPr>
      <w:bookmarkStart w:id="14" w:name="_Toc23776"/>
      <w:bookmarkStart w:id="15" w:name="_Toc227172370"/>
      <w:bookmarkStart w:id="16" w:name="_Toc237883250"/>
      <w:bookmarkStart w:id="17" w:name="_Toc465629671"/>
      <w:bookmarkStart w:id="18" w:name="_Toc469401683"/>
      <w:bookmarkEnd w:id="2"/>
      <w:r>
        <w:rPr>
          <w:rFonts w:eastAsia="楷体"/>
        </w:rPr>
        <w:t>（一）</w:t>
      </w:r>
      <w:bookmarkEnd w:id="14"/>
      <w:r>
        <w:rPr>
          <w:rFonts w:eastAsia="楷体"/>
        </w:rPr>
        <w:t>自然地理及经济概况</w:t>
      </w:r>
      <w:bookmarkEnd w:id="15"/>
      <w:bookmarkEnd w:id="16"/>
    </w:p>
    <w:p w14:paraId="28A8DD4D" w14:textId="77777777" w:rsidR="00107085" w:rsidRDefault="00000000">
      <w:pPr>
        <w:ind w:firstLine="640"/>
      </w:pPr>
      <w:r>
        <w:t>新疆生产建设兵团第一师阿拉尔市位于天山南麓，塔克拉玛干大沙漠北缘、塔里木河上游，位于东经</w:t>
      </w:r>
      <w:r>
        <w:t>80°30′</w:t>
      </w:r>
      <w:r>
        <w:t>至</w:t>
      </w:r>
      <w:r>
        <w:t>81°58′</w:t>
      </w:r>
      <w:r>
        <w:t>，北纬</w:t>
      </w:r>
      <w:r>
        <w:t>40°22′</w:t>
      </w:r>
      <w:r>
        <w:t>至</w:t>
      </w:r>
      <w:r>
        <w:t>40°57′</w:t>
      </w:r>
      <w:r>
        <w:t>之间。东西长</w:t>
      </w:r>
      <w:r>
        <w:t>281</w:t>
      </w:r>
      <w:r>
        <w:t>千米，南北宽</w:t>
      </w:r>
      <w:r>
        <w:t>180</w:t>
      </w:r>
      <w:r>
        <w:t>千米，面积</w:t>
      </w:r>
      <w:r>
        <w:t>7241.3</w:t>
      </w:r>
      <w:r>
        <w:t>平方千米，下辖</w:t>
      </w:r>
      <w:r>
        <w:t>17</w:t>
      </w:r>
      <w:r>
        <w:t>个团镇、乡。</w:t>
      </w:r>
      <w:r>
        <w:t>2025</w:t>
      </w:r>
      <w:r>
        <w:t>年，辖区总人口</w:t>
      </w:r>
      <w:r>
        <w:t>57.</w:t>
      </w:r>
      <w:r>
        <w:rPr>
          <w:rFonts w:hint="eastAsia"/>
        </w:rPr>
        <w:t>35</w:t>
      </w:r>
      <w:r>
        <w:t>万人；生产总值</w:t>
      </w:r>
      <w:r>
        <w:t>462.74</w:t>
      </w:r>
      <w:r>
        <w:t>亿元，占兵团的</w:t>
      </w:r>
      <w:r>
        <w:t>11.7%</w:t>
      </w:r>
      <w:r>
        <w:t>，占南疆兵团的</w:t>
      </w:r>
      <w:r>
        <w:t>45.9%</w:t>
      </w:r>
      <w:r>
        <w:t>，是南疆兵团综合实力最强、人口体量最大、基础条件最好的师市。具体发展概况见专栏</w:t>
      </w:r>
      <w:r>
        <w:t>1</w:t>
      </w:r>
      <w: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0"/>
        <w:gridCol w:w="4283"/>
        <w:gridCol w:w="1916"/>
        <w:gridCol w:w="1325"/>
      </w:tblGrid>
      <w:tr w:rsidR="00107085" w14:paraId="090EA08E" w14:textId="77777777">
        <w:trPr>
          <w:trHeight w:val="90"/>
          <w:tblHeader/>
          <w:jc w:val="center"/>
        </w:trPr>
        <w:tc>
          <w:tcPr>
            <w:tcW w:w="5000" w:type="pct"/>
            <w:gridSpan w:val="4"/>
            <w:shd w:val="clear" w:color="auto" w:fill="F2F2F2" w:themeFill="background1" w:themeFillShade="F2"/>
            <w:vAlign w:val="center"/>
          </w:tcPr>
          <w:p w14:paraId="713E9608" w14:textId="77777777" w:rsidR="00107085" w:rsidRDefault="00000000">
            <w:pPr>
              <w:widowControl/>
              <w:spacing w:line="240" w:lineRule="auto"/>
              <w:ind w:firstLineChars="0" w:firstLine="0"/>
              <w:jc w:val="center"/>
              <w:rPr>
                <w:rFonts w:eastAsia="仿宋"/>
                <w:b/>
                <w:bCs/>
                <w:kern w:val="0"/>
                <w:sz w:val="21"/>
                <w:szCs w:val="21"/>
              </w:rPr>
            </w:pPr>
            <w:r>
              <w:rPr>
                <w:rFonts w:eastAsia="楷体"/>
                <w:b/>
                <w:bCs/>
                <w:kern w:val="0"/>
                <w:sz w:val="21"/>
                <w:szCs w:val="21"/>
              </w:rPr>
              <w:t>专栏</w:t>
            </w:r>
            <w:r>
              <w:rPr>
                <w:rFonts w:eastAsia="楷体"/>
                <w:b/>
                <w:bCs/>
                <w:kern w:val="0"/>
                <w:sz w:val="21"/>
                <w:szCs w:val="21"/>
              </w:rPr>
              <w:t xml:space="preserve">1  </w:t>
            </w:r>
            <w:r>
              <w:rPr>
                <w:rFonts w:eastAsia="楷体"/>
                <w:b/>
                <w:bCs/>
                <w:kern w:val="0"/>
                <w:sz w:val="21"/>
                <w:szCs w:val="21"/>
              </w:rPr>
              <w:t>新疆生产建设兵团第一师行政及经济社会发展概况</w:t>
            </w:r>
          </w:p>
        </w:tc>
      </w:tr>
      <w:tr w:rsidR="00107085" w14:paraId="14086858" w14:textId="77777777">
        <w:trPr>
          <w:trHeight w:hRule="exact" w:val="363"/>
          <w:tblHeader/>
          <w:jc w:val="center"/>
        </w:trPr>
        <w:tc>
          <w:tcPr>
            <w:tcW w:w="571" w:type="pct"/>
          </w:tcPr>
          <w:p w14:paraId="11320D94" w14:textId="77777777" w:rsidR="00107085" w:rsidRDefault="00107085">
            <w:pPr>
              <w:widowControl/>
              <w:snapToGrid w:val="0"/>
              <w:spacing w:line="240" w:lineRule="auto"/>
              <w:ind w:firstLineChars="0" w:firstLine="0"/>
              <w:jc w:val="center"/>
              <w:rPr>
                <w:rFonts w:eastAsia="仿宋"/>
                <w:sz w:val="21"/>
                <w:szCs w:val="21"/>
              </w:rPr>
            </w:pPr>
          </w:p>
        </w:tc>
        <w:tc>
          <w:tcPr>
            <w:tcW w:w="2521" w:type="pct"/>
          </w:tcPr>
          <w:p w14:paraId="483F9DC3" w14:textId="77777777" w:rsidR="00107085" w:rsidRDefault="00000000">
            <w:pPr>
              <w:widowControl/>
              <w:snapToGrid w:val="0"/>
              <w:spacing w:line="240" w:lineRule="auto"/>
              <w:ind w:firstLineChars="0" w:firstLine="0"/>
              <w:jc w:val="center"/>
              <w:rPr>
                <w:rFonts w:eastAsia="黑体"/>
                <w:sz w:val="21"/>
                <w:szCs w:val="21"/>
              </w:rPr>
            </w:pPr>
            <w:r>
              <w:rPr>
                <w:rFonts w:eastAsia="黑体"/>
                <w:sz w:val="21"/>
                <w:szCs w:val="21"/>
              </w:rPr>
              <w:t>分</w:t>
            </w:r>
            <w:r>
              <w:rPr>
                <w:rFonts w:eastAsia="黑体"/>
                <w:sz w:val="21"/>
                <w:szCs w:val="21"/>
              </w:rPr>
              <w:t xml:space="preserve">  </w:t>
            </w:r>
            <w:r>
              <w:rPr>
                <w:rFonts w:eastAsia="黑体"/>
                <w:sz w:val="21"/>
                <w:szCs w:val="21"/>
              </w:rPr>
              <w:t>类</w:t>
            </w:r>
          </w:p>
        </w:tc>
        <w:tc>
          <w:tcPr>
            <w:tcW w:w="1128" w:type="pct"/>
          </w:tcPr>
          <w:p w14:paraId="4B94281E" w14:textId="77777777" w:rsidR="00107085" w:rsidRDefault="00000000">
            <w:pPr>
              <w:widowControl/>
              <w:snapToGrid w:val="0"/>
              <w:spacing w:line="240" w:lineRule="auto"/>
              <w:ind w:firstLineChars="0" w:firstLine="0"/>
              <w:jc w:val="center"/>
              <w:rPr>
                <w:rFonts w:eastAsia="黑体"/>
                <w:sz w:val="21"/>
                <w:szCs w:val="21"/>
              </w:rPr>
            </w:pPr>
            <w:r>
              <w:rPr>
                <w:rFonts w:eastAsia="黑体"/>
                <w:sz w:val="21"/>
                <w:szCs w:val="21"/>
              </w:rPr>
              <w:t>单位</w:t>
            </w:r>
          </w:p>
        </w:tc>
        <w:tc>
          <w:tcPr>
            <w:tcW w:w="780" w:type="pct"/>
          </w:tcPr>
          <w:p w14:paraId="0DD3DE6B" w14:textId="77777777" w:rsidR="00107085" w:rsidRDefault="00000000">
            <w:pPr>
              <w:widowControl/>
              <w:snapToGrid w:val="0"/>
              <w:spacing w:line="240" w:lineRule="auto"/>
              <w:ind w:firstLineChars="0" w:firstLine="0"/>
              <w:jc w:val="center"/>
              <w:rPr>
                <w:rFonts w:eastAsia="黑体"/>
                <w:sz w:val="21"/>
                <w:szCs w:val="21"/>
              </w:rPr>
            </w:pPr>
            <w:r>
              <w:rPr>
                <w:rFonts w:eastAsia="黑体"/>
                <w:sz w:val="21"/>
                <w:szCs w:val="21"/>
              </w:rPr>
              <w:t>数量</w:t>
            </w:r>
          </w:p>
        </w:tc>
      </w:tr>
      <w:tr w:rsidR="00107085" w14:paraId="22CB45EB" w14:textId="77777777">
        <w:trPr>
          <w:trHeight w:val="339"/>
          <w:jc w:val="center"/>
        </w:trPr>
        <w:tc>
          <w:tcPr>
            <w:tcW w:w="571" w:type="pct"/>
            <w:vMerge w:val="restart"/>
            <w:vAlign w:val="center"/>
          </w:tcPr>
          <w:p w14:paraId="2197B7A9"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行政</w:t>
            </w:r>
          </w:p>
        </w:tc>
        <w:tc>
          <w:tcPr>
            <w:tcW w:w="2521" w:type="pct"/>
            <w:vAlign w:val="center"/>
          </w:tcPr>
          <w:p w14:paraId="546D9101"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团镇、乡个数</w:t>
            </w:r>
          </w:p>
        </w:tc>
        <w:tc>
          <w:tcPr>
            <w:tcW w:w="1128" w:type="pct"/>
            <w:vAlign w:val="center"/>
          </w:tcPr>
          <w:p w14:paraId="0A60BF90"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个</w:t>
            </w:r>
          </w:p>
        </w:tc>
        <w:tc>
          <w:tcPr>
            <w:tcW w:w="780" w:type="pct"/>
            <w:vAlign w:val="center"/>
          </w:tcPr>
          <w:p w14:paraId="3CA1B5E1"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17</w:t>
            </w:r>
          </w:p>
        </w:tc>
      </w:tr>
      <w:tr w:rsidR="00107085" w14:paraId="4D54CCB4" w14:textId="77777777">
        <w:trPr>
          <w:trHeight w:val="170"/>
          <w:jc w:val="center"/>
        </w:trPr>
        <w:tc>
          <w:tcPr>
            <w:tcW w:w="571" w:type="pct"/>
            <w:vMerge/>
            <w:vAlign w:val="center"/>
          </w:tcPr>
          <w:p w14:paraId="6B45FF4B" w14:textId="77777777" w:rsidR="00107085" w:rsidRDefault="00107085">
            <w:pPr>
              <w:snapToGrid w:val="0"/>
              <w:spacing w:line="240" w:lineRule="auto"/>
              <w:ind w:firstLineChars="0" w:firstLine="0"/>
              <w:jc w:val="center"/>
              <w:rPr>
                <w:rFonts w:eastAsia="宋体"/>
                <w:kern w:val="0"/>
                <w:sz w:val="21"/>
                <w:szCs w:val="21"/>
              </w:rPr>
            </w:pPr>
          </w:p>
        </w:tc>
        <w:tc>
          <w:tcPr>
            <w:tcW w:w="2521" w:type="pct"/>
            <w:vAlign w:val="center"/>
          </w:tcPr>
          <w:p w14:paraId="775FBF8D"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人口</w:t>
            </w:r>
          </w:p>
        </w:tc>
        <w:tc>
          <w:tcPr>
            <w:tcW w:w="1128" w:type="pct"/>
            <w:vAlign w:val="center"/>
          </w:tcPr>
          <w:p w14:paraId="2F448639"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万人</w:t>
            </w:r>
          </w:p>
        </w:tc>
        <w:tc>
          <w:tcPr>
            <w:tcW w:w="780" w:type="pct"/>
            <w:vAlign w:val="center"/>
          </w:tcPr>
          <w:p w14:paraId="72DE183D"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57.</w:t>
            </w:r>
            <w:r>
              <w:rPr>
                <w:rFonts w:eastAsia="宋体" w:hint="eastAsia"/>
                <w:kern w:val="0"/>
                <w:sz w:val="21"/>
                <w:szCs w:val="21"/>
              </w:rPr>
              <w:t>35</w:t>
            </w:r>
          </w:p>
        </w:tc>
      </w:tr>
      <w:tr w:rsidR="00107085" w14:paraId="1CBB5266" w14:textId="77777777">
        <w:trPr>
          <w:trHeight w:val="148"/>
          <w:jc w:val="center"/>
        </w:trPr>
        <w:tc>
          <w:tcPr>
            <w:tcW w:w="571" w:type="pct"/>
            <w:vMerge/>
            <w:vAlign w:val="center"/>
          </w:tcPr>
          <w:p w14:paraId="493DE8A3" w14:textId="77777777" w:rsidR="00107085" w:rsidRDefault="00107085">
            <w:pPr>
              <w:snapToGrid w:val="0"/>
              <w:spacing w:line="240" w:lineRule="auto"/>
              <w:ind w:firstLineChars="0" w:firstLine="0"/>
              <w:jc w:val="center"/>
              <w:rPr>
                <w:rFonts w:eastAsia="宋体"/>
                <w:kern w:val="0"/>
                <w:sz w:val="21"/>
                <w:szCs w:val="21"/>
              </w:rPr>
            </w:pPr>
          </w:p>
        </w:tc>
        <w:tc>
          <w:tcPr>
            <w:tcW w:w="2521" w:type="pct"/>
            <w:vAlign w:val="center"/>
          </w:tcPr>
          <w:p w14:paraId="6712877C"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面积</w:t>
            </w:r>
          </w:p>
        </w:tc>
        <w:tc>
          <w:tcPr>
            <w:tcW w:w="1128" w:type="pct"/>
            <w:vAlign w:val="center"/>
          </w:tcPr>
          <w:p w14:paraId="4CE48AD2"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平方千米</w:t>
            </w:r>
          </w:p>
        </w:tc>
        <w:tc>
          <w:tcPr>
            <w:tcW w:w="780" w:type="pct"/>
            <w:vAlign w:val="center"/>
          </w:tcPr>
          <w:p w14:paraId="76AE6DE8"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7241.3</w:t>
            </w:r>
          </w:p>
        </w:tc>
      </w:tr>
      <w:tr w:rsidR="00107085" w14:paraId="4142BA04" w14:textId="77777777">
        <w:trPr>
          <w:trHeight w:hRule="exact" w:val="430"/>
          <w:jc w:val="center"/>
        </w:trPr>
        <w:tc>
          <w:tcPr>
            <w:tcW w:w="571" w:type="pct"/>
            <w:vMerge w:val="restart"/>
            <w:vAlign w:val="center"/>
          </w:tcPr>
          <w:p w14:paraId="5954C2EF"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经济</w:t>
            </w:r>
          </w:p>
        </w:tc>
        <w:tc>
          <w:tcPr>
            <w:tcW w:w="2521" w:type="pct"/>
            <w:vAlign w:val="center"/>
          </w:tcPr>
          <w:p w14:paraId="23C7274A"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生产总值</w:t>
            </w:r>
          </w:p>
        </w:tc>
        <w:tc>
          <w:tcPr>
            <w:tcW w:w="1128" w:type="pct"/>
            <w:vAlign w:val="center"/>
          </w:tcPr>
          <w:p w14:paraId="2A3AFAE8"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亿元</w:t>
            </w:r>
          </w:p>
        </w:tc>
        <w:tc>
          <w:tcPr>
            <w:tcW w:w="780" w:type="pct"/>
            <w:vAlign w:val="center"/>
          </w:tcPr>
          <w:p w14:paraId="33B85286"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462.74</w:t>
            </w:r>
          </w:p>
        </w:tc>
      </w:tr>
      <w:tr w:rsidR="00107085" w14:paraId="1F05AE44" w14:textId="77777777">
        <w:trPr>
          <w:trHeight w:hRule="exact" w:val="421"/>
          <w:jc w:val="center"/>
        </w:trPr>
        <w:tc>
          <w:tcPr>
            <w:tcW w:w="571" w:type="pct"/>
            <w:vMerge/>
            <w:vAlign w:val="center"/>
          </w:tcPr>
          <w:p w14:paraId="37E71567" w14:textId="77777777" w:rsidR="00107085" w:rsidRDefault="00107085">
            <w:pPr>
              <w:snapToGrid w:val="0"/>
              <w:spacing w:line="240" w:lineRule="auto"/>
              <w:ind w:firstLineChars="0" w:firstLine="0"/>
              <w:jc w:val="center"/>
              <w:rPr>
                <w:rFonts w:eastAsia="宋体"/>
                <w:kern w:val="0"/>
                <w:sz w:val="21"/>
                <w:szCs w:val="21"/>
              </w:rPr>
            </w:pPr>
          </w:p>
        </w:tc>
        <w:tc>
          <w:tcPr>
            <w:tcW w:w="2521" w:type="pct"/>
            <w:vAlign w:val="center"/>
          </w:tcPr>
          <w:p w14:paraId="372CE41D"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固定资产投资</w:t>
            </w:r>
          </w:p>
        </w:tc>
        <w:tc>
          <w:tcPr>
            <w:tcW w:w="1128" w:type="pct"/>
            <w:vAlign w:val="center"/>
          </w:tcPr>
          <w:p w14:paraId="50380241"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亿元</w:t>
            </w:r>
          </w:p>
        </w:tc>
        <w:tc>
          <w:tcPr>
            <w:tcW w:w="780" w:type="pct"/>
            <w:vAlign w:val="center"/>
          </w:tcPr>
          <w:p w14:paraId="0FBB49AA"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225.36</w:t>
            </w:r>
          </w:p>
        </w:tc>
      </w:tr>
      <w:tr w:rsidR="00107085" w14:paraId="28222CA9" w14:textId="77777777">
        <w:trPr>
          <w:trHeight w:hRule="exact" w:val="427"/>
          <w:jc w:val="center"/>
        </w:trPr>
        <w:tc>
          <w:tcPr>
            <w:tcW w:w="571" w:type="pct"/>
            <w:vMerge/>
            <w:vAlign w:val="center"/>
          </w:tcPr>
          <w:p w14:paraId="37FB2053" w14:textId="77777777" w:rsidR="00107085" w:rsidRDefault="00107085">
            <w:pPr>
              <w:snapToGrid w:val="0"/>
              <w:spacing w:line="240" w:lineRule="auto"/>
              <w:ind w:firstLineChars="0" w:firstLine="0"/>
              <w:jc w:val="center"/>
              <w:rPr>
                <w:rFonts w:eastAsia="宋体"/>
                <w:kern w:val="0"/>
                <w:sz w:val="21"/>
                <w:szCs w:val="21"/>
              </w:rPr>
            </w:pPr>
          </w:p>
        </w:tc>
        <w:tc>
          <w:tcPr>
            <w:tcW w:w="2521" w:type="pct"/>
            <w:vAlign w:val="center"/>
          </w:tcPr>
          <w:p w14:paraId="3813DDC7"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一般公共预算收入</w:t>
            </w:r>
          </w:p>
        </w:tc>
        <w:tc>
          <w:tcPr>
            <w:tcW w:w="1128" w:type="pct"/>
            <w:vAlign w:val="center"/>
          </w:tcPr>
          <w:p w14:paraId="6D2FFC06"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亿元</w:t>
            </w:r>
          </w:p>
        </w:tc>
        <w:tc>
          <w:tcPr>
            <w:tcW w:w="780" w:type="pct"/>
            <w:vAlign w:val="center"/>
          </w:tcPr>
          <w:p w14:paraId="64E45F20"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18.8</w:t>
            </w:r>
          </w:p>
        </w:tc>
      </w:tr>
      <w:tr w:rsidR="00107085" w14:paraId="28F37203" w14:textId="77777777">
        <w:trPr>
          <w:trHeight w:hRule="exact" w:val="476"/>
          <w:jc w:val="center"/>
        </w:trPr>
        <w:tc>
          <w:tcPr>
            <w:tcW w:w="571" w:type="pct"/>
            <w:vMerge/>
            <w:vAlign w:val="center"/>
          </w:tcPr>
          <w:p w14:paraId="421827A9" w14:textId="77777777" w:rsidR="00107085" w:rsidRDefault="00107085">
            <w:pPr>
              <w:snapToGrid w:val="0"/>
              <w:spacing w:line="240" w:lineRule="auto"/>
              <w:ind w:firstLineChars="0" w:firstLine="0"/>
              <w:jc w:val="center"/>
              <w:rPr>
                <w:rFonts w:eastAsia="宋体"/>
                <w:kern w:val="0"/>
                <w:sz w:val="21"/>
                <w:szCs w:val="21"/>
              </w:rPr>
            </w:pPr>
          </w:p>
        </w:tc>
        <w:tc>
          <w:tcPr>
            <w:tcW w:w="2521" w:type="pct"/>
            <w:vAlign w:val="center"/>
          </w:tcPr>
          <w:p w14:paraId="33B65730"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招商引资形成实物量</w:t>
            </w:r>
          </w:p>
        </w:tc>
        <w:tc>
          <w:tcPr>
            <w:tcW w:w="1128" w:type="pct"/>
            <w:vAlign w:val="center"/>
          </w:tcPr>
          <w:p w14:paraId="753B8947"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亿元</w:t>
            </w:r>
          </w:p>
        </w:tc>
        <w:tc>
          <w:tcPr>
            <w:tcW w:w="780" w:type="pct"/>
            <w:vAlign w:val="center"/>
          </w:tcPr>
          <w:p w14:paraId="080E5585"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106.15</w:t>
            </w:r>
          </w:p>
        </w:tc>
      </w:tr>
      <w:tr w:rsidR="00107085" w14:paraId="325893E6" w14:textId="77777777">
        <w:trPr>
          <w:trHeight w:hRule="exact" w:val="415"/>
          <w:jc w:val="center"/>
        </w:trPr>
        <w:tc>
          <w:tcPr>
            <w:tcW w:w="571" w:type="pct"/>
            <w:vMerge/>
            <w:vAlign w:val="center"/>
          </w:tcPr>
          <w:p w14:paraId="1E699464" w14:textId="77777777" w:rsidR="00107085" w:rsidRDefault="00107085">
            <w:pPr>
              <w:snapToGrid w:val="0"/>
              <w:spacing w:line="240" w:lineRule="auto"/>
              <w:ind w:firstLineChars="0" w:firstLine="0"/>
              <w:jc w:val="center"/>
              <w:rPr>
                <w:rFonts w:eastAsia="宋体"/>
                <w:kern w:val="0"/>
                <w:sz w:val="21"/>
                <w:szCs w:val="21"/>
              </w:rPr>
            </w:pPr>
          </w:p>
        </w:tc>
        <w:tc>
          <w:tcPr>
            <w:tcW w:w="2521" w:type="pct"/>
            <w:vAlign w:val="center"/>
          </w:tcPr>
          <w:p w14:paraId="536E75C0"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新增</w:t>
            </w:r>
            <w:r>
              <w:rPr>
                <w:rFonts w:eastAsia="宋体" w:hint="eastAsia"/>
                <w:kern w:val="0"/>
                <w:sz w:val="21"/>
                <w:szCs w:val="21"/>
              </w:rPr>
              <w:t>“</w:t>
            </w:r>
            <w:r>
              <w:rPr>
                <w:rFonts w:eastAsia="宋体"/>
                <w:kern w:val="0"/>
                <w:sz w:val="21"/>
                <w:szCs w:val="21"/>
              </w:rPr>
              <w:t>四上企业</w:t>
            </w:r>
            <w:r>
              <w:rPr>
                <w:rFonts w:eastAsia="宋体" w:hint="eastAsia"/>
                <w:kern w:val="0"/>
                <w:sz w:val="21"/>
                <w:szCs w:val="21"/>
              </w:rPr>
              <w:t>”</w:t>
            </w:r>
          </w:p>
        </w:tc>
        <w:tc>
          <w:tcPr>
            <w:tcW w:w="1128" w:type="pct"/>
            <w:vAlign w:val="center"/>
          </w:tcPr>
          <w:p w14:paraId="4FA83425"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家</w:t>
            </w:r>
          </w:p>
        </w:tc>
        <w:tc>
          <w:tcPr>
            <w:tcW w:w="780" w:type="pct"/>
            <w:vAlign w:val="center"/>
          </w:tcPr>
          <w:p w14:paraId="02E550C7" w14:textId="77777777" w:rsidR="00107085" w:rsidRDefault="00000000">
            <w:pPr>
              <w:snapToGrid w:val="0"/>
              <w:spacing w:line="240" w:lineRule="auto"/>
              <w:ind w:firstLineChars="0" w:firstLine="0"/>
              <w:jc w:val="center"/>
              <w:rPr>
                <w:rFonts w:eastAsia="宋体"/>
                <w:kern w:val="0"/>
                <w:sz w:val="21"/>
                <w:szCs w:val="21"/>
              </w:rPr>
            </w:pPr>
            <w:r>
              <w:rPr>
                <w:rFonts w:eastAsia="宋体"/>
                <w:kern w:val="0"/>
                <w:sz w:val="21"/>
                <w:szCs w:val="21"/>
              </w:rPr>
              <w:t>52</w:t>
            </w:r>
          </w:p>
        </w:tc>
      </w:tr>
    </w:tbl>
    <w:p w14:paraId="0B2E9B7A" w14:textId="77777777" w:rsidR="00107085" w:rsidRDefault="00000000">
      <w:pPr>
        <w:ind w:firstLine="640"/>
      </w:pPr>
      <w:r>
        <w:t>截至</w:t>
      </w:r>
      <w:r>
        <w:t>2025</w:t>
      </w:r>
      <w:r>
        <w:t>年，在师市党委的领导下，师市各级各部门积极服务和融入新发展格局，坚持稳中求进工作总基调，全力抓好产业质量、项目建设、改革创新、民生改善等各项工作，师市经济社会实现平稳健康发展。实现工业总产值</w:t>
      </w:r>
      <w:r>
        <w:t>266.33</w:t>
      </w:r>
      <w:r>
        <w:t>亿元，增长</w:t>
      </w:r>
      <w:r>
        <w:t>16.5%</w:t>
      </w:r>
      <w:r>
        <w:t>，规上工业增加值增长</w:t>
      </w:r>
      <w:r>
        <w:t>14.1%</w:t>
      </w:r>
      <w:r>
        <w:t>。形成招商引资实物量</w:t>
      </w:r>
      <w:r>
        <w:t>106.15</w:t>
      </w:r>
      <w:r>
        <w:t>亿元。完成限额以上社会消费品零售总额</w:t>
      </w:r>
      <w:r>
        <w:t>22.99</w:t>
      </w:r>
      <w:r>
        <w:t>亿元，增长</w:t>
      </w:r>
      <w:r>
        <w:t>32.7%</w:t>
      </w:r>
      <w:r>
        <w:t>。一般公共预算收入</w:t>
      </w:r>
      <w:r>
        <w:t>18.8</w:t>
      </w:r>
      <w:r>
        <w:t>亿元，增长</w:t>
      </w:r>
      <w:r>
        <w:t>17.1%</w:t>
      </w:r>
      <w:r>
        <w:t>。</w:t>
      </w:r>
      <w:r>
        <w:lastRenderedPageBreak/>
        <w:t>新增</w:t>
      </w:r>
      <w:r>
        <w:rPr>
          <w:rFonts w:hint="eastAsia"/>
        </w:rPr>
        <w:t>“</w:t>
      </w:r>
      <w:r>
        <w:t>四上企业</w:t>
      </w:r>
      <w:r>
        <w:rPr>
          <w:rFonts w:hint="eastAsia"/>
        </w:rPr>
        <w:t>”</w:t>
      </w:r>
      <w:r>
        <w:t>52</w:t>
      </w:r>
      <w:r>
        <w:t>家，规上工业企业</w:t>
      </w:r>
      <w:r>
        <w:t>9</w:t>
      </w:r>
      <w:r>
        <w:t>家、高新技术企业</w:t>
      </w:r>
      <w:r>
        <w:t>14</w:t>
      </w:r>
      <w:r>
        <w:t>家、科技型中小企业</w:t>
      </w:r>
      <w:r>
        <w:t>27</w:t>
      </w:r>
      <w:r>
        <w:t>家。社会各界对师市发展前景满怀期许、信心十足，中心城市辐射力、带动力、知晓度持续提升。</w:t>
      </w:r>
    </w:p>
    <w:p w14:paraId="160F554A" w14:textId="77777777" w:rsidR="00107085" w:rsidRDefault="00000000">
      <w:pPr>
        <w:ind w:firstLine="640"/>
      </w:pPr>
      <w:r>
        <w:t>师市社会稳定，工业经济稳步增长，第三产业健康发展，交通运输、旅游、通讯等发展较快，城市建设力度不断加大，各项社会事业全面发展，改善了城市面貌，提高了城市形象。随着师市经济和人口增长，城镇化建设大规模展开，人均资源消费水平将稳步增长，这要求矿产资源提供更加有效的保障。</w:t>
      </w:r>
    </w:p>
    <w:p w14:paraId="6547B3AC" w14:textId="76DE256B" w:rsidR="00107085" w:rsidRDefault="00000000">
      <w:pPr>
        <w:ind w:firstLine="640"/>
        <w:rPr>
          <w:rFonts w:eastAsia="仿宋"/>
        </w:rPr>
      </w:pPr>
      <w:r>
        <w:t>第一师阿拉尔市水资源供需矛盾突出，现有灌溉面积</w:t>
      </w:r>
      <w:r>
        <w:t>439</w:t>
      </w:r>
      <w:r>
        <w:t>万亩，水指标</w:t>
      </w:r>
      <w:r>
        <w:t>23.97</w:t>
      </w:r>
      <w:r>
        <w:t>亿</w:t>
      </w:r>
      <w:r>
        <w:rPr>
          <w:rFonts w:hint="eastAsia"/>
        </w:rPr>
        <w:t>立方米</w:t>
      </w:r>
      <w:r>
        <w:t>，近</w:t>
      </w:r>
      <w:r>
        <w:rPr>
          <w:rFonts w:hint="eastAsia"/>
        </w:rPr>
        <w:t>年来</w:t>
      </w:r>
      <w:r>
        <w:t>种植结构调整、粮食种植面积逐年增大，加之上游、胜利、多浪、新井子引洪蓄库，水库淤积严重，水库调节灌溉能力下降，用水量增大，供需矛盾突出。已建上游、胜利、多浪、新井子、齐满、西大桥、五团水库</w:t>
      </w:r>
      <w:r>
        <w:t>7</w:t>
      </w:r>
      <w:r>
        <w:t>座，库容</w:t>
      </w:r>
      <w:r>
        <w:t>5.69</w:t>
      </w:r>
      <w:r>
        <w:t>亿</w:t>
      </w:r>
      <w:r>
        <w:rPr>
          <w:rFonts w:hint="eastAsia"/>
        </w:rPr>
        <w:t>立方米</w:t>
      </w:r>
      <w:r>
        <w:t>，已建索喀库勒沉砂池</w:t>
      </w:r>
      <w:r>
        <w:t>1</w:t>
      </w:r>
      <w:r>
        <w:t>座，库容</w:t>
      </w:r>
      <w:r>
        <w:t>0.022</w:t>
      </w:r>
      <w:r>
        <w:t>亿</w:t>
      </w:r>
      <w:r>
        <w:rPr>
          <w:rFonts w:hint="eastAsia"/>
        </w:rPr>
        <w:t>立方米</w:t>
      </w:r>
      <w:r>
        <w:t>，在建一团沉砂池、新和产业园调节池</w:t>
      </w:r>
      <w:r>
        <w:t>2</w:t>
      </w:r>
      <w:r>
        <w:t>座，库容</w:t>
      </w:r>
      <w:r>
        <w:t>0.1585</w:t>
      </w:r>
      <w:r>
        <w:t>亿</w:t>
      </w:r>
      <w:r>
        <w:rPr>
          <w:rFonts w:hint="eastAsia"/>
        </w:rPr>
        <w:t>立方米</w:t>
      </w:r>
      <w:r>
        <w:t>，拟建五团沉砂池</w:t>
      </w:r>
      <w:r>
        <w:t>1</w:t>
      </w:r>
      <w:r>
        <w:t>座，库容</w:t>
      </w:r>
      <w:r>
        <w:t>0.19</w:t>
      </w:r>
      <w:r>
        <w:t>亿</w:t>
      </w:r>
      <w:r>
        <w:rPr>
          <w:rFonts w:hint="eastAsia"/>
        </w:rPr>
        <w:t>立方米</w:t>
      </w:r>
      <w:r>
        <w:t>。</w:t>
      </w:r>
    </w:p>
    <w:p w14:paraId="0AC4CBBE" w14:textId="77777777" w:rsidR="00107085" w:rsidRDefault="00000000" w:rsidP="00F5787E">
      <w:pPr>
        <w:pStyle w:val="2"/>
        <w:keepLines w:val="0"/>
        <w:spacing w:beforeLines="0" w:before="0" w:afterLines="0" w:after="0" w:line="540" w:lineRule="exact"/>
        <w:ind w:left="3" w:firstLineChars="200" w:firstLine="640"/>
        <w:jc w:val="both"/>
        <w:rPr>
          <w:rFonts w:ascii="Times New Roman" w:eastAsia="楷体" w:hAnsi="Times New Roman" w:cs="Times New Roman"/>
          <w:b w:val="0"/>
          <w:sz w:val="32"/>
          <w:szCs w:val="32"/>
        </w:rPr>
      </w:pPr>
      <w:bookmarkStart w:id="19" w:name="_Toc454459653"/>
      <w:bookmarkStart w:id="20" w:name="_Toc484702073"/>
      <w:bookmarkStart w:id="21" w:name="_Toc449431790"/>
      <w:bookmarkStart w:id="22" w:name="_Toc481601715"/>
      <w:bookmarkStart w:id="23" w:name="_Toc481657814"/>
      <w:bookmarkStart w:id="24" w:name="_Toc450161925"/>
      <w:bookmarkStart w:id="25" w:name="_Toc468812764"/>
      <w:bookmarkStart w:id="26" w:name="_Toc227172371"/>
      <w:bookmarkStart w:id="27" w:name="_Toc237883251"/>
      <w:bookmarkStart w:id="28" w:name="_Toc327518528"/>
      <w:bookmarkStart w:id="29" w:name="_Toc327300934"/>
      <w:bookmarkStart w:id="30" w:name="_Toc327300505"/>
      <w:bookmarkStart w:id="31" w:name="_Toc322616734"/>
      <w:r>
        <w:rPr>
          <w:rFonts w:ascii="Times New Roman" w:eastAsia="楷体" w:hAnsi="Times New Roman" w:cs="Times New Roman"/>
          <w:b w:val="0"/>
          <w:sz w:val="32"/>
          <w:szCs w:val="32"/>
        </w:rPr>
        <w:t>（二）矿产资源及勘查开发现状</w:t>
      </w:r>
      <w:bookmarkEnd w:id="19"/>
      <w:bookmarkEnd w:id="20"/>
      <w:bookmarkEnd w:id="21"/>
      <w:bookmarkEnd w:id="22"/>
      <w:bookmarkEnd w:id="23"/>
      <w:bookmarkEnd w:id="24"/>
      <w:bookmarkEnd w:id="25"/>
      <w:bookmarkEnd w:id="26"/>
      <w:bookmarkEnd w:id="27"/>
    </w:p>
    <w:p w14:paraId="3AC8EDF9" w14:textId="77777777" w:rsidR="00107085" w:rsidRDefault="00000000">
      <w:pPr>
        <w:ind w:firstLine="643"/>
        <w:rPr>
          <w:b/>
          <w:bCs/>
        </w:rPr>
      </w:pPr>
      <w:r>
        <w:rPr>
          <w:rFonts w:ascii="方正楷体_GBK" w:eastAsia="方正楷体_GBK" w:hint="eastAsia"/>
          <w:b/>
          <w:bCs/>
        </w:rPr>
        <w:t>矿产资源概况</w:t>
      </w:r>
      <w:r>
        <w:rPr>
          <w:b/>
          <w:bCs/>
        </w:rPr>
        <w:t>。</w:t>
      </w:r>
      <w:r>
        <w:t>目前，第一师阿拉尔市已发现矿产资源主要为非金属矿，以建筑用砂矿和砖瓦用粘土为主。建筑用砂在市域内分布广泛，砖瓦用粘土主要分布于市域中部。此外，库沙新拜产业园所在区域非金属矿产资源丰富，园内的风积沙、建筑用砂等资源在推动新型建材产业发展及支撑园区循环经济与城镇化建设中具有战略价值。</w:t>
      </w:r>
    </w:p>
    <w:p w14:paraId="495E3AE7" w14:textId="77777777" w:rsidR="00107085" w:rsidRDefault="00000000">
      <w:pPr>
        <w:ind w:firstLine="643"/>
      </w:pPr>
      <w:r>
        <w:rPr>
          <w:rFonts w:ascii="方正楷体_GBK" w:eastAsia="方正楷体_GBK"/>
          <w:b/>
          <w:bCs/>
        </w:rPr>
        <w:lastRenderedPageBreak/>
        <w:t>地质调查与矿产勘查现状</w:t>
      </w:r>
      <w:r>
        <w:rPr>
          <w:b/>
          <w:bCs/>
        </w:rPr>
        <w:t>。</w:t>
      </w:r>
      <w:r>
        <w:t>截至</w:t>
      </w:r>
      <w:r>
        <w:t>2025</w:t>
      </w:r>
      <w:r>
        <w:t>年底，第一师阿拉尔市基础地质与矿产勘查工作程度显著提升，但整体仍呈现</w:t>
      </w:r>
      <w:r>
        <w:rPr>
          <w:rFonts w:hint="eastAsia"/>
        </w:rPr>
        <w:t>“</w:t>
      </w:r>
      <w:r>
        <w:t>非金属勘查相对较高、基础调查与能源金属勘查偏低</w:t>
      </w:r>
      <w:r>
        <w:rPr>
          <w:rFonts w:hint="eastAsia"/>
        </w:rPr>
        <w:t>”</w:t>
      </w:r>
      <w:r>
        <w:t>的特征。在基础地质调查方面，辖区</w:t>
      </w:r>
      <w:r>
        <w:t>7241.3</w:t>
      </w:r>
      <w:r>
        <w:t>平方千米已全面完成</w:t>
      </w:r>
      <w:r>
        <w:t>1</w:t>
      </w:r>
      <w:r>
        <w:rPr>
          <w:rFonts w:ascii="仿宋_GB2312" w:hAnsi="仿宋_GB2312" w:cs="仿宋_GB2312" w:hint="eastAsia"/>
          <w:sz w:val="28"/>
          <w:szCs w:val="28"/>
        </w:rPr>
        <w:t>∶</w:t>
      </w:r>
      <w:r>
        <w:t>20</w:t>
      </w:r>
      <w:r>
        <w:t>万区域地质调查，实现</w:t>
      </w:r>
      <w:r>
        <w:t>100%</w:t>
      </w:r>
      <w:r>
        <w:t>全覆盖；防灾减灾底数进一步摸清，已全面完成地质灾害风险普查及第一师地质灾害更新调查项目；同时，</w:t>
      </w:r>
      <w:r>
        <w:t>1</w:t>
      </w:r>
      <w:r>
        <w:rPr>
          <w:rFonts w:ascii="仿宋_GB2312" w:hAnsi="仿宋_GB2312" w:cs="仿宋_GB2312" w:hint="eastAsia"/>
          <w:sz w:val="28"/>
          <w:szCs w:val="28"/>
        </w:rPr>
        <w:t>∶</w:t>
      </w:r>
      <w:r>
        <w:t>25</w:t>
      </w:r>
      <w:r>
        <w:t>万土地质量调查已实现全覆盖，并完成了</w:t>
      </w:r>
      <w:r>
        <w:t>1</w:t>
      </w:r>
      <w:r>
        <w:rPr>
          <w:rFonts w:ascii="仿宋_GB2312" w:hAnsi="仿宋_GB2312" w:cs="仿宋_GB2312" w:hint="eastAsia"/>
          <w:sz w:val="28"/>
          <w:szCs w:val="28"/>
        </w:rPr>
        <w:t>∶</w:t>
      </w:r>
      <w:r>
        <w:t>5</w:t>
      </w:r>
      <w:r>
        <w:t>万土地质量地球化学调查</w:t>
      </w:r>
      <w:r>
        <w:t>100</w:t>
      </w:r>
      <w:r>
        <w:t>平方千米、</w:t>
      </w:r>
      <w:r>
        <w:rPr>
          <w:rFonts w:hint="eastAsia"/>
        </w:rPr>
        <w:t>第一师</w:t>
      </w:r>
      <w:r>
        <w:t>阿拉尔市主城区多要素城市地质调查以及涉及师市面积约</w:t>
      </w:r>
      <w:r>
        <w:t>75%</w:t>
      </w:r>
      <w:r>
        <w:t>的</w:t>
      </w:r>
      <w:r>
        <w:t>1</w:t>
      </w:r>
      <w:r>
        <w:rPr>
          <w:rFonts w:ascii="仿宋_GB2312" w:hAnsi="仿宋_GB2312" w:cs="仿宋_GB2312" w:hint="eastAsia"/>
          <w:sz w:val="28"/>
          <w:szCs w:val="28"/>
        </w:rPr>
        <w:t>∶</w:t>
      </w:r>
      <w:r>
        <w:t>20</w:t>
      </w:r>
      <w:r>
        <w:t>万区域水文地质调查等工作；然而，</w:t>
      </w:r>
      <w:r>
        <w:t>1</w:t>
      </w:r>
      <w:r>
        <w:rPr>
          <w:rFonts w:ascii="仿宋_GB2312" w:hAnsi="仿宋_GB2312" w:cs="仿宋_GB2312" w:hint="eastAsia"/>
          <w:sz w:val="28"/>
          <w:szCs w:val="28"/>
        </w:rPr>
        <w:t>∶</w:t>
      </w:r>
      <w:r>
        <w:t>5</w:t>
      </w:r>
      <w:r>
        <w:t>万区域地质调查目前仅覆盖了阿拉尔和沙井子等核心区域（累计完成面积</w:t>
      </w:r>
      <w:r>
        <w:t>900</w:t>
      </w:r>
      <w:r>
        <w:t>平方千米），四团、五团等独立发展区及沙漠腹地仍存空白。</w:t>
      </w:r>
    </w:p>
    <w:p w14:paraId="3F069AC4" w14:textId="77777777" w:rsidR="00107085" w:rsidRDefault="00000000">
      <w:pPr>
        <w:ind w:firstLine="640"/>
      </w:pPr>
      <w:r>
        <w:t>在矿产勘查方面，非金属矿产重点开展了建筑用砂、砖瓦用粘土等矿产勘查。据最新储量统计，师市建筑用砂资源禀赋良好（主要分布于阿克苏河、塔里木河沿岸），辖区内共有建筑用砂矿区</w:t>
      </w:r>
      <w:r>
        <w:t>11</w:t>
      </w:r>
      <w:r>
        <w:t>个，资源量为</w:t>
      </w:r>
      <w:r>
        <w:t>1553.05</w:t>
      </w:r>
      <w:r>
        <w:t>万立方米，累计查明资源量达</w:t>
      </w:r>
      <w:r>
        <w:t>1863.48</w:t>
      </w:r>
      <w:r>
        <w:t>万立方米；砖瓦用粘土共有矿区</w:t>
      </w:r>
      <w:r>
        <w:t>1</w:t>
      </w:r>
      <w:r>
        <w:t>个，资源量为</w:t>
      </w:r>
      <w:r>
        <w:t>49.66</w:t>
      </w:r>
      <w:r>
        <w:t>万立方米，累计查明资源量为</w:t>
      </w:r>
      <w:r>
        <w:t>53.48</w:t>
      </w:r>
      <w:r>
        <w:t>万立</w:t>
      </w:r>
      <w:r>
        <w:rPr>
          <w:rFonts w:hint="eastAsia"/>
        </w:rPr>
        <w:t>方米</w:t>
      </w:r>
      <w:r>
        <w:t>，基本满足了当前基础设施建设需求；能源矿产在北部天山南麓完成了</w:t>
      </w:r>
      <w:r>
        <w:t>1</w:t>
      </w:r>
      <w:r>
        <w:rPr>
          <w:rFonts w:ascii="仿宋_GB2312" w:hAnsi="仿宋_GB2312" w:cs="仿宋_GB2312" w:hint="eastAsia"/>
          <w:sz w:val="28"/>
          <w:szCs w:val="28"/>
        </w:rPr>
        <w:t>∶</w:t>
      </w:r>
      <w:r>
        <w:t>5</w:t>
      </w:r>
      <w:r>
        <w:t>万煤炭资源远景调查，</w:t>
      </w:r>
      <w:r>
        <w:rPr>
          <w:rFonts w:ascii="仿宋_GB2312" w:hAnsi="楷体_GB2312" w:cs="楷体_GB2312" w:hint="eastAsia"/>
        </w:rPr>
        <w:t>圈定3处煤炭资源远景区，推测资源量约5000万吨，但尚未开展详查工作。</w:t>
      </w:r>
      <w:r>
        <w:t>并在沙井子垦区开展了</w:t>
      </w:r>
      <w:bookmarkStart w:id="32" w:name="OLE_LINK66"/>
      <w:r>
        <w:t>浅层油气普查</w:t>
      </w:r>
      <w:bookmarkEnd w:id="32"/>
      <w:r>
        <w:rPr>
          <w:rFonts w:hint="eastAsia"/>
        </w:rPr>
        <w:t>，</w:t>
      </w:r>
      <w:r>
        <w:t>发现</w:t>
      </w:r>
      <w:r>
        <w:t>2</w:t>
      </w:r>
      <w:r>
        <w:t>处油气显示点，初步估算</w:t>
      </w:r>
      <w:r>
        <w:rPr>
          <w:rFonts w:hint="eastAsia"/>
        </w:rPr>
        <w:t>了</w:t>
      </w:r>
      <w:r>
        <w:t>远</w:t>
      </w:r>
      <w:r>
        <w:lastRenderedPageBreak/>
        <w:t>景资源量</w:t>
      </w:r>
      <w:r>
        <w:rPr>
          <w:rFonts w:hint="eastAsia"/>
        </w:rPr>
        <w:t>。</w:t>
      </w:r>
    </w:p>
    <w:p w14:paraId="7B6C2BCA" w14:textId="77777777" w:rsidR="00107085" w:rsidRDefault="00000000">
      <w:pPr>
        <w:ind w:firstLine="643"/>
      </w:pPr>
      <w:r>
        <w:rPr>
          <w:rFonts w:ascii="方正楷体_GBK" w:eastAsia="方正楷体_GBK"/>
          <w:b/>
          <w:bCs/>
        </w:rPr>
        <w:t>地质环境现状</w:t>
      </w:r>
      <w:r>
        <w:rPr>
          <w:b/>
          <w:bCs/>
        </w:rPr>
        <w:t>。</w:t>
      </w:r>
      <w:bookmarkStart w:id="33" w:name="OLE_LINK8"/>
      <w:r>
        <w:t>截至目前，第一师阿拉尔市现有矿山企业共有</w:t>
      </w:r>
      <w:r>
        <w:t>1</w:t>
      </w:r>
      <w:r>
        <w:rPr>
          <w:rFonts w:hint="eastAsia"/>
        </w:rPr>
        <w:t>2</w:t>
      </w:r>
      <w:r>
        <w:t>家，总体规模保持稳定，开采方式仍以露天开采为主。经过</w:t>
      </w:r>
      <w:r>
        <w:rPr>
          <w:rFonts w:hint="eastAsia"/>
        </w:rPr>
        <w:t>“</w:t>
      </w:r>
      <w:r>
        <w:t>十四五</w:t>
      </w:r>
      <w:r>
        <w:rPr>
          <w:rFonts w:hint="eastAsia"/>
        </w:rPr>
        <w:t>”</w:t>
      </w:r>
      <w:r>
        <w:t>期间持续推进规范化管理和生态修复，采矿活动总体更加有序，对地形地貌的破坏程度得到有效控制，矿山地质环境治理水平明显提升。大部分矿山已落实</w:t>
      </w:r>
      <w:r>
        <w:rPr>
          <w:rFonts w:hint="eastAsia"/>
        </w:rPr>
        <w:t>“</w:t>
      </w:r>
      <w:r>
        <w:t>边开采、边治理</w:t>
      </w:r>
      <w:r>
        <w:rPr>
          <w:rFonts w:hint="eastAsia"/>
        </w:rPr>
        <w:t>”</w:t>
      </w:r>
      <w:r>
        <w:t>措施，需集中治理的区域面积进一步减少，矿山地质环境矛盾总体较为缓和。</w:t>
      </w:r>
    </w:p>
    <w:p w14:paraId="7FD8D55F" w14:textId="77777777" w:rsidR="00107085" w:rsidRDefault="00000000">
      <w:pPr>
        <w:ind w:firstLine="640"/>
      </w:pPr>
      <w:r>
        <w:t>当前存在的主要地质环境问题仍集中在局部采场边坡稳定性方面，个别区域在开采过程中仍存在小规模崩塌或局部垮塌风险，但整体处于可控范围内。</w:t>
      </w:r>
    </w:p>
    <w:p w14:paraId="3C7E9A6B" w14:textId="77777777" w:rsidR="00107085" w:rsidRDefault="00000000">
      <w:pPr>
        <w:ind w:firstLine="640"/>
      </w:pPr>
      <w:r>
        <w:t>矿山生态环境方面，问题主要体现在两个方面：一是部分关闭矿山生态修复虽已推进，但治理成效与周边自然景观协调性仍有提升空间；二是历史遗留矿山治理基本完成，但个别区域仍存在修复标准不高或与现状土地利用衔接不充分的问题，局部图斑与周边用地类型仍存在差异。总体来看，师市矿山生态环境治理工作正由</w:t>
      </w:r>
      <w:r>
        <w:rPr>
          <w:rFonts w:hint="eastAsia"/>
        </w:rPr>
        <w:t>“</w:t>
      </w:r>
      <w:r>
        <w:t>基本修复</w:t>
      </w:r>
      <w:r>
        <w:rPr>
          <w:rFonts w:hint="eastAsia"/>
        </w:rPr>
        <w:t>”</w:t>
      </w:r>
      <w:r>
        <w:t>向</w:t>
      </w:r>
      <w:r>
        <w:rPr>
          <w:rFonts w:hint="eastAsia"/>
        </w:rPr>
        <w:t>“</w:t>
      </w:r>
      <w:r>
        <w:t>质量提升</w:t>
      </w:r>
      <w:r>
        <w:rPr>
          <w:rFonts w:hint="eastAsia"/>
        </w:rPr>
        <w:t>”</w:t>
      </w:r>
      <w:r>
        <w:t>阶段转变。</w:t>
      </w:r>
      <w:bookmarkEnd w:id="33"/>
      <w:r>
        <w:t>此外，师市辖区内涉及阿拉尔昆岗国家沙漠公园、阿拉尔睡胡杨国家沙漠公园等自然保护地。在前期摸底阶段，师市已全面梳理核查了现有矿业权及历史遗留图斑与上述两个国家沙漠公园、</w:t>
      </w:r>
      <w:r>
        <w:rPr>
          <w:rFonts w:hint="eastAsia"/>
        </w:rPr>
        <w:t>“三区三线”</w:t>
      </w:r>
      <w:r>
        <w:t>及生态保护红线的空间边界关系，坚决守住自然生态安全边界，为新一轮矿产勘查开发的空间布局优化奠定了红线底线基础。</w:t>
      </w:r>
    </w:p>
    <w:p w14:paraId="5FF6CCEA" w14:textId="77777777" w:rsidR="00107085" w:rsidRDefault="00000000">
      <w:pPr>
        <w:ind w:firstLine="643"/>
      </w:pPr>
      <w:r>
        <w:rPr>
          <w:rFonts w:ascii="方正楷体_GBK" w:eastAsia="方正楷体_GBK"/>
          <w:b/>
          <w:bCs/>
        </w:rPr>
        <w:lastRenderedPageBreak/>
        <w:t>矿产资源开发利用现状</w:t>
      </w:r>
      <w:r>
        <w:rPr>
          <w:b/>
          <w:bCs/>
        </w:rPr>
        <w:t>。</w:t>
      </w:r>
      <w:r>
        <w:t>截至</w:t>
      </w:r>
      <w:r>
        <w:t>2025</w:t>
      </w:r>
      <w:r>
        <w:t>年底，第一师阿拉尔市矿产开发以建筑用砂和砖瓦用粘土为主，现有露天开采矿山</w:t>
      </w:r>
      <w:r>
        <w:t>12</w:t>
      </w:r>
      <w:r>
        <w:t>家（建筑用砂</w:t>
      </w:r>
      <w:r>
        <w:t>11</w:t>
      </w:r>
      <w:r>
        <w:t>家、粘土</w:t>
      </w:r>
      <w:r>
        <w:t>1</w:t>
      </w:r>
      <w:r>
        <w:t>家），大中型矿山占比达</w:t>
      </w:r>
      <w:r>
        <w:t>83%</w:t>
      </w:r>
      <w:r>
        <w:t>（大型</w:t>
      </w:r>
      <w:r>
        <w:t>5</w:t>
      </w:r>
      <w:r>
        <w:t>家、中型</w:t>
      </w:r>
      <w:r>
        <w:t>5</w:t>
      </w:r>
      <w:r>
        <w:t>家、小型</w:t>
      </w:r>
      <w:r>
        <w:t>2</w:t>
      </w:r>
      <w:r>
        <w:t>家），整体呈现规模化发展态势。截至</w:t>
      </w:r>
      <w:r>
        <w:t>2025</w:t>
      </w:r>
      <w:r>
        <w:t>年，处于正在开采状态的矿山共</w:t>
      </w:r>
      <w:r>
        <w:t>7</w:t>
      </w:r>
      <w:r>
        <w:t>家（包含</w:t>
      </w:r>
      <w:r>
        <w:t>4</w:t>
      </w:r>
      <w:r>
        <w:t>家大型和</w:t>
      </w:r>
      <w:r>
        <w:t>3</w:t>
      </w:r>
      <w:r>
        <w:t>家中型），是当前保障师市及库沙新拜产业园各项基础设施建设的主力料源；处于还未生产状态的矿山有</w:t>
      </w:r>
      <w:r>
        <w:t>2</w:t>
      </w:r>
      <w:r>
        <w:t>家（阿克苏华凯生物科技有限公司</w:t>
      </w:r>
      <w:r>
        <w:t>1</w:t>
      </w:r>
      <w:r>
        <w:t>号、</w:t>
      </w:r>
      <w:r>
        <w:t>2</w:t>
      </w:r>
      <w:r>
        <w:t>号建筑用砂矿，均为中型）；此外，有</w:t>
      </w:r>
      <w:r>
        <w:t>3</w:t>
      </w:r>
      <w:r>
        <w:t>家矿山处于暂停生产（开采）</w:t>
      </w:r>
      <w:r>
        <w:rPr>
          <w:rFonts w:hint="eastAsia"/>
        </w:rPr>
        <w:t>。</w:t>
      </w:r>
    </w:p>
    <w:p w14:paraId="1A20293E" w14:textId="77777777" w:rsidR="00107085" w:rsidRDefault="00000000">
      <w:pPr>
        <w:ind w:firstLine="640"/>
      </w:pPr>
      <w:r>
        <w:t>2025</w:t>
      </w:r>
      <w:r>
        <w:t>年，师市矿石实际开采总量约</w:t>
      </w:r>
      <w:r>
        <w:rPr>
          <w:rFonts w:hint="eastAsia"/>
        </w:rPr>
        <w:t>551</w:t>
      </w:r>
      <w:r>
        <w:t>万立方米（其中建筑用砂约</w:t>
      </w:r>
      <w:r>
        <w:rPr>
          <w:rFonts w:hint="eastAsia"/>
        </w:rPr>
        <w:t>546</w:t>
      </w:r>
      <w:r>
        <w:t>万、粘土约</w:t>
      </w:r>
      <w:r>
        <w:rPr>
          <w:rFonts w:hint="eastAsia"/>
        </w:rPr>
        <w:t>5</w:t>
      </w:r>
      <w:r>
        <w:t>万立方米），所产建材以就近供应为主，全面依托兵地融合与跨区域建材调度机制，定向保障师市及周边干线公路网、大中型水利防洪工程、新型城镇化以及重点产业园区（如库沙新拜）等基础设施建设。师市非金属矿采选与下游建材制品业深度融合，产业链条持续优化完善，稳步将资源禀赋转化为产业优势与经济优势，切实发挥了矿产资源在稳疆兴边、拉动地方就业以及重大工程保供中的基础支撑作用。</w:t>
      </w:r>
    </w:p>
    <w:p w14:paraId="5EDAE924"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34" w:name="_Toc227172372"/>
      <w:bookmarkStart w:id="35" w:name="_Toc237883252"/>
      <w:bookmarkStart w:id="36" w:name="_Toc484702079"/>
      <w:bookmarkStart w:id="37" w:name="_Toc481601722"/>
      <w:bookmarkStart w:id="38" w:name="_Toc481657821"/>
      <w:bookmarkEnd w:id="28"/>
      <w:bookmarkEnd w:id="29"/>
      <w:bookmarkEnd w:id="30"/>
      <w:bookmarkEnd w:id="31"/>
      <w:r>
        <w:rPr>
          <w:rFonts w:ascii="Times New Roman" w:eastAsia="楷体" w:hAnsi="Times New Roman" w:cs="Times New Roman"/>
          <w:b w:val="0"/>
          <w:sz w:val="32"/>
          <w:szCs w:val="32"/>
        </w:rPr>
        <w:t>（三）</w:t>
      </w:r>
      <w:r>
        <w:rPr>
          <w:rFonts w:ascii="Times New Roman" w:eastAsia="楷体" w:hAnsi="Times New Roman" w:cs="Times New Roman" w:hint="eastAsia"/>
          <w:b w:val="0"/>
          <w:sz w:val="32"/>
          <w:szCs w:val="32"/>
        </w:rPr>
        <w:t>“</w:t>
      </w:r>
      <w:r>
        <w:rPr>
          <w:rFonts w:ascii="Times New Roman" w:eastAsia="楷体" w:hAnsi="Times New Roman" w:cs="Times New Roman"/>
          <w:b w:val="0"/>
          <w:sz w:val="32"/>
          <w:szCs w:val="32"/>
        </w:rPr>
        <w:t>十四五</w:t>
      </w:r>
      <w:r>
        <w:rPr>
          <w:rFonts w:ascii="Times New Roman" w:eastAsia="楷体" w:hAnsi="Times New Roman" w:cs="Times New Roman" w:hint="eastAsia"/>
          <w:b w:val="0"/>
          <w:sz w:val="32"/>
          <w:szCs w:val="32"/>
        </w:rPr>
        <w:t>”</w:t>
      </w:r>
      <w:r>
        <w:rPr>
          <w:rFonts w:ascii="Times New Roman" w:eastAsia="楷体" w:hAnsi="Times New Roman" w:cs="Times New Roman"/>
          <w:b w:val="0"/>
          <w:sz w:val="32"/>
          <w:szCs w:val="32"/>
        </w:rPr>
        <w:t>取得主要成效</w:t>
      </w:r>
      <w:bookmarkEnd w:id="34"/>
      <w:bookmarkEnd w:id="35"/>
    </w:p>
    <w:p w14:paraId="0F2EFE12" w14:textId="77777777" w:rsidR="00107085" w:rsidRDefault="00000000">
      <w:pPr>
        <w:ind w:firstLine="640"/>
      </w:pPr>
      <w:r>
        <w:rPr>
          <w:rFonts w:hint="eastAsia"/>
        </w:rPr>
        <w:t>“</w:t>
      </w:r>
      <w:r>
        <w:t>十四五</w:t>
      </w:r>
      <w:r>
        <w:rPr>
          <w:rFonts w:hint="eastAsia"/>
        </w:rPr>
        <w:t>”</w:t>
      </w:r>
      <w:r>
        <w:t>时期，第一师阿拉尔市矿产资源管理工作坚持以习近平新时代中国特色社会主义思想为指导，全面贯彻落实党中央、国务院决策部署，认真落实自治区和兵团关于自然资源管理工作的各项要求，统筹资源安全保障与生态环境保护，</w:t>
      </w:r>
      <w:r>
        <w:lastRenderedPageBreak/>
        <w:t>持续深化矿产资源管理改革，健全矿产资源管理体制机制，提升矿产资源开发利用和管理水平，矿产资源管理工作取得积极成效，为第一师阿拉尔市经济社会持续平稳健康发展提供了有力的资源支撑。</w:t>
      </w:r>
    </w:p>
    <w:p w14:paraId="18D5B2E9" w14:textId="77777777" w:rsidR="00107085" w:rsidRDefault="00000000">
      <w:pPr>
        <w:ind w:firstLine="643"/>
      </w:pPr>
      <w:r>
        <w:rPr>
          <w:rFonts w:ascii="方正楷体_GBK" w:eastAsia="方正楷体_GBK"/>
          <w:b/>
          <w:bCs/>
        </w:rPr>
        <w:t>矿山资源开发利用产业化稳步推进</w:t>
      </w:r>
      <w:r>
        <w:rPr>
          <w:b/>
          <w:bCs/>
        </w:rPr>
        <w:t>。</w:t>
      </w:r>
      <w:r>
        <w:t>新疆生产建设兵团第一师阿拉尔市矿产资源</w:t>
      </w:r>
      <w:r>
        <w:rPr>
          <w:rFonts w:hint="eastAsia"/>
        </w:rPr>
        <w:t>“十四五”规划</w:t>
      </w:r>
      <w:r>
        <w:t>涉及</w:t>
      </w:r>
      <w:r>
        <w:t>4</w:t>
      </w:r>
      <w:r>
        <w:t>个县级规划单元。其中，阿拉尔市及周边团场纳入阿拉尔市规划范围，设置开采区块</w:t>
      </w:r>
      <w:r>
        <w:t>10</w:t>
      </w:r>
      <w:r>
        <w:t>个，新建矿山</w:t>
      </w:r>
      <w:r>
        <w:t>4</w:t>
      </w:r>
      <w:r>
        <w:t>个；一团、二团、三团纳入阿克苏市规划范围，设置开采区块</w:t>
      </w:r>
      <w:r>
        <w:t>3</w:t>
      </w:r>
      <w:r>
        <w:t>个，新建矿山</w:t>
      </w:r>
      <w:r>
        <w:t>2</w:t>
      </w:r>
      <w:r>
        <w:t>个；四团纳入乌什县规划范围，设置开采区块</w:t>
      </w:r>
      <w:r>
        <w:t>4</w:t>
      </w:r>
      <w:r>
        <w:t>个；五团纳入温宿县规划范围，设置开采区块</w:t>
      </w:r>
      <w:r>
        <w:t>2</w:t>
      </w:r>
      <w:r>
        <w:t>个。总体看，规划布局不断优化，开发时序更加合理，矿产资源开发利用产业化稳步推进，资源保障能力持续增强。</w:t>
      </w:r>
    </w:p>
    <w:p w14:paraId="593D5B3A" w14:textId="77777777" w:rsidR="00107085" w:rsidRDefault="00000000">
      <w:pPr>
        <w:ind w:firstLine="640"/>
      </w:pPr>
      <w:r>
        <w:t>特别是在矿山规模结构上实现了质的跃升。经过</w:t>
      </w:r>
      <w:r>
        <w:rPr>
          <w:rFonts w:hint="eastAsia"/>
        </w:rPr>
        <w:t>“</w:t>
      </w:r>
      <w:r>
        <w:t>十四五</w:t>
      </w:r>
      <w:r>
        <w:rPr>
          <w:rFonts w:hint="eastAsia"/>
        </w:rPr>
        <w:t>”</w:t>
      </w:r>
      <w:r>
        <w:t>期间的整合升级与落后产能淘汰，截至</w:t>
      </w:r>
      <w:r>
        <w:t>2025</w:t>
      </w:r>
      <w:r>
        <w:t>年底，师市</w:t>
      </w:r>
      <w:r>
        <w:t>12</w:t>
      </w:r>
      <w:r>
        <w:t>家在籍矿山中，大、中型矿山比例已大幅提升至</w:t>
      </w:r>
      <w:r>
        <w:t>83%</w:t>
      </w:r>
      <w:r>
        <w:t>（其中大型矿山</w:t>
      </w:r>
      <w:r>
        <w:t>5</w:t>
      </w:r>
      <w:r>
        <w:t>家，中型矿山</w:t>
      </w:r>
      <w:r>
        <w:t>5</w:t>
      </w:r>
      <w:r>
        <w:t>家，小型矿山仅保留</w:t>
      </w:r>
      <w:r>
        <w:t>2</w:t>
      </w:r>
      <w:r>
        <w:t>家）。相较于上轮规划期末以小型矿山为主的</w:t>
      </w:r>
      <w:r>
        <w:rPr>
          <w:rFonts w:hint="eastAsia"/>
        </w:rPr>
        <w:t>“</w:t>
      </w:r>
      <w:r>
        <w:t>小散乱</w:t>
      </w:r>
      <w:r>
        <w:rPr>
          <w:rFonts w:hint="eastAsia"/>
        </w:rPr>
        <w:t>”</w:t>
      </w:r>
      <w:r>
        <w:t>格局，矿山规模化、集约化水平发生了根本性转变，矿山综合效益显著增强，切实满足了师市骨干工程建设及兵地融合发展的原料需求</w:t>
      </w:r>
    </w:p>
    <w:p w14:paraId="21E19DF5" w14:textId="77777777" w:rsidR="00107085" w:rsidRDefault="00000000">
      <w:pPr>
        <w:ind w:firstLine="643"/>
      </w:pPr>
      <w:r>
        <w:rPr>
          <w:rFonts w:ascii="方正楷体_GBK" w:eastAsia="方正楷体_GBK"/>
          <w:b/>
          <w:bCs/>
        </w:rPr>
        <w:t>矿山地质环境保护与治理恢复成效显著</w:t>
      </w:r>
      <w:r>
        <w:rPr>
          <w:b/>
          <w:bCs/>
        </w:rPr>
        <w:t>。</w:t>
      </w:r>
      <w:r>
        <w:t>近年来，师市牢固树立</w:t>
      </w:r>
      <w:r>
        <w:rPr>
          <w:rFonts w:hint="eastAsia"/>
        </w:rPr>
        <w:t>“</w:t>
      </w:r>
      <w:r>
        <w:t>绿水青山就是金山银山</w:t>
      </w:r>
      <w:r>
        <w:rPr>
          <w:rFonts w:hint="eastAsia"/>
        </w:rPr>
        <w:t>”</w:t>
      </w:r>
      <w:r>
        <w:t>理念，全面落实矿山生态环境保护制度，矿区地质环境持续改善。一是防控制度全面建立</w:t>
      </w:r>
      <w:r>
        <w:rPr>
          <w:rFonts w:hint="eastAsia"/>
        </w:rPr>
        <w:t>。</w:t>
      </w:r>
      <w:r>
        <w:lastRenderedPageBreak/>
        <w:t>严格贯彻</w:t>
      </w:r>
      <w:r>
        <w:rPr>
          <w:rFonts w:hint="eastAsia"/>
        </w:rPr>
        <w:t>“</w:t>
      </w:r>
      <w:r>
        <w:t>预防为主、防治结合</w:t>
      </w:r>
      <w:r>
        <w:rPr>
          <w:rFonts w:hint="eastAsia"/>
        </w:rPr>
        <w:t>”</w:t>
      </w:r>
      <w:r>
        <w:t>方针，全面落实矿山地质环境治理恢复基金制度，将生态保护关口前移；二是主体责任有效压实。强化对在建及生产矿山的动态监管，督促矿业权人严格执行环保</w:t>
      </w:r>
      <w:r>
        <w:rPr>
          <w:rFonts w:hint="eastAsia"/>
        </w:rPr>
        <w:t>“</w:t>
      </w:r>
      <w:r>
        <w:t>三同时</w:t>
      </w:r>
      <w:r>
        <w:rPr>
          <w:rFonts w:hint="eastAsia"/>
        </w:rPr>
        <w:t>”</w:t>
      </w:r>
      <w:r>
        <w:t>及</w:t>
      </w:r>
      <w:r>
        <w:rPr>
          <w:rFonts w:hint="eastAsia"/>
        </w:rPr>
        <w:t>“</w:t>
      </w:r>
      <w:r>
        <w:t>边开采、边治理</w:t>
      </w:r>
      <w:r>
        <w:rPr>
          <w:rFonts w:hint="eastAsia"/>
        </w:rPr>
        <w:t>”</w:t>
      </w:r>
      <w:r>
        <w:t>要求，遏制了新增地质环境问题的产生；三是综合整治稳步推进。按照轻重缓急，分类、分批对历史遗留及废弃矿山开展生态修复与土地复垦，并稳步推进绿色矿山标准化建设，矿业开发与生态保护逐渐步入良性协调发展的轨道。</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94"/>
      </w:tblGrid>
      <w:tr w:rsidR="00107085" w14:paraId="2348BFEA" w14:textId="77777777">
        <w:trPr>
          <w:trHeight w:val="510"/>
        </w:trPr>
        <w:tc>
          <w:tcPr>
            <w:tcW w:w="5000" w:type="pct"/>
            <w:shd w:val="clear" w:color="auto" w:fill="F1F1F1"/>
            <w:vAlign w:val="center"/>
          </w:tcPr>
          <w:p w14:paraId="67758A55" w14:textId="77777777" w:rsidR="00107085" w:rsidRDefault="00000000">
            <w:pPr>
              <w:spacing w:line="340" w:lineRule="exact"/>
              <w:ind w:firstLineChars="0" w:firstLine="0"/>
              <w:jc w:val="center"/>
              <w:rPr>
                <w:rFonts w:eastAsia="楷体"/>
                <w:b/>
                <w:bCs/>
                <w:sz w:val="21"/>
                <w:szCs w:val="21"/>
              </w:rPr>
            </w:pPr>
            <w:r>
              <w:rPr>
                <w:rFonts w:eastAsia="楷体"/>
                <w:b/>
                <w:bCs/>
                <w:sz w:val="21"/>
                <w:szCs w:val="21"/>
              </w:rPr>
              <w:t>专栏</w:t>
            </w:r>
            <w:r>
              <w:rPr>
                <w:rFonts w:eastAsia="楷体" w:hint="eastAsia"/>
                <w:b/>
                <w:bCs/>
                <w:sz w:val="21"/>
                <w:szCs w:val="21"/>
              </w:rPr>
              <w:t>2</w:t>
            </w:r>
            <w:r>
              <w:rPr>
                <w:rFonts w:eastAsia="楷体"/>
                <w:b/>
                <w:bCs/>
                <w:sz w:val="21"/>
                <w:szCs w:val="21"/>
              </w:rPr>
              <w:t xml:space="preserve">  </w:t>
            </w:r>
            <w:r>
              <w:rPr>
                <w:rFonts w:eastAsia="楷体"/>
                <w:b/>
                <w:bCs/>
                <w:sz w:val="21"/>
                <w:szCs w:val="21"/>
              </w:rPr>
              <w:t>上轮规划期内矿区生态保护修复主要成效</w:t>
            </w:r>
          </w:p>
        </w:tc>
      </w:tr>
      <w:tr w:rsidR="00107085" w14:paraId="6055E857" w14:textId="77777777">
        <w:tc>
          <w:tcPr>
            <w:tcW w:w="5000" w:type="pct"/>
          </w:tcPr>
          <w:p w14:paraId="38F7301A" w14:textId="77777777" w:rsidR="00107085" w:rsidRDefault="00000000">
            <w:pPr>
              <w:spacing w:line="360" w:lineRule="exact"/>
              <w:ind w:firstLine="420"/>
              <w:rPr>
                <w:rFonts w:eastAsia="黑体"/>
                <w:sz w:val="21"/>
                <w:szCs w:val="21"/>
              </w:rPr>
            </w:pPr>
            <w:r>
              <w:rPr>
                <w:rFonts w:eastAsia="黑体"/>
                <w:sz w:val="21"/>
                <w:szCs w:val="21"/>
              </w:rPr>
              <w:t>历史遗留矿山底数全面摸清</w:t>
            </w:r>
            <w:r>
              <w:rPr>
                <w:rFonts w:eastAsia="黑体" w:hint="eastAsia"/>
                <w:sz w:val="21"/>
                <w:szCs w:val="21"/>
              </w:rPr>
              <w:t>，</w:t>
            </w:r>
            <w:r>
              <w:rPr>
                <w:rFonts w:eastAsia="宋体"/>
                <w:sz w:val="21"/>
                <w:szCs w:val="21"/>
              </w:rPr>
              <w:t>经系统核查，师市共梳理出</w:t>
            </w:r>
            <w:r>
              <w:rPr>
                <w:rFonts w:eastAsia="宋体"/>
                <w:sz w:val="21"/>
                <w:szCs w:val="21"/>
              </w:rPr>
              <w:t>2010</w:t>
            </w:r>
            <w:r>
              <w:rPr>
                <w:rFonts w:eastAsia="宋体"/>
                <w:sz w:val="21"/>
                <w:szCs w:val="21"/>
              </w:rPr>
              <w:t>年以前历史遗留无主废弃矿山图斑</w:t>
            </w:r>
            <w:r>
              <w:rPr>
                <w:rFonts w:eastAsia="宋体"/>
                <w:sz w:val="21"/>
                <w:szCs w:val="21"/>
              </w:rPr>
              <w:t>28</w:t>
            </w:r>
            <w:r>
              <w:rPr>
                <w:rFonts w:eastAsia="宋体"/>
                <w:sz w:val="21"/>
                <w:szCs w:val="21"/>
              </w:rPr>
              <w:t>个，总面积</w:t>
            </w:r>
            <w:r>
              <w:rPr>
                <w:rFonts w:eastAsia="宋体"/>
                <w:sz w:val="21"/>
                <w:szCs w:val="21"/>
              </w:rPr>
              <w:t>74.01</w:t>
            </w:r>
            <w:r>
              <w:rPr>
                <w:rFonts w:eastAsia="宋体"/>
                <w:sz w:val="21"/>
                <w:szCs w:val="21"/>
              </w:rPr>
              <w:t>公顷（</w:t>
            </w:r>
            <w:r>
              <w:rPr>
                <w:rFonts w:eastAsia="宋体"/>
                <w:sz w:val="21"/>
                <w:szCs w:val="21"/>
              </w:rPr>
              <w:t>1110.22</w:t>
            </w:r>
            <w:r>
              <w:rPr>
                <w:rFonts w:eastAsia="宋体"/>
                <w:sz w:val="21"/>
                <w:szCs w:val="21"/>
              </w:rPr>
              <w:t>亩），主要分布于一团、二团和四团。</w:t>
            </w:r>
          </w:p>
          <w:p w14:paraId="7DFD22D8" w14:textId="77777777" w:rsidR="00107085" w:rsidRDefault="00000000">
            <w:pPr>
              <w:spacing w:line="360" w:lineRule="exact"/>
              <w:ind w:firstLine="420"/>
              <w:rPr>
                <w:rFonts w:eastAsia="黑体"/>
                <w:sz w:val="21"/>
                <w:szCs w:val="21"/>
              </w:rPr>
            </w:pPr>
            <w:r>
              <w:rPr>
                <w:rFonts w:eastAsia="黑体"/>
                <w:sz w:val="21"/>
                <w:szCs w:val="21"/>
              </w:rPr>
              <w:t>分类施策推进图斑治理销号</w:t>
            </w:r>
            <w:r>
              <w:rPr>
                <w:rFonts w:eastAsia="黑体" w:hint="eastAsia"/>
                <w:sz w:val="21"/>
                <w:szCs w:val="21"/>
              </w:rPr>
              <w:t>，</w:t>
            </w:r>
            <w:r>
              <w:rPr>
                <w:rFonts w:eastAsia="宋体"/>
                <w:sz w:val="21"/>
                <w:szCs w:val="21"/>
              </w:rPr>
              <w:t>截至</w:t>
            </w:r>
            <w:r>
              <w:rPr>
                <w:rFonts w:eastAsia="宋体"/>
                <w:sz w:val="21"/>
                <w:szCs w:val="21"/>
              </w:rPr>
              <w:t>2025</w:t>
            </w:r>
            <w:r>
              <w:rPr>
                <w:rFonts w:eastAsia="宋体"/>
                <w:sz w:val="21"/>
                <w:szCs w:val="21"/>
              </w:rPr>
              <w:t>年，师市已成功完成</w:t>
            </w:r>
            <w:r>
              <w:rPr>
                <w:rFonts w:eastAsia="宋体"/>
                <w:sz w:val="21"/>
                <w:szCs w:val="21"/>
              </w:rPr>
              <w:t>5</w:t>
            </w:r>
            <w:r>
              <w:rPr>
                <w:rFonts w:eastAsia="宋体"/>
                <w:sz w:val="21"/>
                <w:szCs w:val="21"/>
              </w:rPr>
              <w:t>个历史遗留图斑、共计</w:t>
            </w:r>
            <w:r>
              <w:rPr>
                <w:rFonts w:eastAsia="宋体"/>
                <w:sz w:val="21"/>
                <w:szCs w:val="21"/>
              </w:rPr>
              <w:t>16.72</w:t>
            </w:r>
            <w:r>
              <w:rPr>
                <w:rFonts w:eastAsia="宋体"/>
                <w:sz w:val="21"/>
                <w:szCs w:val="21"/>
              </w:rPr>
              <w:t>公顷的治理与销号工作。其中，依托塔里木河流域生态保护和修复项目、增减挂钩项目实施工程治理</w:t>
            </w:r>
            <w:r>
              <w:rPr>
                <w:rFonts w:eastAsia="宋体"/>
                <w:sz w:val="21"/>
                <w:szCs w:val="21"/>
              </w:rPr>
              <w:t>12.25</w:t>
            </w:r>
            <w:r>
              <w:rPr>
                <w:rFonts w:eastAsia="宋体"/>
                <w:sz w:val="21"/>
                <w:szCs w:val="21"/>
              </w:rPr>
              <w:t>公顷；通过采矿权出让由矿业权人承担修复</w:t>
            </w:r>
            <w:r>
              <w:rPr>
                <w:rFonts w:eastAsia="宋体"/>
                <w:sz w:val="21"/>
                <w:szCs w:val="21"/>
              </w:rPr>
              <w:t>1.22</w:t>
            </w:r>
            <w:r>
              <w:rPr>
                <w:rFonts w:eastAsia="宋体"/>
                <w:sz w:val="21"/>
                <w:szCs w:val="21"/>
              </w:rPr>
              <w:t>公顷；经专家评估实现自然恢复</w:t>
            </w:r>
            <w:r>
              <w:rPr>
                <w:rFonts w:eastAsia="宋体"/>
                <w:sz w:val="21"/>
                <w:szCs w:val="21"/>
              </w:rPr>
              <w:t>3.25</w:t>
            </w:r>
            <w:r>
              <w:rPr>
                <w:rFonts w:eastAsia="宋体"/>
                <w:sz w:val="21"/>
                <w:szCs w:val="21"/>
              </w:rPr>
              <w:t>公顷。</w:t>
            </w:r>
          </w:p>
          <w:p w14:paraId="732EAAA8" w14:textId="77777777" w:rsidR="00107085" w:rsidRDefault="00000000">
            <w:pPr>
              <w:spacing w:line="360" w:lineRule="exact"/>
              <w:ind w:firstLine="420"/>
              <w:rPr>
                <w:rFonts w:eastAsia="黑体"/>
                <w:sz w:val="21"/>
                <w:szCs w:val="21"/>
              </w:rPr>
            </w:pPr>
            <w:r>
              <w:rPr>
                <w:rFonts w:eastAsia="黑体"/>
                <w:sz w:val="21"/>
                <w:szCs w:val="21"/>
              </w:rPr>
              <w:t>重点示范工程接续发力</w:t>
            </w:r>
            <w:r>
              <w:rPr>
                <w:rFonts w:eastAsia="黑体" w:hint="eastAsia"/>
                <w:sz w:val="21"/>
                <w:szCs w:val="21"/>
              </w:rPr>
              <w:t>，</w:t>
            </w:r>
            <w:r>
              <w:rPr>
                <w:rFonts w:eastAsia="宋体"/>
                <w:sz w:val="21"/>
                <w:szCs w:val="21"/>
              </w:rPr>
              <w:t>剩余的</w:t>
            </w:r>
            <w:r>
              <w:rPr>
                <w:rFonts w:eastAsia="宋体"/>
                <w:sz w:val="21"/>
                <w:szCs w:val="21"/>
              </w:rPr>
              <w:t>23</w:t>
            </w:r>
            <w:r>
              <w:rPr>
                <w:rFonts w:eastAsia="宋体"/>
                <w:sz w:val="21"/>
                <w:szCs w:val="21"/>
              </w:rPr>
              <w:t>个历史遗留图斑（总面积</w:t>
            </w:r>
            <w:r>
              <w:rPr>
                <w:rFonts w:eastAsia="宋体"/>
                <w:sz w:val="21"/>
                <w:szCs w:val="21"/>
              </w:rPr>
              <w:t>57.2</w:t>
            </w:r>
            <w:r>
              <w:rPr>
                <w:rFonts w:eastAsia="宋体" w:hint="eastAsia"/>
                <w:sz w:val="21"/>
                <w:szCs w:val="21"/>
              </w:rPr>
              <w:t>9</w:t>
            </w:r>
            <w:r>
              <w:rPr>
                <w:rFonts w:eastAsia="宋体"/>
                <w:sz w:val="21"/>
                <w:szCs w:val="21"/>
              </w:rPr>
              <w:t>公顷），目前已全部纳入</w:t>
            </w:r>
            <w:r>
              <w:rPr>
                <w:rFonts w:eastAsia="宋体" w:hint="eastAsia"/>
                <w:sz w:val="21"/>
                <w:szCs w:val="21"/>
              </w:rPr>
              <w:t>“</w:t>
            </w:r>
            <w:r>
              <w:rPr>
                <w:rFonts w:eastAsia="宋体"/>
                <w:sz w:val="21"/>
                <w:szCs w:val="21"/>
              </w:rPr>
              <w:t>新疆生产建设兵团环塔克拉玛干沙漠绿洲区历史遗留废弃矿山生态修复示范工程项目</w:t>
            </w:r>
            <w:r>
              <w:rPr>
                <w:rFonts w:eastAsia="宋体" w:hint="eastAsia"/>
                <w:sz w:val="21"/>
                <w:szCs w:val="21"/>
              </w:rPr>
              <w:t>”</w:t>
            </w:r>
            <w:r>
              <w:rPr>
                <w:rFonts w:eastAsia="宋体"/>
                <w:sz w:val="21"/>
                <w:szCs w:val="21"/>
              </w:rPr>
              <w:t>，计划于</w:t>
            </w:r>
            <w:r>
              <w:rPr>
                <w:rFonts w:eastAsia="宋体"/>
                <w:sz w:val="21"/>
                <w:szCs w:val="21"/>
              </w:rPr>
              <w:t>2027—2028</w:t>
            </w:r>
            <w:r>
              <w:rPr>
                <w:rFonts w:eastAsia="宋体"/>
                <w:sz w:val="21"/>
                <w:szCs w:val="21"/>
              </w:rPr>
              <w:t>年全面完成修复治理</w:t>
            </w:r>
            <w:r>
              <w:rPr>
                <w:rFonts w:eastAsia="宋体" w:hint="eastAsia"/>
                <w:sz w:val="21"/>
                <w:szCs w:val="21"/>
              </w:rPr>
              <w:t>。</w:t>
            </w:r>
          </w:p>
        </w:tc>
      </w:tr>
    </w:tbl>
    <w:p w14:paraId="5ABF2E71" w14:textId="77777777" w:rsidR="00107085" w:rsidRDefault="00000000">
      <w:pPr>
        <w:ind w:firstLine="643"/>
      </w:pPr>
      <w:r>
        <w:rPr>
          <w:rFonts w:ascii="方正楷体_GBK" w:eastAsia="方正楷体_GBK"/>
          <w:b/>
          <w:bCs/>
        </w:rPr>
        <w:t>矿产资源管理能力和服务水平稳步提升</w:t>
      </w:r>
      <w:r>
        <w:rPr>
          <w:b/>
          <w:bCs/>
        </w:rPr>
        <w:t>。</w:t>
      </w:r>
      <w:r>
        <w:rPr>
          <w:rFonts w:hint="eastAsia"/>
        </w:rPr>
        <w:t>“</w:t>
      </w:r>
      <w:r>
        <w:t>十四五</w:t>
      </w:r>
      <w:r>
        <w:rPr>
          <w:rFonts w:hint="eastAsia"/>
        </w:rPr>
        <w:t>”</w:t>
      </w:r>
      <w:r>
        <w:t>期间，师市全面承接并理顺了矿政管理权限，制度体系建设实现根本性突破。严格贯彻落实《新疆生产建设兵团矿产资源管理暂行办法》（新兵发〔</w:t>
      </w:r>
      <w:r>
        <w:t>2023</w:t>
      </w:r>
      <w:r>
        <w:t>〕</w:t>
      </w:r>
      <w:r>
        <w:t>11</w:t>
      </w:r>
      <w:r>
        <w:t>号），依法制定《第一师阿拉尔市自然资源和规划局行政权力和行政责任清单》，明晰了师市两级权责边界，筑牢了矿政管理的顶层制度基石。</w:t>
      </w:r>
    </w:p>
    <w:p w14:paraId="736580E9" w14:textId="77777777" w:rsidR="00107085" w:rsidRDefault="00000000">
      <w:pPr>
        <w:ind w:firstLine="640"/>
      </w:pPr>
      <w:r>
        <w:t>在此基础上，加强矿业权管理，利用矿权管理政策，清理淘汰不良矿权，优选有利区块推进矿产勘查开发工作。完善矿业权出让和退出机制，实行滚动开发、净矿出让。以绿色矿业</w:t>
      </w:r>
      <w:r>
        <w:lastRenderedPageBreak/>
        <w:t>发展为主线，通过优中选优，师市选择了一批可供出让的砂石粘土矿产，按照净矿出让原则，全部采取招拍挂方式出让。积极推进本级管理权限内非金属矿产的矿业权竞争性出让，构建政府主导、企业参与、市场竞争、合同管理、登记生效的矿业权出让制度体系。实行</w:t>
      </w:r>
      <w:r>
        <w:rPr>
          <w:rFonts w:hint="eastAsia"/>
        </w:rPr>
        <w:t>“</w:t>
      </w:r>
      <w:r>
        <w:t>政府组织、部门配合、社会监督</w:t>
      </w:r>
      <w:r>
        <w:rPr>
          <w:rFonts w:hint="eastAsia"/>
        </w:rPr>
        <w:t>”</w:t>
      </w:r>
      <w:r>
        <w:t>的</w:t>
      </w:r>
      <w:r>
        <w:rPr>
          <w:rFonts w:hint="eastAsia"/>
        </w:rPr>
        <w:t>“</w:t>
      </w:r>
      <w:r>
        <w:t>净矿</w:t>
      </w:r>
      <w:r>
        <w:rPr>
          <w:rFonts w:hint="eastAsia"/>
        </w:rPr>
        <w:t>”</w:t>
      </w:r>
      <w:r>
        <w:t>出让工作机制，切实做好</w:t>
      </w:r>
      <w:r>
        <w:rPr>
          <w:rFonts w:hint="eastAsia"/>
        </w:rPr>
        <w:t>“</w:t>
      </w:r>
      <w:r>
        <w:t>净矿</w:t>
      </w:r>
      <w:r>
        <w:rPr>
          <w:rFonts w:hint="eastAsia"/>
        </w:rPr>
        <w:t>”</w:t>
      </w:r>
      <w:r>
        <w:t>出让后矿业权竞得人的服务保障工作。完善国有、民营等各类市场主体公平参与矿业权竞争的法治环境，加强监督执法管理体系建设，强化重点环节监管。</w:t>
      </w:r>
    </w:p>
    <w:p w14:paraId="180F5F03" w14:textId="77777777" w:rsidR="00107085" w:rsidRDefault="00000000">
      <w:pPr>
        <w:ind w:firstLine="643"/>
      </w:pPr>
      <w:r>
        <w:rPr>
          <w:rFonts w:ascii="方正楷体_GBK" w:eastAsia="方正楷体_GBK"/>
          <w:b/>
          <w:bCs/>
        </w:rPr>
        <w:t>规划各项主要指标</w:t>
      </w:r>
      <w:r>
        <w:rPr>
          <w:rFonts w:ascii="方正楷体_GBK" w:eastAsia="方正楷体_GBK" w:hint="eastAsia"/>
          <w:b/>
          <w:bCs/>
        </w:rPr>
        <w:t>基本</w:t>
      </w:r>
      <w:r>
        <w:rPr>
          <w:rFonts w:ascii="方正楷体_GBK" w:eastAsia="方正楷体_GBK"/>
          <w:b/>
          <w:bCs/>
        </w:rPr>
        <w:t>完成。</w:t>
      </w:r>
      <w:r>
        <w:rPr>
          <w:rFonts w:hint="eastAsia"/>
        </w:rPr>
        <w:t>“</w:t>
      </w:r>
      <w:r>
        <w:t>十四五</w:t>
      </w:r>
      <w:r>
        <w:rPr>
          <w:rFonts w:hint="eastAsia"/>
        </w:rPr>
        <w:t>”</w:t>
      </w:r>
      <w:r>
        <w:t>期间，师市紧扣矿产资源规划目标，狠抓任务落实，在基础地质调查、生态修复及矿产资源开发利用等领域均交出了亮眼答卷。截至</w:t>
      </w:r>
      <w:r>
        <w:t>2025</w:t>
      </w:r>
      <w:r>
        <w:t>年底，上轮规划设定的</w:t>
      </w:r>
      <w:r>
        <w:t>10</w:t>
      </w:r>
      <w:r>
        <w:t>项预期性指标已</w:t>
      </w:r>
      <w:r>
        <w:rPr>
          <w:rFonts w:hint="eastAsia"/>
        </w:rPr>
        <w:t>基本</w:t>
      </w:r>
      <w:r>
        <w:t>完成。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2762"/>
        <w:gridCol w:w="1668"/>
        <w:gridCol w:w="1588"/>
        <w:gridCol w:w="1271"/>
      </w:tblGrid>
      <w:tr w:rsidR="007024D4" w14:paraId="751011BA" w14:textId="77777777" w:rsidTr="007024D4">
        <w:trPr>
          <w:trHeight w:hRule="exact" w:val="451"/>
          <w:tblHeader/>
          <w:jc w:val="center"/>
        </w:trPr>
        <w:tc>
          <w:tcPr>
            <w:tcW w:w="5000" w:type="pct"/>
            <w:gridSpan w:val="5"/>
            <w:shd w:val="clear" w:color="auto" w:fill="F1F1F1"/>
            <w:vAlign w:val="center"/>
          </w:tcPr>
          <w:p w14:paraId="6A4C8411" w14:textId="77777777" w:rsidR="007024D4" w:rsidRPr="007024D4" w:rsidRDefault="007024D4" w:rsidP="007024D4">
            <w:pPr>
              <w:spacing w:line="340" w:lineRule="exact"/>
              <w:ind w:firstLineChars="0" w:firstLine="0"/>
              <w:jc w:val="center"/>
              <w:rPr>
                <w:rFonts w:eastAsia="楷体"/>
                <w:b/>
                <w:bCs/>
                <w:sz w:val="21"/>
                <w:szCs w:val="21"/>
              </w:rPr>
            </w:pPr>
            <w:r w:rsidRPr="007024D4">
              <w:rPr>
                <w:rFonts w:eastAsia="楷体" w:hint="eastAsia"/>
                <w:b/>
                <w:bCs/>
                <w:sz w:val="21"/>
                <w:szCs w:val="21"/>
              </w:rPr>
              <w:t>专栏</w:t>
            </w:r>
            <w:r w:rsidRPr="007024D4">
              <w:rPr>
                <w:rFonts w:eastAsia="楷体" w:hint="eastAsia"/>
                <w:b/>
                <w:bCs/>
                <w:sz w:val="21"/>
                <w:szCs w:val="21"/>
              </w:rPr>
              <w:t>3</w:t>
            </w:r>
            <w:r w:rsidRPr="007024D4">
              <w:rPr>
                <w:rFonts w:eastAsia="楷体" w:hint="eastAsia"/>
                <w:b/>
                <w:bCs/>
                <w:sz w:val="21"/>
                <w:szCs w:val="21"/>
              </w:rPr>
              <w:t>上一轮第一师阿拉尔市矿产资源规划指标完成情况表</w:t>
            </w:r>
          </w:p>
          <w:p w14:paraId="32A813E5" w14:textId="77777777" w:rsidR="007024D4" w:rsidRPr="007024D4" w:rsidRDefault="007024D4">
            <w:pPr>
              <w:spacing w:line="320" w:lineRule="exact"/>
              <w:ind w:firstLineChars="0" w:firstLine="0"/>
              <w:jc w:val="center"/>
              <w:rPr>
                <w:rFonts w:eastAsia="黑体"/>
                <w:sz w:val="21"/>
                <w:szCs w:val="21"/>
              </w:rPr>
            </w:pPr>
          </w:p>
        </w:tc>
      </w:tr>
      <w:tr w:rsidR="00107085" w14:paraId="4070A1AC" w14:textId="77777777" w:rsidTr="007024D4">
        <w:trPr>
          <w:trHeight w:hRule="exact" w:val="451"/>
          <w:tblHeader/>
          <w:jc w:val="center"/>
        </w:trPr>
        <w:tc>
          <w:tcPr>
            <w:tcW w:w="709" w:type="pct"/>
            <w:vAlign w:val="center"/>
          </w:tcPr>
          <w:p w14:paraId="01462B67" w14:textId="77777777" w:rsidR="00107085" w:rsidRPr="007024D4" w:rsidRDefault="00000000">
            <w:pPr>
              <w:spacing w:line="320" w:lineRule="exact"/>
              <w:ind w:firstLineChars="0" w:firstLine="0"/>
              <w:jc w:val="center"/>
              <w:rPr>
                <w:rFonts w:eastAsia="黑体"/>
                <w:sz w:val="21"/>
                <w:szCs w:val="21"/>
              </w:rPr>
            </w:pPr>
            <w:r w:rsidRPr="007024D4">
              <w:rPr>
                <w:rFonts w:eastAsia="黑体"/>
                <w:sz w:val="21"/>
                <w:szCs w:val="21"/>
              </w:rPr>
              <w:t>类别</w:t>
            </w:r>
          </w:p>
        </w:tc>
        <w:tc>
          <w:tcPr>
            <w:tcW w:w="1626" w:type="pct"/>
            <w:vAlign w:val="center"/>
          </w:tcPr>
          <w:p w14:paraId="7BFBC3B0" w14:textId="77777777" w:rsidR="00107085" w:rsidRPr="007024D4" w:rsidRDefault="00000000">
            <w:pPr>
              <w:spacing w:line="320" w:lineRule="exact"/>
              <w:ind w:firstLineChars="0" w:firstLine="0"/>
              <w:jc w:val="center"/>
              <w:rPr>
                <w:rFonts w:eastAsia="黑体"/>
                <w:sz w:val="21"/>
                <w:szCs w:val="21"/>
              </w:rPr>
            </w:pPr>
            <w:r w:rsidRPr="007024D4">
              <w:rPr>
                <w:rFonts w:eastAsia="黑体"/>
                <w:sz w:val="21"/>
                <w:szCs w:val="21"/>
              </w:rPr>
              <w:t>指标名称</w:t>
            </w:r>
          </w:p>
        </w:tc>
        <w:tc>
          <w:tcPr>
            <w:tcW w:w="982" w:type="pct"/>
            <w:vAlign w:val="center"/>
          </w:tcPr>
          <w:p w14:paraId="048F3CC4" w14:textId="77777777" w:rsidR="00107085" w:rsidRPr="007024D4" w:rsidRDefault="00000000">
            <w:pPr>
              <w:spacing w:line="320" w:lineRule="exact"/>
              <w:ind w:firstLineChars="0" w:firstLine="0"/>
              <w:jc w:val="center"/>
              <w:rPr>
                <w:rFonts w:eastAsia="黑体"/>
                <w:sz w:val="21"/>
                <w:szCs w:val="21"/>
              </w:rPr>
            </w:pPr>
            <w:r w:rsidRPr="007024D4">
              <w:rPr>
                <w:rFonts w:eastAsia="黑体"/>
                <w:sz w:val="21"/>
                <w:szCs w:val="21"/>
              </w:rPr>
              <w:t>单位</w:t>
            </w:r>
          </w:p>
        </w:tc>
        <w:tc>
          <w:tcPr>
            <w:tcW w:w="935" w:type="pct"/>
            <w:vAlign w:val="center"/>
          </w:tcPr>
          <w:p w14:paraId="061AD398" w14:textId="77777777" w:rsidR="00107085" w:rsidRPr="007024D4" w:rsidRDefault="00000000">
            <w:pPr>
              <w:spacing w:line="320" w:lineRule="exact"/>
              <w:ind w:firstLineChars="0" w:firstLine="0"/>
              <w:jc w:val="center"/>
              <w:rPr>
                <w:rFonts w:eastAsia="黑体"/>
                <w:sz w:val="21"/>
                <w:szCs w:val="21"/>
              </w:rPr>
            </w:pPr>
            <w:r w:rsidRPr="007024D4">
              <w:rPr>
                <w:rFonts w:eastAsia="黑体"/>
                <w:sz w:val="21"/>
                <w:szCs w:val="21"/>
              </w:rPr>
              <w:t>2021—2025</w:t>
            </w:r>
            <w:r w:rsidRPr="007024D4">
              <w:rPr>
                <w:rFonts w:eastAsia="黑体"/>
                <w:sz w:val="21"/>
                <w:szCs w:val="21"/>
              </w:rPr>
              <w:t>年</w:t>
            </w:r>
          </w:p>
        </w:tc>
        <w:tc>
          <w:tcPr>
            <w:tcW w:w="748" w:type="pct"/>
            <w:vAlign w:val="center"/>
          </w:tcPr>
          <w:p w14:paraId="4E341E06" w14:textId="77777777" w:rsidR="00107085" w:rsidRPr="007024D4" w:rsidRDefault="00000000">
            <w:pPr>
              <w:spacing w:line="320" w:lineRule="exact"/>
              <w:ind w:firstLineChars="0" w:firstLine="0"/>
              <w:jc w:val="center"/>
              <w:rPr>
                <w:rFonts w:eastAsia="黑体"/>
                <w:sz w:val="21"/>
                <w:szCs w:val="21"/>
              </w:rPr>
            </w:pPr>
            <w:r w:rsidRPr="007024D4">
              <w:rPr>
                <w:rFonts w:eastAsia="黑体"/>
                <w:sz w:val="21"/>
                <w:szCs w:val="21"/>
              </w:rPr>
              <w:t>完成情况</w:t>
            </w:r>
          </w:p>
        </w:tc>
      </w:tr>
      <w:tr w:rsidR="00107085" w14:paraId="51F4A57F" w14:textId="77777777" w:rsidTr="007024D4">
        <w:trPr>
          <w:trHeight w:val="327"/>
          <w:jc w:val="center"/>
        </w:trPr>
        <w:tc>
          <w:tcPr>
            <w:tcW w:w="709" w:type="pct"/>
            <w:vMerge w:val="restart"/>
            <w:vAlign w:val="center"/>
          </w:tcPr>
          <w:p w14:paraId="3BF726FD"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基础</w:t>
            </w:r>
          </w:p>
          <w:p w14:paraId="139F9A25"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地质</w:t>
            </w:r>
          </w:p>
          <w:p w14:paraId="6CE935EF"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调查</w:t>
            </w:r>
          </w:p>
        </w:tc>
        <w:tc>
          <w:tcPr>
            <w:tcW w:w="1626" w:type="pct"/>
            <w:vAlign w:val="center"/>
          </w:tcPr>
          <w:p w14:paraId="49C71061"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1</w:t>
            </w:r>
            <w:r w:rsidRPr="007024D4">
              <w:rPr>
                <w:rFonts w:ascii="Cambria Math" w:eastAsia="宋体" w:hAnsi="Cambria Math" w:cs="Cambria Math"/>
                <w:sz w:val="21"/>
                <w:szCs w:val="21"/>
              </w:rPr>
              <w:t>∶</w:t>
            </w:r>
            <w:r w:rsidRPr="007024D4">
              <w:rPr>
                <w:rFonts w:eastAsia="宋体"/>
                <w:sz w:val="21"/>
                <w:szCs w:val="21"/>
              </w:rPr>
              <w:t>5</w:t>
            </w:r>
            <w:r w:rsidRPr="007024D4">
              <w:rPr>
                <w:rFonts w:eastAsia="宋体"/>
                <w:sz w:val="21"/>
                <w:szCs w:val="21"/>
              </w:rPr>
              <w:t>万水文地质调查</w:t>
            </w:r>
          </w:p>
        </w:tc>
        <w:tc>
          <w:tcPr>
            <w:tcW w:w="982" w:type="pct"/>
            <w:vAlign w:val="center"/>
          </w:tcPr>
          <w:p w14:paraId="74CC2B22"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平方千米</w:t>
            </w:r>
          </w:p>
        </w:tc>
        <w:tc>
          <w:tcPr>
            <w:tcW w:w="935" w:type="pct"/>
            <w:vAlign w:val="center"/>
          </w:tcPr>
          <w:p w14:paraId="579FA5A5"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865</w:t>
            </w:r>
          </w:p>
        </w:tc>
        <w:tc>
          <w:tcPr>
            <w:tcW w:w="748" w:type="pct"/>
            <w:vAlign w:val="center"/>
          </w:tcPr>
          <w:p w14:paraId="22A2932B"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全部完成</w:t>
            </w:r>
          </w:p>
        </w:tc>
      </w:tr>
      <w:tr w:rsidR="00107085" w14:paraId="100088B0" w14:textId="77777777" w:rsidTr="007024D4">
        <w:trPr>
          <w:trHeight w:hRule="exact" w:val="557"/>
          <w:jc w:val="center"/>
        </w:trPr>
        <w:tc>
          <w:tcPr>
            <w:tcW w:w="709" w:type="pct"/>
            <w:vMerge/>
            <w:vAlign w:val="center"/>
          </w:tcPr>
          <w:p w14:paraId="317DE0EA" w14:textId="77777777" w:rsidR="00107085" w:rsidRPr="007024D4" w:rsidRDefault="00107085">
            <w:pPr>
              <w:spacing w:line="320" w:lineRule="exact"/>
              <w:ind w:firstLineChars="0" w:firstLine="0"/>
              <w:jc w:val="center"/>
              <w:rPr>
                <w:rFonts w:eastAsia="宋体"/>
                <w:sz w:val="21"/>
                <w:szCs w:val="21"/>
              </w:rPr>
            </w:pPr>
          </w:p>
        </w:tc>
        <w:tc>
          <w:tcPr>
            <w:tcW w:w="1626" w:type="pct"/>
            <w:vAlign w:val="center"/>
          </w:tcPr>
          <w:p w14:paraId="452A3A70"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1</w:t>
            </w:r>
            <w:r w:rsidRPr="007024D4">
              <w:rPr>
                <w:rFonts w:ascii="Cambria Math" w:eastAsia="宋体" w:hAnsi="Cambria Math" w:cs="Cambria Math"/>
                <w:sz w:val="21"/>
                <w:szCs w:val="21"/>
              </w:rPr>
              <w:t>∶</w:t>
            </w:r>
            <w:r w:rsidRPr="007024D4">
              <w:rPr>
                <w:rFonts w:eastAsia="宋体"/>
                <w:sz w:val="21"/>
                <w:szCs w:val="21"/>
              </w:rPr>
              <w:t>5</w:t>
            </w:r>
            <w:r w:rsidRPr="007024D4">
              <w:rPr>
                <w:rFonts w:eastAsia="宋体"/>
                <w:sz w:val="21"/>
                <w:szCs w:val="21"/>
              </w:rPr>
              <w:t>万土地质量地球化学调查</w:t>
            </w:r>
          </w:p>
        </w:tc>
        <w:tc>
          <w:tcPr>
            <w:tcW w:w="982" w:type="pct"/>
            <w:vAlign w:val="center"/>
          </w:tcPr>
          <w:p w14:paraId="0010B4D5"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平方千米</w:t>
            </w:r>
          </w:p>
        </w:tc>
        <w:tc>
          <w:tcPr>
            <w:tcW w:w="935" w:type="pct"/>
            <w:vAlign w:val="center"/>
          </w:tcPr>
          <w:p w14:paraId="1BF5F033"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100</w:t>
            </w:r>
          </w:p>
        </w:tc>
        <w:tc>
          <w:tcPr>
            <w:tcW w:w="748" w:type="pct"/>
            <w:vAlign w:val="center"/>
          </w:tcPr>
          <w:p w14:paraId="450C9D6F"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全部完成</w:t>
            </w:r>
          </w:p>
        </w:tc>
      </w:tr>
      <w:tr w:rsidR="00107085" w14:paraId="67B3709B" w14:textId="77777777" w:rsidTr="007024D4">
        <w:trPr>
          <w:trHeight w:hRule="exact" w:val="485"/>
          <w:jc w:val="center"/>
        </w:trPr>
        <w:tc>
          <w:tcPr>
            <w:tcW w:w="709" w:type="pct"/>
            <w:vMerge/>
            <w:vAlign w:val="center"/>
          </w:tcPr>
          <w:p w14:paraId="7F8887D9" w14:textId="77777777" w:rsidR="00107085" w:rsidRPr="007024D4" w:rsidRDefault="00107085">
            <w:pPr>
              <w:spacing w:line="320" w:lineRule="exact"/>
              <w:ind w:firstLineChars="0" w:firstLine="0"/>
              <w:jc w:val="center"/>
              <w:rPr>
                <w:rFonts w:eastAsia="宋体"/>
                <w:sz w:val="21"/>
                <w:szCs w:val="21"/>
              </w:rPr>
            </w:pPr>
          </w:p>
        </w:tc>
        <w:tc>
          <w:tcPr>
            <w:tcW w:w="1626" w:type="pct"/>
            <w:vAlign w:val="center"/>
          </w:tcPr>
          <w:p w14:paraId="33D08DB6"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地质灾害风险调查评价</w:t>
            </w:r>
          </w:p>
        </w:tc>
        <w:tc>
          <w:tcPr>
            <w:tcW w:w="982" w:type="pct"/>
            <w:vAlign w:val="center"/>
          </w:tcPr>
          <w:p w14:paraId="62D95EF3"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平方千米</w:t>
            </w:r>
          </w:p>
        </w:tc>
        <w:tc>
          <w:tcPr>
            <w:tcW w:w="935" w:type="pct"/>
            <w:vAlign w:val="center"/>
          </w:tcPr>
          <w:p w14:paraId="481C7654"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6923.4</w:t>
            </w:r>
          </w:p>
        </w:tc>
        <w:tc>
          <w:tcPr>
            <w:tcW w:w="748" w:type="pct"/>
            <w:vAlign w:val="center"/>
          </w:tcPr>
          <w:p w14:paraId="06F45D7E"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全部完成</w:t>
            </w:r>
          </w:p>
        </w:tc>
      </w:tr>
      <w:tr w:rsidR="00107085" w14:paraId="4B072256" w14:textId="77777777" w:rsidTr="007024D4">
        <w:trPr>
          <w:trHeight w:val="457"/>
          <w:jc w:val="center"/>
        </w:trPr>
        <w:tc>
          <w:tcPr>
            <w:tcW w:w="709" w:type="pct"/>
            <w:vMerge/>
            <w:vAlign w:val="center"/>
          </w:tcPr>
          <w:p w14:paraId="69F3CF3C" w14:textId="77777777" w:rsidR="00107085" w:rsidRPr="007024D4" w:rsidRDefault="00107085">
            <w:pPr>
              <w:spacing w:line="320" w:lineRule="exact"/>
              <w:ind w:firstLineChars="0" w:firstLine="0"/>
              <w:jc w:val="center"/>
              <w:rPr>
                <w:rFonts w:eastAsia="宋体"/>
                <w:sz w:val="21"/>
                <w:szCs w:val="21"/>
              </w:rPr>
            </w:pPr>
          </w:p>
        </w:tc>
        <w:tc>
          <w:tcPr>
            <w:tcW w:w="1626" w:type="pct"/>
            <w:vAlign w:val="center"/>
          </w:tcPr>
          <w:p w14:paraId="49622456"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旅游地质资源调查</w:t>
            </w:r>
          </w:p>
        </w:tc>
        <w:tc>
          <w:tcPr>
            <w:tcW w:w="982" w:type="pct"/>
            <w:vAlign w:val="center"/>
          </w:tcPr>
          <w:p w14:paraId="5518D487"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平方千米</w:t>
            </w:r>
          </w:p>
        </w:tc>
        <w:tc>
          <w:tcPr>
            <w:tcW w:w="935" w:type="pct"/>
            <w:vAlign w:val="center"/>
          </w:tcPr>
          <w:p w14:paraId="349E1E5A"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200</w:t>
            </w:r>
          </w:p>
        </w:tc>
        <w:tc>
          <w:tcPr>
            <w:tcW w:w="748" w:type="pct"/>
            <w:vAlign w:val="center"/>
          </w:tcPr>
          <w:p w14:paraId="30FF3E55"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全部完成</w:t>
            </w:r>
          </w:p>
        </w:tc>
      </w:tr>
      <w:tr w:rsidR="00107085" w14:paraId="6186A1CC" w14:textId="77777777" w:rsidTr="007024D4">
        <w:trPr>
          <w:trHeight w:val="413"/>
          <w:jc w:val="center"/>
        </w:trPr>
        <w:tc>
          <w:tcPr>
            <w:tcW w:w="709" w:type="pct"/>
            <w:vMerge/>
            <w:vAlign w:val="center"/>
          </w:tcPr>
          <w:p w14:paraId="6BBD26D0" w14:textId="77777777" w:rsidR="00107085" w:rsidRPr="007024D4" w:rsidRDefault="00107085">
            <w:pPr>
              <w:spacing w:line="320" w:lineRule="exact"/>
              <w:ind w:firstLineChars="0" w:firstLine="0"/>
              <w:jc w:val="center"/>
              <w:rPr>
                <w:rFonts w:eastAsia="宋体"/>
                <w:sz w:val="21"/>
                <w:szCs w:val="21"/>
              </w:rPr>
            </w:pPr>
          </w:p>
        </w:tc>
        <w:tc>
          <w:tcPr>
            <w:tcW w:w="1626" w:type="pct"/>
            <w:vAlign w:val="center"/>
          </w:tcPr>
          <w:p w14:paraId="5286F724"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多要素城市地质调查</w:t>
            </w:r>
          </w:p>
        </w:tc>
        <w:tc>
          <w:tcPr>
            <w:tcW w:w="982" w:type="pct"/>
            <w:vAlign w:val="center"/>
          </w:tcPr>
          <w:p w14:paraId="1EC40A67"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平方千米</w:t>
            </w:r>
          </w:p>
        </w:tc>
        <w:tc>
          <w:tcPr>
            <w:tcW w:w="935" w:type="pct"/>
            <w:vAlign w:val="center"/>
          </w:tcPr>
          <w:p w14:paraId="61CFE197"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阿拉尔市主城区</w:t>
            </w:r>
          </w:p>
        </w:tc>
        <w:tc>
          <w:tcPr>
            <w:tcW w:w="748" w:type="pct"/>
            <w:vAlign w:val="center"/>
          </w:tcPr>
          <w:p w14:paraId="7F0E4554"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全部完成</w:t>
            </w:r>
          </w:p>
        </w:tc>
      </w:tr>
      <w:tr w:rsidR="00107085" w14:paraId="616F9D16" w14:textId="77777777" w:rsidTr="007024D4">
        <w:trPr>
          <w:trHeight w:val="403"/>
          <w:jc w:val="center"/>
        </w:trPr>
        <w:tc>
          <w:tcPr>
            <w:tcW w:w="709" w:type="pct"/>
            <w:vMerge/>
            <w:vAlign w:val="center"/>
          </w:tcPr>
          <w:p w14:paraId="04F9F9BC" w14:textId="77777777" w:rsidR="00107085" w:rsidRPr="007024D4" w:rsidRDefault="00107085">
            <w:pPr>
              <w:spacing w:line="320" w:lineRule="exact"/>
              <w:ind w:firstLineChars="0" w:firstLine="0"/>
              <w:jc w:val="center"/>
              <w:rPr>
                <w:rFonts w:eastAsia="宋体"/>
                <w:sz w:val="21"/>
                <w:szCs w:val="21"/>
              </w:rPr>
            </w:pPr>
          </w:p>
        </w:tc>
        <w:tc>
          <w:tcPr>
            <w:tcW w:w="1626" w:type="pct"/>
            <w:vAlign w:val="center"/>
          </w:tcPr>
          <w:p w14:paraId="04EE66FC"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自然资源综合地质调查</w:t>
            </w:r>
          </w:p>
        </w:tc>
        <w:tc>
          <w:tcPr>
            <w:tcW w:w="982" w:type="pct"/>
            <w:vAlign w:val="center"/>
          </w:tcPr>
          <w:p w14:paraId="48F1822D"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平方千米</w:t>
            </w:r>
          </w:p>
        </w:tc>
        <w:tc>
          <w:tcPr>
            <w:tcW w:w="935" w:type="pct"/>
            <w:vAlign w:val="center"/>
          </w:tcPr>
          <w:p w14:paraId="741BCDC3"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600</w:t>
            </w:r>
          </w:p>
        </w:tc>
        <w:tc>
          <w:tcPr>
            <w:tcW w:w="748" w:type="pct"/>
            <w:vAlign w:val="center"/>
          </w:tcPr>
          <w:p w14:paraId="69B1B4BD"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全部完成</w:t>
            </w:r>
          </w:p>
        </w:tc>
      </w:tr>
      <w:tr w:rsidR="00107085" w14:paraId="2D3E3EB2" w14:textId="77777777" w:rsidTr="007024D4">
        <w:trPr>
          <w:trHeight w:val="403"/>
          <w:jc w:val="center"/>
        </w:trPr>
        <w:tc>
          <w:tcPr>
            <w:tcW w:w="709" w:type="pct"/>
            <w:vAlign w:val="center"/>
          </w:tcPr>
          <w:p w14:paraId="11EA3A73"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生态修复</w:t>
            </w:r>
          </w:p>
        </w:tc>
        <w:tc>
          <w:tcPr>
            <w:tcW w:w="1626" w:type="pct"/>
            <w:vAlign w:val="center"/>
          </w:tcPr>
          <w:p w14:paraId="61D0FF01"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新疆塔里木河重要源流区（阿克苏河流域</w:t>
            </w:r>
            <w:r w:rsidRPr="007024D4">
              <w:rPr>
                <w:rFonts w:eastAsia="宋体"/>
                <w:sz w:val="21"/>
                <w:szCs w:val="21"/>
              </w:rPr>
              <w:t>—</w:t>
            </w:r>
            <w:r w:rsidRPr="007024D4">
              <w:rPr>
                <w:rFonts w:eastAsia="宋体"/>
                <w:sz w:val="21"/>
                <w:szCs w:val="21"/>
              </w:rPr>
              <w:t>第一师范围）山水林田湖草沙一体化保护和修复工程</w:t>
            </w:r>
          </w:p>
        </w:tc>
        <w:tc>
          <w:tcPr>
            <w:tcW w:w="982" w:type="pct"/>
            <w:vAlign w:val="center"/>
          </w:tcPr>
          <w:p w14:paraId="29D3B02B"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平方千米</w:t>
            </w:r>
          </w:p>
        </w:tc>
        <w:tc>
          <w:tcPr>
            <w:tcW w:w="935" w:type="pct"/>
            <w:vAlign w:val="center"/>
          </w:tcPr>
          <w:p w14:paraId="391A1D31"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600</w:t>
            </w:r>
          </w:p>
        </w:tc>
        <w:tc>
          <w:tcPr>
            <w:tcW w:w="748" w:type="pct"/>
            <w:vAlign w:val="center"/>
          </w:tcPr>
          <w:p w14:paraId="39DEA3CA"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全部完成</w:t>
            </w:r>
          </w:p>
        </w:tc>
      </w:tr>
      <w:tr w:rsidR="00107085" w14:paraId="7D21134F" w14:textId="77777777" w:rsidTr="007024D4">
        <w:trPr>
          <w:trHeight w:val="318"/>
          <w:jc w:val="center"/>
        </w:trPr>
        <w:tc>
          <w:tcPr>
            <w:tcW w:w="709" w:type="pct"/>
            <w:vMerge w:val="restart"/>
            <w:vAlign w:val="center"/>
          </w:tcPr>
          <w:p w14:paraId="47F802FD"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矿产资源开发利用</w:t>
            </w:r>
          </w:p>
        </w:tc>
        <w:tc>
          <w:tcPr>
            <w:tcW w:w="1626" w:type="pct"/>
            <w:vAlign w:val="center"/>
          </w:tcPr>
          <w:p w14:paraId="109772F6"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建筑用砂石粘土采矿权数</w:t>
            </w:r>
          </w:p>
        </w:tc>
        <w:tc>
          <w:tcPr>
            <w:tcW w:w="982" w:type="pct"/>
            <w:vAlign w:val="center"/>
          </w:tcPr>
          <w:p w14:paraId="1D22130C"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个</w:t>
            </w:r>
          </w:p>
        </w:tc>
        <w:tc>
          <w:tcPr>
            <w:tcW w:w="935" w:type="pct"/>
            <w:vAlign w:val="center"/>
          </w:tcPr>
          <w:p w14:paraId="3F41785E"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20</w:t>
            </w:r>
          </w:p>
        </w:tc>
        <w:tc>
          <w:tcPr>
            <w:tcW w:w="748" w:type="pct"/>
            <w:vAlign w:val="center"/>
          </w:tcPr>
          <w:p w14:paraId="4DB39327"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12</w:t>
            </w:r>
          </w:p>
        </w:tc>
      </w:tr>
      <w:tr w:rsidR="00107085" w14:paraId="53157688" w14:textId="77777777" w:rsidTr="007024D4">
        <w:trPr>
          <w:trHeight w:val="335"/>
          <w:jc w:val="center"/>
        </w:trPr>
        <w:tc>
          <w:tcPr>
            <w:tcW w:w="709" w:type="pct"/>
            <w:vMerge/>
            <w:vAlign w:val="center"/>
          </w:tcPr>
          <w:p w14:paraId="78EEBD39" w14:textId="77777777" w:rsidR="00107085" w:rsidRPr="007024D4" w:rsidRDefault="00107085">
            <w:pPr>
              <w:spacing w:line="320" w:lineRule="exact"/>
              <w:ind w:firstLineChars="0" w:firstLine="0"/>
              <w:jc w:val="center"/>
              <w:rPr>
                <w:rFonts w:eastAsia="宋体"/>
                <w:sz w:val="21"/>
                <w:szCs w:val="21"/>
              </w:rPr>
            </w:pPr>
          </w:p>
        </w:tc>
        <w:tc>
          <w:tcPr>
            <w:tcW w:w="1626" w:type="pct"/>
            <w:vAlign w:val="center"/>
          </w:tcPr>
          <w:p w14:paraId="79DE39E7"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建筑用砂石粘土采矿开采量</w:t>
            </w:r>
          </w:p>
        </w:tc>
        <w:tc>
          <w:tcPr>
            <w:tcW w:w="982" w:type="pct"/>
            <w:vAlign w:val="center"/>
          </w:tcPr>
          <w:p w14:paraId="5D60390B"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万立方米</w:t>
            </w:r>
            <w:r w:rsidRPr="007024D4">
              <w:rPr>
                <w:rFonts w:eastAsia="宋体"/>
                <w:sz w:val="21"/>
                <w:szCs w:val="21"/>
              </w:rPr>
              <w:t>/</w:t>
            </w:r>
            <w:r w:rsidRPr="007024D4">
              <w:rPr>
                <w:rFonts w:eastAsia="宋体"/>
                <w:sz w:val="21"/>
                <w:szCs w:val="21"/>
              </w:rPr>
              <w:t>年</w:t>
            </w:r>
          </w:p>
        </w:tc>
        <w:tc>
          <w:tcPr>
            <w:tcW w:w="935" w:type="pct"/>
            <w:vAlign w:val="center"/>
          </w:tcPr>
          <w:p w14:paraId="4F794B03"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280</w:t>
            </w:r>
          </w:p>
        </w:tc>
        <w:tc>
          <w:tcPr>
            <w:tcW w:w="748" w:type="pct"/>
            <w:vAlign w:val="center"/>
          </w:tcPr>
          <w:p w14:paraId="7B3FA121"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已完成</w:t>
            </w:r>
          </w:p>
        </w:tc>
      </w:tr>
      <w:tr w:rsidR="00107085" w14:paraId="6A0F8612" w14:textId="77777777" w:rsidTr="007024D4">
        <w:trPr>
          <w:trHeight w:val="349"/>
          <w:jc w:val="center"/>
        </w:trPr>
        <w:tc>
          <w:tcPr>
            <w:tcW w:w="709" w:type="pct"/>
            <w:vMerge/>
            <w:vAlign w:val="center"/>
          </w:tcPr>
          <w:p w14:paraId="79712FDF" w14:textId="77777777" w:rsidR="00107085" w:rsidRPr="007024D4" w:rsidRDefault="00107085">
            <w:pPr>
              <w:spacing w:line="320" w:lineRule="exact"/>
              <w:ind w:firstLineChars="0" w:firstLine="0"/>
              <w:jc w:val="center"/>
              <w:rPr>
                <w:rFonts w:eastAsia="宋体"/>
                <w:sz w:val="21"/>
                <w:szCs w:val="21"/>
              </w:rPr>
            </w:pPr>
          </w:p>
        </w:tc>
        <w:tc>
          <w:tcPr>
            <w:tcW w:w="1626" w:type="pct"/>
            <w:vAlign w:val="center"/>
          </w:tcPr>
          <w:p w14:paraId="06467082"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大中型矿山比例</w:t>
            </w:r>
          </w:p>
        </w:tc>
        <w:tc>
          <w:tcPr>
            <w:tcW w:w="982" w:type="pct"/>
            <w:vAlign w:val="center"/>
          </w:tcPr>
          <w:p w14:paraId="5756CD51"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w:t>
            </w:r>
          </w:p>
        </w:tc>
        <w:tc>
          <w:tcPr>
            <w:tcW w:w="935" w:type="pct"/>
            <w:vAlign w:val="center"/>
          </w:tcPr>
          <w:p w14:paraId="380F8F11"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≥25</w:t>
            </w:r>
          </w:p>
        </w:tc>
        <w:tc>
          <w:tcPr>
            <w:tcW w:w="748" w:type="pct"/>
            <w:vAlign w:val="center"/>
          </w:tcPr>
          <w:p w14:paraId="47F05591" w14:textId="77777777" w:rsidR="00107085" w:rsidRPr="007024D4" w:rsidRDefault="00000000">
            <w:pPr>
              <w:spacing w:line="320" w:lineRule="exact"/>
              <w:ind w:firstLineChars="0" w:firstLine="0"/>
              <w:jc w:val="center"/>
              <w:rPr>
                <w:rFonts w:eastAsia="宋体"/>
                <w:sz w:val="21"/>
                <w:szCs w:val="21"/>
              </w:rPr>
            </w:pPr>
            <w:r w:rsidRPr="007024D4">
              <w:rPr>
                <w:rFonts w:eastAsia="宋体"/>
                <w:sz w:val="21"/>
                <w:szCs w:val="21"/>
              </w:rPr>
              <w:t>83</w:t>
            </w:r>
          </w:p>
        </w:tc>
      </w:tr>
    </w:tbl>
    <w:p w14:paraId="70975E0B"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39" w:name="_Toc227172373"/>
      <w:bookmarkStart w:id="40" w:name="_Toc237883253"/>
      <w:r>
        <w:rPr>
          <w:rFonts w:ascii="Times New Roman" w:eastAsia="楷体" w:hAnsi="Times New Roman" w:cs="Times New Roman"/>
          <w:b w:val="0"/>
          <w:sz w:val="32"/>
          <w:szCs w:val="32"/>
        </w:rPr>
        <w:lastRenderedPageBreak/>
        <w:t>（四）</w:t>
      </w:r>
      <w:bookmarkEnd w:id="36"/>
      <w:bookmarkEnd w:id="37"/>
      <w:bookmarkEnd w:id="38"/>
      <w:r>
        <w:rPr>
          <w:rFonts w:ascii="Times New Roman" w:eastAsia="楷体" w:hAnsi="Times New Roman" w:cs="Times New Roman"/>
          <w:b w:val="0"/>
          <w:sz w:val="32"/>
          <w:szCs w:val="32"/>
        </w:rPr>
        <w:t>存在的主要问题</w:t>
      </w:r>
      <w:bookmarkEnd w:id="39"/>
      <w:bookmarkEnd w:id="40"/>
    </w:p>
    <w:p w14:paraId="79FFAF59" w14:textId="77777777" w:rsidR="00107085" w:rsidRDefault="00000000">
      <w:pPr>
        <w:ind w:firstLine="640"/>
      </w:pPr>
      <w:r>
        <w:t>虽然师市辖区（总面积</w:t>
      </w:r>
      <w:r>
        <w:t>6880.42</w:t>
      </w:r>
      <w:r>
        <w:t>平方千米）已实现</w:t>
      </w:r>
      <w:r>
        <w:t>1</w:t>
      </w:r>
      <w:r>
        <w:rPr>
          <w:rFonts w:ascii="仿宋_GB2312" w:hAnsi="仿宋_GB2312" w:cs="仿宋_GB2312" w:hint="eastAsia"/>
          <w:sz w:val="28"/>
          <w:szCs w:val="28"/>
        </w:rPr>
        <w:t>∶</w:t>
      </w:r>
      <w:r>
        <w:t>20</w:t>
      </w:r>
      <w:r>
        <w:t>万小比例尺区域地质调查</w:t>
      </w:r>
      <w:r>
        <w:t>100%</w:t>
      </w:r>
      <w:r>
        <w:t>全覆盖，但该精度仅能提供宏观地质背景。在能够有效支撑矿产详查与城镇建设的</w:t>
      </w:r>
      <w:r>
        <w:t>1</w:t>
      </w:r>
      <w:r>
        <w:rPr>
          <w:rFonts w:ascii="仿宋_GB2312" w:hAnsi="仿宋_GB2312" w:cs="仿宋_GB2312" w:hint="eastAsia"/>
          <w:sz w:val="28"/>
          <w:szCs w:val="28"/>
        </w:rPr>
        <w:t>∶</w:t>
      </w:r>
      <w:r>
        <w:t>5</w:t>
      </w:r>
      <w:r>
        <w:t>万及更大比例尺高精度调查方面，工作程度依然偏低。目前，</w:t>
      </w:r>
      <w:r>
        <w:t>1</w:t>
      </w:r>
      <w:r>
        <w:rPr>
          <w:rFonts w:ascii="仿宋_GB2312" w:hAnsi="仿宋_GB2312" w:cs="仿宋_GB2312" w:hint="eastAsia"/>
          <w:sz w:val="28"/>
          <w:szCs w:val="28"/>
        </w:rPr>
        <w:t>∶</w:t>
      </w:r>
      <w:r>
        <w:t>5</w:t>
      </w:r>
      <w:r>
        <w:t>万调查仅覆盖了阿拉尔和沙井子等部分</w:t>
      </w:r>
      <w:r>
        <w:rPr>
          <w:rFonts w:hint="eastAsia"/>
        </w:rPr>
        <w:t>核心区域</w:t>
      </w:r>
      <w:r>
        <w:t>（已完成面积约</w:t>
      </w:r>
      <w:r>
        <w:rPr>
          <w:rFonts w:hint="eastAsia"/>
        </w:rPr>
        <w:t>900</w:t>
      </w:r>
      <w:r>
        <w:t>平方千米），而在成矿潜力较大的天山南麓（四团、五团等独立垦区）以及塔克拉玛干沙漠北缘地带，至今仍有约</w:t>
      </w:r>
      <w:r>
        <w:t>2000</w:t>
      </w:r>
      <w:r>
        <w:t>平方千米的区域属于</w:t>
      </w:r>
      <w:r>
        <w:t>1</w:t>
      </w:r>
      <w:r>
        <w:rPr>
          <w:rFonts w:ascii="仿宋_GB2312" w:hAnsi="仿宋_GB2312" w:cs="仿宋_GB2312" w:hint="eastAsia"/>
          <w:sz w:val="28"/>
          <w:szCs w:val="28"/>
        </w:rPr>
        <w:t>∶</w:t>
      </w:r>
      <w:r>
        <w:t>5</w:t>
      </w:r>
      <w:r>
        <w:t>万地质调查空白区。隐伏构造特征不清、精细化地貌刻画不足，严重制约了新一轮找矿突破的靶区优选与精准部署。</w:t>
      </w:r>
    </w:p>
    <w:p w14:paraId="60F6E423" w14:textId="77777777" w:rsidR="00107085" w:rsidRDefault="00000000">
      <w:pPr>
        <w:ind w:firstLine="640"/>
      </w:pPr>
      <w:r>
        <w:t>矿产资源评价与勘查工作程度亦显不足，目前探明的资源储量尚未摸清。能源矿产（如煤炭、油气）勘查仍停留于远景调查阶段，难以支撑师市多元化矿产资源开发的目标。勘查技术手段相对传统，以往工作多以地质填图为主，遥感解译、地球物理勘探等现代技术方法融合应用不深，对隐伏地质构造（如隐伏断裂、地下含水层分布等）的探测精度有限，制约了找矿效果的提升。</w:t>
      </w:r>
    </w:p>
    <w:p w14:paraId="7A9B07D3" w14:textId="77777777" w:rsidR="00107085" w:rsidRDefault="00000000">
      <w:pPr>
        <w:ind w:firstLine="640"/>
      </w:pPr>
      <w:r>
        <w:t>矿业权结构较为单一，主要集中在建筑用非金属矿产方面。矿业权全过程监管与执法力度仍显不足，管理短板较为突出。</w:t>
      </w:r>
      <w:r>
        <w:t xml:space="preserve"> </w:t>
      </w:r>
      <w:r>
        <w:t>部分矿山存在</w:t>
      </w:r>
      <w:r>
        <w:rPr>
          <w:rFonts w:hint="eastAsia"/>
        </w:rPr>
        <w:t>“</w:t>
      </w:r>
      <w:r>
        <w:t>重开采、轻治理</w:t>
      </w:r>
      <w:r>
        <w:rPr>
          <w:rFonts w:hint="eastAsia"/>
        </w:rPr>
        <w:t>”</w:t>
      </w:r>
      <w:r>
        <w:t>倾向，矿山地质环境治理恢复基金制度落实不到位，存在基金计提与使用不规范、日常执法巡查不深不细等问题，导致部分矿山生态修复进展明显滞后</w:t>
      </w:r>
      <w:r>
        <w:lastRenderedPageBreak/>
        <w:t>于开采活动。相关源头管控、过程严管与末端闭环的硬性约束机制</w:t>
      </w:r>
      <w:r>
        <w:rPr>
          <w:rFonts w:hint="eastAsia"/>
        </w:rPr>
        <w:t>亟须</w:t>
      </w:r>
      <w:r>
        <w:t>全面强化。</w:t>
      </w:r>
    </w:p>
    <w:p w14:paraId="2888262F" w14:textId="77777777" w:rsidR="00107085" w:rsidRDefault="00000000">
      <w:pPr>
        <w:ind w:firstLine="640"/>
      </w:pPr>
      <w:r>
        <w:rPr>
          <w:rFonts w:hint="eastAsia"/>
        </w:rPr>
        <w:t>服务重大产业园区的基础设施与资源配置面临挑战。针对库沙新拜等新建的产业园，目前存在基础设施配置不完善、区域分配不均、新老设施接洽不佳等问题。随着产业园建设全面铺开，基础设施建设面临极大的设计与资金压力，导致支撑园区所需的建筑砂石、管沟回填粘土等矿产资源的供需衔接较为紧张，矿权配置时序与重大工程进度的协同性有待提高。</w:t>
      </w:r>
    </w:p>
    <w:p w14:paraId="0A2DAEB9"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41" w:name="_Toc227172374"/>
      <w:bookmarkStart w:id="42" w:name="_Toc237883254"/>
      <w:r>
        <w:rPr>
          <w:rFonts w:ascii="Times New Roman" w:eastAsia="楷体" w:hAnsi="Times New Roman" w:cs="Times New Roman"/>
          <w:b w:val="0"/>
          <w:sz w:val="32"/>
          <w:szCs w:val="32"/>
        </w:rPr>
        <w:t>（五）形势与需求</w:t>
      </w:r>
      <w:bookmarkEnd w:id="41"/>
      <w:bookmarkEnd w:id="42"/>
    </w:p>
    <w:p w14:paraId="159493ED" w14:textId="77777777" w:rsidR="00107085" w:rsidRDefault="00000000">
      <w:pPr>
        <w:pStyle w:val="afa"/>
        <w:ind w:firstLine="643"/>
      </w:pPr>
      <w:r>
        <w:rPr>
          <w:rFonts w:ascii="方正楷体_GBK" w:eastAsia="方正楷体_GBK"/>
          <w:b/>
          <w:bCs/>
        </w:rPr>
        <w:t>从疆内看</w:t>
      </w:r>
      <w:r>
        <w:rPr>
          <w:b/>
          <w:bCs/>
        </w:rPr>
        <w:t>，</w:t>
      </w:r>
      <w:r>
        <w:t>随着国家支持新疆经济社会高质量发展系列政策的落地，新疆正处于重大基础设施建设的高峰期。南疆重大水利枢纽、跨流域引调水工程及骨干交通网等项目的全面铺开，对建筑用砂石骨料提出了巨大的刚性需求，这为师市将非金属矿产资源禀赋转化为经济发展新动力提供了重要契机。</w:t>
      </w:r>
    </w:p>
    <w:p w14:paraId="7FFB9EB8" w14:textId="77777777" w:rsidR="00107085" w:rsidRDefault="00000000">
      <w:pPr>
        <w:pStyle w:val="afa"/>
        <w:ind w:firstLine="643"/>
      </w:pPr>
      <w:r>
        <w:rPr>
          <w:rFonts w:ascii="方正楷体_GBK" w:eastAsia="方正楷体_GBK"/>
          <w:b/>
          <w:bCs/>
        </w:rPr>
        <w:t>从师市看</w:t>
      </w:r>
      <w:r>
        <w:rPr>
          <w:b/>
          <w:bCs/>
        </w:rPr>
        <w:t>，</w:t>
      </w:r>
      <w:r>
        <w:rPr>
          <w:rFonts w:hint="eastAsia"/>
        </w:rPr>
        <w:t>“</w:t>
      </w:r>
      <w:r>
        <w:t>十五五</w:t>
      </w:r>
      <w:r>
        <w:rPr>
          <w:rFonts w:hint="eastAsia"/>
        </w:rPr>
        <w:t>”</w:t>
      </w:r>
      <w:r>
        <w:t>时期，第一师阿拉尔市发展进入全面推进高质量发展的关键阶段。随着兵团深化改革、向南发展、兵地融合发展等战略部署持续推进，师市城镇化建设、重大基础设施建设将大规模展开。特别是结合师市水利及水资源配置部分的专项规划，将全面推进第一师喀拉玉尔滚河至</w:t>
      </w:r>
      <w:r>
        <w:rPr>
          <w:rFonts w:hint="eastAsia"/>
        </w:rPr>
        <w:t>第一师</w:t>
      </w:r>
      <w:r>
        <w:t>阿拉尔市引调水工程、大中型平原水库（如上游、多浪、新井子、胜利水库）提质增效及清淤扩容工程、库沙新拜产业园（新建</w:t>
      </w:r>
      <w:r>
        <w:t>18</w:t>
      </w:r>
      <w:r>
        <w:t>团镇）水资源保障工程等骨干水网建设。同时，随着一系列兵地共建的通用航空、边境口岸公路及流域综合防洪等重大基</w:t>
      </w:r>
      <w:r>
        <w:lastRenderedPageBreak/>
        <w:t>础设施项目的全面铺开，要求师市必须立足自身以砂石类非金属矿产为主的实际，在重大基础项目中强化兵地矿产资源配置的统筹协调。提升建筑材料供给的有效保障能力，确保大中型水利枢纽、跨流域引调水管线铺设、河湖综合治理以及兵地互联互通干线等重大工程的骨料和回填土方需求，更好地服务师市经济社会高质量发展大局与兵地深度融合战略。此外，统筹山水林田湖草沙系统治理理念的深入推进，要求师市矿产资源的开发与生态修复必须与师市水土流失综合治理、</w:t>
      </w:r>
      <w:r>
        <w:rPr>
          <w:rFonts w:hint="eastAsia"/>
        </w:rPr>
        <w:t>河湖生态保护治理</w:t>
      </w:r>
      <w:r>
        <w:t>等水安全保障目标深度同频共振</w:t>
      </w:r>
      <w:r>
        <w:rPr>
          <w:rFonts w:hint="eastAsia"/>
        </w:rPr>
        <w:t>。</w:t>
      </w:r>
    </w:p>
    <w:p w14:paraId="7304FED0" w14:textId="77777777" w:rsidR="00107085" w:rsidRDefault="00000000">
      <w:pPr>
        <w:pStyle w:val="afa"/>
        <w:ind w:firstLine="640"/>
      </w:pPr>
      <w:r>
        <w:t>此外，面对国家新一轮找矿突破战略行动与师市产业高质量发展的迫切需求，资源谋划必须立足全局，强化前瞻性布局。针对辖区内深层油气资源全覆盖但出让权限在国家层面的实际，以及招商引资落地的新材料产业（如玄武岩连续拉丝）受制于本辖区无相关矿山山体的客观约束，师市必须充分发挥属地空间优势与兵地融合机制。师市必须高度重视并前瞻性谋划油气资源投产后的巨大经济与社会综合效益。虽然目前尚未直接设立本级油气矿权，但随着中石化、新疆亚新等大型能源企业在辖区探采项目的实质性落地与产能释放，必将为师市带来破局式的经济拉动。在经济与税收方面，油气资源的规模化开采将通过</w:t>
      </w:r>
      <w:r>
        <w:rPr>
          <w:rFonts w:hint="eastAsia"/>
        </w:rPr>
        <w:t>“</w:t>
      </w:r>
      <w:r>
        <w:t>属地注册、财税分成</w:t>
      </w:r>
      <w:r>
        <w:rPr>
          <w:rFonts w:hint="eastAsia"/>
        </w:rPr>
        <w:t>”</w:t>
      </w:r>
      <w:r>
        <w:t>等机制，大幅拉动地方一般公共预算收入，创造可观的资源税、增值税及企业所得税，极大充实师市及团镇的财政底盘；在民生与社会效应方面，大型油气项目的进驻将直接催生庞大的钻井工程服务、管网管护、</w:t>
      </w:r>
      <w:r>
        <w:lastRenderedPageBreak/>
        <w:t>特种物流及后勤综合保障需求，为师市职工群众提供大量长期、稳定的高质量就业岗位，有效带动人口集聚与第三产业繁荣，真正实现</w:t>
      </w:r>
      <w:r>
        <w:rPr>
          <w:rFonts w:hint="eastAsia"/>
        </w:rPr>
        <w:t>“</w:t>
      </w:r>
      <w:r>
        <w:t>以产聚人、以业富民</w:t>
      </w:r>
      <w:r>
        <w:rPr>
          <w:rFonts w:hint="eastAsia"/>
        </w:rPr>
        <w:t>”</w:t>
      </w:r>
      <w:r>
        <w:t>的社会综合效应。为此，师市应主动围绕大型能源企业在辖区的油气探采项目，提前做好服务保障与下游产业链承接预留；同时，基于已有初步研究显示十八团及新和区域部分风积沙可达石英砂提纯标准的良好前景，积极推进进一步的系统取样检测与提纯工艺转化等前期研究，适时将其转化为规划成果，并通过跨区域协同保障新材料产业的原材料供给，为争取政策支持与产业延伸提供坚实的规划引领。</w:t>
      </w:r>
    </w:p>
    <w:p w14:paraId="21B06913" w14:textId="77777777" w:rsidR="00107085" w:rsidRDefault="00000000">
      <w:pPr>
        <w:pStyle w:val="afa"/>
        <w:ind w:firstLine="640"/>
      </w:pPr>
      <w:r>
        <w:t>大宗非金属矿产需求旺盛，产能需保持高位：受师市大中型水利工程（如引调水、水库提质）、交通干线（库沙阿铁路）及重点产业园建设驱动，预测规划期内（</w:t>
      </w:r>
      <w:r>
        <w:t>2026—2030</w:t>
      </w:r>
      <w:r>
        <w:t>年）建筑用砂累计刚性需求将达</w:t>
      </w:r>
      <w:r>
        <w:t>5180</w:t>
      </w:r>
      <w:r>
        <w:t>万立方米。为保障建设不断供，非金属矿年开采总量需科学调控并稳定在</w:t>
      </w:r>
      <w:r>
        <w:t>1036</w:t>
      </w:r>
      <w:r>
        <w:t>万立方米</w:t>
      </w:r>
      <w:r>
        <w:t>/</w:t>
      </w:r>
      <w:r>
        <w:t>年，以维持供需紧平衡。</w:t>
      </w:r>
      <w:r>
        <w:t xml:space="preserve"> </w:t>
      </w:r>
    </w:p>
    <w:p w14:paraId="07BBCCF5" w14:textId="77777777" w:rsidR="00107085" w:rsidRDefault="00000000">
      <w:pPr>
        <w:pStyle w:val="afa"/>
        <w:ind w:firstLine="640"/>
      </w:pPr>
      <w:r>
        <w:t>新材料矿产缺口显现，亟需跨区域协同：围绕周边大型油气田压裂作业，本地风积沙转化为高端支撑剂的需求潜力巨大；同时，已落地的玄武岩新材料项目因本地无实体矿山面临原料缺口，亟需建立跨区域供矿机制定向调配原石。</w:t>
      </w:r>
    </w:p>
    <w:p w14:paraId="4AB27851" w14:textId="77777777" w:rsidR="00107085" w:rsidRDefault="00000000">
      <w:pPr>
        <w:pStyle w:val="afa"/>
        <w:ind w:firstLine="640"/>
      </w:pPr>
      <w:r>
        <w:t>油气产能释放，衍生海量配套保供需求：辖区大型深层油气探采项目的实质性落地，将直接催生庞大的井场建设与管网铺设需求，要求师市提前预留空间走廊，并提供坚实的属地化</w:t>
      </w:r>
      <w:r>
        <w:lastRenderedPageBreak/>
        <w:t>砂石建材保障。</w:t>
      </w:r>
    </w:p>
    <w:p w14:paraId="3BBEA6CC" w14:textId="77777777" w:rsidR="00107085" w:rsidRDefault="00107085">
      <w:pPr>
        <w:pStyle w:val="afa"/>
        <w:ind w:firstLine="640"/>
        <w:sectPr w:rsidR="00107085">
          <w:pgSz w:w="11906" w:h="16838"/>
          <w:pgMar w:top="1701" w:right="1701" w:bottom="1701" w:left="1701" w:header="851" w:footer="851" w:gutter="0"/>
          <w:pgNumType w:start="3"/>
          <w:cols w:space="425"/>
          <w:docGrid w:type="lines" w:linePitch="560"/>
        </w:sectPr>
      </w:pPr>
    </w:p>
    <w:p w14:paraId="1C11C51D" w14:textId="77777777" w:rsidR="00107085" w:rsidRDefault="00107085">
      <w:pPr>
        <w:pStyle w:val="afa"/>
        <w:ind w:firstLine="640"/>
        <w:rPr>
          <w:rFonts w:eastAsia="仿宋"/>
        </w:rPr>
        <w:sectPr w:rsidR="00107085">
          <w:type w:val="continuous"/>
          <w:pgSz w:w="11906" w:h="16838"/>
          <w:pgMar w:top="1701" w:right="1701" w:bottom="1701" w:left="1701" w:header="851" w:footer="851" w:gutter="0"/>
          <w:pgNumType w:start="1"/>
          <w:cols w:space="425"/>
          <w:docGrid w:type="lines" w:linePitch="560"/>
        </w:sectPr>
      </w:pPr>
    </w:p>
    <w:p w14:paraId="70C3BDAD" w14:textId="77777777" w:rsidR="00107085" w:rsidRDefault="00000000">
      <w:pPr>
        <w:pStyle w:val="1"/>
        <w:keepLines w:val="0"/>
        <w:spacing w:beforeLines="0" w:before="0" w:afterLines="0" w:after="0"/>
        <w:ind w:firstLineChars="200" w:firstLine="640"/>
        <w:jc w:val="both"/>
        <w:rPr>
          <w:rFonts w:ascii="Times New Roman" w:eastAsia="黑体" w:hAnsi="Times New Roman"/>
          <w:b w:val="0"/>
          <w:sz w:val="32"/>
          <w:szCs w:val="32"/>
        </w:rPr>
      </w:pPr>
      <w:bookmarkStart w:id="43" w:name="_Toc472344876"/>
      <w:bookmarkStart w:id="44" w:name="_Toc227172375"/>
      <w:bookmarkStart w:id="45" w:name="_Toc472345080"/>
      <w:bookmarkStart w:id="46" w:name="_Toc237883255"/>
      <w:bookmarkEnd w:id="17"/>
      <w:bookmarkEnd w:id="18"/>
      <w:r>
        <w:rPr>
          <w:rFonts w:ascii="Times New Roman" w:eastAsia="黑体" w:hAnsi="Times New Roman"/>
          <w:b w:val="0"/>
          <w:sz w:val="32"/>
          <w:szCs w:val="32"/>
        </w:rPr>
        <w:lastRenderedPageBreak/>
        <w:t>二、指导思想与基本原则</w:t>
      </w:r>
      <w:bookmarkEnd w:id="43"/>
      <w:bookmarkEnd w:id="44"/>
      <w:bookmarkEnd w:id="45"/>
      <w:bookmarkEnd w:id="46"/>
    </w:p>
    <w:p w14:paraId="20509561"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47" w:name="_Toc227172376"/>
      <w:bookmarkStart w:id="48" w:name="_Toc472344877"/>
      <w:bookmarkStart w:id="49" w:name="_Toc472345081"/>
      <w:bookmarkStart w:id="50" w:name="_Toc237883256"/>
      <w:bookmarkStart w:id="51" w:name="_Toc472345082"/>
      <w:bookmarkStart w:id="52" w:name="_Toc472344878"/>
      <w:r>
        <w:rPr>
          <w:rFonts w:ascii="Times New Roman" w:eastAsia="楷体" w:hAnsi="Times New Roman" w:cs="Times New Roman"/>
          <w:b w:val="0"/>
          <w:sz w:val="32"/>
          <w:szCs w:val="32"/>
        </w:rPr>
        <w:t>（一）指导思想</w:t>
      </w:r>
      <w:bookmarkEnd w:id="47"/>
      <w:bookmarkEnd w:id="48"/>
      <w:bookmarkEnd w:id="49"/>
      <w:bookmarkEnd w:id="50"/>
    </w:p>
    <w:p w14:paraId="4E7F63B5" w14:textId="77777777" w:rsidR="00107085" w:rsidRDefault="00000000">
      <w:pPr>
        <w:ind w:firstLine="640"/>
      </w:pPr>
      <w:r>
        <w:t>以习近平新时代中国特色社会主义思想为指导，全面贯彻党的二十大和二十届历次全会精神，完整准确全面贯彻新时代党的治疆方略，牢牢把握党中央对兵团的定位要求。紧扣第一师阿拉尔市打造</w:t>
      </w:r>
      <w:r>
        <w:rPr>
          <w:rFonts w:hint="eastAsia"/>
        </w:rPr>
        <w:t>“</w:t>
      </w:r>
      <w:r>
        <w:t>南疆兵团中心城市</w:t>
      </w:r>
      <w:r>
        <w:rPr>
          <w:rFonts w:hint="eastAsia"/>
        </w:rPr>
        <w:t>”</w:t>
      </w:r>
      <w:r>
        <w:t>的战略定位与</w:t>
      </w:r>
      <w:r>
        <w:rPr>
          <w:rFonts w:hint="eastAsia"/>
        </w:rPr>
        <w:t>“</w:t>
      </w:r>
      <w:r>
        <w:t>十五五</w:t>
      </w:r>
      <w:r>
        <w:rPr>
          <w:rFonts w:hint="eastAsia"/>
        </w:rPr>
        <w:t>”</w:t>
      </w:r>
      <w:r>
        <w:t>经济社会高质量发展大局，深入落实兵团向南发展与兵地融合战略。以服务师市新型城镇化、重大水网与交通枢纽建设及库沙新拜等重点产业园建设为导向，以深化矿政管理改革与机制创新为动力，扎实开展基础地质与自然资源综合调查。坚持</w:t>
      </w:r>
      <w:r>
        <w:rPr>
          <w:rFonts w:hint="eastAsia"/>
        </w:rPr>
        <w:t>“</w:t>
      </w:r>
      <w:r>
        <w:t>以需定供、精准配置、兵地统筹</w:t>
      </w:r>
      <w:r>
        <w:rPr>
          <w:rFonts w:hint="eastAsia"/>
        </w:rPr>
        <w:t>”</w:t>
      </w:r>
      <w:r>
        <w:t>，全面优化以建筑砂石、风积沙等非金属为主的矿产开发空间布局，全力保障师市各团镇基建、民生工程与特色产业集群的资源刚需。大力推动资源高值化利用与矿区生态保护修复，协同推进宜居宜业美丽团镇建设。充分发挥矿产资源在</w:t>
      </w:r>
      <w:r>
        <w:t>“</w:t>
      </w:r>
      <w:r>
        <w:t>以产聚人、深耕兴业、富民固边</w:t>
      </w:r>
      <w:r>
        <w:t>”</w:t>
      </w:r>
      <w:r>
        <w:t>中的基础支撑作用，为全面提升第一师阿拉尔市综合承载力、忠诚履行新时代维稳戍边职责使命提供坚实的要素保障。</w:t>
      </w:r>
    </w:p>
    <w:p w14:paraId="0820FCCF"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53" w:name="_Toc227172377"/>
      <w:bookmarkStart w:id="54" w:name="_Toc237883257"/>
      <w:r>
        <w:rPr>
          <w:rFonts w:ascii="Times New Roman" w:eastAsia="楷体" w:hAnsi="Times New Roman" w:cs="Times New Roman"/>
          <w:b w:val="0"/>
          <w:sz w:val="32"/>
          <w:szCs w:val="32"/>
        </w:rPr>
        <w:t>（二）基本原则</w:t>
      </w:r>
      <w:bookmarkEnd w:id="51"/>
      <w:bookmarkEnd w:id="52"/>
      <w:bookmarkEnd w:id="53"/>
      <w:bookmarkEnd w:id="54"/>
    </w:p>
    <w:p w14:paraId="748F53CF" w14:textId="77777777" w:rsidR="00107085" w:rsidRDefault="00000000">
      <w:pPr>
        <w:widowControl/>
        <w:adjustRightInd w:val="0"/>
        <w:snapToGrid w:val="0"/>
        <w:ind w:firstLine="640"/>
        <w:rPr>
          <w:kern w:val="0"/>
        </w:rPr>
      </w:pPr>
      <w:r>
        <w:rPr>
          <w:kern w:val="0"/>
        </w:rPr>
        <w:t>坚持屯矿戍边、创新驱动、绿色转型、兵地融合</w:t>
      </w:r>
      <w:r>
        <w:rPr>
          <w:rFonts w:hint="eastAsia"/>
          <w:kern w:val="0"/>
        </w:rPr>
        <w:t>、向南发展</w:t>
      </w:r>
      <w:r>
        <w:rPr>
          <w:kern w:val="0"/>
        </w:rPr>
        <w:t>基本原则，构建师市矿产资源勘查开发与保护新格局。</w:t>
      </w:r>
    </w:p>
    <w:p w14:paraId="398F1865" w14:textId="77777777" w:rsidR="00107085" w:rsidRDefault="00000000">
      <w:pPr>
        <w:widowControl/>
        <w:adjustRightInd w:val="0"/>
        <w:snapToGrid w:val="0"/>
        <w:ind w:firstLine="643"/>
        <w:rPr>
          <w:kern w:val="0"/>
        </w:rPr>
      </w:pPr>
      <w:r>
        <w:rPr>
          <w:rFonts w:ascii="方正楷体_GBK" w:eastAsia="方正楷体_GBK" w:hint="eastAsia"/>
          <w:b/>
          <w:bCs/>
          <w:kern w:val="0"/>
        </w:rPr>
        <w:t>屯矿戍边</w:t>
      </w:r>
      <w:r>
        <w:rPr>
          <w:b/>
          <w:bCs/>
          <w:kern w:val="0"/>
        </w:rPr>
        <w:t>。</w:t>
      </w:r>
      <w:r>
        <w:rPr>
          <w:kern w:val="0"/>
        </w:rPr>
        <w:t>通过政策引导和资源配置，引入优质矿业权人，加大勘查开发投入，在推动资源增储上产和保障资源供给的同时，落实国家对师市</w:t>
      </w:r>
      <w:r>
        <w:rPr>
          <w:rFonts w:hint="eastAsia"/>
          <w:kern w:val="0"/>
        </w:rPr>
        <w:t>“</w:t>
      </w:r>
      <w:r>
        <w:rPr>
          <w:kern w:val="0"/>
        </w:rPr>
        <w:t>以产聚人</w:t>
      </w:r>
      <w:r>
        <w:rPr>
          <w:rFonts w:hint="eastAsia"/>
          <w:kern w:val="0"/>
        </w:rPr>
        <w:t>”</w:t>
      </w:r>
      <w:r>
        <w:rPr>
          <w:kern w:val="0"/>
        </w:rPr>
        <w:t>的战略要求，加强矿产资源</w:t>
      </w:r>
      <w:r>
        <w:rPr>
          <w:kern w:val="0"/>
        </w:rPr>
        <w:lastRenderedPageBreak/>
        <w:t>开发与戍边固边相融合，打造产业节点，做到</w:t>
      </w:r>
      <w:r>
        <w:rPr>
          <w:rFonts w:hint="eastAsia"/>
          <w:kern w:val="0"/>
        </w:rPr>
        <w:t>“</w:t>
      </w:r>
      <w:r>
        <w:rPr>
          <w:kern w:val="0"/>
        </w:rPr>
        <w:t>开发一点，稳定一片</w:t>
      </w:r>
      <w:r>
        <w:rPr>
          <w:rFonts w:hint="eastAsia"/>
          <w:kern w:val="0"/>
        </w:rPr>
        <w:t>”</w:t>
      </w:r>
      <w:r>
        <w:rPr>
          <w:kern w:val="0"/>
        </w:rPr>
        <w:t>，推动师市边疆边境地区经济社会发展，巩固戍边前沿阵地，实现资源开发与边疆长治久安协同共进。</w:t>
      </w:r>
    </w:p>
    <w:p w14:paraId="41A7BF9F" w14:textId="77777777" w:rsidR="00107085" w:rsidRDefault="00000000">
      <w:pPr>
        <w:widowControl/>
        <w:adjustRightInd w:val="0"/>
        <w:snapToGrid w:val="0"/>
        <w:ind w:firstLine="643"/>
        <w:rPr>
          <w:b/>
          <w:bCs/>
          <w:kern w:val="0"/>
        </w:rPr>
      </w:pPr>
      <w:r>
        <w:rPr>
          <w:rFonts w:ascii="方正楷体_GBK" w:eastAsia="方正楷体_GBK"/>
          <w:b/>
          <w:bCs/>
          <w:kern w:val="0"/>
        </w:rPr>
        <w:t>创新驱动</w:t>
      </w:r>
      <w:r>
        <w:rPr>
          <w:b/>
          <w:bCs/>
          <w:kern w:val="0"/>
        </w:rPr>
        <w:t>。</w:t>
      </w:r>
      <w:r>
        <w:rPr>
          <w:kern w:val="0"/>
        </w:rPr>
        <w:t>用好用足国家支持新疆经济社会高质量发展的系列政策，紧抓自治区矿产资源产业快速发展的有利契机，以智能化开采、数智化赋能、精准化管控等方式推动师市矿业新质生产力创新发展。大力培育优质矿业企业，打造高质量矿业产业集群，推动师市矿产资源产业链上游提质（提升资源勘探与开采效率）、中游增值（深化材料精深加工）、下游延伸（拓展应用终端市场），形成技术引领、链条完整的产业生态。</w:t>
      </w:r>
    </w:p>
    <w:p w14:paraId="5B6F03F0" w14:textId="77777777" w:rsidR="00107085" w:rsidRDefault="00000000">
      <w:pPr>
        <w:widowControl/>
        <w:adjustRightInd w:val="0"/>
        <w:snapToGrid w:val="0"/>
        <w:ind w:firstLine="643"/>
        <w:rPr>
          <w:b/>
          <w:bCs/>
          <w:kern w:val="0"/>
        </w:rPr>
      </w:pPr>
      <w:r>
        <w:rPr>
          <w:rFonts w:ascii="方正楷体_GBK" w:eastAsia="方正楷体_GBK"/>
          <w:b/>
          <w:bCs/>
          <w:kern w:val="0"/>
        </w:rPr>
        <w:t>绿色转型</w:t>
      </w:r>
      <w:r>
        <w:rPr>
          <w:b/>
          <w:bCs/>
          <w:kern w:val="0"/>
        </w:rPr>
        <w:t>。</w:t>
      </w:r>
      <w:r>
        <w:rPr>
          <w:kern w:val="0"/>
        </w:rPr>
        <w:t>全面完整准确理解生态文明建设总体要求，深入贯彻落实</w:t>
      </w:r>
      <w:r>
        <w:rPr>
          <w:rFonts w:hint="eastAsia"/>
          <w:kern w:val="0"/>
        </w:rPr>
        <w:t>“</w:t>
      </w:r>
      <w:r>
        <w:rPr>
          <w:kern w:val="0"/>
        </w:rPr>
        <w:t>绿水青山就是金山银山</w:t>
      </w:r>
      <w:r>
        <w:rPr>
          <w:rFonts w:hint="eastAsia"/>
          <w:kern w:val="0"/>
        </w:rPr>
        <w:t>”</w:t>
      </w:r>
      <w:r>
        <w:rPr>
          <w:kern w:val="0"/>
        </w:rPr>
        <w:t>理念，统筹开发与保护、发展与安全的关系，建立健全师市矿产资源绿色开发政策和标准体系，全面推行绿色勘查和绿色矿山建设，强化生态</w:t>
      </w:r>
      <w:r>
        <w:rPr>
          <w:rFonts w:hint="eastAsia"/>
          <w:kern w:val="0"/>
        </w:rPr>
        <w:t>保护</w:t>
      </w:r>
      <w:r>
        <w:rPr>
          <w:kern w:val="0"/>
        </w:rPr>
        <w:t>红线约束。在做大师市矿产资源勘查开发产业规模的基础上，严格实施环境修复治理，推广清洁生产技术与循环利用模式，推动矿业向绿色化、低碳化、可持续化高质量发展转型。</w:t>
      </w:r>
    </w:p>
    <w:p w14:paraId="4CF6EB79" w14:textId="77777777" w:rsidR="00107085" w:rsidRDefault="00000000">
      <w:pPr>
        <w:widowControl/>
        <w:adjustRightInd w:val="0"/>
        <w:snapToGrid w:val="0"/>
        <w:ind w:firstLine="643"/>
        <w:rPr>
          <w:kern w:val="0"/>
        </w:rPr>
      </w:pPr>
      <w:r>
        <w:rPr>
          <w:rFonts w:ascii="方正楷体_GBK" w:eastAsia="方正楷体_GBK"/>
          <w:b/>
          <w:bCs/>
          <w:kern w:val="0"/>
        </w:rPr>
        <w:t>兵地融合</w:t>
      </w:r>
      <w:r>
        <w:rPr>
          <w:b/>
          <w:bCs/>
          <w:kern w:val="0"/>
        </w:rPr>
        <w:t>。</w:t>
      </w:r>
      <w:r>
        <w:rPr>
          <w:kern w:val="0"/>
        </w:rPr>
        <w:t>牢固树立</w:t>
      </w:r>
      <w:r>
        <w:rPr>
          <w:rFonts w:hint="eastAsia"/>
          <w:kern w:val="0"/>
        </w:rPr>
        <w:t>“</w:t>
      </w:r>
      <w:r>
        <w:rPr>
          <w:kern w:val="0"/>
        </w:rPr>
        <w:t>兵地一盘棋</w:t>
      </w:r>
      <w:r>
        <w:rPr>
          <w:rFonts w:hint="eastAsia"/>
          <w:kern w:val="0"/>
        </w:rPr>
        <w:t>”</w:t>
      </w:r>
      <w:r>
        <w:rPr>
          <w:kern w:val="0"/>
        </w:rPr>
        <w:t>理念，深化师市与自治区有关部门在空间规划、土地确权、调查勘查、项目核准、矿权登记、行政许可、矿业用地、生产安全、生态环境保护和修复、监管执法等方面的制度衔接和工作协同，构建权责清晰、配合紧密的合作机制。共同推进绿色发展战略，联合打造优势产业集群，推动基础设施共建共享、资源要素自由流动、产业</w:t>
      </w:r>
      <w:r>
        <w:rPr>
          <w:kern w:val="0"/>
        </w:rPr>
        <w:lastRenderedPageBreak/>
        <w:t>项目协同布局，实现师市与地方在矿产资源领域的深度融合、互补共赢，以融合发展成效助力区域经济一体化高质量发展。</w:t>
      </w:r>
    </w:p>
    <w:p w14:paraId="37B46044" w14:textId="77777777" w:rsidR="00107085" w:rsidRDefault="00000000">
      <w:pPr>
        <w:widowControl/>
        <w:adjustRightInd w:val="0"/>
        <w:snapToGrid w:val="0"/>
        <w:ind w:firstLine="643"/>
        <w:rPr>
          <w:kern w:val="0"/>
        </w:rPr>
        <w:sectPr w:rsidR="00107085" w:rsidSect="00E10673">
          <w:pgSz w:w="11906" w:h="16838"/>
          <w:pgMar w:top="1701" w:right="1701" w:bottom="1701" w:left="1701" w:header="851" w:footer="851" w:gutter="0"/>
          <w:pgNumType w:start="16"/>
          <w:cols w:space="425"/>
          <w:docGrid w:type="lines" w:linePitch="560"/>
        </w:sectPr>
      </w:pPr>
      <w:r>
        <w:rPr>
          <w:rFonts w:ascii="方正楷体_GBK" w:eastAsia="方正楷体_GBK"/>
          <w:b/>
          <w:bCs/>
          <w:kern w:val="0"/>
        </w:rPr>
        <w:t>向南发展</w:t>
      </w:r>
      <w:r>
        <w:rPr>
          <w:b/>
          <w:bCs/>
          <w:kern w:val="0"/>
        </w:rPr>
        <w:t>。</w:t>
      </w:r>
      <w:r>
        <w:rPr>
          <w:kern w:val="0"/>
        </w:rPr>
        <w:t>第一师阿拉尔市作为南疆兵团的重要支点，需积极落实兵团向南发展战略。积极争取国家及兵团精准有力的特殊政策支持，强化资金和人才支撑，鼓励专业技术人才到南疆师市工作，全面提升基础地质调查与资源要素供给力度，为向南发展重大基础设施建设、城镇化建设提供坚实的资源保障。</w:t>
      </w:r>
    </w:p>
    <w:p w14:paraId="1DDDEC58" w14:textId="77777777" w:rsidR="00107085" w:rsidRDefault="00107085">
      <w:pPr>
        <w:widowControl/>
        <w:adjustRightInd w:val="0"/>
        <w:snapToGrid w:val="0"/>
        <w:ind w:firstLineChars="62" w:firstLine="198"/>
        <w:rPr>
          <w:rFonts w:eastAsia="仿宋"/>
        </w:rPr>
        <w:sectPr w:rsidR="00107085">
          <w:type w:val="continuous"/>
          <w:pgSz w:w="11906" w:h="16838"/>
          <w:pgMar w:top="1701" w:right="1701" w:bottom="1701" w:left="1701" w:header="851" w:footer="851" w:gutter="0"/>
          <w:pgNumType w:start="1"/>
          <w:cols w:space="425"/>
          <w:docGrid w:type="lines" w:linePitch="560"/>
        </w:sectPr>
      </w:pPr>
    </w:p>
    <w:p w14:paraId="65C0A510" w14:textId="77777777" w:rsidR="00107085" w:rsidRDefault="00107085">
      <w:pPr>
        <w:widowControl/>
        <w:adjustRightInd w:val="0"/>
        <w:snapToGrid w:val="0"/>
        <w:ind w:firstLineChars="62" w:firstLine="198"/>
        <w:rPr>
          <w:rFonts w:eastAsia="仿宋"/>
        </w:rPr>
        <w:sectPr w:rsidR="00107085">
          <w:type w:val="continuous"/>
          <w:pgSz w:w="11906" w:h="16838"/>
          <w:pgMar w:top="1701" w:right="1701" w:bottom="1701" w:left="1701" w:header="851" w:footer="851" w:gutter="0"/>
          <w:pgNumType w:start="1"/>
          <w:cols w:space="425"/>
          <w:docGrid w:type="lines" w:linePitch="560"/>
        </w:sectPr>
      </w:pPr>
    </w:p>
    <w:p w14:paraId="2A894063" w14:textId="77777777" w:rsidR="00107085" w:rsidRDefault="00000000" w:rsidP="004E0D65">
      <w:pPr>
        <w:pStyle w:val="1"/>
        <w:keepLines w:val="0"/>
        <w:spacing w:beforeLines="0" w:before="0" w:afterLines="0" w:after="0"/>
        <w:ind w:firstLineChars="200" w:firstLine="640"/>
        <w:jc w:val="both"/>
        <w:rPr>
          <w:rFonts w:ascii="Times New Roman" w:eastAsia="黑体" w:hAnsi="Times New Roman"/>
          <w:b w:val="0"/>
          <w:sz w:val="32"/>
          <w:szCs w:val="32"/>
        </w:rPr>
      </w:pPr>
      <w:bookmarkStart w:id="55" w:name="_Toc227172378"/>
      <w:bookmarkStart w:id="56" w:name="_Toc237883258"/>
      <w:bookmarkStart w:id="57" w:name="_Toc65517190"/>
      <w:bookmarkStart w:id="58" w:name="_Toc108714639"/>
      <w:bookmarkStart w:id="59" w:name="_Toc5924"/>
      <w:r>
        <w:rPr>
          <w:rFonts w:ascii="Times New Roman" w:eastAsia="黑体" w:hAnsi="Times New Roman"/>
          <w:b w:val="0"/>
          <w:sz w:val="32"/>
          <w:szCs w:val="32"/>
        </w:rPr>
        <w:lastRenderedPageBreak/>
        <w:t>三、规划目标</w:t>
      </w:r>
      <w:bookmarkEnd w:id="55"/>
      <w:bookmarkEnd w:id="56"/>
    </w:p>
    <w:p w14:paraId="6E77ED2E"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60" w:name="_Toc227172379"/>
      <w:bookmarkStart w:id="61" w:name="_Toc237883259"/>
      <w:bookmarkEnd w:id="57"/>
      <w:bookmarkEnd w:id="58"/>
      <w:bookmarkEnd w:id="59"/>
      <w:r>
        <w:rPr>
          <w:rFonts w:ascii="Times New Roman" w:eastAsia="楷体" w:hAnsi="Times New Roman" w:cs="Times New Roman"/>
          <w:b w:val="0"/>
          <w:sz w:val="32"/>
          <w:szCs w:val="32"/>
        </w:rPr>
        <w:t>（一）总体目标</w:t>
      </w:r>
      <w:bookmarkEnd w:id="60"/>
      <w:bookmarkEnd w:id="61"/>
    </w:p>
    <w:p w14:paraId="09D2E80A" w14:textId="77777777" w:rsidR="00107085" w:rsidRDefault="00000000">
      <w:pPr>
        <w:ind w:firstLine="640"/>
      </w:pPr>
      <w:bookmarkStart w:id="62" w:name="OLE_LINK5"/>
      <w:r>
        <w:t>到</w:t>
      </w:r>
      <w:r>
        <w:t>2030</w:t>
      </w:r>
      <w:r>
        <w:t>年，地质找矿工作取得突破，矿产资源开发布局和结构实现优化，</w:t>
      </w:r>
      <w:r>
        <w:rPr>
          <w:kern w:val="0"/>
        </w:rPr>
        <w:t>师市</w:t>
      </w:r>
      <w:r>
        <w:t>矿产资源开发利用更加集约高效，矿业产业发展初步具备规模，矿业绿色发展取得阶段性成效，矿业开发对</w:t>
      </w:r>
      <w:r>
        <w:rPr>
          <w:rFonts w:hint="eastAsia"/>
        </w:rPr>
        <w:t>“</w:t>
      </w:r>
      <w:r>
        <w:t>以产聚人</w:t>
      </w:r>
      <w:r>
        <w:rPr>
          <w:rFonts w:hint="eastAsia"/>
        </w:rPr>
        <w:t>”</w:t>
      </w:r>
      <w:r>
        <w:t>的支撑性作用得到明显体现，为兵团履行戍边使命与南疆高质量发展提供资源基础支撑。</w:t>
      </w:r>
    </w:p>
    <w:p w14:paraId="7B1C7184"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63" w:name="_Toc227172380"/>
      <w:bookmarkStart w:id="64" w:name="_Toc237883260"/>
      <w:bookmarkEnd w:id="62"/>
      <w:r>
        <w:rPr>
          <w:rFonts w:ascii="Times New Roman" w:eastAsia="楷体" w:hAnsi="Times New Roman" w:cs="Times New Roman"/>
          <w:b w:val="0"/>
          <w:sz w:val="32"/>
          <w:szCs w:val="32"/>
        </w:rPr>
        <w:t>（二）具体目标</w:t>
      </w:r>
      <w:bookmarkEnd w:id="63"/>
      <w:bookmarkEnd w:id="64"/>
    </w:p>
    <w:p w14:paraId="0D3BC367" w14:textId="77777777" w:rsidR="00107085" w:rsidRDefault="00000000">
      <w:pPr>
        <w:ind w:firstLine="643"/>
      </w:pPr>
      <w:r>
        <w:rPr>
          <w:rFonts w:ascii="方正楷体_GBK" w:eastAsia="方正楷体_GBK" w:hint="eastAsia"/>
          <w:b/>
        </w:rPr>
        <w:t>基础地质调查与矿产资源地质调查有新进展</w:t>
      </w:r>
      <w:r>
        <w:rPr>
          <w:b/>
        </w:rPr>
        <w:t>。</w:t>
      </w:r>
      <w:r>
        <w:rPr>
          <w:bCs/>
        </w:rPr>
        <w:t>积极配合新一轮找矿突破战略行动，基础地质底数进一步摸清，兵团辖区</w:t>
      </w:r>
      <w:r>
        <w:rPr>
          <w:bCs/>
        </w:rPr>
        <w:t>1</w:t>
      </w:r>
      <w:r>
        <w:rPr>
          <w:rFonts w:hint="eastAsia"/>
          <w:bCs/>
        </w:rPr>
        <w:t>:</w:t>
      </w:r>
      <w:r>
        <w:rPr>
          <w:bCs/>
        </w:rPr>
        <w:t>5</w:t>
      </w:r>
      <w:r>
        <w:rPr>
          <w:bCs/>
        </w:rPr>
        <w:t>万基础地质调查范围进一步扩大，</w:t>
      </w:r>
      <w:r>
        <w:rPr>
          <w:bCs/>
        </w:rPr>
        <w:t>1</w:t>
      </w:r>
      <w:r>
        <w:rPr>
          <w:rFonts w:ascii="仿宋_GB2312" w:hAnsi="仿宋_GB2312" w:cs="仿宋_GB2312" w:hint="eastAsia"/>
          <w:sz w:val="28"/>
          <w:szCs w:val="28"/>
        </w:rPr>
        <w:t>∶</w:t>
      </w:r>
      <w:r>
        <w:rPr>
          <w:bCs/>
        </w:rPr>
        <w:t>2.5</w:t>
      </w:r>
      <w:r>
        <w:rPr>
          <w:bCs/>
        </w:rPr>
        <w:t>万基础地质调查取得重要进展</w:t>
      </w:r>
      <w:r>
        <w:t>。</w:t>
      </w:r>
    </w:p>
    <w:p w14:paraId="48C3F001" w14:textId="77777777" w:rsidR="00107085" w:rsidRDefault="00000000">
      <w:pPr>
        <w:ind w:firstLine="643"/>
      </w:pPr>
      <w:r>
        <w:rPr>
          <w:rFonts w:ascii="方正楷体_GBK" w:eastAsia="方正楷体_GBK" w:hint="eastAsia"/>
          <w:b/>
        </w:rPr>
        <w:t>矿产资源开发利用水平有新提升</w:t>
      </w:r>
      <w:r>
        <w:rPr>
          <w:b/>
        </w:rPr>
        <w:t>。</w:t>
      </w:r>
      <w:r>
        <w:rPr>
          <w:bCs/>
        </w:rPr>
        <w:t>矿产资源开发规模化、集约化程度持续增强，矿山规模结构显著改善，其中大中型矿山比例达到</w:t>
      </w:r>
      <w:r>
        <w:rPr>
          <w:bCs/>
        </w:rPr>
        <w:t>8</w:t>
      </w:r>
      <w:r>
        <w:rPr>
          <w:rFonts w:hint="eastAsia"/>
          <w:bCs/>
        </w:rPr>
        <w:t>0</w:t>
      </w:r>
      <w:r>
        <w:rPr>
          <w:bCs/>
        </w:rPr>
        <w:t>%</w:t>
      </w:r>
      <w:r>
        <w:rPr>
          <w:bCs/>
        </w:rPr>
        <w:t>、建筑用砂石达到</w:t>
      </w:r>
      <w:r>
        <w:rPr>
          <w:rFonts w:hint="eastAsia"/>
          <w:bCs/>
        </w:rPr>
        <w:t>95</w:t>
      </w:r>
      <w:r>
        <w:rPr>
          <w:bCs/>
        </w:rPr>
        <w:t>%</w:t>
      </w:r>
      <w:r>
        <w:rPr>
          <w:rFonts w:hint="eastAsia"/>
          <w:bCs/>
        </w:rPr>
        <w:t>以上</w:t>
      </w:r>
      <w:r>
        <w:rPr>
          <w:bCs/>
        </w:rPr>
        <w:t>。矿产资源开发利用空间管控引导作用更加明显，产业布局进一步优化</w:t>
      </w:r>
      <w: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9"/>
        <w:gridCol w:w="2643"/>
        <w:gridCol w:w="968"/>
        <w:gridCol w:w="2944"/>
        <w:gridCol w:w="970"/>
      </w:tblGrid>
      <w:tr w:rsidR="00107085" w14:paraId="35BE391C" w14:textId="77777777">
        <w:trPr>
          <w:trHeight w:val="824"/>
          <w:tblHeader/>
          <w:jc w:val="center"/>
        </w:trPr>
        <w:tc>
          <w:tcPr>
            <w:tcW w:w="5000" w:type="pct"/>
            <w:gridSpan w:val="5"/>
            <w:shd w:val="clear" w:color="auto" w:fill="F2F2F2" w:themeFill="background1" w:themeFillShade="F2"/>
            <w:vAlign w:val="center"/>
          </w:tcPr>
          <w:p w14:paraId="1FDB28F0" w14:textId="77777777" w:rsidR="00107085" w:rsidRDefault="00000000">
            <w:pPr>
              <w:spacing w:line="340" w:lineRule="exact"/>
              <w:ind w:firstLineChars="0" w:firstLine="0"/>
              <w:jc w:val="center"/>
              <w:rPr>
                <w:rFonts w:eastAsia="仿宋"/>
                <w:kern w:val="0"/>
                <w:sz w:val="21"/>
                <w:szCs w:val="21"/>
              </w:rPr>
            </w:pPr>
            <w:bookmarkStart w:id="65" w:name="OLE_LINK13"/>
            <w:r>
              <w:rPr>
                <w:rFonts w:eastAsia="楷体"/>
                <w:b/>
                <w:bCs/>
                <w:sz w:val="21"/>
                <w:szCs w:val="21"/>
              </w:rPr>
              <w:t>专栏</w:t>
            </w:r>
            <w:r>
              <w:rPr>
                <w:rFonts w:eastAsia="楷体" w:hint="eastAsia"/>
                <w:b/>
                <w:bCs/>
                <w:sz w:val="21"/>
                <w:szCs w:val="21"/>
              </w:rPr>
              <w:t>4</w:t>
            </w:r>
            <w:r>
              <w:rPr>
                <w:rFonts w:eastAsia="楷体"/>
                <w:b/>
                <w:bCs/>
                <w:sz w:val="21"/>
                <w:szCs w:val="21"/>
              </w:rPr>
              <w:t xml:space="preserve">   </w:t>
            </w:r>
            <w:r>
              <w:rPr>
                <w:rFonts w:eastAsia="楷体"/>
                <w:b/>
                <w:bCs/>
                <w:sz w:val="21"/>
                <w:szCs w:val="21"/>
              </w:rPr>
              <w:t>第一师阿拉尔市矿产资源规划指标体系表</w:t>
            </w:r>
          </w:p>
        </w:tc>
      </w:tr>
      <w:tr w:rsidR="00107085" w14:paraId="17DAA822" w14:textId="77777777">
        <w:trPr>
          <w:trHeight w:hRule="exact" w:val="597"/>
          <w:tblHeader/>
          <w:jc w:val="center"/>
        </w:trPr>
        <w:tc>
          <w:tcPr>
            <w:tcW w:w="570" w:type="pct"/>
            <w:vAlign w:val="center"/>
          </w:tcPr>
          <w:p w14:paraId="5DA1AA4E" w14:textId="77777777" w:rsidR="00107085" w:rsidRDefault="00000000">
            <w:pPr>
              <w:spacing w:line="240" w:lineRule="auto"/>
              <w:ind w:firstLineChars="0" w:firstLine="0"/>
              <w:jc w:val="center"/>
              <w:rPr>
                <w:rFonts w:eastAsia="黑体"/>
                <w:sz w:val="21"/>
                <w:szCs w:val="21"/>
              </w:rPr>
            </w:pPr>
            <w:r>
              <w:rPr>
                <w:rFonts w:eastAsia="黑体"/>
                <w:sz w:val="21"/>
                <w:szCs w:val="21"/>
              </w:rPr>
              <w:t>类别</w:t>
            </w:r>
          </w:p>
        </w:tc>
        <w:tc>
          <w:tcPr>
            <w:tcW w:w="1556" w:type="pct"/>
            <w:vAlign w:val="center"/>
          </w:tcPr>
          <w:p w14:paraId="1E0F68F3" w14:textId="77777777" w:rsidR="00107085" w:rsidRDefault="00000000">
            <w:pPr>
              <w:spacing w:line="240" w:lineRule="auto"/>
              <w:ind w:firstLineChars="0" w:firstLine="0"/>
              <w:jc w:val="center"/>
              <w:rPr>
                <w:rFonts w:eastAsia="黑体"/>
                <w:sz w:val="21"/>
                <w:szCs w:val="21"/>
              </w:rPr>
            </w:pPr>
            <w:r>
              <w:rPr>
                <w:rFonts w:eastAsia="黑体"/>
                <w:sz w:val="21"/>
                <w:szCs w:val="21"/>
              </w:rPr>
              <w:t>指标名称</w:t>
            </w:r>
          </w:p>
        </w:tc>
        <w:tc>
          <w:tcPr>
            <w:tcW w:w="570" w:type="pct"/>
            <w:vAlign w:val="center"/>
          </w:tcPr>
          <w:p w14:paraId="5039FA5C" w14:textId="77777777" w:rsidR="00107085" w:rsidRDefault="00000000">
            <w:pPr>
              <w:spacing w:line="240" w:lineRule="auto"/>
              <w:ind w:firstLineChars="0" w:firstLine="0"/>
              <w:jc w:val="center"/>
              <w:rPr>
                <w:rFonts w:eastAsia="黑体"/>
                <w:sz w:val="21"/>
                <w:szCs w:val="21"/>
              </w:rPr>
            </w:pPr>
            <w:r>
              <w:rPr>
                <w:rFonts w:eastAsia="黑体"/>
                <w:sz w:val="21"/>
                <w:szCs w:val="21"/>
              </w:rPr>
              <w:t>单位</w:t>
            </w:r>
          </w:p>
        </w:tc>
        <w:tc>
          <w:tcPr>
            <w:tcW w:w="1733" w:type="pct"/>
            <w:vAlign w:val="center"/>
          </w:tcPr>
          <w:p w14:paraId="5B466B38" w14:textId="77777777" w:rsidR="00107085" w:rsidRDefault="00000000">
            <w:pPr>
              <w:spacing w:line="240" w:lineRule="auto"/>
              <w:ind w:firstLineChars="0" w:firstLine="0"/>
              <w:jc w:val="center"/>
              <w:rPr>
                <w:rFonts w:eastAsia="黑体"/>
                <w:sz w:val="21"/>
                <w:szCs w:val="21"/>
              </w:rPr>
            </w:pPr>
            <w:r>
              <w:rPr>
                <w:rFonts w:eastAsia="黑体"/>
                <w:sz w:val="21"/>
                <w:szCs w:val="21"/>
              </w:rPr>
              <w:t>规划指标（</w:t>
            </w:r>
            <w:r>
              <w:rPr>
                <w:rFonts w:eastAsia="黑体"/>
                <w:sz w:val="21"/>
                <w:szCs w:val="21"/>
              </w:rPr>
              <w:t>2026—2030</w:t>
            </w:r>
            <w:r>
              <w:rPr>
                <w:rFonts w:eastAsia="黑体"/>
                <w:sz w:val="21"/>
                <w:szCs w:val="21"/>
              </w:rPr>
              <w:t>年）</w:t>
            </w:r>
          </w:p>
        </w:tc>
        <w:tc>
          <w:tcPr>
            <w:tcW w:w="571" w:type="pct"/>
            <w:vAlign w:val="center"/>
          </w:tcPr>
          <w:p w14:paraId="378C2E58" w14:textId="77777777" w:rsidR="00107085" w:rsidRDefault="00000000">
            <w:pPr>
              <w:spacing w:line="240" w:lineRule="auto"/>
              <w:ind w:firstLineChars="0" w:firstLine="0"/>
              <w:jc w:val="center"/>
              <w:rPr>
                <w:rFonts w:eastAsia="黑体"/>
                <w:sz w:val="21"/>
                <w:szCs w:val="21"/>
              </w:rPr>
            </w:pPr>
            <w:r>
              <w:rPr>
                <w:rFonts w:eastAsia="黑体"/>
                <w:sz w:val="21"/>
                <w:szCs w:val="21"/>
              </w:rPr>
              <w:t>指标属性</w:t>
            </w:r>
          </w:p>
        </w:tc>
      </w:tr>
      <w:tr w:rsidR="00107085" w14:paraId="68F8A285" w14:textId="77777777">
        <w:trPr>
          <w:trHeight w:hRule="exact" w:val="557"/>
          <w:jc w:val="center"/>
        </w:trPr>
        <w:tc>
          <w:tcPr>
            <w:tcW w:w="570" w:type="pct"/>
            <w:vMerge w:val="restart"/>
            <w:vAlign w:val="center"/>
          </w:tcPr>
          <w:p w14:paraId="3A70E2BD" w14:textId="77777777" w:rsidR="00107085" w:rsidRDefault="00000000">
            <w:pPr>
              <w:spacing w:line="320" w:lineRule="exact"/>
              <w:ind w:firstLineChars="0" w:firstLine="0"/>
              <w:jc w:val="center"/>
              <w:rPr>
                <w:rFonts w:eastAsia="宋体"/>
                <w:sz w:val="21"/>
                <w:szCs w:val="21"/>
              </w:rPr>
            </w:pPr>
            <w:r>
              <w:rPr>
                <w:rFonts w:eastAsia="宋体"/>
                <w:sz w:val="21"/>
                <w:szCs w:val="21"/>
              </w:rPr>
              <w:t>地质调查</w:t>
            </w:r>
          </w:p>
        </w:tc>
        <w:tc>
          <w:tcPr>
            <w:tcW w:w="1556" w:type="pct"/>
            <w:vAlign w:val="center"/>
          </w:tcPr>
          <w:p w14:paraId="17B743F4" w14:textId="77777777" w:rsidR="00107085" w:rsidRDefault="00000000">
            <w:pPr>
              <w:spacing w:line="320" w:lineRule="exact"/>
              <w:ind w:firstLineChars="0" w:firstLine="0"/>
              <w:jc w:val="center"/>
              <w:rPr>
                <w:rFonts w:eastAsia="宋体"/>
                <w:sz w:val="21"/>
                <w:szCs w:val="21"/>
              </w:rPr>
            </w:pPr>
            <w:r>
              <w:rPr>
                <w:rFonts w:eastAsia="宋体"/>
                <w:sz w:val="21"/>
                <w:szCs w:val="21"/>
              </w:rPr>
              <w:t>1</w:t>
            </w:r>
            <w:r>
              <w:rPr>
                <w:rFonts w:ascii="仿宋_GB2312" w:hAnsi="仿宋_GB2312" w:cs="仿宋_GB2312" w:hint="eastAsia"/>
                <w:sz w:val="21"/>
                <w:szCs w:val="21"/>
              </w:rPr>
              <w:t>∶</w:t>
            </w:r>
            <w:r>
              <w:rPr>
                <w:rFonts w:eastAsia="宋体"/>
                <w:sz w:val="21"/>
                <w:szCs w:val="21"/>
              </w:rPr>
              <w:t>5</w:t>
            </w:r>
            <w:r>
              <w:rPr>
                <w:rFonts w:eastAsia="宋体"/>
                <w:sz w:val="21"/>
                <w:szCs w:val="21"/>
              </w:rPr>
              <w:t>万矿产地质调查</w:t>
            </w:r>
          </w:p>
        </w:tc>
        <w:tc>
          <w:tcPr>
            <w:tcW w:w="570" w:type="pct"/>
            <w:vAlign w:val="center"/>
          </w:tcPr>
          <w:p w14:paraId="6CB6B291" w14:textId="77777777" w:rsidR="00107085" w:rsidRDefault="00000000">
            <w:pPr>
              <w:spacing w:line="320" w:lineRule="exact"/>
              <w:ind w:firstLineChars="0" w:firstLine="0"/>
              <w:jc w:val="center"/>
              <w:rPr>
                <w:rFonts w:eastAsia="宋体"/>
                <w:sz w:val="21"/>
                <w:szCs w:val="21"/>
              </w:rPr>
            </w:pPr>
            <w:r>
              <w:rPr>
                <w:rFonts w:eastAsia="宋体"/>
                <w:sz w:val="21"/>
                <w:szCs w:val="21"/>
              </w:rPr>
              <w:t>平方千米</w:t>
            </w:r>
          </w:p>
        </w:tc>
        <w:tc>
          <w:tcPr>
            <w:tcW w:w="1733" w:type="pct"/>
            <w:vAlign w:val="center"/>
          </w:tcPr>
          <w:p w14:paraId="37ED5718" w14:textId="77777777" w:rsidR="00107085" w:rsidRDefault="00000000">
            <w:pPr>
              <w:spacing w:line="320" w:lineRule="exact"/>
              <w:ind w:firstLineChars="0" w:firstLine="0"/>
              <w:jc w:val="center"/>
              <w:rPr>
                <w:rFonts w:eastAsia="宋体"/>
                <w:sz w:val="21"/>
                <w:szCs w:val="21"/>
                <w:highlight w:val="yellow"/>
              </w:rPr>
            </w:pPr>
            <w:r>
              <w:rPr>
                <w:rFonts w:eastAsia="宋体" w:hint="eastAsia"/>
                <w:sz w:val="21"/>
                <w:szCs w:val="21"/>
              </w:rPr>
              <w:t>450</w:t>
            </w:r>
          </w:p>
        </w:tc>
        <w:tc>
          <w:tcPr>
            <w:tcW w:w="571" w:type="pct"/>
            <w:vAlign w:val="center"/>
          </w:tcPr>
          <w:p w14:paraId="2732F548" w14:textId="77777777" w:rsidR="00107085" w:rsidRDefault="00000000">
            <w:pPr>
              <w:spacing w:line="320" w:lineRule="exact"/>
              <w:ind w:firstLineChars="0" w:firstLine="0"/>
              <w:jc w:val="center"/>
              <w:rPr>
                <w:rFonts w:eastAsia="宋体"/>
                <w:sz w:val="21"/>
                <w:szCs w:val="21"/>
              </w:rPr>
            </w:pPr>
            <w:r>
              <w:rPr>
                <w:rFonts w:eastAsia="宋体"/>
                <w:sz w:val="21"/>
                <w:szCs w:val="21"/>
              </w:rPr>
              <w:t>预期性</w:t>
            </w:r>
          </w:p>
        </w:tc>
      </w:tr>
      <w:tr w:rsidR="00107085" w14:paraId="00F8900E" w14:textId="77777777">
        <w:trPr>
          <w:trHeight w:hRule="exact" w:val="557"/>
          <w:jc w:val="center"/>
        </w:trPr>
        <w:tc>
          <w:tcPr>
            <w:tcW w:w="570" w:type="pct"/>
            <w:vMerge/>
            <w:vAlign w:val="center"/>
          </w:tcPr>
          <w:p w14:paraId="257FC094" w14:textId="77777777" w:rsidR="00107085" w:rsidRDefault="00107085">
            <w:pPr>
              <w:spacing w:line="320" w:lineRule="exact"/>
              <w:ind w:firstLineChars="0" w:firstLine="0"/>
              <w:jc w:val="center"/>
              <w:rPr>
                <w:rFonts w:eastAsia="宋体"/>
                <w:sz w:val="21"/>
                <w:szCs w:val="21"/>
              </w:rPr>
            </w:pPr>
          </w:p>
        </w:tc>
        <w:tc>
          <w:tcPr>
            <w:tcW w:w="1556" w:type="pct"/>
            <w:vAlign w:val="center"/>
          </w:tcPr>
          <w:p w14:paraId="310BB5B3" w14:textId="77777777" w:rsidR="00107085" w:rsidRDefault="00000000">
            <w:pPr>
              <w:spacing w:line="320" w:lineRule="exact"/>
              <w:ind w:firstLineChars="0" w:firstLine="0"/>
              <w:jc w:val="center"/>
              <w:rPr>
                <w:rFonts w:eastAsia="宋体"/>
                <w:sz w:val="21"/>
                <w:szCs w:val="21"/>
              </w:rPr>
            </w:pPr>
            <w:r>
              <w:rPr>
                <w:rFonts w:eastAsia="宋体"/>
                <w:sz w:val="21"/>
                <w:szCs w:val="21"/>
              </w:rPr>
              <w:t>1</w:t>
            </w:r>
            <w:r>
              <w:rPr>
                <w:rFonts w:ascii="仿宋_GB2312" w:hAnsi="仿宋_GB2312" w:cs="仿宋_GB2312" w:hint="eastAsia"/>
                <w:sz w:val="21"/>
                <w:szCs w:val="21"/>
              </w:rPr>
              <w:t>∶</w:t>
            </w:r>
            <w:r>
              <w:rPr>
                <w:rFonts w:eastAsia="宋体"/>
                <w:sz w:val="21"/>
                <w:szCs w:val="21"/>
              </w:rPr>
              <w:t>2.5</w:t>
            </w:r>
            <w:r>
              <w:rPr>
                <w:rFonts w:eastAsia="宋体"/>
                <w:sz w:val="21"/>
                <w:szCs w:val="21"/>
              </w:rPr>
              <w:t>万矿产地质调查</w:t>
            </w:r>
          </w:p>
        </w:tc>
        <w:tc>
          <w:tcPr>
            <w:tcW w:w="570" w:type="pct"/>
            <w:vAlign w:val="center"/>
          </w:tcPr>
          <w:p w14:paraId="294655E4" w14:textId="77777777" w:rsidR="00107085" w:rsidRDefault="00000000">
            <w:pPr>
              <w:spacing w:line="320" w:lineRule="exact"/>
              <w:ind w:firstLineChars="0" w:firstLine="0"/>
              <w:jc w:val="center"/>
              <w:rPr>
                <w:rFonts w:eastAsia="宋体"/>
                <w:sz w:val="21"/>
                <w:szCs w:val="21"/>
              </w:rPr>
            </w:pPr>
            <w:r>
              <w:rPr>
                <w:rFonts w:eastAsia="宋体"/>
                <w:sz w:val="21"/>
                <w:szCs w:val="21"/>
              </w:rPr>
              <w:t>平方千米</w:t>
            </w:r>
          </w:p>
        </w:tc>
        <w:tc>
          <w:tcPr>
            <w:tcW w:w="1733" w:type="pct"/>
            <w:vAlign w:val="center"/>
          </w:tcPr>
          <w:p w14:paraId="0A59D8B5" w14:textId="77777777" w:rsidR="00107085" w:rsidRDefault="00000000">
            <w:pPr>
              <w:spacing w:line="320" w:lineRule="exact"/>
              <w:ind w:firstLineChars="0" w:firstLine="0"/>
              <w:jc w:val="center"/>
              <w:rPr>
                <w:rFonts w:eastAsia="宋体"/>
                <w:sz w:val="21"/>
                <w:szCs w:val="21"/>
                <w:highlight w:val="yellow"/>
              </w:rPr>
            </w:pPr>
            <w:r>
              <w:rPr>
                <w:rFonts w:eastAsia="宋体" w:hint="eastAsia"/>
                <w:sz w:val="21"/>
                <w:szCs w:val="21"/>
              </w:rPr>
              <w:t>150</w:t>
            </w:r>
          </w:p>
        </w:tc>
        <w:tc>
          <w:tcPr>
            <w:tcW w:w="571" w:type="pct"/>
            <w:vAlign w:val="center"/>
          </w:tcPr>
          <w:p w14:paraId="33DB592B" w14:textId="77777777" w:rsidR="00107085" w:rsidRDefault="00000000">
            <w:pPr>
              <w:spacing w:line="320" w:lineRule="exact"/>
              <w:ind w:firstLineChars="0" w:firstLine="0"/>
              <w:jc w:val="center"/>
              <w:rPr>
                <w:rFonts w:eastAsia="宋体"/>
                <w:sz w:val="21"/>
                <w:szCs w:val="21"/>
              </w:rPr>
            </w:pPr>
            <w:r>
              <w:rPr>
                <w:rFonts w:eastAsia="宋体"/>
                <w:sz w:val="21"/>
                <w:szCs w:val="21"/>
              </w:rPr>
              <w:t>预期性</w:t>
            </w:r>
          </w:p>
        </w:tc>
      </w:tr>
      <w:tr w:rsidR="00107085" w14:paraId="59A420F7" w14:textId="77777777">
        <w:trPr>
          <w:trHeight w:val="457"/>
          <w:jc w:val="center"/>
        </w:trPr>
        <w:tc>
          <w:tcPr>
            <w:tcW w:w="570" w:type="pct"/>
            <w:vMerge/>
            <w:vAlign w:val="center"/>
          </w:tcPr>
          <w:p w14:paraId="5ABB1CDC" w14:textId="77777777" w:rsidR="00107085" w:rsidRDefault="00107085">
            <w:pPr>
              <w:spacing w:line="320" w:lineRule="exact"/>
              <w:ind w:firstLine="420"/>
              <w:jc w:val="center"/>
              <w:rPr>
                <w:rFonts w:eastAsia="宋体"/>
                <w:sz w:val="21"/>
                <w:szCs w:val="21"/>
              </w:rPr>
            </w:pPr>
          </w:p>
        </w:tc>
        <w:tc>
          <w:tcPr>
            <w:tcW w:w="1556" w:type="pct"/>
            <w:vAlign w:val="center"/>
          </w:tcPr>
          <w:p w14:paraId="574F1178" w14:textId="77777777" w:rsidR="00107085" w:rsidRDefault="00000000">
            <w:pPr>
              <w:spacing w:line="320" w:lineRule="exact"/>
              <w:ind w:firstLineChars="0" w:firstLine="0"/>
              <w:jc w:val="center"/>
              <w:rPr>
                <w:rFonts w:eastAsia="宋体"/>
                <w:sz w:val="21"/>
                <w:szCs w:val="21"/>
              </w:rPr>
            </w:pPr>
            <w:r>
              <w:rPr>
                <w:rFonts w:eastAsia="宋体"/>
                <w:sz w:val="21"/>
                <w:szCs w:val="21"/>
              </w:rPr>
              <w:t>水文地质调查</w:t>
            </w:r>
          </w:p>
        </w:tc>
        <w:tc>
          <w:tcPr>
            <w:tcW w:w="570" w:type="pct"/>
            <w:vAlign w:val="center"/>
          </w:tcPr>
          <w:p w14:paraId="0F5DFCF7" w14:textId="77777777" w:rsidR="00107085" w:rsidRDefault="00000000">
            <w:pPr>
              <w:spacing w:line="320" w:lineRule="exact"/>
              <w:ind w:firstLineChars="0" w:firstLine="0"/>
              <w:jc w:val="center"/>
              <w:rPr>
                <w:rFonts w:eastAsia="宋体"/>
                <w:sz w:val="21"/>
                <w:szCs w:val="21"/>
              </w:rPr>
            </w:pPr>
            <w:r>
              <w:rPr>
                <w:rFonts w:eastAsia="宋体"/>
                <w:sz w:val="21"/>
                <w:szCs w:val="21"/>
              </w:rPr>
              <w:t>平方千米</w:t>
            </w:r>
          </w:p>
        </w:tc>
        <w:tc>
          <w:tcPr>
            <w:tcW w:w="1733" w:type="pct"/>
            <w:vAlign w:val="center"/>
          </w:tcPr>
          <w:p w14:paraId="23BE5770" w14:textId="77777777" w:rsidR="00107085" w:rsidRDefault="00000000">
            <w:pPr>
              <w:spacing w:line="320" w:lineRule="exact"/>
              <w:ind w:firstLineChars="0" w:firstLine="0"/>
              <w:jc w:val="center"/>
              <w:rPr>
                <w:rFonts w:eastAsia="宋体"/>
                <w:sz w:val="21"/>
                <w:szCs w:val="21"/>
                <w:highlight w:val="yellow"/>
              </w:rPr>
            </w:pPr>
            <w:r>
              <w:rPr>
                <w:rFonts w:eastAsia="宋体" w:hint="eastAsia"/>
                <w:sz w:val="21"/>
                <w:szCs w:val="21"/>
              </w:rPr>
              <w:t>600</w:t>
            </w:r>
          </w:p>
        </w:tc>
        <w:tc>
          <w:tcPr>
            <w:tcW w:w="571" w:type="pct"/>
            <w:vAlign w:val="center"/>
          </w:tcPr>
          <w:p w14:paraId="582D3702" w14:textId="77777777" w:rsidR="00107085" w:rsidRDefault="00000000">
            <w:pPr>
              <w:spacing w:line="320" w:lineRule="exact"/>
              <w:ind w:firstLineChars="0" w:firstLine="0"/>
              <w:jc w:val="center"/>
              <w:rPr>
                <w:rFonts w:eastAsia="宋体"/>
                <w:sz w:val="21"/>
                <w:szCs w:val="21"/>
              </w:rPr>
            </w:pPr>
            <w:r>
              <w:rPr>
                <w:rFonts w:eastAsia="宋体"/>
                <w:sz w:val="21"/>
                <w:szCs w:val="21"/>
              </w:rPr>
              <w:t>预期性</w:t>
            </w:r>
          </w:p>
        </w:tc>
      </w:tr>
      <w:tr w:rsidR="00107085" w14:paraId="6BCF1E2B" w14:textId="77777777">
        <w:trPr>
          <w:trHeight w:val="457"/>
          <w:jc w:val="center"/>
        </w:trPr>
        <w:tc>
          <w:tcPr>
            <w:tcW w:w="570" w:type="pct"/>
            <w:vMerge/>
            <w:vAlign w:val="center"/>
          </w:tcPr>
          <w:p w14:paraId="08918A63" w14:textId="77777777" w:rsidR="00107085" w:rsidRDefault="00107085">
            <w:pPr>
              <w:spacing w:line="320" w:lineRule="exact"/>
              <w:ind w:firstLine="420"/>
              <w:jc w:val="center"/>
              <w:rPr>
                <w:rFonts w:eastAsia="宋体"/>
                <w:sz w:val="21"/>
                <w:szCs w:val="21"/>
              </w:rPr>
            </w:pPr>
          </w:p>
        </w:tc>
        <w:tc>
          <w:tcPr>
            <w:tcW w:w="1556" w:type="pct"/>
            <w:vAlign w:val="center"/>
          </w:tcPr>
          <w:p w14:paraId="5276A598" w14:textId="77777777" w:rsidR="00107085" w:rsidRDefault="00000000">
            <w:pPr>
              <w:spacing w:line="320" w:lineRule="exact"/>
              <w:ind w:firstLineChars="0" w:firstLine="0"/>
              <w:jc w:val="center"/>
              <w:rPr>
                <w:rFonts w:eastAsia="宋体"/>
                <w:sz w:val="21"/>
                <w:szCs w:val="21"/>
              </w:rPr>
            </w:pPr>
            <w:r>
              <w:rPr>
                <w:rFonts w:eastAsia="宋体" w:hint="eastAsia"/>
                <w:sz w:val="21"/>
                <w:szCs w:val="21"/>
              </w:rPr>
              <w:t>土壤地质调查</w:t>
            </w:r>
          </w:p>
        </w:tc>
        <w:tc>
          <w:tcPr>
            <w:tcW w:w="570" w:type="pct"/>
            <w:vAlign w:val="center"/>
          </w:tcPr>
          <w:p w14:paraId="2CBBA9D0" w14:textId="77777777" w:rsidR="00107085" w:rsidRDefault="00000000">
            <w:pPr>
              <w:spacing w:line="320" w:lineRule="exact"/>
              <w:ind w:firstLineChars="0" w:firstLine="0"/>
              <w:jc w:val="center"/>
              <w:rPr>
                <w:rFonts w:eastAsia="宋体"/>
                <w:sz w:val="21"/>
                <w:szCs w:val="21"/>
              </w:rPr>
            </w:pPr>
            <w:r>
              <w:rPr>
                <w:rFonts w:eastAsia="宋体"/>
                <w:sz w:val="21"/>
                <w:szCs w:val="21"/>
              </w:rPr>
              <w:t>平方千米</w:t>
            </w:r>
          </w:p>
        </w:tc>
        <w:tc>
          <w:tcPr>
            <w:tcW w:w="1733" w:type="pct"/>
            <w:vAlign w:val="center"/>
          </w:tcPr>
          <w:p w14:paraId="366E5220" w14:textId="77777777" w:rsidR="00107085" w:rsidRDefault="00000000">
            <w:pPr>
              <w:spacing w:line="320" w:lineRule="exact"/>
              <w:ind w:firstLineChars="0" w:firstLine="0"/>
              <w:jc w:val="center"/>
              <w:rPr>
                <w:rFonts w:eastAsia="宋体"/>
                <w:sz w:val="21"/>
                <w:szCs w:val="21"/>
              </w:rPr>
            </w:pPr>
            <w:r>
              <w:rPr>
                <w:rFonts w:eastAsia="宋体" w:hint="eastAsia"/>
                <w:sz w:val="21"/>
                <w:szCs w:val="21"/>
              </w:rPr>
              <w:t>300</w:t>
            </w:r>
          </w:p>
        </w:tc>
        <w:tc>
          <w:tcPr>
            <w:tcW w:w="571" w:type="pct"/>
            <w:vAlign w:val="center"/>
          </w:tcPr>
          <w:p w14:paraId="41516CFE" w14:textId="77777777" w:rsidR="00107085" w:rsidRDefault="00000000">
            <w:pPr>
              <w:spacing w:line="320" w:lineRule="exact"/>
              <w:ind w:firstLineChars="0" w:firstLine="0"/>
              <w:jc w:val="center"/>
              <w:rPr>
                <w:rFonts w:eastAsia="宋体"/>
                <w:sz w:val="21"/>
                <w:szCs w:val="21"/>
              </w:rPr>
            </w:pPr>
            <w:r>
              <w:rPr>
                <w:rFonts w:eastAsia="宋体"/>
                <w:sz w:val="21"/>
                <w:szCs w:val="21"/>
              </w:rPr>
              <w:t>预期性</w:t>
            </w:r>
          </w:p>
        </w:tc>
      </w:tr>
      <w:tr w:rsidR="00107085" w14:paraId="747EC0B4" w14:textId="77777777">
        <w:trPr>
          <w:trHeight w:val="413"/>
          <w:jc w:val="center"/>
        </w:trPr>
        <w:tc>
          <w:tcPr>
            <w:tcW w:w="570" w:type="pct"/>
            <w:vMerge w:val="restart"/>
            <w:vAlign w:val="center"/>
          </w:tcPr>
          <w:p w14:paraId="03C545EB" w14:textId="77777777" w:rsidR="00107085" w:rsidRDefault="00000000">
            <w:pPr>
              <w:spacing w:line="320" w:lineRule="exact"/>
              <w:ind w:firstLineChars="0" w:firstLine="0"/>
              <w:jc w:val="center"/>
              <w:rPr>
                <w:rFonts w:eastAsia="宋体"/>
                <w:sz w:val="21"/>
                <w:szCs w:val="21"/>
              </w:rPr>
            </w:pPr>
            <w:r>
              <w:rPr>
                <w:rFonts w:eastAsia="宋体"/>
                <w:sz w:val="21"/>
                <w:szCs w:val="21"/>
              </w:rPr>
              <w:t>矿产勘查</w:t>
            </w:r>
          </w:p>
        </w:tc>
        <w:tc>
          <w:tcPr>
            <w:tcW w:w="1556" w:type="pct"/>
            <w:vAlign w:val="center"/>
          </w:tcPr>
          <w:p w14:paraId="42180A3C" w14:textId="77777777" w:rsidR="00107085" w:rsidRDefault="00000000">
            <w:pPr>
              <w:spacing w:line="320" w:lineRule="exact"/>
              <w:ind w:firstLineChars="0" w:firstLine="0"/>
              <w:jc w:val="center"/>
              <w:rPr>
                <w:rFonts w:eastAsia="宋体"/>
                <w:sz w:val="21"/>
                <w:szCs w:val="21"/>
              </w:rPr>
            </w:pPr>
            <w:r>
              <w:rPr>
                <w:rFonts w:eastAsia="宋体"/>
                <w:sz w:val="21"/>
                <w:szCs w:val="21"/>
              </w:rPr>
              <w:t>建筑用砂石粘土采矿权数</w:t>
            </w:r>
          </w:p>
        </w:tc>
        <w:tc>
          <w:tcPr>
            <w:tcW w:w="570" w:type="pct"/>
            <w:vAlign w:val="center"/>
          </w:tcPr>
          <w:p w14:paraId="2F4D6CAD" w14:textId="0F0A6BAE" w:rsidR="00107085" w:rsidRDefault="00000000">
            <w:pPr>
              <w:spacing w:line="320" w:lineRule="exact"/>
              <w:ind w:firstLineChars="0" w:firstLine="0"/>
              <w:jc w:val="center"/>
              <w:rPr>
                <w:rFonts w:eastAsia="宋体"/>
                <w:sz w:val="21"/>
                <w:szCs w:val="21"/>
              </w:rPr>
            </w:pPr>
            <w:r>
              <w:rPr>
                <w:rFonts w:eastAsia="宋体"/>
                <w:sz w:val="21"/>
                <w:szCs w:val="21"/>
              </w:rPr>
              <w:t>个</w:t>
            </w:r>
          </w:p>
        </w:tc>
        <w:tc>
          <w:tcPr>
            <w:tcW w:w="1733" w:type="pct"/>
            <w:vAlign w:val="center"/>
          </w:tcPr>
          <w:p w14:paraId="484EEA43" w14:textId="77777777" w:rsidR="00107085" w:rsidRDefault="00000000">
            <w:pPr>
              <w:spacing w:line="320" w:lineRule="exact"/>
              <w:ind w:firstLineChars="0" w:firstLine="0"/>
              <w:jc w:val="center"/>
              <w:rPr>
                <w:rFonts w:eastAsia="宋体"/>
                <w:sz w:val="21"/>
                <w:szCs w:val="21"/>
              </w:rPr>
            </w:pPr>
            <w:r>
              <w:rPr>
                <w:rFonts w:eastAsia="宋体"/>
                <w:sz w:val="21"/>
                <w:szCs w:val="21"/>
              </w:rPr>
              <w:t>14</w:t>
            </w:r>
          </w:p>
        </w:tc>
        <w:tc>
          <w:tcPr>
            <w:tcW w:w="571" w:type="pct"/>
            <w:vAlign w:val="center"/>
          </w:tcPr>
          <w:p w14:paraId="167DD5C6" w14:textId="77777777" w:rsidR="00107085" w:rsidRDefault="00000000">
            <w:pPr>
              <w:spacing w:line="320" w:lineRule="exact"/>
              <w:ind w:firstLineChars="0" w:firstLine="0"/>
              <w:jc w:val="center"/>
              <w:rPr>
                <w:rFonts w:eastAsia="宋体"/>
                <w:sz w:val="21"/>
                <w:szCs w:val="21"/>
              </w:rPr>
            </w:pPr>
            <w:r>
              <w:rPr>
                <w:rFonts w:eastAsia="宋体"/>
                <w:sz w:val="21"/>
                <w:szCs w:val="21"/>
              </w:rPr>
              <w:t>预期性</w:t>
            </w:r>
          </w:p>
        </w:tc>
      </w:tr>
      <w:tr w:rsidR="00107085" w14:paraId="582501C2" w14:textId="77777777">
        <w:trPr>
          <w:trHeight w:val="403"/>
          <w:jc w:val="center"/>
        </w:trPr>
        <w:tc>
          <w:tcPr>
            <w:tcW w:w="570" w:type="pct"/>
            <w:vMerge/>
            <w:vAlign w:val="center"/>
          </w:tcPr>
          <w:p w14:paraId="3DB3A6F0" w14:textId="77777777" w:rsidR="00107085" w:rsidRDefault="00107085">
            <w:pPr>
              <w:spacing w:line="320" w:lineRule="exact"/>
              <w:ind w:firstLine="420"/>
              <w:jc w:val="center"/>
              <w:rPr>
                <w:rFonts w:eastAsia="宋体"/>
                <w:sz w:val="21"/>
                <w:szCs w:val="21"/>
              </w:rPr>
            </w:pPr>
          </w:p>
        </w:tc>
        <w:tc>
          <w:tcPr>
            <w:tcW w:w="1556" w:type="pct"/>
            <w:vAlign w:val="center"/>
          </w:tcPr>
          <w:p w14:paraId="30180E3E" w14:textId="77777777" w:rsidR="00107085" w:rsidRDefault="00000000">
            <w:pPr>
              <w:spacing w:line="320" w:lineRule="exact"/>
              <w:ind w:firstLineChars="0" w:firstLine="0"/>
              <w:jc w:val="center"/>
              <w:rPr>
                <w:rFonts w:eastAsia="宋体"/>
                <w:sz w:val="21"/>
                <w:szCs w:val="21"/>
              </w:rPr>
            </w:pPr>
            <w:r>
              <w:rPr>
                <w:rFonts w:eastAsia="宋体"/>
                <w:sz w:val="21"/>
                <w:szCs w:val="21"/>
              </w:rPr>
              <w:t>建筑用砂</w:t>
            </w:r>
            <w:r>
              <w:rPr>
                <w:rFonts w:eastAsia="宋体" w:hint="eastAsia"/>
                <w:sz w:val="21"/>
                <w:szCs w:val="21"/>
              </w:rPr>
              <w:t>累计开采量</w:t>
            </w:r>
          </w:p>
        </w:tc>
        <w:tc>
          <w:tcPr>
            <w:tcW w:w="570" w:type="pct"/>
            <w:vAlign w:val="center"/>
          </w:tcPr>
          <w:p w14:paraId="25E73E30" w14:textId="77777777" w:rsidR="00107085" w:rsidRDefault="00000000">
            <w:pPr>
              <w:spacing w:line="320" w:lineRule="exact"/>
              <w:ind w:firstLineChars="0" w:firstLine="0"/>
              <w:jc w:val="center"/>
              <w:rPr>
                <w:rFonts w:eastAsia="宋体"/>
                <w:sz w:val="21"/>
                <w:szCs w:val="21"/>
              </w:rPr>
            </w:pPr>
            <w:r>
              <w:rPr>
                <w:rFonts w:eastAsia="宋体" w:hint="eastAsia"/>
                <w:sz w:val="21"/>
                <w:szCs w:val="21"/>
              </w:rPr>
              <w:t>万</w:t>
            </w:r>
            <w:r>
              <w:rPr>
                <w:rFonts w:eastAsia="宋体"/>
                <w:sz w:val="21"/>
                <w:szCs w:val="21"/>
              </w:rPr>
              <w:t>立方米</w:t>
            </w:r>
          </w:p>
        </w:tc>
        <w:tc>
          <w:tcPr>
            <w:tcW w:w="1733" w:type="pct"/>
            <w:vAlign w:val="center"/>
          </w:tcPr>
          <w:p w14:paraId="33496CDD" w14:textId="77777777" w:rsidR="00107085" w:rsidRDefault="00000000">
            <w:pPr>
              <w:spacing w:line="320" w:lineRule="exact"/>
              <w:ind w:firstLineChars="0" w:firstLine="0"/>
              <w:jc w:val="center"/>
              <w:rPr>
                <w:rFonts w:eastAsia="宋体"/>
                <w:sz w:val="21"/>
                <w:szCs w:val="21"/>
              </w:rPr>
            </w:pPr>
            <w:r>
              <w:rPr>
                <w:rFonts w:eastAsia="宋体" w:hint="eastAsia"/>
                <w:sz w:val="21"/>
                <w:szCs w:val="21"/>
              </w:rPr>
              <w:t>5180</w:t>
            </w:r>
          </w:p>
        </w:tc>
        <w:tc>
          <w:tcPr>
            <w:tcW w:w="571" w:type="pct"/>
            <w:vAlign w:val="center"/>
          </w:tcPr>
          <w:p w14:paraId="22E22152" w14:textId="77777777" w:rsidR="00107085" w:rsidRDefault="00000000">
            <w:pPr>
              <w:spacing w:line="320" w:lineRule="exact"/>
              <w:ind w:firstLineChars="0" w:firstLine="0"/>
              <w:jc w:val="center"/>
              <w:rPr>
                <w:rFonts w:eastAsia="宋体"/>
                <w:sz w:val="21"/>
                <w:szCs w:val="21"/>
              </w:rPr>
            </w:pPr>
            <w:r>
              <w:rPr>
                <w:rFonts w:eastAsia="宋体"/>
                <w:sz w:val="21"/>
                <w:szCs w:val="21"/>
              </w:rPr>
              <w:t>预期性</w:t>
            </w:r>
          </w:p>
        </w:tc>
      </w:tr>
    </w:tbl>
    <w:bookmarkEnd w:id="65"/>
    <w:p w14:paraId="1EC14772" w14:textId="4DA0A29D" w:rsidR="00107085" w:rsidRDefault="00000000">
      <w:pPr>
        <w:pStyle w:val="a6"/>
        <w:ind w:firstLine="643"/>
        <w:jc w:val="both"/>
        <w:rPr>
          <w:bCs/>
        </w:rPr>
      </w:pPr>
      <w:r>
        <w:rPr>
          <w:rFonts w:ascii="方正楷体_GBK" w:eastAsia="方正楷体_GBK" w:hint="eastAsia"/>
          <w:b/>
        </w:rPr>
        <w:lastRenderedPageBreak/>
        <w:t>绿色发展有新成效</w:t>
      </w:r>
      <w:r>
        <w:rPr>
          <w:b/>
        </w:rPr>
        <w:t>。</w:t>
      </w:r>
      <w:r>
        <w:rPr>
          <w:bCs/>
        </w:rPr>
        <w:t>绿色矿业发展体系不断健全，绿色勘查全面推行，绿色矿山建设持续深化并实现常态化推进，矿产资源开发利用方式加快向节约集约、环境友好转型。矿山开采回采率稳步提升，资源利用效率显著提高。探索梯级分类的绿色转型路径，非金属矿山绿色发展水平全面提升。在规划期内，推动辖区内基层生产矿山达到</w:t>
      </w:r>
      <w:r>
        <w:rPr>
          <w:rFonts w:hint="eastAsia"/>
          <w:bCs/>
        </w:rPr>
        <w:t>“</w:t>
      </w:r>
      <w:r>
        <w:rPr>
          <w:bCs/>
        </w:rPr>
        <w:t>绿色高质量矿山</w:t>
      </w:r>
      <w:r>
        <w:rPr>
          <w:rFonts w:hint="eastAsia"/>
          <w:bCs/>
        </w:rPr>
        <w:t>”</w:t>
      </w:r>
      <w:r>
        <w:rPr>
          <w:bCs/>
        </w:rPr>
        <w:t>或</w:t>
      </w:r>
      <w:r>
        <w:rPr>
          <w:rFonts w:hint="eastAsia"/>
          <w:bCs/>
        </w:rPr>
        <w:t>“</w:t>
      </w:r>
      <w:r>
        <w:rPr>
          <w:bCs/>
        </w:rPr>
        <w:t>智能化矿山</w:t>
      </w:r>
      <w:r>
        <w:rPr>
          <w:rFonts w:hint="eastAsia"/>
          <w:bCs/>
        </w:rPr>
        <w:t>”</w:t>
      </w:r>
      <w:r>
        <w:rPr>
          <w:bCs/>
        </w:rPr>
        <w:t>建设标准，实现开采方式科学化与生产工艺环保化。</w:t>
      </w:r>
      <w:r w:rsidR="0072329C" w:rsidRPr="0072329C">
        <w:rPr>
          <w:bCs/>
        </w:rPr>
        <w:t>矿山</w:t>
      </w:r>
      <w:r w:rsidR="0072329C" w:rsidRPr="0072329C">
        <w:rPr>
          <w:bCs/>
        </w:rPr>
        <w:t>“</w:t>
      </w:r>
      <w:r w:rsidR="0072329C" w:rsidRPr="0072329C">
        <w:rPr>
          <w:bCs/>
        </w:rPr>
        <w:t>三率</w:t>
      </w:r>
      <w:r w:rsidR="0072329C" w:rsidRPr="0072329C">
        <w:rPr>
          <w:bCs/>
        </w:rPr>
        <w:t>”</w:t>
      </w:r>
      <w:r w:rsidR="0072329C" w:rsidRPr="0072329C">
        <w:rPr>
          <w:bCs/>
        </w:rPr>
        <w:t>水平稳步提升，在建矿山全部实行绿色矿山建设标准，持证在产的</w:t>
      </w:r>
      <w:r w:rsidR="0072329C" w:rsidRPr="0072329C">
        <w:rPr>
          <w:bCs/>
        </w:rPr>
        <w:t>90%</w:t>
      </w:r>
      <w:r w:rsidR="0072329C" w:rsidRPr="0072329C">
        <w:rPr>
          <w:bCs/>
        </w:rPr>
        <w:t>大型矿山、</w:t>
      </w:r>
      <w:r w:rsidR="0072329C" w:rsidRPr="0072329C">
        <w:rPr>
          <w:bCs/>
        </w:rPr>
        <w:t>80%</w:t>
      </w:r>
      <w:r w:rsidR="0072329C" w:rsidRPr="0072329C">
        <w:rPr>
          <w:bCs/>
        </w:rPr>
        <w:t>中型矿山要达到兵团绿色矿山建设标准要求</w:t>
      </w:r>
      <w:r>
        <w:rPr>
          <w:bCs/>
        </w:rPr>
        <w:t>，形成</w:t>
      </w:r>
      <w:r>
        <w:rPr>
          <w:rFonts w:hint="eastAsia"/>
          <w:bCs/>
        </w:rPr>
        <w:t>“</w:t>
      </w:r>
      <w:r>
        <w:rPr>
          <w:bCs/>
        </w:rPr>
        <w:t>普遍达标、梯次升级、骨干示范</w:t>
      </w:r>
      <w:r>
        <w:rPr>
          <w:rFonts w:hint="eastAsia"/>
          <w:bCs/>
        </w:rPr>
        <w:t>”</w:t>
      </w:r>
      <w:r>
        <w:rPr>
          <w:bCs/>
        </w:rPr>
        <w:t>的绿色矿业发展新格局，其中大型砂石土矿山的示范引领作用不断增强。</w:t>
      </w:r>
    </w:p>
    <w:p w14:paraId="77DE9D54" w14:textId="77777777" w:rsidR="00107085" w:rsidRDefault="00000000">
      <w:pPr>
        <w:pStyle w:val="a6"/>
        <w:ind w:firstLine="643"/>
        <w:jc w:val="both"/>
        <w:rPr>
          <w:bCs/>
        </w:rPr>
      </w:pPr>
      <w:r>
        <w:rPr>
          <w:rFonts w:ascii="方正楷体_GBK" w:eastAsia="方正楷体_GBK" w:hint="eastAsia"/>
          <w:b/>
        </w:rPr>
        <w:t>管理改革有新突破</w:t>
      </w:r>
      <w:r>
        <w:rPr>
          <w:b/>
        </w:rPr>
        <w:t>。</w:t>
      </w:r>
      <w:r>
        <w:rPr>
          <w:bCs/>
        </w:rPr>
        <w:t>健全完善兵团矿产资源管理制度及师市矿政管理体系，兵地融合迈上新台阶。师市要全面建成职责清晰、协同高效的矿政管理部门。</w:t>
      </w:r>
    </w:p>
    <w:p w14:paraId="32469335"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66" w:name="_Toc227172381"/>
      <w:bookmarkStart w:id="67" w:name="_Toc237883261"/>
      <w:r>
        <w:rPr>
          <w:rFonts w:ascii="Times New Roman" w:eastAsia="楷体" w:hAnsi="Times New Roman" w:cs="Times New Roman"/>
          <w:b w:val="0"/>
          <w:sz w:val="32"/>
          <w:szCs w:val="32"/>
        </w:rPr>
        <w:t>（三）展望目标</w:t>
      </w:r>
      <w:bookmarkEnd w:id="66"/>
      <w:bookmarkEnd w:id="67"/>
    </w:p>
    <w:p w14:paraId="588A1D1D" w14:textId="77777777" w:rsidR="00107085" w:rsidRDefault="00000000">
      <w:pPr>
        <w:ind w:firstLine="640"/>
      </w:pPr>
      <w:r>
        <w:t>到</w:t>
      </w:r>
      <w:r>
        <w:t>2030</w:t>
      </w:r>
      <w:r>
        <w:t>年，第一师阿拉尔市地质找矿工作取得新突破，以建筑砂石等非金属为重点的矿产开发布局和结构实现全面优化。师市矿产资源开发利用更加集约高效，绿色勘查与绿色矿山建设取得阶段性成效。矿业产业发展初步具备规模，切实保障师市重大水网、交通干线及库沙新拜产业园建设的基础建材需求。矿产资源领域兵地融合进一步深化，矿业开发对</w:t>
      </w:r>
      <w:r>
        <w:rPr>
          <w:rFonts w:hint="eastAsia"/>
        </w:rPr>
        <w:t>“</w:t>
      </w:r>
      <w:r>
        <w:t>以产聚人、屯矿戍边</w:t>
      </w:r>
      <w:r>
        <w:rPr>
          <w:rFonts w:hint="eastAsia"/>
        </w:rPr>
        <w:t>”</w:t>
      </w:r>
      <w:r>
        <w:t>的支撑性作用得到明显体现，为第一师阿</w:t>
      </w:r>
      <w:r>
        <w:lastRenderedPageBreak/>
        <w:t>拉尔市履行戍边使命、打造南疆兵团中心城市与推动南疆高质量发展提供坚实的资源基础支撑。</w:t>
      </w:r>
    </w:p>
    <w:p w14:paraId="458BB89A" w14:textId="77777777" w:rsidR="00107085" w:rsidRDefault="00107085">
      <w:pPr>
        <w:pStyle w:val="1"/>
        <w:spacing w:line="540" w:lineRule="exact"/>
        <w:rPr>
          <w:rFonts w:ascii="Times New Roman" w:hAnsi="Times New Roman"/>
        </w:rPr>
        <w:sectPr w:rsidR="00107085" w:rsidSect="00BA67C6">
          <w:pgSz w:w="11906" w:h="16838"/>
          <w:pgMar w:top="1701" w:right="1701" w:bottom="1701" w:left="1701" w:header="851" w:footer="851" w:gutter="0"/>
          <w:pgNumType w:start="19"/>
          <w:cols w:space="425"/>
          <w:docGrid w:type="lines" w:linePitch="560"/>
        </w:sectPr>
      </w:pPr>
    </w:p>
    <w:p w14:paraId="1C35C856" w14:textId="77777777" w:rsidR="00107085" w:rsidRDefault="00107085">
      <w:pPr>
        <w:pStyle w:val="1"/>
        <w:spacing w:line="540" w:lineRule="exact"/>
        <w:rPr>
          <w:rFonts w:ascii="Times New Roman" w:hAnsi="Times New Roman"/>
        </w:rPr>
        <w:sectPr w:rsidR="00107085">
          <w:type w:val="continuous"/>
          <w:pgSz w:w="11906" w:h="16838"/>
          <w:pgMar w:top="1701" w:right="1701" w:bottom="1701" w:left="1701" w:header="851" w:footer="851" w:gutter="0"/>
          <w:pgNumType w:start="1"/>
          <w:cols w:space="425"/>
          <w:docGrid w:type="lines" w:linePitch="560"/>
        </w:sectPr>
      </w:pPr>
    </w:p>
    <w:p w14:paraId="56533D4B" w14:textId="77777777" w:rsidR="00107085" w:rsidRDefault="00000000">
      <w:pPr>
        <w:pStyle w:val="1"/>
        <w:keepLines w:val="0"/>
        <w:spacing w:beforeLines="0" w:before="0" w:afterLines="0" w:after="0"/>
        <w:ind w:firstLineChars="200" w:firstLine="640"/>
        <w:jc w:val="both"/>
        <w:rPr>
          <w:rFonts w:ascii="Times New Roman" w:eastAsia="黑体" w:hAnsi="Times New Roman"/>
          <w:b w:val="0"/>
          <w:sz w:val="32"/>
          <w:szCs w:val="32"/>
        </w:rPr>
      </w:pPr>
      <w:bookmarkStart w:id="68" w:name="_Toc227172382"/>
      <w:bookmarkStart w:id="69" w:name="_Toc237883262"/>
      <w:r>
        <w:rPr>
          <w:rFonts w:ascii="Times New Roman" w:eastAsia="黑体" w:hAnsi="Times New Roman"/>
          <w:b w:val="0"/>
          <w:sz w:val="32"/>
          <w:szCs w:val="32"/>
        </w:rPr>
        <w:lastRenderedPageBreak/>
        <w:t>四、</w:t>
      </w:r>
      <w:bookmarkEnd w:id="68"/>
      <w:r>
        <w:rPr>
          <w:rFonts w:ascii="Times New Roman" w:eastAsia="黑体" w:hAnsi="Times New Roman"/>
          <w:b w:val="0"/>
          <w:sz w:val="32"/>
          <w:szCs w:val="32"/>
        </w:rPr>
        <w:t>加强基础地质工作，优化矿产资源勘查格局</w:t>
      </w:r>
      <w:bookmarkEnd w:id="69"/>
    </w:p>
    <w:p w14:paraId="52634CF9"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bCs/>
          <w:sz w:val="32"/>
          <w:szCs w:val="32"/>
        </w:rPr>
      </w:pPr>
      <w:bookmarkStart w:id="70" w:name="_Toc227172383"/>
      <w:bookmarkStart w:id="71" w:name="_Toc237883263"/>
      <w:r>
        <w:rPr>
          <w:rFonts w:ascii="Times New Roman" w:eastAsia="楷体" w:hAnsi="Times New Roman" w:cs="Times New Roman"/>
          <w:b w:val="0"/>
          <w:sz w:val="32"/>
          <w:szCs w:val="32"/>
        </w:rPr>
        <w:t>（一）</w:t>
      </w:r>
      <w:bookmarkEnd w:id="70"/>
      <w:r>
        <w:rPr>
          <w:rFonts w:ascii="Times New Roman" w:eastAsia="楷体" w:hAnsi="Times New Roman" w:cs="Times New Roman"/>
          <w:b w:val="0"/>
          <w:bCs/>
          <w:sz w:val="32"/>
          <w:szCs w:val="32"/>
        </w:rPr>
        <w:t>开展区域地质等调查</w:t>
      </w:r>
      <w:bookmarkEnd w:id="71"/>
    </w:p>
    <w:p w14:paraId="468CC76B" w14:textId="77777777" w:rsidR="00107085" w:rsidRDefault="00000000">
      <w:pPr>
        <w:ind w:firstLine="643"/>
      </w:pPr>
      <w:r>
        <w:rPr>
          <w:rFonts w:ascii="方正楷体_GBK" w:eastAsia="方正楷体_GBK"/>
          <w:b/>
          <w:bCs/>
          <w:kern w:val="0"/>
        </w:rPr>
        <w:t>开展服务兵团向南发展与新城规划的综合地质调查。</w:t>
      </w:r>
      <w:r>
        <w:t>全面落实兵团向南发展战略，加强南疆师市、团镇综合地质调查，为重大基础设施建设和新型城镇化提供坚实地质依据。聚焦师市城市发展定位，重点围绕库沙新拜产业园（新建</w:t>
      </w:r>
      <w:r>
        <w:t>18</w:t>
      </w:r>
      <w:r>
        <w:t>团镇）等新城规划选址及扩容预留区，前瞻性部署并实施自然资源综合调查与承载力评价。针对新城选址及重大交通干线规划区，全面开展第一师</w:t>
      </w:r>
      <w:r>
        <w:rPr>
          <w:rFonts w:hint="eastAsia"/>
        </w:rPr>
        <w:t>阿拉尔市</w:t>
      </w:r>
      <w:r>
        <w:t>地质灾害更新调查与重要隐患点自动化监测，重点查明活动断裂、隐伏构造以及崩塌、泥石流等灾害隐患底数，开展精细化风险评估，引导人口与产业向安全区域集中，保障新城建设与生命线工程的本质安全。</w:t>
      </w:r>
    </w:p>
    <w:p w14:paraId="21CB4158" w14:textId="77777777" w:rsidR="00107085" w:rsidRDefault="00000000">
      <w:pPr>
        <w:ind w:firstLine="643"/>
        <w:rPr>
          <w:kern w:val="0"/>
        </w:rPr>
      </w:pPr>
      <w:r>
        <w:rPr>
          <w:rFonts w:ascii="方正楷体_GBK" w:eastAsia="方正楷体_GBK"/>
          <w:b/>
          <w:bCs/>
          <w:kern w:val="0"/>
        </w:rPr>
        <w:t>开展自然资源与精细化矿产地质调查。</w:t>
      </w:r>
      <w:r>
        <w:rPr>
          <w:kern w:val="0"/>
        </w:rPr>
        <w:t>依托第一师</w:t>
      </w:r>
      <w:r>
        <w:rPr>
          <w:rFonts w:hint="eastAsia"/>
          <w:kern w:val="0"/>
        </w:rPr>
        <w:t>阿拉尔市</w:t>
      </w:r>
      <w:r>
        <w:rPr>
          <w:kern w:val="0"/>
        </w:rPr>
        <w:t>“</w:t>
      </w:r>
      <w:r>
        <w:rPr>
          <w:kern w:val="0"/>
        </w:rPr>
        <w:t>十五五</w:t>
      </w:r>
      <w:r>
        <w:rPr>
          <w:kern w:val="0"/>
        </w:rPr>
        <w:t>”</w:t>
      </w:r>
      <w:r>
        <w:rPr>
          <w:kern w:val="0"/>
        </w:rPr>
        <w:t>区域地质调查项目，实施</w:t>
      </w:r>
      <w:r>
        <w:rPr>
          <w:kern w:val="0"/>
        </w:rPr>
        <w:t>450</w:t>
      </w:r>
      <w:r>
        <w:rPr>
          <w:kern w:val="0"/>
        </w:rPr>
        <w:t>平方千米自然资源综合调查与承载力评价，夯实城镇化建设基础。优先在四团、五团及沙井子垦区东部，综合</w:t>
      </w:r>
      <w:r>
        <w:rPr>
          <w:kern w:val="0"/>
        </w:rPr>
        <w:t>1</w:t>
      </w:r>
      <w:r>
        <w:rPr>
          <w:rFonts w:ascii="仿宋_GB2312" w:hAnsi="仿宋_GB2312" w:cs="仿宋_GB2312" w:hint="eastAsia"/>
          <w:sz w:val="28"/>
          <w:szCs w:val="28"/>
        </w:rPr>
        <w:t>∶</w:t>
      </w:r>
      <w:r>
        <w:rPr>
          <w:kern w:val="0"/>
        </w:rPr>
        <w:t>5</w:t>
      </w:r>
      <w:r>
        <w:rPr>
          <w:kern w:val="0"/>
        </w:rPr>
        <w:t>万地质填图、物探及高分辨率遥感技术构建三维地质模型，优选找矿靶区。针对前期圈定的天山南麓金属异常区（如四团草场周边）及沙井子石灰岩异常区，接续开展</w:t>
      </w:r>
      <w:r>
        <w:rPr>
          <w:kern w:val="0"/>
        </w:rPr>
        <w:t>150</w:t>
      </w:r>
      <w:r>
        <w:rPr>
          <w:kern w:val="0"/>
        </w:rPr>
        <w:t>平方千米</w:t>
      </w:r>
      <w:r>
        <w:rPr>
          <w:kern w:val="0"/>
        </w:rPr>
        <w:t>1</w:t>
      </w:r>
      <w:r>
        <w:rPr>
          <w:rFonts w:ascii="仿宋_GB2312" w:hAnsi="仿宋_GB2312" w:cs="仿宋_GB2312" w:hint="eastAsia"/>
          <w:sz w:val="28"/>
          <w:szCs w:val="28"/>
        </w:rPr>
        <w:t>∶</w:t>
      </w:r>
      <w:r>
        <w:rPr>
          <w:kern w:val="0"/>
        </w:rPr>
        <w:t>2.5</w:t>
      </w:r>
      <w:r>
        <w:rPr>
          <w:kern w:val="0"/>
        </w:rPr>
        <w:t>万精细矿产地质调查。通过高精度填图、激电中梯测量及槽探取样等手段，精准圈定深部矿体并估算资源量，力争提交优质金属矿靶区与非金属后备基地，为师市及四团等区域构建特色优势产业体系、积蓄高质量发展新动能提供坚实支撑。</w:t>
      </w:r>
    </w:p>
    <w:p w14:paraId="0D968EE9" w14:textId="77777777" w:rsidR="00107085" w:rsidRDefault="00000000">
      <w:pPr>
        <w:ind w:firstLine="643"/>
        <w:rPr>
          <w:kern w:val="0"/>
        </w:rPr>
      </w:pPr>
      <w:r>
        <w:rPr>
          <w:rFonts w:ascii="方正楷体_GBK" w:eastAsia="方正楷体_GBK" w:hint="eastAsia"/>
          <w:b/>
          <w:bCs/>
          <w:kern w:val="0"/>
        </w:rPr>
        <w:lastRenderedPageBreak/>
        <w:t>开展土地质量地球化学调查</w:t>
      </w:r>
      <w:r>
        <w:rPr>
          <w:b/>
          <w:bCs/>
          <w:kern w:val="0"/>
        </w:rPr>
        <w:t>。</w:t>
      </w:r>
      <w:r>
        <w:rPr>
          <w:kern w:val="0"/>
        </w:rPr>
        <w:t>依托</w:t>
      </w:r>
      <w:r>
        <w:rPr>
          <w:rFonts w:hint="eastAsia"/>
          <w:kern w:val="0"/>
        </w:rPr>
        <w:t>“</w:t>
      </w:r>
      <w:r>
        <w:rPr>
          <w:kern w:val="0"/>
        </w:rPr>
        <w:t>新疆库尔勒－阿克苏地区</w:t>
      </w:r>
      <w:r>
        <w:rPr>
          <w:kern w:val="0"/>
        </w:rPr>
        <w:t>1</w:t>
      </w:r>
      <w:r>
        <w:rPr>
          <w:rFonts w:ascii="仿宋_GB2312" w:hAnsi="仿宋_GB2312" w:cs="仿宋_GB2312" w:hint="eastAsia"/>
          <w:sz w:val="28"/>
          <w:szCs w:val="28"/>
        </w:rPr>
        <w:t>∶</w:t>
      </w:r>
      <w:r>
        <w:rPr>
          <w:kern w:val="0"/>
        </w:rPr>
        <w:t>25</w:t>
      </w:r>
      <w:r>
        <w:rPr>
          <w:kern w:val="0"/>
        </w:rPr>
        <w:t>万土地质量地球化学调查</w:t>
      </w:r>
      <w:r>
        <w:rPr>
          <w:rFonts w:hint="eastAsia"/>
          <w:kern w:val="0"/>
        </w:rPr>
        <w:t>”</w:t>
      </w:r>
      <w:r>
        <w:rPr>
          <w:kern w:val="0"/>
        </w:rPr>
        <w:t>成果，积极申请实施兵团第一师特色林果业种植区</w:t>
      </w:r>
      <w:r>
        <w:rPr>
          <w:kern w:val="0"/>
        </w:rPr>
        <w:t>1</w:t>
      </w:r>
      <w:r>
        <w:rPr>
          <w:rFonts w:ascii="仿宋_GB2312" w:hAnsi="仿宋_GB2312" w:cs="仿宋_GB2312" w:hint="eastAsia"/>
          <w:sz w:val="28"/>
          <w:szCs w:val="28"/>
        </w:rPr>
        <w:t>∶</w:t>
      </w:r>
      <w:r>
        <w:rPr>
          <w:kern w:val="0"/>
        </w:rPr>
        <w:t>5</w:t>
      </w:r>
      <w:r>
        <w:rPr>
          <w:kern w:val="0"/>
        </w:rPr>
        <w:t>万土壤质量地球化学调查项目。调查面积</w:t>
      </w:r>
      <w:r>
        <w:rPr>
          <w:rFonts w:hint="eastAsia"/>
          <w:kern w:val="0"/>
        </w:rPr>
        <w:t>300</w:t>
      </w:r>
      <w:r>
        <w:rPr>
          <w:kern w:val="0"/>
        </w:rPr>
        <w:t>平方千米，圈定天然富硒土地范围，发展高附加值农产品。在特色林果业种植区查明富硒土地资源分布，并探讨富硒苹果、杏子产地环境专题，为打造特色农业品牌提供依据。</w:t>
      </w:r>
    </w:p>
    <w:p w14:paraId="63F52E20" w14:textId="45864CD8" w:rsidR="00107085" w:rsidRDefault="00000000">
      <w:pPr>
        <w:ind w:firstLine="643"/>
        <w:rPr>
          <w:kern w:val="0"/>
        </w:rPr>
      </w:pPr>
      <w:r>
        <w:rPr>
          <w:rFonts w:ascii="方正楷体_GBK" w:eastAsia="方正楷体_GBK" w:hint="eastAsia"/>
          <w:b/>
          <w:bCs/>
          <w:kern w:val="0"/>
        </w:rPr>
        <w:t>开展水文地质调查</w:t>
      </w:r>
      <w:r>
        <w:rPr>
          <w:b/>
          <w:bCs/>
          <w:kern w:val="0"/>
        </w:rPr>
        <w:t>。</w:t>
      </w:r>
      <w:bookmarkStart w:id="72" w:name="OLE_LINK9"/>
      <w:r>
        <w:rPr>
          <w:kern w:val="0"/>
        </w:rPr>
        <w:t>配合开展塔里木河流域等地下水资源调查，调查面积</w:t>
      </w:r>
      <w:r>
        <w:rPr>
          <w:rFonts w:hint="eastAsia"/>
          <w:kern w:val="0"/>
        </w:rPr>
        <w:t>600</w:t>
      </w:r>
      <w:r>
        <w:rPr>
          <w:kern w:val="0"/>
        </w:rPr>
        <w:t>平方千米</w:t>
      </w:r>
      <w:r>
        <w:t>。将</w:t>
      </w:r>
      <w:r>
        <w:rPr>
          <w:rFonts w:hint="eastAsia"/>
        </w:rPr>
        <w:t>推进实施</w:t>
      </w:r>
      <w:r>
        <w:rPr>
          <w:kern w:val="0"/>
        </w:rPr>
        <w:t>新</w:t>
      </w:r>
      <w:bookmarkStart w:id="73" w:name="OLE_LINK22"/>
      <w:r>
        <w:rPr>
          <w:kern w:val="0"/>
        </w:rPr>
        <w:t>疆</w:t>
      </w:r>
      <w:r>
        <w:rPr>
          <w:rFonts w:hint="eastAsia"/>
        </w:rPr>
        <w:t>第一师</w:t>
      </w:r>
      <w:r>
        <w:rPr>
          <w:kern w:val="0"/>
        </w:rPr>
        <w:t>阿拉尔市塔里木河流域</w:t>
      </w:r>
      <w:r>
        <w:rPr>
          <w:kern w:val="0"/>
        </w:rPr>
        <w:t>1</w:t>
      </w:r>
      <w:r>
        <w:rPr>
          <w:rFonts w:ascii="仿宋_GB2312" w:hAnsi="仿宋_GB2312" w:cs="仿宋_GB2312" w:hint="eastAsia"/>
          <w:sz w:val="28"/>
          <w:szCs w:val="28"/>
        </w:rPr>
        <w:t>∶</w:t>
      </w:r>
      <w:r>
        <w:rPr>
          <w:kern w:val="0"/>
        </w:rPr>
        <w:t>5</w:t>
      </w:r>
      <w:r>
        <w:rPr>
          <w:kern w:val="0"/>
        </w:rPr>
        <w:t>万水文地质环境地质调查项目</w:t>
      </w:r>
      <w:bookmarkEnd w:id="73"/>
      <w:r>
        <w:rPr>
          <w:kern w:val="0"/>
        </w:rPr>
        <w:t>，通过物探、钻探、抽水试验、数值模拟等手段，查明地下水补、径、排条件，评价地下水资源量和环境质量，并开展浅层地热能潜力评价</w:t>
      </w:r>
      <w:bookmarkEnd w:id="72"/>
      <w:r>
        <w:rPr>
          <w:rFonts w:hint="eastAsia"/>
          <w:kern w:val="0"/>
        </w:rPr>
        <w:t>，为后续矿产勘查和水工环调查提供基础支撑</w:t>
      </w:r>
      <w:r w:rsidR="00CA5FDE">
        <w:rPr>
          <w:rFonts w:hint="eastAsia"/>
          <w:kern w:val="0"/>
        </w:rPr>
        <w:t>。</w:t>
      </w:r>
    </w:p>
    <w:tbl>
      <w:tblPr>
        <w:tblW w:w="5000" w:type="pct"/>
        <w:tblLook w:val="04A0" w:firstRow="1" w:lastRow="0" w:firstColumn="1" w:lastColumn="0" w:noHBand="0" w:noVBand="1"/>
      </w:tblPr>
      <w:tblGrid>
        <w:gridCol w:w="711"/>
        <w:gridCol w:w="4086"/>
        <w:gridCol w:w="864"/>
        <w:gridCol w:w="1705"/>
        <w:gridCol w:w="1118"/>
      </w:tblGrid>
      <w:tr w:rsidR="00107085" w14:paraId="60F544F5" w14:textId="77777777">
        <w:trPr>
          <w:trHeight w:val="490"/>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1F1F1"/>
            <w:vAlign w:val="center"/>
          </w:tcPr>
          <w:p w14:paraId="4FF76547" w14:textId="77777777" w:rsidR="00107085" w:rsidRDefault="00000000">
            <w:pPr>
              <w:snapToGrid w:val="0"/>
              <w:spacing w:line="240" w:lineRule="auto"/>
              <w:ind w:firstLineChars="0" w:firstLine="0"/>
              <w:jc w:val="center"/>
              <w:rPr>
                <w:rFonts w:eastAsia="黑体"/>
                <w:b/>
                <w:bCs/>
                <w:sz w:val="21"/>
                <w:szCs w:val="21"/>
              </w:rPr>
            </w:pPr>
            <w:bookmarkStart w:id="74" w:name="OLE_LINK32"/>
            <w:r>
              <w:rPr>
                <w:rFonts w:eastAsia="黑体" w:hint="eastAsia"/>
                <w:b/>
                <w:bCs/>
                <w:sz w:val="21"/>
                <w:szCs w:val="21"/>
              </w:rPr>
              <w:t>专栏</w:t>
            </w:r>
            <w:r>
              <w:rPr>
                <w:rFonts w:eastAsia="黑体" w:hint="eastAsia"/>
                <w:b/>
                <w:bCs/>
                <w:sz w:val="21"/>
                <w:szCs w:val="21"/>
              </w:rPr>
              <w:t xml:space="preserve">5 </w:t>
            </w:r>
            <w:r>
              <w:rPr>
                <w:rFonts w:eastAsia="黑体"/>
                <w:b/>
                <w:bCs/>
                <w:sz w:val="21"/>
                <w:szCs w:val="21"/>
              </w:rPr>
              <w:t>阿拉尔市</w:t>
            </w:r>
            <w:r>
              <w:rPr>
                <w:rFonts w:eastAsia="黑体"/>
                <w:b/>
                <w:bCs/>
                <w:sz w:val="21"/>
                <w:szCs w:val="21"/>
              </w:rPr>
              <w:t>“</w:t>
            </w:r>
            <w:r>
              <w:rPr>
                <w:rFonts w:eastAsia="黑体"/>
                <w:b/>
                <w:bCs/>
                <w:sz w:val="21"/>
                <w:szCs w:val="21"/>
              </w:rPr>
              <w:t>十五五</w:t>
            </w:r>
            <w:r>
              <w:rPr>
                <w:rFonts w:eastAsia="黑体"/>
                <w:b/>
                <w:bCs/>
                <w:sz w:val="21"/>
                <w:szCs w:val="21"/>
              </w:rPr>
              <w:t>”</w:t>
            </w:r>
            <w:r>
              <w:rPr>
                <w:rFonts w:eastAsia="黑体"/>
                <w:b/>
                <w:bCs/>
                <w:sz w:val="21"/>
                <w:szCs w:val="21"/>
              </w:rPr>
              <w:t>期间重点项目</w:t>
            </w:r>
          </w:p>
        </w:tc>
      </w:tr>
      <w:tr w:rsidR="00107085" w14:paraId="71F9E417" w14:textId="77777777">
        <w:trPr>
          <w:trHeight w:val="370"/>
        </w:trPr>
        <w:tc>
          <w:tcPr>
            <w:tcW w:w="419" w:type="pct"/>
            <w:tcBorders>
              <w:top w:val="single" w:sz="8" w:space="0" w:color="000000"/>
              <w:left w:val="single" w:sz="8" w:space="0" w:color="000000"/>
              <w:bottom w:val="single" w:sz="8" w:space="0" w:color="000000"/>
              <w:right w:val="single" w:sz="8" w:space="0" w:color="000000"/>
            </w:tcBorders>
            <w:vAlign w:val="center"/>
          </w:tcPr>
          <w:p w14:paraId="3C6367FC" w14:textId="77777777" w:rsidR="00107085" w:rsidRDefault="00000000">
            <w:pPr>
              <w:snapToGrid w:val="0"/>
              <w:spacing w:line="240" w:lineRule="auto"/>
              <w:ind w:firstLineChars="0" w:firstLine="0"/>
              <w:jc w:val="center"/>
              <w:rPr>
                <w:rFonts w:eastAsia="黑体"/>
                <w:sz w:val="21"/>
                <w:szCs w:val="21"/>
              </w:rPr>
            </w:pPr>
            <w:r>
              <w:rPr>
                <w:rFonts w:eastAsia="黑体"/>
                <w:sz w:val="21"/>
                <w:szCs w:val="21"/>
              </w:rPr>
              <w:t>序号</w:t>
            </w:r>
          </w:p>
        </w:tc>
        <w:tc>
          <w:tcPr>
            <w:tcW w:w="2408" w:type="pct"/>
            <w:tcBorders>
              <w:top w:val="single" w:sz="8" w:space="0" w:color="000000"/>
              <w:left w:val="single" w:sz="8" w:space="0" w:color="000000"/>
              <w:bottom w:val="single" w:sz="8" w:space="0" w:color="000000"/>
              <w:right w:val="single" w:sz="8" w:space="0" w:color="000000"/>
            </w:tcBorders>
            <w:vAlign w:val="center"/>
          </w:tcPr>
          <w:p w14:paraId="4C99077C" w14:textId="77777777" w:rsidR="00107085" w:rsidRDefault="00000000">
            <w:pPr>
              <w:snapToGrid w:val="0"/>
              <w:spacing w:line="240" w:lineRule="auto"/>
              <w:ind w:firstLineChars="0" w:firstLine="0"/>
              <w:jc w:val="center"/>
              <w:rPr>
                <w:rFonts w:eastAsia="黑体"/>
                <w:sz w:val="21"/>
                <w:szCs w:val="21"/>
              </w:rPr>
            </w:pPr>
            <w:r>
              <w:rPr>
                <w:rFonts w:eastAsia="黑体"/>
                <w:sz w:val="21"/>
                <w:szCs w:val="21"/>
              </w:rPr>
              <w:t>项目名称</w:t>
            </w:r>
          </w:p>
        </w:tc>
        <w:tc>
          <w:tcPr>
            <w:tcW w:w="509" w:type="pct"/>
            <w:tcBorders>
              <w:top w:val="single" w:sz="8" w:space="0" w:color="000000"/>
              <w:left w:val="single" w:sz="8" w:space="0" w:color="000000"/>
              <w:bottom w:val="single" w:sz="8" w:space="0" w:color="000000"/>
              <w:right w:val="single" w:sz="8" w:space="0" w:color="000000"/>
            </w:tcBorders>
            <w:vAlign w:val="center"/>
          </w:tcPr>
          <w:p w14:paraId="25C11131" w14:textId="77777777" w:rsidR="00107085" w:rsidRDefault="00000000">
            <w:pPr>
              <w:snapToGrid w:val="0"/>
              <w:spacing w:line="240" w:lineRule="auto"/>
              <w:ind w:firstLineChars="0" w:firstLine="0"/>
              <w:jc w:val="center"/>
              <w:rPr>
                <w:rFonts w:eastAsia="黑体"/>
                <w:sz w:val="21"/>
                <w:szCs w:val="21"/>
              </w:rPr>
            </w:pPr>
            <w:r>
              <w:rPr>
                <w:rFonts w:eastAsia="黑体"/>
                <w:sz w:val="21"/>
                <w:szCs w:val="21"/>
              </w:rPr>
              <w:t>行政区</w:t>
            </w:r>
          </w:p>
        </w:tc>
        <w:tc>
          <w:tcPr>
            <w:tcW w:w="1005" w:type="pct"/>
            <w:tcBorders>
              <w:top w:val="single" w:sz="8" w:space="0" w:color="000000"/>
              <w:left w:val="single" w:sz="8" w:space="0" w:color="000000"/>
              <w:bottom w:val="single" w:sz="8" w:space="0" w:color="000000"/>
              <w:right w:val="single" w:sz="8" w:space="0" w:color="000000"/>
            </w:tcBorders>
            <w:vAlign w:val="center"/>
          </w:tcPr>
          <w:p w14:paraId="7ABD42EA" w14:textId="77777777" w:rsidR="00107085" w:rsidRDefault="00000000">
            <w:pPr>
              <w:snapToGrid w:val="0"/>
              <w:spacing w:line="240" w:lineRule="auto"/>
              <w:ind w:firstLineChars="0" w:firstLine="0"/>
              <w:jc w:val="center"/>
              <w:rPr>
                <w:rFonts w:eastAsia="黑体"/>
                <w:sz w:val="21"/>
                <w:szCs w:val="21"/>
              </w:rPr>
            </w:pPr>
            <w:r>
              <w:rPr>
                <w:rFonts w:eastAsia="黑体"/>
                <w:sz w:val="21"/>
                <w:szCs w:val="21"/>
              </w:rPr>
              <w:t>经费（万元）</w:t>
            </w:r>
          </w:p>
        </w:tc>
        <w:tc>
          <w:tcPr>
            <w:tcW w:w="659" w:type="pct"/>
            <w:tcBorders>
              <w:top w:val="single" w:sz="8" w:space="0" w:color="000000"/>
              <w:left w:val="single" w:sz="8" w:space="0" w:color="000000"/>
              <w:bottom w:val="single" w:sz="8" w:space="0" w:color="000000"/>
              <w:right w:val="single" w:sz="8" w:space="0" w:color="000000"/>
            </w:tcBorders>
            <w:vAlign w:val="center"/>
          </w:tcPr>
          <w:p w14:paraId="49BCFB1A" w14:textId="77777777" w:rsidR="00107085" w:rsidRDefault="00000000">
            <w:pPr>
              <w:snapToGrid w:val="0"/>
              <w:spacing w:line="240" w:lineRule="auto"/>
              <w:ind w:firstLineChars="0" w:firstLine="0"/>
              <w:jc w:val="center"/>
              <w:rPr>
                <w:rFonts w:eastAsia="黑体"/>
                <w:sz w:val="21"/>
                <w:szCs w:val="21"/>
              </w:rPr>
            </w:pPr>
            <w:r>
              <w:rPr>
                <w:rFonts w:eastAsia="黑体"/>
                <w:sz w:val="21"/>
                <w:szCs w:val="21"/>
              </w:rPr>
              <w:t>进度安排</w:t>
            </w:r>
          </w:p>
        </w:tc>
      </w:tr>
      <w:tr w:rsidR="00107085" w14:paraId="5D8C0AE3" w14:textId="77777777">
        <w:trPr>
          <w:trHeight w:val="700"/>
        </w:trPr>
        <w:tc>
          <w:tcPr>
            <w:tcW w:w="419" w:type="pct"/>
            <w:tcBorders>
              <w:top w:val="single" w:sz="8" w:space="0" w:color="000000"/>
              <w:left w:val="single" w:sz="8" w:space="0" w:color="000000"/>
              <w:bottom w:val="single" w:sz="8" w:space="0" w:color="000000"/>
              <w:right w:val="single" w:sz="8" w:space="0" w:color="000000"/>
            </w:tcBorders>
            <w:vAlign w:val="center"/>
          </w:tcPr>
          <w:p w14:paraId="1AB049C8" w14:textId="77777777" w:rsidR="00107085" w:rsidRDefault="00000000">
            <w:pPr>
              <w:snapToGrid w:val="0"/>
              <w:spacing w:line="240" w:lineRule="auto"/>
              <w:ind w:firstLineChars="0" w:firstLine="0"/>
              <w:jc w:val="center"/>
              <w:rPr>
                <w:rFonts w:eastAsia="黑体"/>
                <w:sz w:val="21"/>
                <w:szCs w:val="21"/>
              </w:rPr>
            </w:pPr>
            <w:r>
              <w:rPr>
                <w:rFonts w:eastAsia="黑体"/>
                <w:sz w:val="21"/>
                <w:szCs w:val="21"/>
              </w:rPr>
              <w:t>1</w:t>
            </w:r>
          </w:p>
        </w:tc>
        <w:tc>
          <w:tcPr>
            <w:tcW w:w="2408" w:type="pct"/>
            <w:tcBorders>
              <w:top w:val="single" w:sz="8" w:space="0" w:color="000000"/>
              <w:left w:val="single" w:sz="8" w:space="0" w:color="000000"/>
              <w:bottom w:val="single" w:sz="8" w:space="0" w:color="000000"/>
              <w:right w:val="single" w:sz="8" w:space="0" w:color="000000"/>
            </w:tcBorders>
            <w:vAlign w:val="center"/>
          </w:tcPr>
          <w:p w14:paraId="780B4835" w14:textId="77777777" w:rsidR="00107085" w:rsidRDefault="00000000">
            <w:pPr>
              <w:snapToGrid w:val="0"/>
              <w:spacing w:line="240" w:lineRule="auto"/>
              <w:ind w:firstLineChars="0" w:firstLine="0"/>
              <w:jc w:val="left"/>
              <w:rPr>
                <w:rFonts w:eastAsia="黑体"/>
                <w:sz w:val="21"/>
                <w:szCs w:val="21"/>
              </w:rPr>
            </w:pPr>
            <w:r>
              <w:rPr>
                <w:rFonts w:eastAsia="黑体"/>
                <w:sz w:val="21"/>
                <w:szCs w:val="21"/>
              </w:rPr>
              <w:t>新疆</w:t>
            </w:r>
            <w:r>
              <w:rPr>
                <w:rFonts w:eastAsia="黑体" w:hint="eastAsia"/>
                <w:sz w:val="21"/>
                <w:szCs w:val="21"/>
              </w:rPr>
              <w:t>第一师</w:t>
            </w:r>
            <w:r>
              <w:rPr>
                <w:rFonts w:eastAsia="黑体"/>
                <w:sz w:val="21"/>
                <w:szCs w:val="21"/>
              </w:rPr>
              <w:t>阿拉尔市塔里木河流域</w:t>
            </w:r>
            <w:r>
              <w:rPr>
                <w:rFonts w:eastAsia="黑体"/>
                <w:sz w:val="21"/>
                <w:szCs w:val="21"/>
              </w:rPr>
              <w:t>1</w:t>
            </w:r>
            <w:r>
              <w:rPr>
                <w:rFonts w:ascii="仿宋_GB2312" w:hAnsi="仿宋_GB2312" w:cs="仿宋_GB2312" w:hint="eastAsia"/>
                <w:sz w:val="21"/>
                <w:szCs w:val="21"/>
              </w:rPr>
              <w:t>∶</w:t>
            </w:r>
            <w:r>
              <w:rPr>
                <w:rFonts w:eastAsia="黑体"/>
                <w:sz w:val="21"/>
                <w:szCs w:val="21"/>
              </w:rPr>
              <w:t>5</w:t>
            </w:r>
            <w:r>
              <w:rPr>
                <w:rFonts w:eastAsia="黑体"/>
                <w:sz w:val="21"/>
                <w:szCs w:val="21"/>
              </w:rPr>
              <w:t>万水文地质环境地质调查项目</w:t>
            </w:r>
          </w:p>
        </w:tc>
        <w:tc>
          <w:tcPr>
            <w:tcW w:w="509" w:type="pct"/>
            <w:tcBorders>
              <w:top w:val="single" w:sz="8" w:space="0" w:color="000000"/>
              <w:left w:val="single" w:sz="8" w:space="0" w:color="000000"/>
              <w:bottom w:val="single" w:sz="8" w:space="0" w:color="000000"/>
              <w:right w:val="single" w:sz="8" w:space="0" w:color="000000"/>
            </w:tcBorders>
            <w:vAlign w:val="center"/>
          </w:tcPr>
          <w:p w14:paraId="63DE0F30" w14:textId="77777777" w:rsidR="00107085" w:rsidRDefault="00000000">
            <w:pPr>
              <w:snapToGrid w:val="0"/>
              <w:spacing w:line="240" w:lineRule="auto"/>
              <w:ind w:firstLineChars="0" w:firstLine="0"/>
              <w:jc w:val="center"/>
              <w:rPr>
                <w:rFonts w:eastAsia="黑体"/>
                <w:sz w:val="21"/>
                <w:szCs w:val="21"/>
              </w:rPr>
            </w:pPr>
            <w:r>
              <w:rPr>
                <w:rFonts w:eastAsia="黑体" w:hint="eastAsia"/>
                <w:sz w:val="21"/>
                <w:szCs w:val="21"/>
              </w:rPr>
              <w:t>第一师</w:t>
            </w:r>
            <w:r>
              <w:rPr>
                <w:rFonts w:eastAsia="黑体"/>
                <w:sz w:val="21"/>
                <w:szCs w:val="21"/>
              </w:rPr>
              <w:t>阿拉尔市</w:t>
            </w:r>
          </w:p>
        </w:tc>
        <w:tc>
          <w:tcPr>
            <w:tcW w:w="1005" w:type="pct"/>
            <w:tcBorders>
              <w:top w:val="single" w:sz="8" w:space="0" w:color="000000"/>
              <w:left w:val="single" w:sz="8" w:space="0" w:color="000000"/>
              <w:bottom w:val="single" w:sz="8" w:space="0" w:color="000000"/>
              <w:right w:val="single" w:sz="8" w:space="0" w:color="000000"/>
            </w:tcBorders>
            <w:vAlign w:val="center"/>
          </w:tcPr>
          <w:p w14:paraId="58F9A10B" w14:textId="77777777" w:rsidR="00107085" w:rsidRDefault="00000000">
            <w:pPr>
              <w:snapToGrid w:val="0"/>
              <w:spacing w:line="240" w:lineRule="auto"/>
              <w:ind w:firstLineChars="0" w:firstLine="0"/>
              <w:jc w:val="center"/>
              <w:rPr>
                <w:rFonts w:eastAsia="黑体"/>
                <w:sz w:val="21"/>
                <w:szCs w:val="21"/>
              </w:rPr>
            </w:pPr>
            <w:r>
              <w:rPr>
                <w:rFonts w:eastAsia="黑体"/>
                <w:sz w:val="21"/>
                <w:szCs w:val="21"/>
              </w:rPr>
              <w:t>493.87</w:t>
            </w:r>
          </w:p>
        </w:tc>
        <w:tc>
          <w:tcPr>
            <w:tcW w:w="659" w:type="pct"/>
            <w:tcBorders>
              <w:top w:val="single" w:sz="8" w:space="0" w:color="000000"/>
              <w:left w:val="single" w:sz="8" w:space="0" w:color="000000"/>
              <w:bottom w:val="single" w:sz="8" w:space="0" w:color="000000"/>
              <w:right w:val="single" w:sz="8" w:space="0" w:color="000000"/>
            </w:tcBorders>
            <w:vAlign w:val="center"/>
          </w:tcPr>
          <w:p w14:paraId="7BA3FF74" w14:textId="77777777" w:rsidR="00107085" w:rsidRDefault="00000000">
            <w:pPr>
              <w:snapToGrid w:val="0"/>
              <w:spacing w:line="240" w:lineRule="auto"/>
              <w:ind w:firstLineChars="0" w:firstLine="0"/>
              <w:jc w:val="center"/>
              <w:rPr>
                <w:rFonts w:eastAsia="黑体"/>
                <w:sz w:val="21"/>
                <w:szCs w:val="21"/>
              </w:rPr>
            </w:pPr>
            <w:r>
              <w:rPr>
                <w:rFonts w:eastAsia="黑体"/>
                <w:sz w:val="21"/>
                <w:szCs w:val="21"/>
              </w:rPr>
              <w:t>202</w:t>
            </w:r>
            <w:r>
              <w:rPr>
                <w:rFonts w:eastAsia="黑体" w:hint="eastAsia"/>
                <w:sz w:val="21"/>
                <w:szCs w:val="21"/>
              </w:rPr>
              <w:t>7</w:t>
            </w:r>
          </w:p>
        </w:tc>
      </w:tr>
      <w:tr w:rsidR="00107085" w14:paraId="55FA9BEA" w14:textId="77777777">
        <w:trPr>
          <w:trHeight w:val="700"/>
        </w:trPr>
        <w:tc>
          <w:tcPr>
            <w:tcW w:w="419" w:type="pct"/>
            <w:tcBorders>
              <w:top w:val="single" w:sz="8" w:space="0" w:color="000000"/>
              <w:left w:val="single" w:sz="8" w:space="0" w:color="000000"/>
              <w:bottom w:val="single" w:sz="8" w:space="0" w:color="000000"/>
              <w:right w:val="single" w:sz="8" w:space="0" w:color="000000"/>
            </w:tcBorders>
            <w:vAlign w:val="center"/>
          </w:tcPr>
          <w:p w14:paraId="608A8925" w14:textId="77777777" w:rsidR="00107085" w:rsidRDefault="00000000">
            <w:pPr>
              <w:snapToGrid w:val="0"/>
              <w:spacing w:line="240" w:lineRule="auto"/>
              <w:ind w:firstLineChars="0" w:firstLine="0"/>
              <w:jc w:val="center"/>
              <w:rPr>
                <w:rFonts w:eastAsia="黑体"/>
                <w:sz w:val="21"/>
                <w:szCs w:val="21"/>
              </w:rPr>
            </w:pPr>
            <w:r>
              <w:rPr>
                <w:rFonts w:eastAsia="黑体"/>
                <w:sz w:val="21"/>
                <w:szCs w:val="21"/>
              </w:rPr>
              <w:t>2</w:t>
            </w:r>
          </w:p>
        </w:tc>
        <w:tc>
          <w:tcPr>
            <w:tcW w:w="2408" w:type="pct"/>
            <w:tcBorders>
              <w:top w:val="single" w:sz="8" w:space="0" w:color="000000"/>
              <w:left w:val="single" w:sz="8" w:space="0" w:color="000000"/>
              <w:bottom w:val="single" w:sz="8" w:space="0" w:color="000000"/>
              <w:right w:val="single" w:sz="8" w:space="0" w:color="000000"/>
            </w:tcBorders>
            <w:vAlign w:val="center"/>
          </w:tcPr>
          <w:p w14:paraId="3DBC32BF" w14:textId="77777777" w:rsidR="00107085" w:rsidRDefault="00000000">
            <w:pPr>
              <w:snapToGrid w:val="0"/>
              <w:spacing w:line="240" w:lineRule="auto"/>
              <w:ind w:firstLineChars="0" w:firstLine="0"/>
              <w:jc w:val="left"/>
              <w:rPr>
                <w:rFonts w:eastAsia="黑体"/>
                <w:sz w:val="21"/>
                <w:szCs w:val="21"/>
              </w:rPr>
            </w:pPr>
            <w:r>
              <w:rPr>
                <w:rFonts w:eastAsia="黑体"/>
                <w:sz w:val="21"/>
                <w:szCs w:val="21"/>
              </w:rPr>
              <w:t>兵团第一师特色林果业种植区</w:t>
            </w:r>
            <w:r>
              <w:rPr>
                <w:rFonts w:eastAsia="黑体"/>
                <w:sz w:val="21"/>
                <w:szCs w:val="21"/>
              </w:rPr>
              <w:t>1</w:t>
            </w:r>
            <w:r>
              <w:rPr>
                <w:rFonts w:ascii="仿宋_GB2312" w:hAnsi="仿宋_GB2312" w:cs="仿宋_GB2312" w:hint="eastAsia"/>
                <w:sz w:val="21"/>
                <w:szCs w:val="21"/>
              </w:rPr>
              <w:t>∶</w:t>
            </w:r>
            <w:r>
              <w:rPr>
                <w:rFonts w:eastAsia="黑体"/>
                <w:sz w:val="21"/>
                <w:szCs w:val="21"/>
              </w:rPr>
              <w:t>5</w:t>
            </w:r>
            <w:r>
              <w:rPr>
                <w:rFonts w:eastAsia="黑体"/>
                <w:sz w:val="21"/>
                <w:szCs w:val="21"/>
              </w:rPr>
              <w:t>万土壤质量地球化学调查</w:t>
            </w:r>
          </w:p>
        </w:tc>
        <w:tc>
          <w:tcPr>
            <w:tcW w:w="509" w:type="pct"/>
            <w:tcBorders>
              <w:top w:val="single" w:sz="8" w:space="0" w:color="000000"/>
              <w:left w:val="single" w:sz="8" w:space="0" w:color="000000"/>
              <w:bottom w:val="single" w:sz="8" w:space="0" w:color="000000"/>
              <w:right w:val="single" w:sz="8" w:space="0" w:color="000000"/>
            </w:tcBorders>
            <w:vAlign w:val="center"/>
          </w:tcPr>
          <w:p w14:paraId="77F3AF36" w14:textId="77777777" w:rsidR="00107085" w:rsidRDefault="00000000">
            <w:pPr>
              <w:snapToGrid w:val="0"/>
              <w:spacing w:line="240" w:lineRule="auto"/>
              <w:ind w:firstLineChars="0" w:firstLine="0"/>
              <w:jc w:val="center"/>
              <w:rPr>
                <w:rFonts w:eastAsia="黑体"/>
                <w:sz w:val="21"/>
                <w:szCs w:val="21"/>
              </w:rPr>
            </w:pPr>
            <w:r>
              <w:rPr>
                <w:rFonts w:eastAsia="黑体" w:hint="eastAsia"/>
                <w:sz w:val="21"/>
                <w:szCs w:val="21"/>
              </w:rPr>
              <w:t>第一师</w:t>
            </w:r>
            <w:r>
              <w:rPr>
                <w:rFonts w:eastAsia="黑体"/>
                <w:sz w:val="21"/>
                <w:szCs w:val="21"/>
              </w:rPr>
              <w:t>阿拉尔市</w:t>
            </w:r>
          </w:p>
        </w:tc>
        <w:tc>
          <w:tcPr>
            <w:tcW w:w="1005" w:type="pct"/>
            <w:tcBorders>
              <w:top w:val="single" w:sz="8" w:space="0" w:color="000000"/>
              <w:left w:val="single" w:sz="8" w:space="0" w:color="000000"/>
              <w:bottom w:val="single" w:sz="8" w:space="0" w:color="000000"/>
              <w:right w:val="single" w:sz="8" w:space="0" w:color="000000"/>
            </w:tcBorders>
            <w:vAlign w:val="center"/>
          </w:tcPr>
          <w:p w14:paraId="5A95A50C" w14:textId="77777777" w:rsidR="00107085" w:rsidRDefault="00000000">
            <w:pPr>
              <w:snapToGrid w:val="0"/>
              <w:spacing w:line="240" w:lineRule="auto"/>
              <w:ind w:firstLineChars="0" w:firstLine="0"/>
              <w:jc w:val="center"/>
              <w:rPr>
                <w:rFonts w:eastAsia="黑体"/>
                <w:sz w:val="21"/>
                <w:szCs w:val="21"/>
              </w:rPr>
            </w:pPr>
            <w:r>
              <w:rPr>
                <w:rFonts w:eastAsia="黑体"/>
                <w:sz w:val="21"/>
                <w:szCs w:val="21"/>
              </w:rPr>
              <w:t>671.81</w:t>
            </w:r>
          </w:p>
        </w:tc>
        <w:tc>
          <w:tcPr>
            <w:tcW w:w="659" w:type="pct"/>
            <w:tcBorders>
              <w:top w:val="single" w:sz="8" w:space="0" w:color="000000"/>
              <w:left w:val="single" w:sz="8" w:space="0" w:color="000000"/>
              <w:bottom w:val="single" w:sz="8" w:space="0" w:color="000000"/>
              <w:right w:val="single" w:sz="8" w:space="0" w:color="000000"/>
            </w:tcBorders>
            <w:vAlign w:val="center"/>
          </w:tcPr>
          <w:p w14:paraId="39E9B612" w14:textId="77777777" w:rsidR="00107085" w:rsidRDefault="00000000">
            <w:pPr>
              <w:snapToGrid w:val="0"/>
              <w:spacing w:line="240" w:lineRule="auto"/>
              <w:ind w:firstLineChars="0" w:firstLine="0"/>
              <w:jc w:val="center"/>
              <w:rPr>
                <w:rFonts w:eastAsia="黑体"/>
                <w:sz w:val="21"/>
                <w:szCs w:val="21"/>
              </w:rPr>
            </w:pPr>
            <w:r>
              <w:rPr>
                <w:rFonts w:eastAsia="黑体"/>
                <w:sz w:val="21"/>
                <w:szCs w:val="21"/>
              </w:rPr>
              <w:t>202</w:t>
            </w:r>
            <w:r>
              <w:rPr>
                <w:rFonts w:eastAsia="黑体" w:hint="eastAsia"/>
                <w:sz w:val="21"/>
                <w:szCs w:val="21"/>
              </w:rPr>
              <w:t>7</w:t>
            </w:r>
          </w:p>
        </w:tc>
      </w:tr>
    </w:tbl>
    <w:p w14:paraId="0A3C55E0"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75" w:name="_Toc227172384"/>
      <w:bookmarkStart w:id="76" w:name="_Toc237883264"/>
      <w:bookmarkEnd w:id="74"/>
      <w:r>
        <w:rPr>
          <w:rFonts w:ascii="Times New Roman" w:eastAsia="楷体" w:hAnsi="Times New Roman" w:cs="Times New Roman"/>
          <w:b w:val="0"/>
          <w:sz w:val="32"/>
          <w:szCs w:val="32"/>
        </w:rPr>
        <w:t>（二）</w:t>
      </w:r>
      <w:bookmarkEnd w:id="75"/>
      <w:r>
        <w:rPr>
          <w:rFonts w:ascii="Times New Roman" w:eastAsia="楷体" w:hAnsi="Times New Roman" w:cs="Times New Roman"/>
          <w:b w:val="0"/>
          <w:sz w:val="32"/>
          <w:szCs w:val="32"/>
        </w:rPr>
        <w:t>加强战略性矿产地质调查评价</w:t>
      </w:r>
      <w:bookmarkEnd w:id="76"/>
    </w:p>
    <w:p w14:paraId="47B71B23" w14:textId="77777777" w:rsidR="00107085" w:rsidRDefault="00000000">
      <w:pPr>
        <w:ind w:firstLine="640"/>
        <w:rPr>
          <w:kern w:val="0"/>
        </w:rPr>
      </w:pPr>
      <w:r>
        <w:t>全面落实新一轮找矿突破战略行动工作部署，紧紧围绕地区关于建设能源产业集聚区的发展定位，推进能源化工、建材冶金及</w:t>
      </w:r>
      <w:r>
        <w:rPr>
          <w:rFonts w:hint="eastAsia"/>
        </w:rPr>
        <w:t>战略性新兴产业</w:t>
      </w:r>
      <w:r>
        <w:t>集群建设，依托库车、沙雅、新和、拜城四县市重化工产业区</w:t>
      </w:r>
      <w:r>
        <w:rPr>
          <w:rFonts w:hint="eastAsia"/>
        </w:rPr>
        <w:t>打造</w:t>
      </w:r>
      <w:r>
        <w:t>重化工产业集</w:t>
      </w:r>
      <w:r>
        <w:rPr>
          <w:rFonts w:hint="eastAsia"/>
        </w:rPr>
        <w:t>群</w:t>
      </w:r>
      <w:r>
        <w:rPr>
          <w:kern w:val="0"/>
        </w:rPr>
        <w:t>。</w:t>
      </w:r>
    </w:p>
    <w:p w14:paraId="5698E05C" w14:textId="77777777" w:rsidR="00107085" w:rsidRDefault="00107085">
      <w:pPr>
        <w:ind w:firstLine="6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94"/>
      </w:tblGrid>
      <w:tr w:rsidR="00107085" w14:paraId="65607BDC" w14:textId="77777777">
        <w:trPr>
          <w:trHeight w:val="510"/>
        </w:trPr>
        <w:tc>
          <w:tcPr>
            <w:tcW w:w="5000" w:type="pct"/>
            <w:shd w:val="clear" w:color="auto" w:fill="F1F1F1"/>
            <w:vAlign w:val="center"/>
          </w:tcPr>
          <w:p w14:paraId="41E410AC" w14:textId="77777777" w:rsidR="00107085" w:rsidRDefault="00000000">
            <w:pPr>
              <w:spacing w:line="340" w:lineRule="exact"/>
              <w:ind w:firstLineChars="0" w:firstLine="0"/>
              <w:jc w:val="center"/>
              <w:rPr>
                <w:rFonts w:eastAsia="楷体"/>
                <w:b/>
                <w:bCs/>
                <w:sz w:val="21"/>
                <w:szCs w:val="21"/>
              </w:rPr>
            </w:pPr>
            <w:r>
              <w:rPr>
                <w:rFonts w:eastAsia="楷体"/>
                <w:b/>
                <w:bCs/>
                <w:sz w:val="21"/>
                <w:szCs w:val="21"/>
              </w:rPr>
              <w:lastRenderedPageBreak/>
              <w:t>专栏</w:t>
            </w:r>
            <w:r>
              <w:rPr>
                <w:rFonts w:eastAsia="楷体" w:hint="eastAsia"/>
                <w:b/>
                <w:bCs/>
                <w:sz w:val="21"/>
                <w:szCs w:val="21"/>
              </w:rPr>
              <w:t>6</w:t>
            </w:r>
            <w:r>
              <w:rPr>
                <w:rFonts w:eastAsia="楷体"/>
                <w:b/>
                <w:bCs/>
                <w:sz w:val="21"/>
                <w:szCs w:val="21"/>
              </w:rPr>
              <w:t xml:space="preserve">  </w:t>
            </w:r>
            <w:r>
              <w:rPr>
                <w:rFonts w:eastAsia="楷体"/>
                <w:b/>
                <w:bCs/>
                <w:sz w:val="21"/>
                <w:szCs w:val="21"/>
              </w:rPr>
              <w:t>矿产资源产业重点发展区域</w:t>
            </w:r>
          </w:p>
        </w:tc>
      </w:tr>
      <w:tr w:rsidR="00107085" w14:paraId="29E2F649" w14:textId="77777777">
        <w:tc>
          <w:tcPr>
            <w:tcW w:w="5000" w:type="pct"/>
          </w:tcPr>
          <w:p w14:paraId="417C9DE9" w14:textId="77777777" w:rsidR="00107085" w:rsidRDefault="00000000">
            <w:pPr>
              <w:spacing w:line="360" w:lineRule="exact"/>
              <w:ind w:firstLine="420"/>
              <w:rPr>
                <w:rFonts w:eastAsia="黑体"/>
                <w:sz w:val="21"/>
                <w:szCs w:val="21"/>
              </w:rPr>
            </w:pPr>
            <w:r>
              <w:rPr>
                <w:rFonts w:eastAsia="黑体"/>
                <w:sz w:val="21"/>
                <w:szCs w:val="21"/>
              </w:rPr>
              <w:t>库</w:t>
            </w:r>
            <w:r>
              <w:rPr>
                <w:rFonts w:eastAsia="黑体"/>
                <w:sz w:val="21"/>
                <w:szCs w:val="21"/>
              </w:rPr>
              <w:t>-</w:t>
            </w:r>
            <w:r>
              <w:rPr>
                <w:rFonts w:eastAsia="黑体"/>
                <w:sz w:val="21"/>
                <w:szCs w:val="21"/>
              </w:rPr>
              <w:t>沙</w:t>
            </w:r>
            <w:r>
              <w:rPr>
                <w:rFonts w:eastAsia="黑体"/>
                <w:sz w:val="21"/>
                <w:szCs w:val="21"/>
              </w:rPr>
              <w:t>-</w:t>
            </w:r>
            <w:r>
              <w:rPr>
                <w:rFonts w:eastAsia="黑体"/>
                <w:sz w:val="21"/>
                <w:szCs w:val="21"/>
              </w:rPr>
              <w:t>新</w:t>
            </w:r>
            <w:r>
              <w:rPr>
                <w:rFonts w:eastAsia="黑体"/>
                <w:sz w:val="21"/>
                <w:szCs w:val="21"/>
              </w:rPr>
              <w:t>-</w:t>
            </w:r>
            <w:r>
              <w:rPr>
                <w:rFonts w:eastAsia="黑体"/>
                <w:sz w:val="21"/>
                <w:szCs w:val="21"/>
              </w:rPr>
              <w:t>拜能源化工产业重点发展区</w:t>
            </w:r>
          </w:p>
          <w:p w14:paraId="64C2B834" w14:textId="77777777" w:rsidR="00107085" w:rsidRDefault="00000000">
            <w:pPr>
              <w:spacing w:line="360" w:lineRule="exact"/>
              <w:ind w:firstLine="420"/>
              <w:rPr>
                <w:rFonts w:eastAsia="宋体"/>
                <w:sz w:val="21"/>
                <w:szCs w:val="21"/>
              </w:rPr>
            </w:pPr>
            <w:r>
              <w:rPr>
                <w:rFonts w:eastAsia="宋体"/>
                <w:sz w:val="21"/>
                <w:szCs w:val="21"/>
              </w:rPr>
              <w:t>对以库车为中心的阿克苏东部地区，将库车、沙雅、新和、拜城四县市打造成一个以重化工产业为特色的大规模产业集群</w:t>
            </w:r>
            <w:r>
              <w:rPr>
                <w:rFonts w:eastAsia="宋体" w:hint="eastAsia"/>
                <w:sz w:val="21"/>
                <w:szCs w:val="21"/>
              </w:rPr>
              <w:t>区域</w:t>
            </w:r>
            <w:r>
              <w:rPr>
                <w:rFonts w:eastAsia="宋体"/>
                <w:sz w:val="21"/>
                <w:szCs w:val="21"/>
              </w:rPr>
              <w:t>。</w:t>
            </w:r>
          </w:p>
          <w:p w14:paraId="1D218473" w14:textId="77777777" w:rsidR="00107085" w:rsidRDefault="00000000">
            <w:pPr>
              <w:spacing w:line="360" w:lineRule="exact"/>
              <w:ind w:firstLine="420"/>
              <w:rPr>
                <w:rFonts w:eastAsia="宋体"/>
                <w:sz w:val="21"/>
                <w:szCs w:val="21"/>
              </w:rPr>
            </w:pPr>
            <w:r>
              <w:rPr>
                <w:rFonts w:eastAsia="宋体"/>
                <w:sz w:val="21"/>
                <w:szCs w:val="21"/>
              </w:rPr>
              <w:t>发展方向：石油天然气化工方面，以塔里木盆地拜城－库车油气能源资源基地和塔里木盆地塔河油气能源资源基地为依托，以石油石化深加工为重点，形成炼化一体化、烯烃芳烃精深加工、天然气精细加工，将国家级库车经济技术开发区着力打造百万吨乙烯生产和千万吨炼化一体化产业基地，助力沙雅、新和天然气中下游产业精深发展。</w:t>
            </w:r>
          </w:p>
        </w:tc>
      </w:tr>
    </w:tbl>
    <w:p w14:paraId="030F2571"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77" w:name="_Toc227172385"/>
      <w:bookmarkStart w:id="78" w:name="_Toc237883265"/>
      <w:r>
        <w:rPr>
          <w:rFonts w:ascii="Times New Roman" w:eastAsia="楷体" w:hAnsi="Times New Roman" w:cs="Times New Roman"/>
          <w:b w:val="0"/>
          <w:sz w:val="32"/>
          <w:szCs w:val="32"/>
        </w:rPr>
        <w:t>（三）</w:t>
      </w:r>
      <w:bookmarkEnd w:id="77"/>
      <w:r>
        <w:rPr>
          <w:rFonts w:ascii="Times New Roman" w:eastAsia="楷体" w:hAnsi="Times New Roman" w:cs="Times New Roman"/>
          <w:b w:val="0"/>
          <w:sz w:val="32"/>
          <w:szCs w:val="32"/>
        </w:rPr>
        <w:t>加强重点成矿区带优势矿产勘查</w:t>
      </w:r>
      <w:bookmarkEnd w:id="78"/>
    </w:p>
    <w:p w14:paraId="771C0822" w14:textId="77777777" w:rsidR="00107085" w:rsidRDefault="00000000">
      <w:pPr>
        <w:ind w:firstLine="640"/>
        <w:rPr>
          <w:bCs/>
          <w:kern w:val="0"/>
        </w:rPr>
      </w:pPr>
      <w:r>
        <w:rPr>
          <w:bCs/>
          <w:kern w:val="0"/>
        </w:rPr>
        <w:t>依据自然保护地管控要求，统筹考虑环境承载能力、矿产资源禀赋、产业布局等因素，在师市辖区成矿地质条件有利、找矿前景良好等具有资源潜力的区域，以油气为重点，划定重点勘查区，作为重点任务部署和各类资金投入的重点区域。</w:t>
      </w:r>
    </w:p>
    <w:p w14:paraId="09710761" w14:textId="77777777" w:rsidR="00107085" w:rsidRDefault="00000000">
      <w:pPr>
        <w:ind w:firstLine="640"/>
        <w:rPr>
          <w:kern w:val="0"/>
        </w:rPr>
      </w:pPr>
      <w:r>
        <w:rPr>
          <w:kern w:val="0"/>
        </w:rPr>
        <w:t>落实细化国家、自治区、兵团矿产资源规划在师市境内的国家能源资源基地、国家规划矿区、战略性矿产资源保护区、重点勘查区、重点开采区的部署。第一师</w:t>
      </w:r>
      <w:r>
        <w:rPr>
          <w:rFonts w:hint="eastAsia"/>
          <w:kern w:val="0"/>
        </w:rPr>
        <w:t>阿拉尔市</w:t>
      </w:r>
      <w:r>
        <w:rPr>
          <w:kern w:val="0"/>
        </w:rPr>
        <w:t>区域涉及国家能源资源基地有</w:t>
      </w:r>
      <w:r>
        <w:rPr>
          <w:kern w:val="0"/>
        </w:rPr>
        <w:t>1</w:t>
      </w:r>
      <w:r>
        <w:rPr>
          <w:kern w:val="0"/>
        </w:rPr>
        <w:t>个、涉及国家规划矿区有</w:t>
      </w:r>
      <w:r>
        <w:rPr>
          <w:kern w:val="0"/>
        </w:rPr>
        <w:t>2</w:t>
      </w:r>
      <w:r>
        <w:rPr>
          <w:kern w:val="0"/>
        </w:rPr>
        <w:t>个；涉及兵团矿产资源规划重点勘查区</w:t>
      </w:r>
      <w:r>
        <w:rPr>
          <w:kern w:val="0"/>
        </w:rPr>
        <w:t>1</w:t>
      </w:r>
      <w:r>
        <w:rPr>
          <w:kern w:val="0"/>
        </w:rPr>
        <w:t>个（专栏</w:t>
      </w:r>
      <w:r>
        <w:rPr>
          <w:rFonts w:hint="eastAsia"/>
          <w:kern w:val="0"/>
        </w:rPr>
        <w:t>6</w:t>
      </w:r>
      <w:r>
        <w:rPr>
          <w:kern w:val="0"/>
        </w:rPr>
        <w:t>）。针对师市以建筑用砂矿为主的实际情况，针对师市的实际情况，师市在上述国家级和兵团级大型油气、煤炭基地建设中的核心规划定位是</w:t>
      </w:r>
      <w:r>
        <w:rPr>
          <w:rFonts w:hint="eastAsia"/>
          <w:kern w:val="0"/>
        </w:rPr>
        <w:t>“</w:t>
      </w:r>
      <w:r>
        <w:rPr>
          <w:kern w:val="0"/>
        </w:rPr>
        <w:t>落实国家能源资源安全战略、配合推进能源资源基地和国家规划矿区建设</w:t>
      </w:r>
      <w:r>
        <w:rPr>
          <w:rFonts w:hint="eastAsia"/>
          <w:kern w:val="0"/>
        </w:rPr>
        <w:t>”</w:t>
      </w:r>
      <w:r>
        <w:rPr>
          <w:kern w:val="0"/>
        </w:rPr>
        <w:t>，具体落实如下</w:t>
      </w:r>
      <w:r>
        <w:rPr>
          <w:rFonts w:hint="eastAsia"/>
          <w:kern w:val="0"/>
        </w:rPr>
        <w:t>：</w:t>
      </w:r>
    </w:p>
    <w:p w14:paraId="5034C491" w14:textId="77777777" w:rsidR="00107085" w:rsidRDefault="00000000">
      <w:pPr>
        <w:ind w:firstLine="640"/>
        <w:rPr>
          <w:kern w:val="0"/>
        </w:rPr>
      </w:pPr>
      <w:r w:rsidRPr="00EA40E3">
        <w:rPr>
          <w:kern w:val="0"/>
        </w:rPr>
        <w:t>一是强化战略保障，配合推进深边部及外围勘查。</w:t>
      </w:r>
      <w:r>
        <w:rPr>
          <w:kern w:val="0"/>
        </w:rPr>
        <w:t xml:space="preserve"> </w:t>
      </w:r>
      <w:r>
        <w:rPr>
          <w:kern w:val="0"/>
        </w:rPr>
        <w:t>全力辅助推进塔里木盆地阿克苏－巴州、喀什－和田油气国家规划矿区及克拉苏</w:t>
      </w:r>
      <w:r>
        <w:rPr>
          <w:kern w:val="0"/>
        </w:rPr>
        <w:t>-</w:t>
      </w:r>
      <w:r>
        <w:rPr>
          <w:kern w:val="0"/>
        </w:rPr>
        <w:t>克拉</w:t>
      </w:r>
      <w:r>
        <w:rPr>
          <w:kern w:val="0"/>
        </w:rPr>
        <w:t>2</w:t>
      </w:r>
      <w:r>
        <w:rPr>
          <w:kern w:val="0"/>
        </w:rPr>
        <w:t>油气能源资源基地建设。依托师市</w:t>
      </w:r>
      <w:r>
        <w:rPr>
          <w:kern w:val="0"/>
        </w:rPr>
        <w:t>“</w:t>
      </w:r>
      <w:r>
        <w:rPr>
          <w:kern w:val="0"/>
        </w:rPr>
        <w:t>十五五</w:t>
      </w:r>
      <w:r>
        <w:rPr>
          <w:kern w:val="0"/>
        </w:rPr>
        <w:t>”</w:t>
      </w:r>
      <w:r>
        <w:rPr>
          <w:kern w:val="0"/>
        </w:rPr>
        <w:t>区域地质调查及深部地球物理调查项目，采用浅层地震剖</w:t>
      </w:r>
      <w:r>
        <w:rPr>
          <w:kern w:val="0"/>
        </w:rPr>
        <w:lastRenderedPageBreak/>
        <w:t>面、高精度磁法及重力测量等前沿探测手段，主动配合开展深边部接替资源勘查、加强矿区外围勘查，精准探测隐伏断裂与深部地质结构，为新一轮找矿突破与油气靶区优选提供实质性的基础地质数据支撑。在师市本级砂石土采矿权的设置上，主动避让并协调油气勘探开发的核心区域与输送管线走廊，切实保障国家战略矿产的勘查空间。</w:t>
      </w:r>
    </w:p>
    <w:p w14:paraId="1365CE96" w14:textId="77777777" w:rsidR="00107085" w:rsidRDefault="00000000">
      <w:pPr>
        <w:ind w:firstLine="640"/>
        <w:rPr>
          <w:kern w:val="0"/>
        </w:rPr>
      </w:pPr>
      <w:r>
        <w:rPr>
          <w:kern w:val="0"/>
        </w:rPr>
        <w:t>二是发挥实质性作用，强化属地空间与建材要素协同。积极配合落实兵团划定的</w:t>
      </w:r>
      <w:r>
        <w:rPr>
          <w:rFonts w:hint="eastAsia"/>
          <w:kern w:val="0"/>
        </w:rPr>
        <w:t>“</w:t>
      </w:r>
      <w:r>
        <w:rPr>
          <w:kern w:val="0"/>
        </w:rPr>
        <w:t>阿拉尔周缘油气重点勘查区</w:t>
      </w:r>
      <w:r>
        <w:rPr>
          <w:rFonts w:hint="eastAsia"/>
          <w:kern w:val="0"/>
        </w:rPr>
        <w:t>”</w:t>
      </w:r>
      <w:r>
        <w:rPr>
          <w:kern w:val="0"/>
        </w:rPr>
        <w:t>工作任务。充分发挥师市砂石资源的就近供给优势，为区域内大型油气勘探井场建设、管沟回填、道路铺设等基础设施提供优质、稳定的基础建材保障。同时，建立常态化对接与靠前服务机制，为上游大型能源企业在辖区内开展深层油气探采提供属地化的空间预留、管网走廊配置及后勤综合服务，全面提升服务国家能源基地建设的综合保障能力。</w:t>
      </w:r>
    </w:p>
    <w:p w14:paraId="43B31726" w14:textId="77777777" w:rsidR="00107085" w:rsidRDefault="00000000">
      <w:pPr>
        <w:ind w:firstLine="640"/>
        <w:rPr>
          <w:kern w:val="0"/>
        </w:rPr>
      </w:pPr>
      <w:r>
        <w:rPr>
          <w:kern w:val="0"/>
        </w:rPr>
        <w:t>三是承接产业下游延伸并鼓励资本参与。坚持前瞻性谋划与跨区域资源协同并重。针对师市辖区</w:t>
      </w:r>
      <w:r>
        <w:rPr>
          <w:rFonts w:hint="eastAsia"/>
          <w:kern w:val="0"/>
        </w:rPr>
        <w:t>“</w:t>
      </w:r>
      <w:r>
        <w:rPr>
          <w:kern w:val="0"/>
        </w:rPr>
        <w:t>油气全覆盖</w:t>
      </w:r>
      <w:r>
        <w:rPr>
          <w:rFonts w:hint="eastAsia"/>
          <w:kern w:val="0"/>
        </w:rPr>
        <w:t>”</w:t>
      </w:r>
      <w:r>
        <w:rPr>
          <w:kern w:val="0"/>
        </w:rPr>
        <w:t>的特征，积极谋划承接油气及煤层气开发带来的下游精细化工产业与经济效益。稳妥对接参与库拜煤田及周边区域焦煤、肥煤等特殊煤种勘查开发，重点依托兵地融合机制，引导上游勘查开采出的能源资源优先向库沙新拜等师市重点产业园输送。鼓励师市骨干企业以合资、参股等市场化方式，依法参与辖区及周边煤炭、常规油气资源的勘查开发，从资本与产业链双重维度提升师市在区域能源供应链中的实质性参与度。</w:t>
      </w:r>
    </w:p>
    <w:p w14:paraId="488BF1A8" w14:textId="77777777" w:rsidR="00107085" w:rsidRDefault="00107085">
      <w:pPr>
        <w:ind w:firstLine="640"/>
        <w:rPr>
          <w:kern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2"/>
        <w:gridCol w:w="1486"/>
        <w:gridCol w:w="642"/>
        <w:gridCol w:w="4227"/>
        <w:gridCol w:w="1276"/>
        <w:gridCol w:w="431"/>
      </w:tblGrid>
      <w:tr w:rsidR="00107085" w14:paraId="357E435A" w14:textId="77777777">
        <w:trPr>
          <w:trHeight w:val="465"/>
          <w:jc w:val="center"/>
        </w:trPr>
        <w:tc>
          <w:tcPr>
            <w:tcW w:w="5000" w:type="pct"/>
            <w:gridSpan w:val="6"/>
            <w:shd w:val="clear" w:color="auto" w:fill="F2F2F2" w:themeFill="background1" w:themeFillShade="F2"/>
            <w:vAlign w:val="center"/>
          </w:tcPr>
          <w:p w14:paraId="3BC2A69A" w14:textId="77777777" w:rsidR="00107085" w:rsidRDefault="00000000">
            <w:pPr>
              <w:spacing w:line="320" w:lineRule="exact"/>
              <w:ind w:firstLineChars="0" w:firstLine="0"/>
              <w:jc w:val="center"/>
              <w:rPr>
                <w:rFonts w:eastAsia="楷体"/>
                <w:sz w:val="21"/>
                <w:szCs w:val="21"/>
              </w:rPr>
            </w:pPr>
            <w:bookmarkStart w:id="79" w:name="OLE_LINK17"/>
            <w:r>
              <w:rPr>
                <w:rFonts w:eastAsia="楷体"/>
                <w:b/>
                <w:bCs/>
                <w:sz w:val="21"/>
                <w:szCs w:val="21"/>
              </w:rPr>
              <w:t>专栏</w:t>
            </w:r>
            <w:r>
              <w:rPr>
                <w:rFonts w:eastAsia="楷体" w:hint="eastAsia"/>
                <w:b/>
                <w:bCs/>
                <w:sz w:val="21"/>
                <w:szCs w:val="21"/>
              </w:rPr>
              <w:t>7</w:t>
            </w:r>
            <w:r>
              <w:rPr>
                <w:rFonts w:eastAsia="楷体"/>
                <w:b/>
                <w:bCs/>
                <w:sz w:val="21"/>
                <w:szCs w:val="21"/>
              </w:rPr>
              <w:t xml:space="preserve"> </w:t>
            </w:r>
            <w:bookmarkEnd w:id="79"/>
            <w:r>
              <w:rPr>
                <w:rFonts w:eastAsia="楷体"/>
                <w:b/>
                <w:bCs/>
                <w:sz w:val="21"/>
                <w:szCs w:val="21"/>
              </w:rPr>
              <w:t>第一师阿拉尔市涉及国家能源资源基地、国家规划矿区及兵团重点勘查区</w:t>
            </w:r>
          </w:p>
        </w:tc>
      </w:tr>
      <w:tr w:rsidR="00107085" w14:paraId="66953C4C" w14:textId="77777777">
        <w:trPr>
          <w:trHeight w:val="266"/>
          <w:jc w:val="center"/>
        </w:trPr>
        <w:tc>
          <w:tcPr>
            <w:tcW w:w="254" w:type="pct"/>
            <w:vAlign w:val="center"/>
          </w:tcPr>
          <w:p w14:paraId="47EAB2A1" w14:textId="77777777" w:rsidR="00107085" w:rsidRDefault="00000000">
            <w:pPr>
              <w:widowControl/>
              <w:spacing w:line="240" w:lineRule="auto"/>
              <w:ind w:firstLineChars="0" w:firstLine="0"/>
              <w:jc w:val="center"/>
              <w:rPr>
                <w:rFonts w:eastAsia="黑体"/>
                <w:sz w:val="21"/>
                <w:szCs w:val="21"/>
              </w:rPr>
            </w:pPr>
            <w:r>
              <w:rPr>
                <w:rFonts w:eastAsia="黑体"/>
                <w:sz w:val="21"/>
                <w:szCs w:val="21"/>
              </w:rPr>
              <w:t>序号</w:t>
            </w:r>
          </w:p>
        </w:tc>
        <w:tc>
          <w:tcPr>
            <w:tcW w:w="875" w:type="pct"/>
            <w:vAlign w:val="center"/>
          </w:tcPr>
          <w:p w14:paraId="11D3A9A6" w14:textId="77777777" w:rsidR="00107085" w:rsidRDefault="00000000">
            <w:pPr>
              <w:widowControl/>
              <w:spacing w:line="240" w:lineRule="auto"/>
              <w:ind w:firstLineChars="0" w:firstLine="0"/>
              <w:jc w:val="center"/>
              <w:rPr>
                <w:rFonts w:eastAsia="黑体"/>
                <w:sz w:val="21"/>
                <w:szCs w:val="21"/>
              </w:rPr>
            </w:pPr>
            <w:r>
              <w:rPr>
                <w:rFonts w:eastAsia="黑体"/>
                <w:sz w:val="21"/>
                <w:szCs w:val="21"/>
              </w:rPr>
              <w:t>类别</w:t>
            </w:r>
          </w:p>
        </w:tc>
        <w:tc>
          <w:tcPr>
            <w:tcW w:w="378" w:type="pct"/>
            <w:vAlign w:val="center"/>
          </w:tcPr>
          <w:p w14:paraId="00201302" w14:textId="77777777" w:rsidR="00107085" w:rsidRDefault="00000000">
            <w:pPr>
              <w:widowControl/>
              <w:spacing w:line="240" w:lineRule="auto"/>
              <w:ind w:firstLineChars="0" w:firstLine="0"/>
              <w:jc w:val="center"/>
              <w:rPr>
                <w:rFonts w:eastAsia="黑体"/>
                <w:sz w:val="21"/>
                <w:szCs w:val="21"/>
              </w:rPr>
            </w:pPr>
            <w:r>
              <w:rPr>
                <w:rFonts w:eastAsia="黑体"/>
                <w:sz w:val="21"/>
                <w:szCs w:val="21"/>
              </w:rPr>
              <w:t>矿种</w:t>
            </w:r>
          </w:p>
        </w:tc>
        <w:tc>
          <w:tcPr>
            <w:tcW w:w="2488" w:type="pct"/>
            <w:vAlign w:val="center"/>
          </w:tcPr>
          <w:p w14:paraId="6985F510" w14:textId="77777777" w:rsidR="00107085" w:rsidRDefault="00000000">
            <w:pPr>
              <w:widowControl/>
              <w:spacing w:line="240" w:lineRule="auto"/>
              <w:ind w:firstLineChars="0" w:firstLine="0"/>
              <w:jc w:val="center"/>
              <w:rPr>
                <w:rFonts w:eastAsia="黑体"/>
                <w:sz w:val="21"/>
                <w:szCs w:val="21"/>
              </w:rPr>
            </w:pPr>
            <w:r>
              <w:rPr>
                <w:rFonts w:eastAsia="黑体"/>
                <w:sz w:val="21"/>
                <w:szCs w:val="21"/>
              </w:rPr>
              <w:t>名称</w:t>
            </w:r>
          </w:p>
        </w:tc>
        <w:tc>
          <w:tcPr>
            <w:tcW w:w="751" w:type="pct"/>
            <w:vAlign w:val="center"/>
          </w:tcPr>
          <w:p w14:paraId="53174FA3" w14:textId="77777777" w:rsidR="00107085" w:rsidRDefault="00000000">
            <w:pPr>
              <w:widowControl/>
              <w:spacing w:line="240" w:lineRule="auto"/>
              <w:ind w:firstLineChars="0" w:firstLine="0"/>
              <w:jc w:val="center"/>
              <w:rPr>
                <w:rFonts w:eastAsia="黑体"/>
                <w:sz w:val="21"/>
                <w:szCs w:val="21"/>
              </w:rPr>
            </w:pPr>
            <w:r>
              <w:rPr>
                <w:rFonts w:eastAsia="黑体"/>
                <w:sz w:val="21"/>
                <w:szCs w:val="21"/>
              </w:rPr>
              <w:t>范围</w:t>
            </w:r>
          </w:p>
        </w:tc>
        <w:tc>
          <w:tcPr>
            <w:tcW w:w="254" w:type="pct"/>
            <w:vAlign w:val="center"/>
          </w:tcPr>
          <w:p w14:paraId="40570CDC" w14:textId="77777777" w:rsidR="00107085" w:rsidRDefault="00000000">
            <w:pPr>
              <w:widowControl/>
              <w:spacing w:line="240" w:lineRule="auto"/>
              <w:ind w:firstLineChars="0" w:firstLine="0"/>
              <w:jc w:val="center"/>
              <w:rPr>
                <w:rFonts w:eastAsia="黑体"/>
                <w:sz w:val="21"/>
                <w:szCs w:val="21"/>
              </w:rPr>
            </w:pPr>
            <w:r>
              <w:rPr>
                <w:rFonts w:eastAsia="黑体"/>
                <w:sz w:val="21"/>
                <w:szCs w:val="21"/>
              </w:rPr>
              <w:t>数量</w:t>
            </w:r>
          </w:p>
        </w:tc>
      </w:tr>
      <w:tr w:rsidR="00107085" w14:paraId="4BAD267C" w14:textId="77777777">
        <w:trPr>
          <w:trHeight w:val="266"/>
          <w:jc w:val="center"/>
        </w:trPr>
        <w:tc>
          <w:tcPr>
            <w:tcW w:w="254" w:type="pct"/>
            <w:vAlign w:val="center"/>
          </w:tcPr>
          <w:p w14:paraId="06370A6D"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1</w:t>
            </w:r>
          </w:p>
        </w:tc>
        <w:tc>
          <w:tcPr>
            <w:tcW w:w="875" w:type="pct"/>
            <w:vAlign w:val="center"/>
          </w:tcPr>
          <w:p w14:paraId="0897B0C6"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能源基地</w:t>
            </w:r>
          </w:p>
        </w:tc>
        <w:tc>
          <w:tcPr>
            <w:tcW w:w="378" w:type="pct"/>
            <w:vAlign w:val="center"/>
          </w:tcPr>
          <w:p w14:paraId="3E653FBF"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油气</w:t>
            </w:r>
          </w:p>
        </w:tc>
        <w:tc>
          <w:tcPr>
            <w:tcW w:w="2488" w:type="pct"/>
            <w:vAlign w:val="center"/>
          </w:tcPr>
          <w:p w14:paraId="4D4B557B" w14:textId="77777777" w:rsidR="00107085" w:rsidRDefault="00000000">
            <w:pPr>
              <w:widowControl/>
              <w:spacing w:line="240" w:lineRule="auto"/>
              <w:ind w:firstLineChars="0" w:firstLine="0"/>
              <w:jc w:val="center"/>
              <w:rPr>
                <w:rFonts w:eastAsia="宋体"/>
                <w:sz w:val="21"/>
                <w:szCs w:val="21"/>
              </w:rPr>
            </w:pPr>
            <w:bookmarkStart w:id="80" w:name="OLE_LINK61"/>
            <w:r>
              <w:rPr>
                <w:rFonts w:eastAsia="宋体"/>
                <w:sz w:val="21"/>
                <w:szCs w:val="21"/>
              </w:rPr>
              <w:t>塔里木盆地克拉苏</w:t>
            </w:r>
            <w:bookmarkEnd w:id="80"/>
            <w:r>
              <w:rPr>
                <w:rFonts w:eastAsia="宋体"/>
                <w:sz w:val="21"/>
                <w:szCs w:val="21"/>
              </w:rPr>
              <w:t>-</w:t>
            </w:r>
            <w:r>
              <w:rPr>
                <w:rFonts w:eastAsia="宋体"/>
                <w:sz w:val="21"/>
                <w:szCs w:val="21"/>
              </w:rPr>
              <w:t>克拉</w:t>
            </w:r>
            <w:r>
              <w:rPr>
                <w:rFonts w:eastAsia="宋体"/>
                <w:sz w:val="21"/>
                <w:szCs w:val="21"/>
              </w:rPr>
              <w:t>2</w:t>
            </w:r>
          </w:p>
        </w:tc>
        <w:tc>
          <w:tcPr>
            <w:tcW w:w="751" w:type="pct"/>
            <w:vAlign w:val="center"/>
          </w:tcPr>
          <w:p w14:paraId="5E1B3A61"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师市区域涉及</w:t>
            </w:r>
          </w:p>
        </w:tc>
        <w:tc>
          <w:tcPr>
            <w:tcW w:w="254" w:type="pct"/>
            <w:vAlign w:val="center"/>
          </w:tcPr>
          <w:p w14:paraId="559B8E41"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1</w:t>
            </w:r>
          </w:p>
        </w:tc>
      </w:tr>
      <w:tr w:rsidR="00107085" w14:paraId="097CC1F2" w14:textId="77777777">
        <w:trPr>
          <w:trHeight w:val="266"/>
          <w:jc w:val="center"/>
        </w:trPr>
        <w:tc>
          <w:tcPr>
            <w:tcW w:w="254" w:type="pct"/>
            <w:vAlign w:val="center"/>
          </w:tcPr>
          <w:p w14:paraId="4CAA38D7"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2</w:t>
            </w:r>
          </w:p>
        </w:tc>
        <w:tc>
          <w:tcPr>
            <w:tcW w:w="875" w:type="pct"/>
            <w:vMerge w:val="restart"/>
            <w:vAlign w:val="center"/>
          </w:tcPr>
          <w:p w14:paraId="3953691F"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国家规划矿区</w:t>
            </w:r>
          </w:p>
        </w:tc>
        <w:tc>
          <w:tcPr>
            <w:tcW w:w="378" w:type="pct"/>
            <w:vMerge w:val="restart"/>
            <w:vAlign w:val="center"/>
          </w:tcPr>
          <w:p w14:paraId="4FF49C02"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油气</w:t>
            </w:r>
          </w:p>
        </w:tc>
        <w:tc>
          <w:tcPr>
            <w:tcW w:w="2488" w:type="pct"/>
            <w:vAlign w:val="center"/>
          </w:tcPr>
          <w:p w14:paraId="7611D915"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塔里木盆地阿克苏</w:t>
            </w:r>
            <w:r>
              <w:rPr>
                <w:rFonts w:eastAsia="宋体" w:hint="eastAsia"/>
                <w:sz w:val="21"/>
                <w:szCs w:val="21"/>
              </w:rPr>
              <w:t>－</w:t>
            </w:r>
            <w:r>
              <w:rPr>
                <w:rFonts w:eastAsia="宋体"/>
                <w:sz w:val="21"/>
                <w:szCs w:val="21"/>
              </w:rPr>
              <w:t>巴州</w:t>
            </w:r>
          </w:p>
        </w:tc>
        <w:tc>
          <w:tcPr>
            <w:tcW w:w="751" w:type="pct"/>
            <w:vAlign w:val="center"/>
          </w:tcPr>
          <w:p w14:paraId="25C1EB19"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师市区域涉及</w:t>
            </w:r>
          </w:p>
        </w:tc>
        <w:tc>
          <w:tcPr>
            <w:tcW w:w="254" w:type="pct"/>
            <w:vMerge w:val="restart"/>
            <w:vAlign w:val="center"/>
          </w:tcPr>
          <w:p w14:paraId="1B64EA49"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2</w:t>
            </w:r>
          </w:p>
        </w:tc>
      </w:tr>
      <w:tr w:rsidR="00107085" w14:paraId="4CBA70A4" w14:textId="77777777">
        <w:trPr>
          <w:trHeight w:val="266"/>
          <w:jc w:val="center"/>
        </w:trPr>
        <w:tc>
          <w:tcPr>
            <w:tcW w:w="254" w:type="pct"/>
            <w:vAlign w:val="center"/>
          </w:tcPr>
          <w:p w14:paraId="12292913"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3</w:t>
            </w:r>
          </w:p>
        </w:tc>
        <w:tc>
          <w:tcPr>
            <w:tcW w:w="875" w:type="pct"/>
            <w:vMerge/>
            <w:vAlign w:val="center"/>
          </w:tcPr>
          <w:p w14:paraId="50196E4E" w14:textId="77777777" w:rsidR="00107085" w:rsidRDefault="00107085">
            <w:pPr>
              <w:widowControl/>
              <w:spacing w:line="240" w:lineRule="auto"/>
              <w:ind w:firstLineChars="0" w:firstLine="0"/>
              <w:jc w:val="center"/>
              <w:rPr>
                <w:rFonts w:eastAsia="宋体"/>
                <w:sz w:val="21"/>
                <w:szCs w:val="21"/>
              </w:rPr>
            </w:pPr>
          </w:p>
        </w:tc>
        <w:tc>
          <w:tcPr>
            <w:tcW w:w="378" w:type="pct"/>
            <w:vMerge/>
            <w:vAlign w:val="center"/>
          </w:tcPr>
          <w:p w14:paraId="7AA98D36" w14:textId="77777777" w:rsidR="00107085" w:rsidRDefault="00107085">
            <w:pPr>
              <w:widowControl/>
              <w:spacing w:line="240" w:lineRule="auto"/>
              <w:ind w:firstLineChars="0" w:firstLine="0"/>
              <w:jc w:val="center"/>
              <w:rPr>
                <w:rFonts w:eastAsia="宋体"/>
                <w:sz w:val="21"/>
                <w:szCs w:val="21"/>
              </w:rPr>
            </w:pPr>
          </w:p>
        </w:tc>
        <w:tc>
          <w:tcPr>
            <w:tcW w:w="2488" w:type="pct"/>
            <w:vAlign w:val="center"/>
          </w:tcPr>
          <w:p w14:paraId="559B3984"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塔里木盆地喀什</w:t>
            </w:r>
            <w:r>
              <w:rPr>
                <w:rFonts w:eastAsia="宋体"/>
                <w:sz w:val="21"/>
                <w:szCs w:val="21"/>
              </w:rPr>
              <w:t>-</w:t>
            </w:r>
            <w:r>
              <w:rPr>
                <w:rFonts w:eastAsia="宋体"/>
                <w:sz w:val="21"/>
                <w:szCs w:val="21"/>
              </w:rPr>
              <w:t>和田</w:t>
            </w:r>
          </w:p>
        </w:tc>
        <w:tc>
          <w:tcPr>
            <w:tcW w:w="751" w:type="pct"/>
            <w:vAlign w:val="center"/>
          </w:tcPr>
          <w:p w14:paraId="3EFA622E"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师市区域涉及</w:t>
            </w:r>
          </w:p>
        </w:tc>
        <w:tc>
          <w:tcPr>
            <w:tcW w:w="254" w:type="pct"/>
            <w:vMerge/>
            <w:vAlign w:val="center"/>
          </w:tcPr>
          <w:p w14:paraId="269567C3" w14:textId="77777777" w:rsidR="00107085" w:rsidRDefault="00107085">
            <w:pPr>
              <w:widowControl/>
              <w:spacing w:line="240" w:lineRule="auto"/>
              <w:ind w:firstLineChars="0" w:firstLine="0"/>
              <w:jc w:val="center"/>
              <w:rPr>
                <w:rFonts w:eastAsia="宋体"/>
                <w:sz w:val="21"/>
                <w:szCs w:val="21"/>
              </w:rPr>
            </w:pPr>
          </w:p>
        </w:tc>
      </w:tr>
      <w:tr w:rsidR="00107085" w14:paraId="68F64676" w14:textId="77777777">
        <w:trPr>
          <w:trHeight w:val="266"/>
          <w:jc w:val="center"/>
        </w:trPr>
        <w:tc>
          <w:tcPr>
            <w:tcW w:w="254" w:type="pct"/>
            <w:vAlign w:val="center"/>
          </w:tcPr>
          <w:p w14:paraId="27802463" w14:textId="77777777" w:rsidR="00107085" w:rsidRDefault="00000000">
            <w:pPr>
              <w:widowControl/>
              <w:spacing w:line="240" w:lineRule="auto"/>
              <w:ind w:firstLineChars="0" w:firstLine="0"/>
              <w:jc w:val="center"/>
              <w:rPr>
                <w:rFonts w:eastAsia="宋体"/>
                <w:sz w:val="21"/>
                <w:szCs w:val="21"/>
              </w:rPr>
            </w:pPr>
            <w:bookmarkStart w:id="81" w:name="_Hlk232033671"/>
            <w:r>
              <w:rPr>
                <w:rFonts w:eastAsia="宋体"/>
                <w:sz w:val="21"/>
                <w:szCs w:val="21"/>
              </w:rPr>
              <w:t>4</w:t>
            </w:r>
          </w:p>
        </w:tc>
        <w:tc>
          <w:tcPr>
            <w:tcW w:w="875" w:type="pct"/>
            <w:vAlign w:val="center"/>
          </w:tcPr>
          <w:p w14:paraId="7A00B783"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兵团重点勘查区</w:t>
            </w:r>
          </w:p>
        </w:tc>
        <w:tc>
          <w:tcPr>
            <w:tcW w:w="378" w:type="pct"/>
            <w:vAlign w:val="center"/>
          </w:tcPr>
          <w:p w14:paraId="088D1CB9"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非金属</w:t>
            </w:r>
          </w:p>
        </w:tc>
        <w:tc>
          <w:tcPr>
            <w:tcW w:w="2488" w:type="pct"/>
            <w:vAlign w:val="center"/>
          </w:tcPr>
          <w:p w14:paraId="289389B3"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环塔里木南疆师市能源非金属矿产勘查开发区</w:t>
            </w:r>
          </w:p>
        </w:tc>
        <w:tc>
          <w:tcPr>
            <w:tcW w:w="751" w:type="pct"/>
            <w:vAlign w:val="center"/>
          </w:tcPr>
          <w:p w14:paraId="3F165D1D"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师市区域涉及</w:t>
            </w:r>
          </w:p>
        </w:tc>
        <w:tc>
          <w:tcPr>
            <w:tcW w:w="254" w:type="pct"/>
            <w:vAlign w:val="center"/>
          </w:tcPr>
          <w:p w14:paraId="57FEE724"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1</w:t>
            </w:r>
          </w:p>
        </w:tc>
      </w:tr>
    </w:tbl>
    <w:p w14:paraId="4AFA1CC5"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82" w:name="_Toc237883266"/>
      <w:bookmarkEnd w:id="81"/>
      <w:r>
        <w:rPr>
          <w:rFonts w:ascii="Times New Roman" w:eastAsia="楷体" w:hAnsi="Times New Roman" w:cs="Times New Roman"/>
          <w:b w:val="0"/>
          <w:sz w:val="32"/>
          <w:szCs w:val="32"/>
        </w:rPr>
        <w:t>（四）严格勘查区块管理</w:t>
      </w:r>
      <w:bookmarkEnd w:id="82"/>
    </w:p>
    <w:p w14:paraId="782E8DBA" w14:textId="77777777" w:rsidR="00107085" w:rsidRDefault="00000000">
      <w:pPr>
        <w:ind w:firstLine="640"/>
        <w:rPr>
          <w:kern w:val="0"/>
        </w:rPr>
        <w:sectPr w:rsidR="00107085" w:rsidSect="00BA67C6">
          <w:pgSz w:w="11906" w:h="16838"/>
          <w:pgMar w:top="1701" w:right="1701" w:bottom="1701" w:left="1701" w:header="851" w:footer="851" w:gutter="0"/>
          <w:pgNumType w:start="22"/>
          <w:cols w:space="425"/>
          <w:docGrid w:type="lines" w:linePitch="560"/>
        </w:sectPr>
      </w:pPr>
      <w:r>
        <w:rPr>
          <w:kern w:val="0"/>
        </w:rPr>
        <w:t>综合考虑矿产资源赋存特点、勘查程度等因素，在严格遵守</w:t>
      </w:r>
      <w:r>
        <w:rPr>
          <w:rFonts w:hint="eastAsia"/>
          <w:kern w:val="0"/>
        </w:rPr>
        <w:t>“</w:t>
      </w:r>
      <w:r>
        <w:rPr>
          <w:kern w:val="0"/>
        </w:rPr>
        <w:t>三条控制线</w:t>
      </w:r>
      <w:r>
        <w:rPr>
          <w:rFonts w:hint="eastAsia"/>
          <w:kern w:val="0"/>
        </w:rPr>
        <w:t>”</w:t>
      </w:r>
      <w:r>
        <w:rPr>
          <w:kern w:val="0"/>
        </w:rPr>
        <w:t>管控规则前提下，一个勘查规划区块原则上只设置一个勘查项目，只有一个勘查主体。勘查规划区块投放应明确时序安排，推动有序勘查。对因国家或兵团重大产业政策或重大建设项目调整、重大勘查发现等确需新增或调整的勘查规划区块，可依据相关程序办理。</w:t>
      </w:r>
    </w:p>
    <w:p w14:paraId="2D000272" w14:textId="77777777" w:rsidR="00107085" w:rsidRDefault="00000000">
      <w:pPr>
        <w:ind w:firstLine="640"/>
        <w:rPr>
          <w:kern w:val="0"/>
        </w:rPr>
      </w:pPr>
      <w:r>
        <w:rPr>
          <w:kern w:val="0"/>
        </w:rPr>
        <w:br w:type="page"/>
      </w:r>
    </w:p>
    <w:p w14:paraId="746A9C36" w14:textId="77777777" w:rsidR="00107085" w:rsidRDefault="00000000">
      <w:pPr>
        <w:pStyle w:val="1"/>
        <w:keepLines w:val="0"/>
        <w:spacing w:beforeLines="0" w:before="0" w:afterLines="0" w:after="0"/>
        <w:ind w:firstLineChars="200" w:firstLine="640"/>
        <w:jc w:val="both"/>
        <w:rPr>
          <w:rFonts w:ascii="Times New Roman" w:eastAsia="黑体" w:hAnsi="Times New Roman"/>
          <w:b w:val="0"/>
          <w:sz w:val="32"/>
          <w:szCs w:val="32"/>
        </w:rPr>
      </w:pPr>
      <w:bookmarkStart w:id="83" w:name="_Toc227172386"/>
      <w:bookmarkStart w:id="84" w:name="_Toc237883267"/>
      <w:r>
        <w:rPr>
          <w:rFonts w:ascii="Times New Roman" w:eastAsia="黑体" w:hAnsi="Times New Roman"/>
          <w:b w:val="0"/>
          <w:sz w:val="32"/>
          <w:szCs w:val="32"/>
        </w:rPr>
        <w:lastRenderedPageBreak/>
        <w:t>五、</w:t>
      </w:r>
      <w:bookmarkEnd w:id="83"/>
      <w:r>
        <w:rPr>
          <w:rFonts w:ascii="Times New Roman" w:eastAsia="黑体" w:hAnsi="Times New Roman"/>
          <w:b w:val="0"/>
          <w:sz w:val="32"/>
          <w:szCs w:val="32"/>
        </w:rPr>
        <w:t>统筹空间总体布局，优化矿产资源开发格局</w:t>
      </w:r>
      <w:bookmarkEnd w:id="84"/>
    </w:p>
    <w:p w14:paraId="38F7CACA" w14:textId="77777777" w:rsidR="00107085" w:rsidRDefault="00000000">
      <w:pPr>
        <w:ind w:firstLine="640"/>
        <w:outlineLvl w:val="1"/>
        <w:rPr>
          <w:rFonts w:eastAsia="楷体"/>
        </w:rPr>
      </w:pPr>
      <w:bookmarkStart w:id="85" w:name="_Toc212202666"/>
      <w:bookmarkStart w:id="86" w:name="_Toc227172387"/>
      <w:bookmarkStart w:id="87" w:name="_Toc237883268"/>
      <w:bookmarkStart w:id="88" w:name="_Toc472345090"/>
      <w:bookmarkStart w:id="89" w:name="_Toc472344898"/>
      <w:r>
        <w:rPr>
          <w:rFonts w:eastAsia="楷体"/>
        </w:rPr>
        <w:t>（一）</w:t>
      </w:r>
      <w:bookmarkEnd w:id="85"/>
      <w:bookmarkEnd w:id="86"/>
      <w:r>
        <w:rPr>
          <w:rFonts w:eastAsia="楷体"/>
        </w:rPr>
        <w:t>统筹矿产资源勘查开发总体布局</w:t>
      </w:r>
      <w:bookmarkEnd w:id="87"/>
    </w:p>
    <w:p w14:paraId="152B74F0" w14:textId="77777777" w:rsidR="00107085" w:rsidRDefault="00000000">
      <w:pPr>
        <w:ind w:firstLine="640"/>
        <w:rPr>
          <w:kern w:val="0"/>
        </w:rPr>
      </w:pPr>
      <w:r>
        <w:rPr>
          <w:kern w:val="0"/>
        </w:rPr>
        <w:t>严格落实国土空间底线管控。本《规划》全面贯彻落实《新疆维吾尔自治区国土空间规划（</w:t>
      </w:r>
      <w:r>
        <w:rPr>
          <w:kern w:val="0"/>
        </w:rPr>
        <w:t>2021—2035</w:t>
      </w:r>
      <w:r>
        <w:rPr>
          <w:kern w:val="0"/>
        </w:rPr>
        <w:t>年）》和《新疆生产建设兵团国土空间规划（</w:t>
      </w:r>
      <w:r>
        <w:rPr>
          <w:kern w:val="0"/>
        </w:rPr>
        <w:t>2021—2035</w:t>
      </w:r>
      <w:r>
        <w:rPr>
          <w:kern w:val="0"/>
        </w:rPr>
        <w:t>年）》的总体部署与空间管控要求。在空间布局上，本《规划》划定的各类勘查规划区块、开采规划区块及矿业权设置方案，均严格落实生态保护红线、永久基本农田、城镇开发边界等</w:t>
      </w:r>
      <w:r>
        <w:rPr>
          <w:rFonts w:hint="eastAsia"/>
          <w:kern w:val="0"/>
        </w:rPr>
        <w:t>“</w:t>
      </w:r>
      <w:r>
        <w:rPr>
          <w:kern w:val="0"/>
        </w:rPr>
        <w:t>三区三线</w:t>
      </w:r>
      <w:r>
        <w:rPr>
          <w:rFonts w:hint="eastAsia"/>
          <w:kern w:val="0"/>
        </w:rPr>
        <w:t>”</w:t>
      </w:r>
      <w:r>
        <w:rPr>
          <w:kern w:val="0"/>
        </w:rPr>
        <w:t>管控规则，强化空间底线约束。本市行政区域内凡涉及矿产资源勘查、开发利用与保护的相关行业及专项规划，应当与本《规划》及上位国土空间规划做好统筹衔接，确保空间布局的一致性与管控要求的合规性。</w:t>
      </w:r>
    </w:p>
    <w:p w14:paraId="3F31CE97" w14:textId="77777777" w:rsidR="00107085" w:rsidRDefault="00000000">
      <w:pPr>
        <w:ind w:firstLine="640"/>
        <w:rPr>
          <w:kern w:val="0"/>
        </w:rPr>
      </w:pPr>
      <w:r>
        <w:rPr>
          <w:kern w:val="0"/>
        </w:rPr>
        <w:t>全面优化勘查开发空间格局。全面落实区域发展总体战略和生态保护战略，严格师市辖区内矿产资源勘查开发与保护空间布局管控，统筹生态安全与资源开发相协调，划分出环塔里木盆地周缘南疆师市油气</w:t>
      </w:r>
      <w:r>
        <w:rPr>
          <w:kern w:val="0"/>
        </w:rPr>
        <w:t>—</w:t>
      </w:r>
      <w:r>
        <w:rPr>
          <w:kern w:val="0"/>
        </w:rPr>
        <w:t>非金属的能源资源勘查开发区，形成重点突出、布局合理的师市矿产资源开发格局。</w:t>
      </w:r>
    </w:p>
    <w:p w14:paraId="74CF418E" w14:textId="77777777" w:rsidR="00107085" w:rsidRDefault="00000000">
      <w:pPr>
        <w:ind w:firstLine="640"/>
        <w:rPr>
          <w:kern w:val="0"/>
        </w:rPr>
      </w:pPr>
      <w:r>
        <w:rPr>
          <w:kern w:val="0"/>
        </w:rPr>
        <w:t>全面落实区域发展总体战略和生态保护战略，严格师市辖区内矿产资源勘查开发与保护空间布局管控，统筹生态安全与资源开发相协调，划分出环塔里木盆地周缘南疆师市油气</w:t>
      </w:r>
      <w:r>
        <w:rPr>
          <w:rFonts w:hint="eastAsia"/>
          <w:kern w:val="0"/>
        </w:rPr>
        <w:t>—</w:t>
      </w:r>
      <w:r>
        <w:rPr>
          <w:kern w:val="0"/>
        </w:rPr>
        <w:t>非金属的能源资源勘查开发区，形成重点突出、布局合理的师市矿产资源开发格局。</w:t>
      </w:r>
    </w:p>
    <w:p w14:paraId="4E12E876" w14:textId="77777777" w:rsidR="00107085" w:rsidRDefault="00000000">
      <w:pPr>
        <w:ind w:firstLine="640"/>
        <w:rPr>
          <w:kern w:val="0"/>
        </w:rPr>
      </w:pPr>
      <w:r>
        <w:rPr>
          <w:kern w:val="0"/>
        </w:rPr>
        <w:t>前瞻布局辖区及周边深层油气资源开发利用与空间预留。</w:t>
      </w:r>
      <w:r>
        <w:rPr>
          <w:kern w:val="0"/>
        </w:rPr>
        <w:t xml:space="preserve"> </w:t>
      </w:r>
      <w:r>
        <w:rPr>
          <w:kern w:val="0"/>
        </w:rPr>
        <w:lastRenderedPageBreak/>
        <w:t>从国家能源安全与区域资源战略赋存来看，师市辖区及周边深层油气资源潜力巨大。尽管常规油气等战略性矿产的勘查开发管理权限在上级层面，其实施进度受上游大型能源企业投资决策与市场周期影响，但师市必须立足属地空间属性与新一轮找矿突破战略行动要求，在规划中予以科学的前瞻性预留。一是空间廊道预留。主动围绕塔里木盆地北缘克拉苏</w:t>
      </w:r>
      <w:r>
        <w:rPr>
          <w:kern w:val="0"/>
        </w:rPr>
        <w:t>—</w:t>
      </w:r>
      <w:r>
        <w:rPr>
          <w:kern w:val="0"/>
        </w:rPr>
        <w:t>克拉</w:t>
      </w:r>
      <w:r>
        <w:rPr>
          <w:kern w:val="0"/>
        </w:rPr>
        <w:t>2</w:t>
      </w:r>
      <w:r>
        <w:rPr>
          <w:kern w:val="0"/>
        </w:rPr>
        <w:t>等国家规划矿区与能源资源基地建设，在国土空间及矿产资源布局中超前统筹油气勘探、集输管线及综合服务保障走廊。二是产业配套承接。提前做好库沙新拜等工业园区在要素供给与下游精深加工方面的承载体系储备。三是动态服务机制。建立常态化对接与靠前服务保障机制，积极争取上级政策与项目倾斜，为未来承接油气产能释放奠定坚实的规划基础。</w:t>
      </w:r>
    </w:p>
    <w:p w14:paraId="466CC4B8" w14:textId="376CDC3B" w:rsidR="00107085" w:rsidRDefault="00000000">
      <w:pPr>
        <w:ind w:firstLine="640"/>
        <w:rPr>
          <w:kern w:val="0"/>
        </w:rPr>
      </w:pPr>
      <w:bookmarkStart w:id="90" w:name="OLE_LINK60"/>
      <w:r w:rsidRPr="00192332">
        <w:rPr>
          <w:rFonts w:ascii="方正楷体_GBK" w:eastAsia="方正楷体_GBK" w:hint="eastAsia"/>
          <w:kern w:val="0"/>
        </w:rPr>
        <w:t>环塔里木南疆师市油气一煤炭勘查开发区</w:t>
      </w:r>
      <w:bookmarkEnd w:id="90"/>
      <w:r w:rsidRPr="00192332">
        <w:rPr>
          <w:kern w:val="0"/>
        </w:rPr>
        <w:t>：</w:t>
      </w:r>
      <w:r w:rsidR="009C1851" w:rsidRPr="009C1851">
        <w:rPr>
          <w:kern w:val="0"/>
        </w:rPr>
        <w:t>位于塔里木盆地山前及沙漠腹地等区域，为</w:t>
      </w:r>
      <w:r w:rsidR="009C1851">
        <w:rPr>
          <w:rFonts w:hint="eastAsia"/>
          <w:kern w:val="0"/>
        </w:rPr>
        <w:t>第一师阿拉尔市</w:t>
      </w:r>
      <w:r w:rsidR="009C1851" w:rsidRPr="009C1851">
        <w:rPr>
          <w:kern w:val="0"/>
        </w:rPr>
        <w:t>与阿克苏地区共建共享的协同区域。师市辖区内无煤炭资源分布，重点配合塔中油气勘查，做好属地用地协调及设施配套；依托库拜煤田资源，服务师市下游产业原料保障与运输协调；与阿克苏地区建立联合执法与信息共享机制，明确管理边界，形成兵地协同格局</w:t>
      </w:r>
      <w:r>
        <w:rPr>
          <w:kern w:val="0"/>
        </w:rPr>
        <w:t>。</w:t>
      </w:r>
    </w:p>
    <w:p w14:paraId="55C3961E" w14:textId="77777777" w:rsidR="00107085" w:rsidRDefault="00000000">
      <w:pPr>
        <w:pStyle w:val="2"/>
        <w:keepLines w:val="0"/>
        <w:spacing w:beforeLines="0" w:before="0" w:afterLines="0" w:after="0" w:line="560" w:lineRule="atLeast"/>
        <w:ind w:firstLineChars="200" w:firstLine="640"/>
        <w:jc w:val="both"/>
        <w:rPr>
          <w:rFonts w:ascii="Times New Roman" w:eastAsia="楷体" w:hAnsi="Times New Roman" w:cs="Times New Roman"/>
          <w:b w:val="0"/>
          <w:sz w:val="32"/>
          <w:szCs w:val="32"/>
        </w:rPr>
      </w:pPr>
      <w:bookmarkStart w:id="91" w:name="_Toc227172388"/>
      <w:bookmarkStart w:id="92" w:name="_Toc237883269"/>
      <w:r>
        <w:rPr>
          <w:rFonts w:ascii="Times New Roman" w:eastAsia="楷体" w:hAnsi="Times New Roman" w:cs="Times New Roman"/>
          <w:b w:val="0"/>
          <w:sz w:val="32"/>
          <w:szCs w:val="32"/>
        </w:rPr>
        <w:t>（</w:t>
      </w:r>
      <w:bookmarkEnd w:id="88"/>
      <w:bookmarkEnd w:id="89"/>
      <w:r>
        <w:rPr>
          <w:rFonts w:ascii="Times New Roman" w:eastAsia="楷体" w:hAnsi="Times New Roman" w:cs="Times New Roman"/>
          <w:b w:val="0"/>
          <w:sz w:val="32"/>
          <w:szCs w:val="32"/>
        </w:rPr>
        <w:t>二）合理确定开发强度</w:t>
      </w:r>
      <w:bookmarkEnd w:id="91"/>
      <w:bookmarkEnd w:id="92"/>
    </w:p>
    <w:p w14:paraId="4B62DD7B" w14:textId="77777777" w:rsidR="00107085" w:rsidRDefault="00000000">
      <w:pPr>
        <w:ind w:firstLine="640"/>
      </w:pPr>
      <w:r>
        <w:t>截至</w:t>
      </w:r>
      <w:r>
        <w:t>2025</w:t>
      </w:r>
      <w:r>
        <w:t>年底，第一师阿拉尔市共设置矿业权</w:t>
      </w:r>
      <w:r>
        <w:t>12</w:t>
      </w:r>
      <w:r>
        <w:t>个，全部为采矿权，无探矿权。从矿种类型看，建筑用砂矿</w:t>
      </w:r>
      <w:r>
        <w:t>11</w:t>
      </w:r>
      <w:r>
        <w:t>个（占比</w:t>
      </w:r>
      <w:r>
        <w:t>91.6%</w:t>
      </w:r>
      <w:r>
        <w:t>），砖瓦用粘土矿</w:t>
      </w:r>
      <w:r>
        <w:t>1</w:t>
      </w:r>
      <w:r>
        <w:t>个（占比</w:t>
      </w:r>
      <w:r>
        <w:t>8.4%</w:t>
      </w:r>
      <w:r>
        <w:t>）；从规模划分，</w:t>
      </w:r>
      <w:r>
        <w:lastRenderedPageBreak/>
        <w:t>大型矿</w:t>
      </w:r>
      <w:r>
        <w:t>5</w:t>
      </w:r>
      <w:r>
        <w:t>个（阿拉尔市宝鼎建筑材料加工有限公司砂石料矿、新疆城实商贸有限公司十一团</w:t>
      </w:r>
      <w:r>
        <w:t>1</w:t>
      </w:r>
      <w:r>
        <w:t>号建筑用砂矿、阿拉尔市拓嘉建材销售有限公司三团建筑用砂矿、库沙新拜产业园砂石土</w:t>
      </w:r>
      <w:r>
        <w:t>1</w:t>
      </w:r>
      <w:r>
        <w:t>号集中开采区</w:t>
      </w:r>
      <w:r>
        <w:t>1</w:t>
      </w:r>
      <w:r>
        <w:t>号矿、库沙新拜产业园砂石土</w:t>
      </w:r>
      <w:r>
        <w:t>1</w:t>
      </w:r>
      <w:r>
        <w:t>号集中开采区</w:t>
      </w:r>
      <w:r>
        <w:t>2</w:t>
      </w:r>
      <w:r>
        <w:t>号矿），中型矿</w:t>
      </w:r>
      <w:r>
        <w:t>5</w:t>
      </w:r>
      <w:r>
        <w:t>个，小型矿</w:t>
      </w:r>
      <w:r>
        <w:t>2</w:t>
      </w:r>
      <w:r>
        <w:t>个；从空间分布看，二团、七团、十八团等垦区矿业权相对集中，三团、五团等独立垦区矿业权较少。</w:t>
      </w:r>
    </w:p>
    <w:p w14:paraId="2AD796B2" w14:textId="77777777" w:rsidR="00107085" w:rsidRDefault="00000000">
      <w:pPr>
        <w:ind w:firstLine="640"/>
      </w:pPr>
      <w:r>
        <w:t>第一师阿拉尔市三类矿产生产现状见专栏</w:t>
      </w:r>
      <w:r>
        <w:rPr>
          <w:rFonts w:hint="eastAsia"/>
        </w:rPr>
        <w:t>8</w:t>
      </w:r>
      <w:r>
        <w:t>。</w:t>
      </w:r>
    </w:p>
    <w:tbl>
      <w:tblPr>
        <w:tblStyle w:val="af5"/>
        <w:tblW w:w="5000" w:type="pct"/>
        <w:tblCellMar>
          <w:left w:w="0" w:type="dxa"/>
          <w:right w:w="0" w:type="dxa"/>
        </w:tblCellMar>
        <w:tblLook w:val="04A0" w:firstRow="1" w:lastRow="0" w:firstColumn="1" w:lastColumn="0" w:noHBand="0" w:noVBand="1"/>
      </w:tblPr>
      <w:tblGrid>
        <w:gridCol w:w="506"/>
        <w:gridCol w:w="5229"/>
        <w:gridCol w:w="2248"/>
        <w:gridCol w:w="511"/>
      </w:tblGrid>
      <w:tr w:rsidR="00107085" w14:paraId="097A478B" w14:textId="77777777">
        <w:tc>
          <w:tcPr>
            <w:tcW w:w="5000" w:type="pct"/>
            <w:gridSpan w:val="4"/>
            <w:shd w:val="clear" w:color="auto" w:fill="F1F1F1"/>
          </w:tcPr>
          <w:p w14:paraId="2BBCEA6E" w14:textId="77777777" w:rsidR="00107085" w:rsidRDefault="00000000">
            <w:pPr>
              <w:widowControl/>
              <w:spacing w:line="240" w:lineRule="auto"/>
              <w:ind w:firstLineChars="0" w:firstLine="0"/>
              <w:jc w:val="center"/>
              <w:rPr>
                <w:rFonts w:eastAsia="楷体"/>
                <w:b/>
              </w:rPr>
            </w:pPr>
            <w:bookmarkStart w:id="93" w:name="_Toc481601723"/>
            <w:bookmarkStart w:id="94" w:name="_Toc481657822"/>
            <w:bookmarkStart w:id="95" w:name="_Toc468812771"/>
            <w:bookmarkStart w:id="96" w:name="_Toc484702080"/>
            <w:r>
              <w:rPr>
                <w:rFonts w:eastAsia="楷体"/>
                <w:b/>
                <w:bCs/>
                <w:kern w:val="0"/>
                <w:sz w:val="21"/>
                <w:szCs w:val="21"/>
              </w:rPr>
              <w:t>专栏</w:t>
            </w:r>
            <w:r>
              <w:rPr>
                <w:rFonts w:eastAsia="楷体" w:hint="eastAsia"/>
                <w:b/>
                <w:bCs/>
                <w:kern w:val="0"/>
                <w:sz w:val="21"/>
                <w:szCs w:val="21"/>
              </w:rPr>
              <w:t>8</w:t>
            </w:r>
            <w:r>
              <w:rPr>
                <w:rFonts w:eastAsia="楷体"/>
                <w:b/>
                <w:bCs/>
                <w:kern w:val="0"/>
                <w:sz w:val="21"/>
                <w:szCs w:val="21"/>
              </w:rPr>
              <w:t xml:space="preserve">  </w:t>
            </w:r>
            <w:r>
              <w:rPr>
                <w:rFonts w:eastAsia="楷体"/>
                <w:b/>
                <w:bCs/>
                <w:kern w:val="0"/>
                <w:sz w:val="21"/>
                <w:szCs w:val="21"/>
              </w:rPr>
              <w:t>第一师主要矿产生产现状表</w:t>
            </w:r>
          </w:p>
        </w:tc>
      </w:tr>
      <w:tr w:rsidR="00107085" w14:paraId="57C11317" w14:textId="77777777">
        <w:tc>
          <w:tcPr>
            <w:tcW w:w="298" w:type="pct"/>
          </w:tcPr>
          <w:p w14:paraId="33176136" w14:textId="77777777" w:rsidR="00107085" w:rsidRDefault="00000000">
            <w:pPr>
              <w:widowControl/>
              <w:spacing w:line="240" w:lineRule="auto"/>
              <w:ind w:firstLineChars="0" w:firstLine="0"/>
              <w:jc w:val="center"/>
              <w:rPr>
                <w:rFonts w:eastAsia="黑体"/>
                <w:sz w:val="21"/>
                <w:szCs w:val="21"/>
              </w:rPr>
            </w:pPr>
            <w:r>
              <w:rPr>
                <w:rFonts w:eastAsia="黑体"/>
                <w:sz w:val="21"/>
                <w:szCs w:val="21"/>
              </w:rPr>
              <w:t>序号</w:t>
            </w:r>
          </w:p>
        </w:tc>
        <w:tc>
          <w:tcPr>
            <w:tcW w:w="3078" w:type="pct"/>
          </w:tcPr>
          <w:p w14:paraId="22F9138F" w14:textId="77777777" w:rsidR="00107085" w:rsidRDefault="00000000">
            <w:pPr>
              <w:widowControl/>
              <w:spacing w:line="240" w:lineRule="auto"/>
              <w:ind w:firstLineChars="0" w:firstLine="0"/>
              <w:jc w:val="center"/>
              <w:rPr>
                <w:rFonts w:eastAsia="黑体"/>
                <w:sz w:val="21"/>
                <w:szCs w:val="21"/>
              </w:rPr>
            </w:pPr>
            <w:r>
              <w:rPr>
                <w:rFonts w:eastAsia="黑体"/>
                <w:sz w:val="21"/>
                <w:szCs w:val="21"/>
              </w:rPr>
              <w:t>矿山名称</w:t>
            </w:r>
          </w:p>
        </w:tc>
        <w:tc>
          <w:tcPr>
            <w:tcW w:w="1323" w:type="pct"/>
          </w:tcPr>
          <w:p w14:paraId="48701E9B" w14:textId="77777777" w:rsidR="00107085" w:rsidRDefault="00000000">
            <w:pPr>
              <w:widowControl/>
              <w:spacing w:line="240" w:lineRule="auto"/>
              <w:ind w:firstLineChars="0" w:firstLine="0"/>
              <w:jc w:val="center"/>
              <w:rPr>
                <w:rFonts w:eastAsia="黑体"/>
                <w:sz w:val="21"/>
                <w:szCs w:val="21"/>
              </w:rPr>
            </w:pPr>
            <w:r>
              <w:rPr>
                <w:rFonts w:eastAsia="黑体"/>
                <w:sz w:val="21"/>
                <w:szCs w:val="21"/>
              </w:rPr>
              <w:t>矿种</w:t>
            </w:r>
          </w:p>
        </w:tc>
        <w:tc>
          <w:tcPr>
            <w:tcW w:w="300" w:type="pct"/>
          </w:tcPr>
          <w:p w14:paraId="1052E8FE" w14:textId="77777777" w:rsidR="00107085" w:rsidRDefault="00000000">
            <w:pPr>
              <w:widowControl/>
              <w:spacing w:line="240" w:lineRule="auto"/>
              <w:ind w:firstLineChars="0" w:firstLine="0"/>
              <w:jc w:val="center"/>
              <w:rPr>
                <w:rFonts w:eastAsia="黑体"/>
                <w:sz w:val="21"/>
                <w:szCs w:val="21"/>
              </w:rPr>
            </w:pPr>
            <w:r>
              <w:rPr>
                <w:rFonts w:eastAsia="黑体"/>
                <w:sz w:val="21"/>
                <w:szCs w:val="21"/>
              </w:rPr>
              <w:t>规模</w:t>
            </w:r>
          </w:p>
        </w:tc>
      </w:tr>
      <w:tr w:rsidR="00107085" w14:paraId="53603254" w14:textId="77777777">
        <w:tc>
          <w:tcPr>
            <w:tcW w:w="298" w:type="pct"/>
          </w:tcPr>
          <w:p w14:paraId="250649C0"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1</w:t>
            </w:r>
          </w:p>
        </w:tc>
        <w:tc>
          <w:tcPr>
            <w:tcW w:w="3078" w:type="pct"/>
          </w:tcPr>
          <w:p w14:paraId="7D480FE8"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阿拉尔市长隆建材有限公司十团砖瓦用粘土矿</w:t>
            </w:r>
          </w:p>
        </w:tc>
        <w:tc>
          <w:tcPr>
            <w:tcW w:w="1323" w:type="pct"/>
          </w:tcPr>
          <w:p w14:paraId="50972A38"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砖瓦用粘土</w:t>
            </w:r>
          </w:p>
        </w:tc>
        <w:tc>
          <w:tcPr>
            <w:tcW w:w="300" w:type="pct"/>
          </w:tcPr>
          <w:p w14:paraId="523B98C2"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小型</w:t>
            </w:r>
          </w:p>
        </w:tc>
      </w:tr>
      <w:tr w:rsidR="00107085" w14:paraId="4ACA0680" w14:textId="77777777">
        <w:tc>
          <w:tcPr>
            <w:tcW w:w="298" w:type="pct"/>
          </w:tcPr>
          <w:p w14:paraId="2C7790EA"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2</w:t>
            </w:r>
          </w:p>
        </w:tc>
        <w:tc>
          <w:tcPr>
            <w:tcW w:w="3078" w:type="pct"/>
          </w:tcPr>
          <w:p w14:paraId="01FF3708"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阿拉尔市茂航砂石料经营有限公司砂石料矿</w:t>
            </w:r>
          </w:p>
        </w:tc>
        <w:tc>
          <w:tcPr>
            <w:tcW w:w="1323" w:type="pct"/>
          </w:tcPr>
          <w:p w14:paraId="36EECF1A"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建筑用砂</w:t>
            </w:r>
          </w:p>
        </w:tc>
        <w:tc>
          <w:tcPr>
            <w:tcW w:w="300" w:type="pct"/>
          </w:tcPr>
          <w:p w14:paraId="028BDDD6" w14:textId="77777777" w:rsidR="00107085" w:rsidRDefault="00000000">
            <w:pPr>
              <w:widowControl/>
              <w:spacing w:line="240" w:lineRule="auto"/>
              <w:ind w:firstLineChars="0" w:firstLine="0"/>
              <w:jc w:val="center"/>
              <w:rPr>
                <w:rFonts w:eastAsia="宋体"/>
                <w:sz w:val="21"/>
                <w:szCs w:val="21"/>
              </w:rPr>
            </w:pPr>
            <w:bookmarkStart w:id="97" w:name="OLE_LINK7"/>
            <w:r>
              <w:rPr>
                <w:rFonts w:eastAsia="宋体"/>
                <w:sz w:val="21"/>
                <w:szCs w:val="21"/>
              </w:rPr>
              <w:t>中型</w:t>
            </w:r>
            <w:bookmarkEnd w:id="97"/>
          </w:p>
        </w:tc>
      </w:tr>
      <w:tr w:rsidR="00107085" w14:paraId="324B81BC" w14:textId="77777777">
        <w:tc>
          <w:tcPr>
            <w:tcW w:w="298" w:type="pct"/>
          </w:tcPr>
          <w:p w14:paraId="43683957"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3</w:t>
            </w:r>
          </w:p>
        </w:tc>
        <w:tc>
          <w:tcPr>
            <w:tcW w:w="3078" w:type="pct"/>
          </w:tcPr>
          <w:p w14:paraId="106C8B1C"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阿克苏华凯生物科技有限公司</w:t>
            </w:r>
            <w:r>
              <w:rPr>
                <w:rFonts w:eastAsia="宋体"/>
                <w:sz w:val="21"/>
                <w:szCs w:val="21"/>
              </w:rPr>
              <w:t>1</w:t>
            </w:r>
            <w:r>
              <w:rPr>
                <w:rFonts w:eastAsia="宋体"/>
                <w:sz w:val="21"/>
                <w:szCs w:val="21"/>
              </w:rPr>
              <w:t>号建筑用砂矿</w:t>
            </w:r>
          </w:p>
        </w:tc>
        <w:tc>
          <w:tcPr>
            <w:tcW w:w="1323" w:type="pct"/>
          </w:tcPr>
          <w:p w14:paraId="2F21761B"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建筑用砂</w:t>
            </w:r>
          </w:p>
        </w:tc>
        <w:tc>
          <w:tcPr>
            <w:tcW w:w="300" w:type="pct"/>
          </w:tcPr>
          <w:p w14:paraId="31BCC7D8"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中型</w:t>
            </w:r>
          </w:p>
        </w:tc>
      </w:tr>
      <w:tr w:rsidR="00107085" w14:paraId="40010C42" w14:textId="77777777">
        <w:tc>
          <w:tcPr>
            <w:tcW w:w="298" w:type="pct"/>
          </w:tcPr>
          <w:p w14:paraId="15BCE217"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4</w:t>
            </w:r>
          </w:p>
        </w:tc>
        <w:tc>
          <w:tcPr>
            <w:tcW w:w="3078" w:type="pct"/>
          </w:tcPr>
          <w:p w14:paraId="0A3A4933"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阿克苏华凯生物科技有限公司</w:t>
            </w:r>
            <w:r>
              <w:rPr>
                <w:rFonts w:eastAsia="宋体"/>
                <w:sz w:val="21"/>
                <w:szCs w:val="21"/>
              </w:rPr>
              <w:t>2</w:t>
            </w:r>
            <w:r>
              <w:rPr>
                <w:rFonts w:eastAsia="宋体"/>
                <w:sz w:val="21"/>
                <w:szCs w:val="21"/>
              </w:rPr>
              <w:t>号建筑用砂矿</w:t>
            </w:r>
          </w:p>
        </w:tc>
        <w:tc>
          <w:tcPr>
            <w:tcW w:w="1323" w:type="pct"/>
          </w:tcPr>
          <w:p w14:paraId="7916EFE2"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建筑用砂</w:t>
            </w:r>
          </w:p>
        </w:tc>
        <w:tc>
          <w:tcPr>
            <w:tcW w:w="300" w:type="pct"/>
          </w:tcPr>
          <w:p w14:paraId="7FFDA071"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中型</w:t>
            </w:r>
          </w:p>
        </w:tc>
      </w:tr>
      <w:tr w:rsidR="00107085" w14:paraId="7ED1ABA9" w14:textId="77777777">
        <w:tc>
          <w:tcPr>
            <w:tcW w:w="298" w:type="pct"/>
          </w:tcPr>
          <w:p w14:paraId="0340078A"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5</w:t>
            </w:r>
          </w:p>
        </w:tc>
        <w:tc>
          <w:tcPr>
            <w:tcW w:w="3078" w:type="pct"/>
          </w:tcPr>
          <w:p w14:paraId="4A6DD827"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阿拉尔市宝鼎建筑材料加工有限公司砂石料矿</w:t>
            </w:r>
          </w:p>
        </w:tc>
        <w:tc>
          <w:tcPr>
            <w:tcW w:w="1323" w:type="pct"/>
          </w:tcPr>
          <w:p w14:paraId="730A31A6"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建筑用砂</w:t>
            </w:r>
          </w:p>
        </w:tc>
        <w:tc>
          <w:tcPr>
            <w:tcW w:w="300" w:type="pct"/>
          </w:tcPr>
          <w:p w14:paraId="691FAA35"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大型</w:t>
            </w:r>
          </w:p>
        </w:tc>
      </w:tr>
      <w:tr w:rsidR="00107085" w14:paraId="10DC7676" w14:textId="77777777">
        <w:tc>
          <w:tcPr>
            <w:tcW w:w="298" w:type="pct"/>
          </w:tcPr>
          <w:p w14:paraId="4CB36EA0"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6</w:t>
            </w:r>
          </w:p>
        </w:tc>
        <w:tc>
          <w:tcPr>
            <w:tcW w:w="3078" w:type="pct"/>
          </w:tcPr>
          <w:p w14:paraId="1AA7D043"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阿拉尔市杜鼎电力安装有限责任公司砂石料矿</w:t>
            </w:r>
          </w:p>
        </w:tc>
        <w:tc>
          <w:tcPr>
            <w:tcW w:w="1323" w:type="pct"/>
          </w:tcPr>
          <w:p w14:paraId="32ED4F8A"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建筑用砂</w:t>
            </w:r>
          </w:p>
        </w:tc>
        <w:tc>
          <w:tcPr>
            <w:tcW w:w="300" w:type="pct"/>
          </w:tcPr>
          <w:p w14:paraId="5511399F"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中型</w:t>
            </w:r>
          </w:p>
        </w:tc>
      </w:tr>
      <w:tr w:rsidR="00107085" w14:paraId="3EE07707" w14:textId="77777777">
        <w:tc>
          <w:tcPr>
            <w:tcW w:w="298" w:type="pct"/>
          </w:tcPr>
          <w:p w14:paraId="74B93D58"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7</w:t>
            </w:r>
          </w:p>
        </w:tc>
        <w:tc>
          <w:tcPr>
            <w:tcW w:w="3078" w:type="pct"/>
          </w:tcPr>
          <w:p w14:paraId="017346D1"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阿拉尔市金秋砂石料开采有限公司砂石料矿</w:t>
            </w:r>
          </w:p>
        </w:tc>
        <w:tc>
          <w:tcPr>
            <w:tcW w:w="1323" w:type="pct"/>
          </w:tcPr>
          <w:p w14:paraId="3E707E7E"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建筑用砂</w:t>
            </w:r>
          </w:p>
        </w:tc>
        <w:tc>
          <w:tcPr>
            <w:tcW w:w="300" w:type="pct"/>
          </w:tcPr>
          <w:p w14:paraId="7CB174F3"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中型</w:t>
            </w:r>
          </w:p>
        </w:tc>
      </w:tr>
      <w:tr w:rsidR="00107085" w14:paraId="16B611E7" w14:textId="77777777">
        <w:tc>
          <w:tcPr>
            <w:tcW w:w="298" w:type="pct"/>
          </w:tcPr>
          <w:p w14:paraId="44431EFC"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8</w:t>
            </w:r>
          </w:p>
        </w:tc>
        <w:tc>
          <w:tcPr>
            <w:tcW w:w="3078" w:type="pct"/>
          </w:tcPr>
          <w:p w14:paraId="5E088269"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新疆城实商贸公司十一团</w:t>
            </w:r>
            <w:r>
              <w:rPr>
                <w:rFonts w:eastAsia="宋体"/>
                <w:sz w:val="21"/>
                <w:szCs w:val="21"/>
              </w:rPr>
              <w:t>1</w:t>
            </w:r>
            <w:r>
              <w:rPr>
                <w:rFonts w:eastAsia="宋体"/>
                <w:sz w:val="21"/>
                <w:szCs w:val="21"/>
              </w:rPr>
              <w:t>号建筑用砂矿</w:t>
            </w:r>
          </w:p>
        </w:tc>
        <w:tc>
          <w:tcPr>
            <w:tcW w:w="1323" w:type="pct"/>
          </w:tcPr>
          <w:p w14:paraId="077FE052"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建筑用砂</w:t>
            </w:r>
          </w:p>
        </w:tc>
        <w:tc>
          <w:tcPr>
            <w:tcW w:w="300" w:type="pct"/>
          </w:tcPr>
          <w:p w14:paraId="4FCD6C06"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大型</w:t>
            </w:r>
          </w:p>
        </w:tc>
      </w:tr>
      <w:tr w:rsidR="00107085" w14:paraId="2DF44251" w14:textId="77777777">
        <w:tc>
          <w:tcPr>
            <w:tcW w:w="298" w:type="pct"/>
          </w:tcPr>
          <w:p w14:paraId="61D977B9"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9</w:t>
            </w:r>
          </w:p>
        </w:tc>
        <w:tc>
          <w:tcPr>
            <w:tcW w:w="3078" w:type="pct"/>
          </w:tcPr>
          <w:p w14:paraId="6ED2E5DF"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阿拉尔市福鑫开采有限责任公司建筑用砂矿</w:t>
            </w:r>
          </w:p>
        </w:tc>
        <w:tc>
          <w:tcPr>
            <w:tcW w:w="1323" w:type="pct"/>
          </w:tcPr>
          <w:p w14:paraId="2BC98AE8"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建筑用砂</w:t>
            </w:r>
          </w:p>
        </w:tc>
        <w:tc>
          <w:tcPr>
            <w:tcW w:w="300" w:type="pct"/>
          </w:tcPr>
          <w:p w14:paraId="6DE2B986"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小型</w:t>
            </w:r>
          </w:p>
        </w:tc>
      </w:tr>
      <w:tr w:rsidR="00107085" w14:paraId="654B9C6B" w14:textId="77777777">
        <w:tc>
          <w:tcPr>
            <w:tcW w:w="298" w:type="pct"/>
          </w:tcPr>
          <w:p w14:paraId="0EA0E1FD"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10</w:t>
            </w:r>
          </w:p>
        </w:tc>
        <w:tc>
          <w:tcPr>
            <w:tcW w:w="3078" w:type="pct"/>
          </w:tcPr>
          <w:p w14:paraId="4D0A621A"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阿拉尔市拓嘉建材销售有限公司三团建筑用砂矿</w:t>
            </w:r>
          </w:p>
        </w:tc>
        <w:tc>
          <w:tcPr>
            <w:tcW w:w="1323" w:type="pct"/>
          </w:tcPr>
          <w:p w14:paraId="22626C51"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建筑用砂</w:t>
            </w:r>
          </w:p>
        </w:tc>
        <w:tc>
          <w:tcPr>
            <w:tcW w:w="300" w:type="pct"/>
          </w:tcPr>
          <w:p w14:paraId="34E23658" w14:textId="77777777" w:rsidR="00107085" w:rsidRDefault="00000000">
            <w:pPr>
              <w:widowControl/>
              <w:spacing w:line="240" w:lineRule="auto"/>
              <w:ind w:firstLineChars="0" w:firstLine="0"/>
              <w:jc w:val="center"/>
              <w:rPr>
                <w:rFonts w:eastAsia="宋体"/>
                <w:sz w:val="21"/>
                <w:szCs w:val="21"/>
              </w:rPr>
            </w:pPr>
            <w:bookmarkStart w:id="98" w:name="OLE_LINK6"/>
            <w:r>
              <w:rPr>
                <w:rFonts w:eastAsia="宋体"/>
                <w:sz w:val="21"/>
                <w:szCs w:val="21"/>
              </w:rPr>
              <w:t>大型</w:t>
            </w:r>
            <w:bookmarkEnd w:id="98"/>
          </w:p>
        </w:tc>
      </w:tr>
      <w:tr w:rsidR="00107085" w14:paraId="549C99F0" w14:textId="77777777">
        <w:tc>
          <w:tcPr>
            <w:tcW w:w="298" w:type="pct"/>
          </w:tcPr>
          <w:p w14:paraId="20BC9588"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11</w:t>
            </w:r>
          </w:p>
        </w:tc>
        <w:tc>
          <w:tcPr>
            <w:tcW w:w="3078" w:type="pct"/>
          </w:tcPr>
          <w:p w14:paraId="7DC14204"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库沙新拜产业园砂石土</w:t>
            </w:r>
            <w:r>
              <w:rPr>
                <w:rFonts w:eastAsia="宋体"/>
                <w:sz w:val="21"/>
                <w:szCs w:val="21"/>
              </w:rPr>
              <w:t>1</w:t>
            </w:r>
            <w:r>
              <w:rPr>
                <w:rFonts w:eastAsia="宋体"/>
                <w:sz w:val="21"/>
                <w:szCs w:val="21"/>
              </w:rPr>
              <w:t>号集中开采区</w:t>
            </w:r>
            <w:r>
              <w:rPr>
                <w:rFonts w:eastAsia="宋体"/>
                <w:sz w:val="21"/>
                <w:szCs w:val="21"/>
              </w:rPr>
              <w:t>1</w:t>
            </w:r>
            <w:r>
              <w:rPr>
                <w:rFonts w:eastAsia="宋体"/>
                <w:sz w:val="21"/>
                <w:szCs w:val="21"/>
              </w:rPr>
              <w:t>号矿</w:t>
            </w:r>
          </w:p>
        </w:tc>
        <w:tc>
          <w:tcPr>
            <w:tcW w:w="1323" w:type="pct"/>
          </w:tcPr>
          <w:p w14:paraId="7A0E9BD2"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建筑用砂、其他粘土</w:t>
            </w:r>
          </w:p>
        </w:tc>
        <w:tc>
          <w:tcPr>
            <w:tcW w:w="300" w:type="pct"/>
          </w:tcPr>
          <w:p w14:paraId="1D7CB79C"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大型</w:t>
            </w:r>
          </w:p>
        </w:tc>
      </w:tr>
      <w:tr w:rsidR="00107085" w14:paraId="56C605C9" w14:textId="77777777">
        <w:tc>
          <w:tcPr>
            <w:tcW w:w="298" w:type="pct"/>
          </w:tcPr>
          <w:p w14:paraId="16CA63DB"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12</w:t>
            </w:r>
          </w:p>
        </w:tc>
        <w:tc>
          <w:tcPr>
            <w:tcW w:w="3078" w:type="pct"/>
          </w:tcPr>
          <w:p w14:paraId="6D658FF6"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库沙新拜产业园砂石土</w:t>
            </w:r>
            <w:r>
              <w:rPr>
                <w:rFonts w:eastAsia="宋体"/>
                <w:sz w:val="21"/>
                <w:szCs w:val="21"/>
              </w:rPr>
              <w:t>1</w:t>
            </w:r>
            <w:r>
              <w:rPr>
                <w:rFonts w:eastAsia="宋体"/>
                <w:sz w:val="21"/>
                <w:szCs w:val="21"/>
              </w:rPr>
              <w:t>号集中开采区</w:t>
            </w:r>
            <w:r>
              <w:rPr>
                <w:rFonts w:eastAsia="宋体"/>
                <w:sz w:val="21"/>
                <w:szCs w:val="21"/>
              </w:rPr>
              <w:t>2</w:t>
            </w:r>
            <w:r>
              <w:rPr>
                <w:rFonts w:eastAsia="宋体"/>
                <w:sz w:val="21"/>
                <w:szCs w:val="21"/>
              </w:rPr>
              <w:t>号矿</w:t>
            </w:r>
          </w:p>
        </w:tc>
        <w:tc>
          <w:tcPr>
            <w:tcW w:w="1323" w:type="pct"/>
          </w:tcPr>
          <w:p w14:paraId="6C50D48A"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建筑用砂、其他粘土</w:t>
            </w:r>
          </w:p>
        </w:tc>
        <w:tc>
          <w:tcPr>
            <w:tcW w:w="300" w:type="pct"/>
          </w:tcPr>
          <w:p w14:paraId="73F69BDB" w14:textId="77777777" w:rsidR="00107085" w:rsidRDefault="00000000">
            <w:pPr>
              <w:widowControl/>
              <w:spacing w:line="240" w:lineRule="auto"/>
              <w:ind w:firstLineChars="0" w:firstLine="0"/>
              <w:jc w:val="center"/>
              <w:rPr>
                <w:rFonts w:eastAsia="宋体"/>
                <w:sz w:val="21"/>
                <w:szCs w:val="21"/>
              </w:rPr>
            </w:pPr>
            <w:r>
              <w:rPr>
                <w:rFonts w:eastAsia="宋体"/>
                <w:sz w:val="21"/>
                <w:szCs w:val="21"/>
              </w:rPr>
              <w:t>大型</w:t>
            </w:r>
          </w:p>
        </w:tc>
      </w:tr>
    </w:tbl>
    <w:bookmarkEnd w:id="93"/>
    <w:bookmarkEnd w:id="94"/>
    <w:bookmarkEnd w:id="95"/>
    <w:bookmarkEnd w:id="96"/>
    <w:p w14:paraId="05D8D926" w14:textId="77777777" w:rsidR="00107085" w:rsidRDefault="00000000">
      <w:pPr>
        <w:ind w:firstLine="640"/>
      </w:pPr>
      <w:r>
        <w:rPr>
          <w:rFonts w:hint="eastAsia"/>
        </w:rPr>
        <w:t>“</w:t>
      </w:r>
      <w:r>
        <w:t>十五五</w:t>
      </w:r>
      <w:r>
        <w:rPr>
          <w:rFonts w:hint="eastAsia"/>
        </w:rPr>
        <w:t>”</w:t>
      </w:r>
      <w:r>
        <w:t>期间，为彻底摒弃</w:t>
      </w:r>
      <w:r>
        <w:rPr>
          <w:rFonts w:hint="eastAsia"/>
        </w:rPr>
        <w:t>“</w:t>
      </w:r>
      <w:r>
        <w:t>一刀切</w:t>
      </w:r>
      <w:r>
        <w:rPr>
          <w:rFonts w:hint="eastAsia"/>
        </w:rPr>
        <w:t>”</w:t>
      </w:r>
      <w:r>
        <w:t>的粗放规模设置，</w:t>
      </w:r>
      <w:r>
        <w:lastRenderedPageBreak/>
        <w:t>师市将紧密结合区域重大工程与团场民生基建的实际需求，实行差异化、梯级化的采矿权产能配置，预期期末采矿权总数控制在</w:t>
      </w:r>
      <w:r>
        <w:rPr>
          <w:rFonts w:hint="eastAsia"/>
        </w:rPr>
        <w:t>33</w:t>
      </w:r>
      <w:r>
        <w:t>个、开采总量</w:t>
      </w:r>
      <w:r>
        <w:rPr>
          <w:rFonts w:hint="eastAsia"/>
        </w:rPr>
        <w:t>1036</w:t>
      </w:r>
      <w:r>
        <w:t>万立方米</w:t>
      </w:r>
      <w:r>
        <w:t>/</w:t>
      </w:r>
      <w:r>
        <w:t>年以内。其中，开采区块拟精准新设采矿权</w:t>
      </w:r>
      <w:r>
        <w:t>2</w:t>
      </w:r>
      <w:r>
        <w:rPr>
          <w:rFonts w:hint="eastAsia"/>
        </w:rPr>
        <w:t>1</w:t>
      </w:r>
      <w:r>
        <w:t>个，设计总产能达</w:t>
      </w:r>
      <w:r>
        <w:rPr>
          <w:rFonts w:hint="eastAsia"/>
        </w:rPr>
        <w:t>460</w:t>
      </w:r>
      <w:r>
        <w:t>万立方米</w:t>
      </w:r>
      <w:r>
        <w:t>/</w:t>
      </w:r>
      <w:r>
        <w:t>年。</w:t>
      </w:r>
      <w:r>
        <w:rPr>
          <w:rFonts w:hint="eastAsia"/>
        </w:rPr>
        <w:t xml:space="preserve">  </w:t>
      </w:r>
    </w:p>
    <w:p w14:paraId="6B0F3435" w14:textId="77777777" w:rsidR="00107085" w:rsidRDefault="00000000">
      <w:pPr>
        <w:ind w:firstLine="640"/>
      </w:pPr>
      <w:r>
        <w:t>为保障区域重大工程建设并彻底扭转矿山</w:t>
      </w:r>
      <w:r>
        <w:rPr>
          <w:rFonts w:hint="eastAsia"/>
        </w:rPr>
        <w:t>“</w:t>
      </w:r>
      <w:r>
        <w:t>小散乱</w:t>
      </w:r>
      <w:r>
        <w:rPr>
          <w:rFonts w:hint="eastAsia"/>
        </w:rPr>
        <w:t>”</w:t>
      </w:r>
      <w:r>
        <w:t>局面，严格落实兵团</w:t>
      </w:r>
      <w:r>
        <w:rPr>
          <w:rFonts w:hint="eastAsia"/>
        </w:rPr>
        <w:t>规划</w:t>
      </w:r>
      <w:r>
        <w:t>要求，师市在空间与产能配置上实行规模化与集约化并重的精准布局：一是全面夯实大型矿山的保供底盘，在全师每一个开采区块内，均确保至少配置</w:t>
      </w:r>
      <w:r>
        <w:t>1</w:t>
      </w:r>
      <w:r>
        <w:t>个产能达</w:t>
      </w:r>
      <w:r>
        <w:t>30</w:t>
      </w:r>
      <w:r>
        <w:t>万立方米</w:t>
      </w:r>
      <w:r>
        <w:t>/</w:t>
      </w:r>
      <w:r>
        <w:t>年的大型采矿权，实施高强度定点保供，从根本上稳住区域重大工程建设的建材基本盘；二是构建跨区域辐射的高能级供给集群，依托三团开采区块资源储量丰沛、开采潜力大的禀赋优势，实施产能配置倾斜，顶格集中设置</w:t>
      </w:r>
      <w:r>
        <w:t>4</w:t>
      </w:r>
      <w:r>
        <w:t>个</w:t>
      </w:r>
      <w:r>
        <w:t>30</w:t>
      </w:r>
      <w:r>
        <w:t>万立方米</w:t>
      </w:r>
      <w:r>
        <w:t>/</w:t>
      </w:r>
      <w:r>
        <w:t>年的大型矿山，将其打造为跨区域的核心料源基地，在满足本区域建设的同时，向周边其他团镇的基础设施建设提供强有力的原料输出保障；三是织密中型矿山的梯级支撑网络，在大型矿山引领的基础上，将各开采区内其余新设矿权全面统一配置为</w:t>
      </w:r>
      <w:r>
        <w:t>13</w:t>
      </w:r>
      <w:r>
        <w:t>万立方米</w:t>
      </w:r>
      <w:r>
        <w:t>/</w:t>
      </w:r>
      <w:r>
        <w:t>年的中型矿山，坚决淘汰小型矿山等低效落后产能，形成兼顾重大骨干工程与团镇常规基建的弹性保供体系。此举切实做到了按需设权、统筹调配，全面推动了师市矿业结构的集约化与现代化升级。</w:t>
      </w:r>
    </w:p>
    <w:p w14:paraId="4152D84E" w14:textId="77777777" w:rsidR="00107085" w:rsidRDefault="00000000">
      <w:pPr>
        <w:ind w:firstLine="640"/>
      </w:pPr>
      <w:r>
        <w:t>兵团矿产资源总体规划</w:t>
      </w:r>
      <w:r>
        <w:rPr>
          <w:rFonts w:hint="eastAsia"/>
        </w:rPr>
        <w:t>“</w:t>
      </w:r>
      <w:r>
        <w:t>限粘</w:t>
      </w:r>
      <w:r>
        <w:rPr>
          <w:rFonts w:hint="eastAsia"/>
        </w:rPr>
        <w:t>”</w:t>
      </w:r>
      <w:r>
        <w:t>要求，禁止新设砖瓦用粘土采矿权，本次规划仅保留已设砖瓦用粘土采矿权</w:t>
      </w:r>
      <w:r>
        <w:t>1</w:t>
      </w:r>
      <w:r>
        <w:t>个，不再新设；其他粘土矿（非砖瓦用）可按规划新设，与砖瓦用粘土</w:t>
      </w:r>
      <w:r>
        <w:lastRenderedPageBreak/>
        <w:t>矿分类管理（见专栏</w:t>
      </w:r>
      <w:r>
        <w:rPr>
          <w:rFonts w:hint="eastAsia"/>
        </w:rPr>
        <w:t>9</w:t>
      </w:r>
      <w: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82"/>
        <w:gridCol w:w="2450"/>
        <w:gridCol w:w="1860"/>
        <w:gridCol w:w="1402"/>
      </w:tblGrid>
      <w:tr w:rsidR="00107085" w14:paraId="31371E74" w14:textId="77777777">
        <w:trPr>
          <w:trHeight w:val="538"/>
          <w:tblHeader/>
          <w:jc w:val="center"/>
        </w:trPr>
        <w:tc>
          <w:tcPr>
            <w:tcW w:w="5000" w:type="pct"/>
            <w:gridSpan w:val="4"/>
            <w:shd w:val="clear" w:color="auto" w:fill="F2F2F2" w:themeFill="background1" w:themeFillShade="F2"/>
            <w:vAlign w:val="center"/>
          </w:tcPr>
          <w:p w14:paraId="2240F657" w14:textId="77777777" w:rsidR="00107085" w:rsidRDefault="00000000">
            <w:pPr>
              <w:spacing w:line="240" w:lineRule="auto"/>
              <w:ind w:firstLineChars="0" w:firstLine="0"/>
              <w:jc w:val="center"/>
              <w:rPr>
                <w:rFonts w:eastAsia="仿宋"/>
                <w:kern w:val="0"/>
                <w:szCs w:val="21"/>
              </w:rPr>
            </w:pPr>
            <w:r>
              <w:rPr>
                <w:rFonts w:eastAsia="楷体"/>
                <w:b/>
                <w:bCs/>
                <w:kern w:val="0"/>
                <w:sz w:val="21"/>
                <w:szCs w:val="21"/>
              </w:rPr>
              <w:t>专栏</w:t>
            </w:r>
            <w:r>
              <w:rPr>
                <w:rFonts w:eastAsia="楷体" w:hint="eastAsia"/>
                <w:b/>
                <w:bCs/>
                <w:kern w:val="0"/>
                <w:sz w:val="21"/>
                <w:szCs w:val="21"/>
              </w:rPr>
              <w:t>9</w:t>
            </w:r>
            <w:r>
              <w:rPr>
                <w:rFonts w:eastAsia="楷体"/>
                <w:b/>
                <w:bCs/>
                <w:kern w:val="0"/>
                <w:sz w:val="21"/>
                <w:szCs w:val="21"/>
              </w:rPr>
              <w:t xml:space="preserve">  </w:t>
            </w:r>
            <w:r>
              <w:rPr>
                <w:rFonts w:eastAsia="楷体"/>
                <w:b/>
                <w:bCs/>
                <w:kern w:val="0"/>
                <w:sz w:val="21"/>
                <w:szCs w:val="21"/>
              </w:rPr>
              <w:t>第一师阿拉尔市开发利用总量调控</w:t>
            </w:r>
          </w:p>
        </w:tc>
      </w:tr>
      <w:tr w:rsidR="00107085" w14:paraId="5C83363C" w14:textId="77777777">
        <w:trPr>
          <w:trHeight w:hRule="exact" w:val="1067"/>
          <w:tblHeader/>
          <w:jc w:val="center"/>
        </w:trPr>
        <w:tc>
          <w:tcPr>
            <w:tcW w:w="1638" w:type="pct"/>
            <w:vAlign w:val="center"/>
          </w:tcPr>
          <w:p w14:paraId="2A98207C" w14:textId="77777777" w:rsidR="00107085" w:rsidRDefault="00000000">
            <w:pPr>
              <w:spacing w:line="240" w:lineRule="auto"/>
              <w:ind w:firstLineChars="0" w:firstLine="0"/>
              <w:jc w:val="center"/>
              <w:rPr>
                <w:rFonts w:eastAsia="黑体"/>
                <w:kern w:val="0"/>
                <w:sz w:val="21"/>
                <w:szCs w:val="21"/>
              </w:rPr>
            </w:pPr>
            <w:r>
              <w:rPr>
                <w:rFonts w:eastAsia="黑体"/>
                <w:kern w:val="0"/>
                <w:sz w:val="21"/>
                <w:szCs w:val="21"/>
              </w:rPr>
              <w:t>总量调控矿种</w:t>
            </w:r>
          </w:p>
        </w:tc>
        <w:tc>
          <w:tcPr>
            <w:tcW w:w="1442" w:type="pct"/>
            <w:vAlign w:val="center"/>
          </w:tcPr>
          <w:p w14:paraId="2922EE72" w14:textId="77777777" w:rsidR="00107085" w:rsidRDefault="00000000">
            <w:pPr>
              <w:spacing w:line="240" w:lineRule="auto"/>
              <w:ind w:firstLineChars="0" w:firstLine="0"/>
              <w:jc w:val="center"/>
              <w:rPr>
                <w:rFonts w:eastAsia="黑体"/>
                <w:kern w:val="0"/>
                <w:sz w:val="21"/>
                <w:szCs w:val="21"/>
              </w:rPr>
            </w:pPr>
            <w:r>
              <w:rPr>
                <w:rFonts w:eastAsia="黑体"/>
                <w:kern w:val="0"/>
                <w:sz w:val="21"/>
                <w:szCs w:val="21"/>
              </w:rPr>
              <w:t>计量单位</w:t>
            </w:r>
          </w:p>
        </w:tc>
        <w:tc>
          <w:tcPr>
            <w:tcW w:w="1095" w:type="pct"/>
            <w:vAlign w:val="center"/>
          </w:tcPr>
          <w:p w14:paraId="3C224423" w14:textId="77777777" w:rsidR="00107085" w:rsidRDefault="00000000">
            <w:pPr>
              <w:spacing w:line="240" w:lineRule="auto"/>
              <w:ind w:firstLineChars="0" w:firstLine="0"/>
              <w:jc w:val="center"/>
              <w:rPr>
                <w:rFonts w:eastAsia="黑体"/>
                <w:kern w:val="0"/>
                <w:sz w:val="21"/>
                <w:szCs w:val="21"/>
              </w:rPr>
            </w:pPr>
            <w:r>
              <w:rPr>
                <w:rFonts w:eastAsia="黑体"/>
                <w:kern w:val="0"/>
                <w:sz w:val="21"/>
                <w:szCs w:val="21"/>
              </w:rPr>
              <w:t>总量调控</w:t>
            </w:r>
          </w:p>
        </w:tc>
        <w:tc>
          <w:tcPr>
            <w:tcW w:w="825" w:type="pct"/>
            <w:vAlign w:val="center"/>
          </w:tcPr>
          <w:p w14:paraId="099CB973" w14:textId="77777777" w:rsidR="00107085" w:rsidRDefault="00000000">
            <w:pPr>
              <w:spacing w:line="240" w:lineRule="auto"/>
              <w:ind w:firstLineChars="0" w:firstLine="0"/>
              <w:jc w:val="center"/>
              <w:rPr>
                <w:rFonts w:eastAsia="黑体"/>
                <w:kern w:val="0"/>
                <w:sz w:val="21"/>
                <w:szCs w:val="21"/>
              </w:rPr>
            </w:pPr>
            <w:r>
              <w:rPr>
                <w:rFonts w:eastAsia="黑体"/>
                <w:kern w:val="0"/>
                <w:sz w:val="21"/>
                <w:szCs w:val="21"/>
              </w:rPr>
              <w:t>属性</w:t>
            </w:r>
          </w:p>
        </w:tc>
      </w:tr>
      <w:tr w:rsidR="00107085" w14:paraId="5670FABA" w14:textId="77777777">
        <w:trPr>
          <w:trHeight w:val="639"/>
          <w:jc w:val="center"/>
        </w:trPr>
        <w:tc>
          <w:tcPr>
            <w:tcW w:w="1638" w:type="pct"/>
            <w:vAlign w:val="center"/>
          </w:tcPr>
          <w:p w14:paraId="30C48440" w14:textId="77777777" w:rsidR="00107085" w:rsidRDefault="00000000">
            <w:pPr>
              <w:spacing w:line="240" w:lineRule="auto"/>
              <w:ind w:firstLineChars="0" w:firstLine="0"/>
              <w:jc w:val="center"/>
              <w:rPr>
                <w:rFonts w:eastAsia="宋体"/>
                <w:kern w:val="0"/>
                <w:sz w:val="21"/>
                <w:szCs w:val="21"/>
              </w:rPr>
            </w:pPr>
            <w:r>
              <w:rPr>
                <w:rFonts w:eastAsia="宋体"/>
                <w:kern w:val="0"/>
                <w:sz w:val="21"/>
                <w:szCs w:val="21"/>
              </w:rPr>
              <w:t>建筑用砂</w:t>
            </w:r>
          </w:p>
        </w:tc>
        <w:tc>
          <w:tcPr>
            <w:tcW w:w="1442" w:type="pct"/>
            <w:vAlign w:val="center"/>
          </w:tcPr>
          <w:p w14:paraId="7E1246AA" w14:textId="77777777" w:rsidR="00107085" w:rsidRDefault="00000000">
            <w:pPr>
              <w:spacing w:line="240" w:lineRule="auto"/>
              <w:ind w:firstLineChars="0" w:firstLine="0"/>
              <w:jc w:val="center"/>
              <w:rPr>
                <w:rFonts w:eastAsia="宋体"/>
                <w:kern w:val="0"/>
                <w:sz w:val="21"/>
                <w:szCs w:val="21"/>
              </w:rPr>
            </w:pPr>
            <w:r>
              <w:rPr>
                <w:rFonts w:eastAsia="宋体"/>
                <w:kern w:val="0"/>
                <w:sz w:val="21"/>
                <w:szCs w:val="21"/>
              </w:rPr>
              <w:t>万立方米</w:t>
            </w:r>
            <w:r>
              <w:rPr>
                <w:rFonts w:eastAsia="宋体"/>
                <w:kern w:val="0"/>
                <w:sz w:val="21"/>
                <w:szCs w:val="21"/>
              </w:rPr>
              <w:t>/</w:t>
            </w:r>
            <w:r>
              <w:rPr>
                <w:rFonts w:eastAsia="宋体"/>
                <w:kern w:val="0"/>
                <w:sz w:val="21"/>
                <w:szCs w:val="21"/>
              </w:rPr>
              <w:t>年</w:t>
            </w:r>
          </w:p>
        </w:tc>
        <w:tc>
          <w:tcPr>
            <w:tcW w:w="1095" w:type="pct"/>
            <w:vAlign w:val="center"/>
          </w:tcPr>
          <w:p w14:paraId="1E2DE989" w14:textId="77777777" w:rsidR="00107085" w:rsidRDefault="00000000">
            <w:pPr>
              <w:spacing w:line="240" w:lineRule="auto"/>
              <w:ind w:firstLineChars="0" w:firstLine="0"/>
              <w:jc w:val="center"/>
              <w:rPr>
                <w:rFonts w:eastAsia="宋体"/>
                <w:kern w:val="0"/>
                <w:sz w:val="21"/>
                <w:szCs w:val="21"/>
              </w:rPr>
            </w:pPr>
            <w:r>
              <w:rPr>
                <w:rFonts w:eastAsia="宋体" w:hint="eastAsia"/>
                <w:kern w:val="0"/>
                <w:sz w:val="21"/>
                <w:szCs w:val="21"/>
              </w:rPr>
              <w:t>1036</w:t>
            </w:r>
          </w:p>
        </w:tc>
        <w:tc>
          <w:tcPr>
            <w:tcW w:w="825" w:type="pct"/>
            <w:vAlign w:val="center"/>
          </w:tcPr>
          <w:p w14:paraId="6264F752" w14:textId="77777777" w:rsidR="00107085" w:rsidRDefault="00000000">
            <w:pPr>
              <w:spacing w:line="240" w:lineRule="auto"/>
              <w:ind w:firstLineChars="0" w:firstLine="0"/>
              <w:jc w:val="center"/>
              <w:rPr>
                <w:rFonts w:eastAsia="宋体"/>
                <w:kern w:val="0"/>
                <w:sz w:val="21"/>
                <w:szCs w:val="21"/>
              </w:rPr>
            </w:pPr>
            <w:r>
              <w:rPr>
                <w:rFonts w:eastAsia="宋体"/>
                <w:kern w:val="0"/>
                <w:sz w:val="21"/>
                <w:szCs w:val="21"/>
              </w:rPr>
              <w:t>预期性</w:t>
            </w:r>
          </w:p>
        </w:tc>
      </w:tr>
      <w:tr w:rsidR="00107085" w14:paraId="07924DF9" w14:textId="77777777">
        <w:trPr>
          <w:trHeight w:hRule="exact" w:val="710"/>
          <w:jc w:val="center"/>
        </w:trPr>
        <w:tc>
          <w:tcPr>
            <w:tcW w:w="1638" w:type="pct"/>
            <w:vAlign w:val="center"/>
          </w:tcPr>
          <w:p w14:paraId="474F87AA" w14:textId="77777777" w:rsidR="00107085" w:rsidRDefault="00000000">
            <w:pPr>
              <w:spacing w:line="240" w:lineRule="auto"/>
              <w:ind w:firstLineChars="0" w:firstLine="0"/>
              <w:jc w:val="center"/>
              <w:rPr>
                <w:rFonts w:eastAsia="宋体"/>
                <w:kern w:val="0"/>
                <w:sz w:val="21"/>
                <w:szCs w:val="21"/>
              </w:rPr>
            </w:pPr>
            <w:r>
              <w:rPr>
                <w:rFonts w:eastAsia="宋体"/>
                <w:kern w:val="0"/>
                <w:sz w:val="21"/>
                <w:szCs w:val="21"/>
              </w:rPr>
              <w:t>合计</w:t>
            </w:r>
          </w:p>
        </w:tc>
        <w:tc>
          <w:tcPr>
            <w:tcW w:w="1442" w:type="pct"/>
            <w:vAlign w:val="center"/>
          </w:tcPr>
          <w:p w14:paraId="51145348" w14:textId="77777777" w:rsidR="00107085" w:rsidRDefault="00000000">
            <w:pPr>
              <w:spacing w:line="240" w:lineRule="auto"/>
              <w:ind w:firstLineChars="0" w:firstLine="0"/>
              <w:jc w:val="center"/>
              <w:rPr>
                <w:rFonts w:eastAsia="宋体"/>
                <w:kern w:val="0"/>
                <w:sz w:val="21"/>
                <w:szCs w:val="21"/>
              </w:rPr>
            </w:pPr>
            <w:r>
              <w:rPr>
                <w:rFonts w:eastAsia="宋体"/>
                <w:kern w:val="0"/>
                <w:sz w:val="21"/>
                <w:szCs w:val="21"/>
              </w:rPr>
              <w:t>万立方米</w:t>
            </w:r>
            <w:r>
              <w:rPr>
                <w:rFonts w:eastAsia="宋体"/>
                <w:kern w:val="0"/>
                <w:sz w:val="21"/>
                <w:szCs w:val="21"/>
              </w:rPr>
              <w:t>/</w:t>
            </w:r>
            <w:r>
              <w:rPr>
                <w:rFonts w:eastAsia="宋体"/>
                <w:kern w:val="0"/>
                <w:sz w:val="21"/>
                <w:szCs w:val="21"/>
              </w:rPr>
              <w:t>年</w:t>
            </w:r>
          </w:p>
        </w:tc>
        <w:tc>
          <w:tcPr>
            <w:tcW w:w="1095" w:type="pct"/>
            <w:vAlign w:val="center"/>
          </w:tcPr>
          <w:p w14:paraId="13CBD8C9" w14:textId="77777777" w:rsidR="00107085" w:rsidRDefault="00000000">
            <w:pPr>
              <w:spacing w:line="240" w:lineRule="auto"/>
              <w:ind w:firstLineChars="0" w:firstLine="0"/>
              <w:jc w:val="center"/>
              <w:rPr>
                <w:rFonts w:eastAsia="宋体"/>
                <w:kern w:val="0"/>
                <w:sz w:val="21"/>
                <w:szCs w:val="21"/>
              </w:rPr>
            </w:pPr>
            <w:r>
              <w:rPr>
                <w:rFonts w:eastAsia="宋体" w:hint="eastAsia"/>
                <w:kern w:val="0"/>
                <w:sz w:val="21"/>
                <w:szCs w:val="21"/>
              </w:rPr>
              <w:t>1036</w:t>
            </w:r>
          </w:p>
        </w:tc>
        <w:tc>
          <w:tcPr>
            <w:tcW w:w="825" w:type="pct"/>
            <w:vAlign w:val="center"/>
          </w:tcPr>
          <w:p w14:paraId="0E485284" w14:textId="77777777" w:rsidR="00107085" w:rsidRDefault="00000000">
            <w:pPr>
              <w:spacing w:line="240" w:lineRule="auto"/>
              <w:ind w:firstLineChars="0" w:firstLine="0"/>
              <w:jc w:val="center"/>
              <w:rPr>
                <w:rFonts w:eastAsia="宋体"/>
                <w:kern w:val="0"/>
                <w:sz w:val="21"/>
                <w:szCs w:val="21"/>
              </w:rPr>
            </w:pPr>
            <w:r>
              <w:rPr>
                <w:rFonts w:eastAsia="宋体"/>
                <w:kern w:val="0"/>
                <w:sz w:val="21"/>
                <w:szCs w:val="21"/>
              </w:rPr>
              <w:t>预期性</w:t>
            </w:r>
          </w:p>
        </w:tc>
      </w:tr>
    </w:tbl>
    <w:p w14:paraId="12C60FE5"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99" w:name="_Toc227172389"/>
      <w:bookmarkStart w:id="100" w:name="_Toc237883270"/>
      <w:r>
        <w:rPr>
          <w:rFonts w:ascii="Times New Roman" w:eastAsia="楷体" w:hAnsi="Times New Roman" w:cs="Times New Roman"/>
          <w:b w:val="0"/>
          <w:sz w:val="32"/>
          <w:szCs w:val="32"/>
        </w:rPr>
        <w:t>（三）</w:t>
      </w:r>
      <w:bookmarkEnd w:id="99"/>
      <w:r>
        <w:rPr>
          <w:rFonts w:ascii="Times New Roman" w:eastAsia="楷体" w:hAnsi="Times New Roman" w:cs="Times New Roman"/>
          <w:b w:val="0"/>
          <w:sz w:val="32"/>
          <w:szCs w:val="32"/>
        </w:rPr>
        <w:t>优化矿产开采分区</w:t>
      </w:r>
      <w:bookmarkEnd w:id="100"/>
    </w:p>
    <w:p w14:paraId="535C6DC7" w14:textId="77777777" w:rsidR="00107085" w:rsidRDefault="00000000">
      <w:pPr>
        <w:ind w:firstLine="640"/>
      </w:pPr>
      <w:r>
        <w:t>以环塔里木盆地北缘、东缘第一师</w:t>
      </w:r>
      <w:r>
        <w:rPr>
          <w:rFonts w:hint="eastAsia"/>
        </w:rPr>
        <w:t>阿拉尔市</w:t>
      </w:r>
      <w:r>
        <w:t>为重点，加强油气资源开发。提高兵团具有比较优势的矿产资源开发水平，引导和支持各类生产要素集聚，推动矿产资源规模化开采，建设一批大中型现代化矿山。</w:t>
      </w:r>
    </w:p>
    <w:p w14:paraId="1BEC3DDE" w14:textId="77777777" w:rsidR="00107085" w:rsidRDefault="00000000">
      <w:pPr>
        <w:ind w:firstLine="640"/>
      </w:pPr>
      <w:r>
        <w:t>在矿山最低开采规模方面，具体限定如下：新建建筑用砂矿山生产规模不得低于</w:t>
      </w:r>
      <w:r>
        <w:t>6</w:t>
      </w:r>
      <w:r>
        <w:t>万立方米</w:t>
      </w:r>
      <w:r>
        <w:t>/</w:t>
      </w:r>
      <w:r>
        <w:t>年；对于通过整合、出让合同到期或采矿证到期后新增资源配置的矿山，其建筑用砂生产规模同样应不低于</w:t>
      </w:r>
      <w:r>
        <w:t>6</w:t>
      </w:r>
      <w:r>
        <w:t>万立方米</w:t>
      </w:r>
      <w:r>
        <w:t>/</w:t>
      </w:r>
      <w:r>
        <w:t>年。砖瓦用粘土矿山在整合或出让合同、采矿证到期后新增资源配置的，生产规模亦须达到</w:t>
      </w:r>
      <w:r>
        <w:t>6</w:t>
      </w:r>
      <w:r>
        <w:t>万立方米</w:t>
      </w:r>
      <w:r>
        <w:t>/</w:t>
      </w:r>
      <w:r>
        <w:t>年及以上。</w:t>
      </w:r>
    </w:p>
    <w:p w14:paraId="510E2791" w14:textId="77777777" w:rsidR="00107085" w:rsidRDefault="00000000">
      <w:pPr>
        <w:ind w:firstLine="640"/>
      </w:pPr>
      <w:r>
        <w:t>建筑用砂，最低开采规模为</w:t>
      </w:r>
      <w:r>
        <w:t>6</w:t>
      </w:r>
      <w:r>
        <w:t>万立方米</w:t>
      </w:r>
      <w:r>
        <w:t>/</w:t>
      </w:r>
      <w:r>
        <w:t>年。已有采矿权变更和延续要逐步达到矿山最低开采规模要求（见专栏</w:t>
      </w:r>
      <w:r>
        <w:rPr>
          <w:rFonts w:hint="eastAsia"/>
        </w:rPr>
        <w:t>10</w:t>
      </w:r>
      <w: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1"/>
        <w:gridCol w:w="1578"/>
        <w:gridCol w:w="2552"/>
        <w:gridCol w:w="1187"/>
        <w:gridCol w:w="1187"/>
        <w:gridCol w:w="1189"/>
      </w:tblGrid>
      <w:tr w:rsidR="00107085" w14:paraId="4AE8C198" w14:textId="77777777">
        <w:trPr>
          <w:trHeight w:val="458"/>
          <w:tblHeader/>
          <w:jc w:val="center"/>
        </w:trPr>
        <w:tc>
          <w:tcPr>
            <w:tcW w:w="5000" w:type="pct"/>
            <w:gridSpan w:val="6"/>
            <w:shd w:val="clear" w:color="auto" w:fill="F2F2F2" w:themeFill="background1" w:themeFillShade="F2"/>
            <w:vAlign w:val="center"/>
          </w:tcPr>
          <w:p w14:paraId="2710CF2D" w14:textId="77777777" w:rsidR="00107085" w:rsidRDefault="00000000">
            <w:pPr>
              <w:spacing w:line="320" w:lineRule="exact"/>
              <w:ind w:firstLineChars="0" w:firstLine="0"/>
              <w:jc w:val="center"/>
              <w:rPr>
                <w:rFonts w:eastAsia="仿宋"/>
                <w:sz w:val="21"/>
                <w:szCs w:val="21"/>
              </w:rPr>
            </w:pPr>
            <w:r>
              <w:rPr>
                <w:rFonts w:eastAsia="楷体"/>
                <w:b/>
                <w:bCs/>
                <w:kern w:val="0"/>
                <w:sz w:val="21"/>
                <w:szCs w:val="21"/>
              </w:rPr>
              <w:t>专栏</w:t>
            </w:r>
            <w:r>
              <w:rPr>
                <w:rFonts w:eastAsia="楷体" w:hint="eastAsia"/>
                <w:b/>
                <w:bCs/>
                <w:kern w:val="0"/>
                <w:sz w:val="21"/>
                <w:szCs w:val="21"/>
              </w:rPr>
              <w:t>10</w:t>
            </w:r>
            <w:r>
              <w:rPr>
                <w:rFonts w:eastAsia="楷体"/>
                <w:b/>
                <w:bCs/>
                <w:kern w:val="0"/>
                <w:sz w:val="21"/>
                <w:szCs w:val="21"/>
              </w:rPr>
              <w:t xml:space="preserve">  </w:t>
            </w:r>
            <w:r>
              <w:rPr>
                <w:rFonts w:eastAsia="楷体"/>
                <w:b/>
                <w:bCs/>
                <w:kern w:val="0"/>
                <w:sz w:val="21"/>
                <w:szCs w:val="21"/>
              </w:rPr>
              <w:t>第一师阿拉尔市矿山最低开采规模设计标准</w:t>
            </w:r>
          </w:p>
        </w:tc>
      </w:tr>
      <w:tr w:rsidR="00107085" w14:paraId="4395DC6B" w14:textId="77777777">
        <w:trPr>
          <w:trHeight w:hRule="exact" w:val="551"/>
          <w:tblHeader/>
          <w:jc w:val="center"/>
        </w:trPr>
        <w:tc>
          <w:tcPr>
            <w:tcW w:w="471" w:type="pct"/>
            <w:vMerge w:val="restart"/>
            <w:vAlign w:val="center"/>
          </w:tcPr>
          <w:p w14:paraId="5E57D2A9"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序号</w:t>
            </w:r>
          </w:p>
        </w:tc>
        <w:tc>
          <w:tcPr>
            <w:tcW w:w="929" w:type="pct"/>
            <w:vMerge w:val="restart"/>
            <w:vAlign w:val="center"/>
          </w:tcPr>
          <w:p w14:paraId="6A39938E"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矿产名称</w:t>
            </w:r>
          </w:p>
        </w:tc>
        <w:tc>
          <w:tcPr>
            <w:tcW w:w="1502" w:type="pct"/>
            <w:vMerge w:val="restart"/>
            <w:vAlign w:val="center"/>
          </w:tcPr>
          <w:p w14:paraId="3DDE9996"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开采规模</w:t>
            </w:r>
            <w:r>
              <w:rPr>
                <w:rFonts w:eastAsia="黑体"/>
                <w:kern w:val="0"/>
                <w:sz w:val="21"/>
                <w:szCs w:val="21"/>
              </w:rPr>
              <w:t xml:space="preserve"> </w:t>
            </w:r>
            <w:r>
              <w:rPr>
                <w:rFonts w:eastAsia="黑体"/>
                <w:kern w:val="0"/>
                <w:sz w:val="21"/>
                <w:szCs w:val="21"/>
              </w:rPr>
              <w:t>单位</w:t>
            </w:r>
          </w:p>
        </w:tc>
        <w:tc>
          <w:tcPr>
            <w:tcW w:w="2097" w:type="pct"/>
            <w:gridSpan w:val="3"/>
            <w:vAlign w:val="center"/>
          </w:tcPr>
          <w:p w14:paraId="1FB6D1A8"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矿山最低开采规模</w:t>
            </w:r>
          </w:p>
        </w:tc>
      </w:tr>
      <w:tr w:rsidR="00107085" w14:paraId="0BD492C5" w14:textId="77777777">
        <w:trPr>
          <w:trHeight w:val="430"/>
          <w:jc w:val="center"/>
        </w:trPr>
        <w:tc>
          <w:tcPr>
            <w:tcW w:w="471" w:type="pct"/>
            <w:vMerge/>
            <w:vAlign w:val="center"/>
          </w:tcPr>
          <w:p w14:paraId="6735CC29" w14:textId="77777777" w:rsidR="00107085" w:rsidRDefault="00107085">
            <w:pPr>
              <w:spacing w:line="320" w:lineRule="exact"/>
              <w:ind w:firstLineChars="0" w:firstLine="0"/>
              <w:jc w:val="center"/>
              <w:rPr>
                <w:rFonts w:eastAsia="黑体"/>
                <w:kern w:val="0"/>
                <w:sz w:val="21"/>
                <w:szCs w:val="21"/>
              </w:rPr>
            </w:pPr>
          </w:p>
        </w:tc>
        <w:tc>
          <w:tcPr>
            <w:tcW w:w="929" w:type="pct"/>
            <w:vMerge/>
            <w:vAlign w:val="center"/>
          </w:tcPr>
          <w:p w14:paraId="15E63230" w14:textId="77777777" w:rsidR="00107085" w:rsidRDefault="00107085">
            <w:pPr>
              <w:spacing w:line="320" w:lineRule="exact"/>
              <w:ind w:firstLineChars="0" w:firstLine="0"/>
              <w:jc w:val="center"/>
              <w:rPr>
                <w:rFonts w:eastAsia="黑体"/>
                <w:kern w:val="0"/>
                <w:sz w:val="21"/>
                <w:szCs w:val="21"/>
              </w:rPr>
            </w:pPr>
          </w:p>
        </w:tc>
        <w:tc>
          <w:tcPr>
            <w:tcW w:w="1502" w:type="pct"/>
            <w:vMerge/>
            <w:vAlign w:val="center"/>
          </w:tcPr>
          <w:p w14:paraId="3B20277E" w14:textId="77777777" w:rsidR="00107085" w:rsidRDefault="00107085">
            <w:pPr>
              <w:spacing w:line="320" w:lineRule="exact"/>
              <w:ind w:firstLineChars="0" w:firstLine="0"/>
              <w:jc w:val="center"/>
              <w:rPr>
                <w:rFonts w:eastAsia="黑体"/>
                <w:kern w:val="0"/>
                <w:sz w:val="21"/>
                <w:szCs w:val="21"/>
              </w:rPr>
            </w:pPr>
          </w:p>
        </w:tc>
        <w:tc>
          <w:tcPr>
            <w:tcW w:w="699" w:type="pct"/>
            <w:vAlign w:val="center"/>
          </w:tcPr>
          <w:p w14:paraId="5B97CE42"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大</w:t>
            </w:r>
            <w:r>
              <w:rPr>
                <w:rFonts w:eastAsia="黑体"/>
                <w:kern w:val="0"/>
                <w:sz w:val="21"/>
                <w:szCs w:val="21"/>
              </w:rPr>
              <w:t xml:space="preserve">  </w:t>
            </w:r>
            <w:r>
              <w:rPr>
                <w:rFonts w:eastAsia="黑体"/>
                <w:kern w:val="0"/>
                <w:sz w:val="21"/>
                <w:szCs w:val="21"/>
              </w:rPr>
              <w:t>型</w:t>
            </w:r>
          </w:p>
        </w:tc>
        <w:tc>
          <w:tcPr>
            <w:tcW w:w="699" w:type="pct"/>
            <w:vAlign w:val="center"/>
          </w:tcPr>
          <w:p w14:paraId="69D0B0BC"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中</w:t>
            </w:r>
            <w:r>
              <w:rPr>
                <w:rFonts w:eastAsia="黑体"/>
                <w:kern w:val="0"/>
                <w:sz w:val="21"/>
                <w:szCs w:val="21"/>
              </w:rPr>
              <w:t xml:space="preserve">  </w:t>
            </w:r>
            <w:r>
              <w:rPr>
                <w:rFonts w:eastAsia="黑体"/>
                <w:kern w:val="0"/>
                <w:sz w:val="21"/>
                <w:szCs w:val="21"/>
              </w:rPr>
              <w:t>型</w:t>
            </w:r>
          </w:p>
        </w:tc>
        <w:tc>
          <w:tcPr>
            <w:tcW w:w="699" w:type="pct"/>
            <w:vAlign w:val="center"/>
          </w:tcPr>
          <w:p w14:paraId="061918AF"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小</w:t>
            </w:r>
            <w:r>
              <w:rPr>
                <w:rFonts w:eastAsia="黑体"/>
                <w:kern w:val="0"/>
                <w:sz w:val="21"/>
                <w:szCs w:val="21"/>
              </w:rPr>
              <w:t xml:space="preserve">  </w:t>
            </w:r>
            <w:r>
              <w:rPr>
                <w:rFonts w:eastAsia="黑体"/>
                <w:kern w:val="0"/>
                <w:sz w:val="21"/>
                <w:szCs w:val="21"/>
              </w:rPr>
              <w:t>型</w:t>
            </w:r>
          </w:p>
        </w:tc>
      </w:tr>
      <w:tr w:rsidR="00107085" w14:paraId="0880C09C" w14:textId="77777777">
        <w:trPr>
          <w:trHeight w:val="402"/>
          <w:jc w:val="center"/>
        </w:trPr>
        <w:tc>
          <w:tcPr>
            <w:tcW w:w="471" w:type="pct"/>
            <w:vAlign w:val="center"/>
          </w:tcPr>
          <w:p w14:paraId="750F54F2" w14:textId="77777777" w:rsidR="00107085" w:rsidRDefault="00000000">
            <w:pPr>
              <w:overflowPunct w:val="0"/>
              <w:spacing w:line="320" w:lineRule="exact"/>
              <w:ind w:firstLineChars="0" w:firstLine="0"/>
              <w:jc w:val="center"/>
              <w:rPr>
                <w:rFonts w:eastAsia="宋体"/>
                <w:kern w:val="0"/>
                <w:sz w:val="21"/>
                <w:szCs w:val="21"/>
              </w:rPr>
            </w:pPr>
            <w:r>
              <w:rPr>
                <w:rFonts w:eastAsia="宋体"/>
                <w:kern w:val="0"/>
                <w:sz w:val="21"/>
                <w:szCs w:val="21"/>
              </w:rPr>
              <w:t>1</w:t>
            </w:r>
          </w:p>
        </w:tc>
        <w:tc>
          <w:tcPr>
            <w:tcW w:w="929" w:type="pct"/>
          </w:tcPr>
          <w:p w14:paraId="683ACFC2" w14:textId="77777777" w:rsidR="00107085" w:rsidRDefault="00000000">
            <w:pPr>
              <w:overflowPunct w:val="0"/>
              <w:spacing w:line="320" w:lineRule="exact"/>
              <w:ind w:firstLineChars="0" w:firstLine="0"/>
              <w:jc w:val="center"/>
              <w:rPr>
                <w:rFonts w:eastAsia="宋体"/>
                <w:kern w:val="0"/>
                <w:sz w:val="21"/>
                <w:szCs w:val="21"/>
              </w:rPr>
            </w:pPr>
            <w:r>
              <w:rPr>
                <w:rFonts w:eastAsia="宋体"/>
                <w:kern w:val="0"/>
                <w:sz w:val="21"/>
                <w:szCs w:val="21"/>
              </w:rPr>
              <w:t>建筑用砂</w:t>
            </w:r>
          </w:p>
        </w:tc>
        <w:tc>
          <w:tcPr>
            <w:tcW w:w="1502" w:type="pct"/>
          </w:tcPr>
          <w:p w14:paraId="33412B74" w14:textId="77777777" w:rsidR="00107085" w:rsidRDefault="00000000">
            <w:pPr>
              <w:overflowPunct w:val="0"/>
              <w:spacing w:line="320" w:lineRule="exact"/>
              <w:ind w:firstLineChars="0" w:firstLine="0"/>
              <w:jc w:val="center"/>
              <w:rPr>
                <w:rFonts w:eastAsia="宋体"/>
                <w:kern w:val="0"/>
                <w:sz w:val="21"/>
                <w:szCs w:val="21"/>
              </w:rPr>
            </w:pPr>
            <w:r>
              <w:rPr>
                <w:rFonts w:eastAsia="宋体"/>
                <w:kern w:val="0"/>
                <w:sz w:val="21"/>
                <w:szCs w:val="21"/>
              </w:rPr>
              <w:t>万立方米</w:t>
            </w:r>
          </w:p>
        </w:tc>
        <w:tc>
          <w:tcPr>
            <w:tcW w:w="699" w:type="pct"/>
          </w:tcPr>
          <w:p w14:paraId="662CE325" w14:textId="77777777" w:rsidR="00107085" w:rsidRDefault="00000000">
            <w:pPr>
              <w:overflowPunct w:val="0"/>
              <w:spacing w:line="320" w:lineRule="exact"/>
              <w:ind w:firstLineChars="0" w:firstLine="0"/>
              <w:jc w:val="center"/>
              <w:rPr>
                <w:rFonts w:eastAsia="宋体"/>
                <w:kern w:val="0"/>
                <w:sz w:val="21"/>
                <w:szCs w:val="21"/>
              </w:rPr>
            </w:pPr>
            <w:r>
              <w:rPr>
                <w:rFonts w:eastAsia="宋体"/>
                <w:kern w:val="0"/>
                <w:sz w:val="21"/>
                <w:szCs w:val="21"/>
              </w:rPr>
              <w:t>30</w:t>
            </w:r>
          </w:p>
        </w:tc>
        <w:tc>
          <w:tcPr>
            <w:tcW w:w="699" w:type="pct"/>
          </w:tcPr>
          <w:p w14:paraId="6312F2C2" w14:textId="77777777" w:rsidR="00107085" w:rsidRDefault="00000000">
            <w:pPr>
              <w:overflowPunct w:val="0"/>
              <w:spacing w:line="320" w:lineRule="exact"/>
              <w:ind w:firstLineChars="0" w:firstLine="0"/>
              <w:jc w:val="center"/>
              <w:rPr>
                <w:rFonts w:eastAsia="宋体"/>
                <w:kern w:val="0"/>
                <w:sz w:val="21"/>
                <w:szCs w:val="21"/>
              </w:rPr>
            </w:pPr>
            <w:r>
              <w:rPr>
                <w:rFonts w:eastAsia="宋体"/>
                <w:kern w:val="0"/>
                <w:sz w:val="21"/>
                <w:szCs w:val="21"/>
              </w:rPr>
              <w:t>13</w:t>
            </w:r>
          </w:p>
        </w:tc>
        <w:tc>
          <w:tcPr>
            <w:tcW w:w="699" w:type="pct"/>
          </w:tcPr>
          <w:p w14:paraId="68F7E107" w14:textId="77777777" w:rsidR="00107085" w:rsidRDefault="00000000">
            <w:pPr>
              <w:overflowPunct w:val="0"/>
              <w:spacing w:line="320" w:lineRule="exact"/>
              <w:ind w:firstLineChars="0" w:firstLine="0"/>
              <w:jc w:val="center"/>
              <w:rPr>
                <w:rFonts w:eastAsia="宋体"/>
                <w:kern w:val="0"/>
                <w:sz w:val="21"/>
                <w:szCs w:val="21"/>
              </w:rPr>
            </w:pPr>
            <w:r>
              <w:rPr>
                <w:rFonts w:eastAsia="宋体"/>
                <w:kern w:val="0"/>
                <w:sz w:val="21"/>
                <w:szCs w:val="21"/>
              </w:rPr>
              <w:t>6</w:t>
            </w:r>
          </w:p>
        </w:tc>
      </w:tr>
    </w:tbl>
    <w:p w14:paraId="4E69C5D6"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01" w:name="_Toc227172390"/>
      <w:bookmarkStart w:id="102" w:name="_Toc237883271"/>
      <w:r>
        <w:rPr>
          <w:rFonts w:ascii="Times New Roman" w:eastAsia="楷体" w:hAnsi="Times New Roman" w:cs="Times New Roman"/>
          <w:b w:val="0"/>
          <w:sz w:val="32"/>
          <w:szCs w:val="32"/>
        </w:rPr>
        <w:lastRenderedPageBreak/>
        <w:t>（四）</w:t>
      </w:r>
      <w:bookmarkEnd w:id="101"/>
      <w:r>
        <w:rPr>
          <w:rFonts w:ascii="Times New Roman" w:eastAsia="楷体" w:hAnsi="Times New Roman" w:cs="Times New Roman"/>
          <w:b w:val="0"/>
          <w:sz w:val="32"/>
          <w:szCs w:val="32"/>
        </w:rPr>
        <w:t>合理划定开采规划区块</w:t>
      </w:r>
      <w:bookmarkEnd w:id="102"/>
    </w:p>
    <w:p w14:paraId="4AD7802D" w14:textId="77777777" w:rsidR="00107085" w:rsidRDefault="00000000">
      <w:pPr>
        <w:ind w:firstLine="640"/>
        <w:rPr>
          <w:kern w:val="0"/>
        </w:rPr>
      </w:pPr>
      <w:r>
        <w:rPr>
          <w:kern w:val="0"/>
        </w:rPr>
        <w:t>实行开采规划区块分区分级划定与管理。严格落实</w:t>
      </w:r>
      <w:r>
        <w:rPr>
          <w:rFonts w:hint="eastAsia"/>
          <w:kern w:val="0"/>
        </w:rPr>
        <w:t>“</w:t>
      </w:r>
      <w:r>
        <w:rPr>
          <w:kern w:val="0"/>
        </w:rPr>
        <w:t>三条控制线</w:t>
      </w:r>
      <w:r>
        <w:rPr>
          <w:rFonts w:hint="eastAsia"/>
          <w:kern w:val="0"/>
        </w:rPr>
        <w:t>”</w:t>
      </w:r>
      <w:r>
        <w:rPr>
          <w:kern w:val="0"/>
        </w:rPr>
        <w:t>管控要求，综合考虑自然地理、地质构造、资源赋存条件、矿床规模、开采方式，以及经济技术评价、产业政策、最低开采规模等因素。</w:t>
      </w:r>
    </w:p>
    <w:p w14:paraId="485D2B98" w14:textId="77777777" w:rsidR="00107085" w:rsidRDefault="00000000">
      <w:pPr>
        <w:ind w:firstLine="640"/>
        <w:rPr>
          <w:kern w:val="0"/>
        </w:rPr>
      </w:pPr>
      <w:r>
        <w:rPr>
          <w:kern w:val="0"/>
        </w:rPr>
        <w:t>一个开采规划区块原则上只设一个采矿权，只有一个开采主体。开采规划区块投放应明确时序安排，合理配置资源。新设采矿权应符合规划空间布局要求，开采规划分区或开采规划区块以外的区域，原则上不得新设采矿权，确需新设时，应按有关规定依法进行规划调整。采矿权投放时严格落实规划区块划定的范围、开采主矿种。</w:t>
      </w:r>
    </w:p>
    <w:p w14:paraId="395E399D" w14:textId="77777777" w:rsidR="00107085" w:rsidRDefault="00000000">
      <w:pPr>
        <w:ind w:firstLine="640"/>
        <w:rPr>
          <w:kern w:val="0"/>
        </w:rPr>
      </w:pPr>
      <w:r>
        <w:rPr>
          <w:kern w:val="0"/>
        </w:rPr>
        <w:t>本轮划定师市砂石粘土开采区</w:t>
      </w:r>
      <w:r>
        <w:rPr>
          <w:kern w:val="0"/>
        </w:rPr>
        <w:t>22</w:t>
      </w:r>
      <w:r>
        <w:rPr>
          <w:kern w:val="0"/>
        </w:rPr>
        <w:t>个，拟设采矿权</w:t>
      </w:r>
      <w:r>
        <w:rPr>
          <w:kern w:val="0"/>
        </w:rPr>
        <w:t>21</w:t>
      </w:r>
      <w:r>
        <w:rPr>
          <w:kern w:val="0"/>
        </w:rPr>
        <w:t>个（见专栏</w:t>
      </w:r>
      <w:r>
        <w:rPr>
          <w:rFonts w:hint="eastAsia"/>
          <w:kern w:val="0"/>
        </w:rPr>
        <w:t>11</w:t>
      </w:r>
      <w:r>
        <w:rPr>
          <w:kern w:val="0"/>
        </w:rPr>
        <w:t>）。在划定过程中，规划依托师市</w:t>
      </w:r>
      <w:r>
        <w:rPr>
          <w:rFonts w:hint="eastAsia"/>
          <w:kern w:val="0"/>
        </w:rPr>
        <w:t>国土空间规划“一张图”</w:t>
      </w:r>
      <w:r>
        <w:rPr>
          <w:kern w:val="0"/>
        </w:rPr>
        <w:t>系统，将</w:t>
      </w:r>
      <w:r>
        <w:rPr>
          <w:kern w:val="0"/>
        </w:rPr>
        <w:t>22</w:t>
      </w:r>
      <w:r>
        <w:rPr>
          <w:kern w:val="0"/>
        </w:rPr>
        <w:t>个开采区块与师市</w:t>
      </w:r>
      <w:r>
        <w:rPr>
          <w:rFonts w:hint="eastAsia"/>
          <w:kern w:val="0"/>
        </w:rPr>
        <w:t>“</w:t>
      </w:r>
      <w:r>
        <w:rPr>
          <w:kern w:val="0"/>
        </w:rPr>
        <w:t>三区三线</w:t>
      </w:r>
      <w:r>
        <w:rPr>
          <w:rFonts w:hint="eastAsia"/>
          <w:kern w:val="0"/>
        </w:rPr>
        <w:t>”</w:t>
      </w:r>
      <w:r>
        <w:rPr>
          <w:kern w:val="0"/>
        </w:rPr>
        <w:t>及自然保护地管控边界进行了高精度的叠加比对与系统衔接，明确了具体空间关系，并提出以下硬性管控要求：</w:t>
      </w:r>
    </w:p>
    <w:p w14:paraId="6ED51C3E" w14:textId="77777777" w:rsidR="00107085" w:rsidRDefault="00000000">
      <w:pPr>
        <w:ind w:firstLine="643"/>
        <w:rPr>
          <w:kern w:val="0"/>
        </w:rPr>
      </w:pPr>
      <w:r>
        <w:rPr>
          <w:rFonts w:ascii="方正楷体_GBK" w:eastAsia="方正楷体_GBK"/>
          <w:b/>
          <w:bCs/>
        </w:rPr>
        <w:t>一是严格避让生态保护红线与自然保护地，守牢生态底线。</w:t>
      </w:r>
      <w:r>
        <w:rPr>
          <w:kern w:val="0"/>
        </w:rPr>
        <w:t>建筑用砂及粘土矿属露天开采的非战略性矿产，必须无条件</w:t>
      </w:r>
      <w:r>
        <w:rPr>
          <w:kern w:val="0"/>
        </w:rPr>
        <w:t>100%</w:t>
      </w:r>
      <w:r>
        <w:rPr>
          <w:kern w:val="0"/>
        </w:rPr>
        <w:t>避让生态保护红线。经核查，</w:t>
      </w:r>
      <w:r>
        <w:rPr>
          <w:kern w:val="0"/>
        </w:rPr>
        <w:t>22</w:t>
      </w:r>
      <w:r>
        <w:rPr>
          <w:kern w:val="0"/>
        </w:rPr>
        <w:t>个开采区均不在第一师</w:t>
      </w:r>
      <w:r>
        <w:rPr>
          <w:rFonts w:hint="eastAsia"/>
          <w:kern w:val="0"/>
        </w:rPr>
        <w:t>阿拉尔市“</w:t>
      </w:r>
      <w:r>
        <w:rPr>
          <w:kern w:val="0"/>
        </w:rPr>
        <w:t>三线一单</w:t>
      </w:r>
      <w:r>
        <w:rPr>
          <w:rFonts w:hint="eastAsia"/>
          <w:kern w:val="0"/>
        </w:rPr>
        <w:t>”</w:t>
      </w:r>
      <w:r>
        <w:rPr>
          <w:kern w:val="0"/>
        </w:rPr>
        <w:t>生态环境分区划定的</w:t>
      </w:r>
      <w:r>
        <w:rPr>
          <w:kern w:val="0"/>
        </w:rPr>
        <w:t>65</w:t>
      </w:r>
      <w:r>
        <w:rPr>
          <w:kern w:val="0"/>
        </w:rPr>
        <w:t>个</w:t>
      </w:r>
      <w:r>
        <w:rPr>
          <w:rFonts w:hint="eastAsia"/>
          <w:kern w:val="0"/>
        </w:rPr>
        <w:t>“</w:t>
      </w:r>
      <w:r>
        <w:rPr>
          <w:kern w:val="0"/>
        </w:rPr>
        <w:t>环境管控单元</w:t>
      </w:r>
      <w:r>
        <w:rPr>
          <w:rFonts w:hint="eastAsia"/>
          <w:kern w:val="0"/>
        </w:rPr>
        <w:t>”</w:t>
      </w:r>
      <w:r>
        <w:rPr>
          <w:kern w:val="0"/>
        </w:rPr>
        <w:t>内，全部位于生态保护红线范围之外。同时，在空间边界上与阿拉尔昆岗国家沙漠公园、阿拉尔睡胡杨国家沙漠公园等自然保护地明确了边界关系，严格落实了避让与缓冲要求。</w:t>
      </w:r>
      <w:r>
        <w:rPr>
          <w:kern w:val="0"/>
        </w:rPr>
        <w:lastRenderedPageBreak/>
        <w:t>管控要求：严禁在生态保护红线及自然保护地内新设砂石土采矿权，现有相邻区块严禁越界破坏自然景观与生态功能。</w:t>
      </w:r>
      <w:r>
        <w:rPr>
          <w:kern w:val="0"/>
        </w:rPr>
        <w:t xml:space="preserve"> </w:t>
      </w:r>
    </w:p>
    <w:p w14:paraId="00A9590F" w14:textId="77777777" w:rsidR="00107085" w:rsidRDefault="00000000">
      <w:pPr>
        <w:ind w:firstLine="643"/>
        <w:rPr>
          <w:kern w:val="0"/>
        </w:rPr>
      </w:pPr>
      <w:r>
        <w:rPr>
          <w:rFonts w:ascii="方正楷体_GBK" w:eastAsia="方正楷体_GBK"/>
          <w:b/>
          <w:bCs/>
        </w:rPr>
        <w:t>二是坚决不占永久基本农田，保障粮食与农业空间安全。</w:t>
      </w:r>
      <w:r>
        <w:rPr>
          <w:kern w:val="0"/>
        </w:rPr>
        <w:t>鉴于砂石土露天开采对地表及耕作层的破坏性，规划严格审查了拟设区块与农业用地的空间关系。</w:t>
      </w:r>
      <w:r>
        <w:rPr>
          <w:kern w:val="0"/>
        </w:rPr>
        <w:t>22</w:t>
      </w:r>
      <w:r>
        <w:rPr>
          <w:kern w:val="0"/>
        </w:rPr>
        <w:t>个开采区块在空间选址上全部落位于戈壁、荒漠或未利用地，坚决杜绝与永久基本农田、高标准农田及重点林果业种植区的重叠。管控要求：任何新设矿权或已有矿权的扩能扩界，均不得占用永久基本农田；若受限空间要素发生变更，必须优先服从农业空间管控与耕地保护红线。</w:t>
      </w:r>
    </w:p>
    <w:p w14:paraId="7BCA4287" w14:textId="77777777" w:rsidR="00107085" w:rsidRDefault="00000000">
      <w:pPr>
        <w:ind w:firstLine="643"/>
        <w:rPr>
          <w:kern w:val="0"/>
        </w:rPr>
      </w:pPr>
      <w:r>
        <w:rPr>
          <w:rFonts w:ascii="方正楷体_GBK" w:eastAsia="方正楷体_GBK"/>
          <w:b/>
          <w:bCs/>
        </w:rPr>
        <w:t>三是科学衔接城镇开发边界，统筹人居环境与建材保供。</w:t>
      </w:r>
      <w:r>
        <w:rPr>
          <w:kern w:val="0"/>
        </w:rPr>
        <w:t>为避免采矿扬尘、</w:t>
      </w:r>
      <w:r>
        <w:rPr>
          <w:rFonts w:hint="eastAsia"/>
          <w:kern w:val="0"/>
        </w:rPr>
        <w:t>噪声</w:t>
      </w:r>
      <w:r>
        <w:rPr>
          <w:kern w:val="0"/>
        </w:rPr>
        <w:t>及重型车辆运输对城镇居民生活造成干扰，</w:t>
      </w:r>
      <w:r>
        <w:rPr>
          <w:kern w:val="0"/>
        </w:rPr>
        <w:t>22</w:t>
      </w:r>
      <w:r>
        <w:rPr>
          <w:kern w:val="0"/>
        </w:rPr>
        <w:t>个开采区块全部布设在各团镇、核心城区及库沙新拜产业园的城镇开发边界之外的安全距离区域。同时，遵循</w:t>
      </w:r>
      <w:r>
        <w:rPr>
          <w:rFonts w:hint="eastAsia"/>
          <w:kern w:val="0"/>
        </w:rPr>
        <w:t>“</w:t>
      </w:r>
      <w:r>
        <w:rPr>
          <w:kern w:val="0"/>
        </w:rPr>
        <w:t>就近保供、经济合理</w:t>
      </w:r>
      <w:r>
        <w:rPr>
          <w:rFonts w:hint="eastAsia"/>
          <w:kern w:val="0"/>
        </w:rPr>
        <w:t>”</w:t>
      </w:r>
      <w:r>
        <w:rPr>
          <w:kern w:val="0"/>
        </w:rPr>
        <w:t>原则，区块选址紧密围绕城镇开发边界外围及重大交通干线沿线布局，既实现了对人居环境的有效隔离，又保障了师市新型城镇化建设的低成本建材供给。</w:t>
      </w:r>
    </w:p>
    <w:p w14:paraId="39D32871" w14:textId="5B2C1F47" w:rsidR="00EA40E3" w:rsidRDefault="00000000" w:rsidP="003A134D">
      <w:pPr>
        <w:ind w:firstLine="643"/>
        <w:rPr>
          <w:kern w:val="0"/>
        </w:rPr>
      </w:pPr>
      <w:r>
        <w:rPr>
          <w:rFonts w:ascii="方正楷体_GBK" w:eastAsia="方正楷体_GBK"/>
          <w:b/>
          <w:bCs/>
        </w:rPr>
        <w:t>四是落实动态审查与刚性准入限制。</w:t>
      </w:r>
      <w:r>
        <w:rPr>
          <w:kern w:val="0"/>
        </w:rPr>
        <w:t>在后续管理中，新设采矿权投放前，必须通过自然资源主管部门进行</w:t>
      </w:r>
      <w:r>
        <w:rPr>
          <w:rFonts w:hint="eastAsia"/>
          <w:kern w:val="0"/>
        </w:rPr>
        <w:t>“</w:t>
      </w:r>
      <w:r>
        <w:rPr>
          <w:kern w:val="0"/>
        </w:rPr>
        <w:t>三区三线</w:t>
      </w:r>
      <w:r>
        <w:rPr>
          <w:rFonts w:hint="eastAsia"/>
          <w:kern w:val="0"/>
        </w:rPr>
        <w:t>”</w:t>
      </w:r>
      <w:r>
        <w:rPr>
          <w:kern w:val="0"/>
        </w:rPr>
        <w:t>多规合一审查。凡发现因国土空间规划动态调整导致开采规划区块与最新</w:t>
      </w:r>
      <w:r>
        <w:rPr>
          <w:rFonts w:hint="eastAsia"/>
          <w:kern w:val="0"/>
        </w:rPr>
        <w:t>“</w:t>
      </w:r>
      <w:r>
        <w:rPr>
          <w:kern w:val="0"/>
        </w:rPr>
        <w:t>三区三线</w:t>
      </w:r>
      <w:r>
        <w:rPr>
          <w:rFonts w:hint="eastAsia"/>
          <w:kern w:val="0"/>
        </w:rPr>
        <w:t>”</w:t>
      </w:r>
      <w:r>
        <w:rPr>
          <w:kern w:val="0"/>
        </w:rPr>
        <w:t>（特别是</w:t>
      </w:r>
      <w:r>
        <w:rPr>
          <w:rFonts w:hint="eastAsia"/>
          <w:kern w:val="0"/>
        </w:rPr>
        <w:t>生态保护红线</w:t>
      </w:r>
      <w:r>
        <w:rPr>
          <w:kern w:val="0"/>
        </w:rPr>
        <w:t>和永久基本农田）发生冲突的，必须依法依规进行区块缩减或退出，实行</w:t>
      </w:r>
      <w:r>
        <w:rPr>
          <w:rFonts w:hint="eastAsia"/>
          <w:kern w:val="0"/>
        </w:rPr>
        <w:t>“</w:t>
      </w:r>
      <w:r>
        <w:rPr>
          <w:kern w:val="0"/>
        </w:rPr>
        <w:t>一票否决</w:t>
      </w:r>
      <w:r>
        <w:rPr>
          <w:rFonts w:hint="eastAsia"/>
          <w:kern w:val="0"/>
        </w:rPr>
        <w:t>”</w:t>
      </w:r>
      <w:r>
        <w:rPr>
          <w:kern w:val="0"/>
        </w:rPr>
        <w:t>的刚性准入限制。</w:t>
      </w:r>
    </w:p>
    <w:p w14:paraId="15AA032B" w14:textId="77777777" w:rsidR="003A134D" w:rsidRDefault="003A134D" w:rsidP="003A134D">
      <w:pPr>
        <w:ind w:firstLine="640"/>
        <w:rPr>
          <w:kern w:val="0"/>
        </w:rPr>
      </w:pPr>
    </w:p>
    <w:tbl>
      <w:tblPr>
        <w:tblW w:w="0" w:type="auto"/>
        <w:tblCellMar>
          <w:left w:w="0" w:type="dxa"/>
          <w:right w:w="0" w:type="dxa"/>
        </w:tblCellMar>
        <w:tblLook w:val="04A0" w:firstRow="1" w:lastRow="0" w:firstColumn="1" w:lastColumn="0" w:noHBand="0" w:noVBand="1"/>
      </w:tblPr>
      <w:tblGrid>
        <w:gridCol w:w="283"/>
        <w:gridCol w:w="1555"/>
        <w:gridCol w:w="1082"/>
        <w:gridCol w:w="477"/>
        <w:gridCol w:w="567"/>
        <w:gridCol w:w="634"/>
        <w:gridCol w:w="593"/>
        <w:gridCol w:w="1318"/>
        <w:gridCol w:w="1985"/>
      </w:tblGrid>
      <w:tr w:rsidR="00107085" w14:paraId="41ECE8B7" w14:textId="77777777">
        <w:trPr>
          <w:trHeight w:val="490"/>
        </w:trPr>
        <w:tc>
          <w:tcPr>
            <w:tcW w:w="0" w:type="auto"/>
            <w:gridSpan w:val="9"/>
            <w:tcBorders>
              <w:top w:val="single" w:sz="4" w:space="0" w:color="000000"/>
              <w:left w:val="single" w:sz="4" w:space="0" w:color="000000"/>
              <w:bottom w:val="single" w:sz="4" w:space="0" w:color="000000"/>
              <w:right w:val="single" w:sz="4" w:space="0" w:color="000000"/>
            </w:tcBorders>
            <w:vAlign w:val="center"/>
          </w:tcPr>
          <w:p w14:paraId="25C6425E" w14:textId="77777777" w:rsidR="00107085" w:rsidRDefault="00000000">
            <w:pPr>
              <w:spacing w:line="320" w:lineRule="exact"/>
              <w:ind w:firstLineChars="0" w:firstLine="0"/>
              <w:jc w:val="center"/>
              <w:rPr>
                <w:rFonts w:ascii="微软雅黑" w:eastAsia="微软雅黑" w:hAnsi="微软雅黑" w:cs="宋体" w:hint="eastAsia"/>
                <w:b/>
                <w:bCs/>
                <w:color w:val="000000"/>
                <w:kern w:val="0"/>
              </w:rPr>
            </w:pPr>
            <w:r>
              <w:rPr>
                <w:rFonts w:eastAsia="楷体"/>
                <w:b/>
                <w:bCs/>
                <w:kern w:val="0"/>
                <w:sz w:val="21"/>
                <w:szCs w:val="21"/>
              </w:rPr>
              <w:t>专栏</w:t>
            </w:r>
            <w:r>
              <w:rPr>
                <w:rFonts w:eastAsia="楷体"/>
                <w:b/>
                <w:bCs/>
                <w:kern w:val="0"/>
                <w:sz w:val="21"/>
                <w:szCs w:val="21"/>
              </w:rPr>
              <w:t>1</w:t>
            </w:r>
            <w:r>
              <w:rPr>
                <w:rFonts w:eastAsia="楷体" w:hint="eastAsia"/>
                <w:b/>
                <w:bCs/>
                <w:kern w:val="0"/>
                <w:sz w:val="21"/>
                <w:szCs w:val="21"/>
              </w:rPr>
              <w:t>1</w:t>
            </w:r>
            <w:r>
              <w:rPr>
                <w:rFonts w:eastAsia="楷体"/>
                <w:b/>
                <w:bCs/>
                <w:kern w:val="0"/>
                <w:sz w:val="21"/>
                <w:szCs w:val="21"/>
              </w:rPr>
              <w:t xml:space="preserve">  </w:t>
            </w:r>
            <w:r>
              <w:rPr>
                <w:rFonts w:eastAsia="楷体"/>
                <w:b/>
                <w:bCs/>
                <w:kern w:val="0"/>
                <w:sz w:val="21"/>
                <w:szCs w:val="21"/>
              </w:rPr>
              <w:t>兵团第一师</w:t>
            </w:r>
            <w:r>
              <w:rPr>
                <w:rFonts w:eastAsia="楷体" w:hint="eastAsia"/>
                <w:b/>
                <w:bCs/>
                <w:kern w:val="0"/>
                <w:sz w:val="21"/>
                <w:szCs w:val="21"/>
              </w:rPr>
              <w:t>阿拉尔市</w:t>
            </w:r>
            <w:r>
              <w:rPr>
                <w:rFonts w:eastAsia="楷体"/>
                <w:b/>
                <w:bCs/>
                <w:kern w:val="0"/>
                <w:sz w:val="21"/>
                <w:szCs w:val="21"/>
              </w:rPr>
              <w:t>砂石土开采</w:t>
            </w:r>
            <w:r>
              <w:rPr>
                <w:rFonts w:eastAsia="楷体" w:hint="eastAsia"/>
                <w:b/>
                <w:bCs/>
                <w:kern w:val="0"/>
                <w:sz w:val="21"/>
                <w:szCs w:val="21"/>
              </w:rPr>
              <w:t>区块</w:t>
            </w:r>
            <w:r>
              <w:rPr>
                <w:rFonts w:eastAsia="楷体"/>
                <w:b/>
                <w:bCs/>
                <w:kern w:val="0"/>
                <w:sz w:val="21"/>
                <w:szCs w:val="21"/>
              </w:rPr>
              <w:t>表</w:t>
            </w:r>
          </w:p>
        </w:tc>
      </w:tr>
      <w:tr w:rsidR="00107085" w14:paraId="77B98180" w14:textId="77777777" w:rsidTr="003A134D">
        <w:trPr>
          <w:trHeight w:val="700"/>
        </w:trPr>
        <w:tc>
          <w:tcPr>
            <w:tcW w:w="0" w:type="auto"/>
            <w:tcBorders>
              <w:top w:val="single" w:sz="4" w:space="0" w:color="000000"/>
              <w:left w:val="single" w:sz="4" w:space="0" w:color="000000"/>
              <w:bottom w:val="single" w:sz="4" w:space="0" w:color="000000"/>
              <w:right w:val="single" w:sz="4" w:space="0" w:color="000000"/>
            </w:tcBorders>
            <w:vAlign w:val="center"/>
          </w:tcPr>
          <w:p w14:paraId="38A882C8"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序号</w:t>
            </w:r>
          </w:p>
        </w:tc>
        <w:tc>
          <w:tcPr>
            <w:tcW w:w="1555" w:type="dxa"/>
            <w:tcBorders>
              <w:top w:val="single" w:sz="4" w:space="0" w:color="000000"/>
              <w:left w:val="single" w:sz="4" w:space="0" w:color="000000"/>
              <w:bottom w:val="single" w:sz="4" w:space="0" w:color="000000"/>
              <w:right w:val="single" w:sz="4" w:space="0" w:color="000000"/>
            </w:tcBorders>
            <w:vAlign w:val="center"/>
          </w:tcPr>
          <w:p w14:paraId="33AE0561"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编号</w:t>
            </w:r>
          </w:p>
        </w:tc>
        <w:tc>
          <w:tcPr>
            <w:tcW w:w="1082" w:type="dxa"/>
            <w:tcBorders>
              <w:top w:val="single" w:sz="4" w:space="0" w:color="000000"/>
              <w:left w:val="single" w:sz="4" w:space="0" w:color="000000"/>
              <w:bottom w:val="single" w:sz="4" w:space="0" w:color="000000"/>
              <w:right w:val="single" w:sz="4" w:space="0" w:color="000000"/>
            </w:tcBorders>
            <w:vAlign w:val="center"/>
          </w:tcPr>
          <w:p w14:paraId="36112218"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名称</w:t>
            </w:r>
          </w:p>
        </w:tc>
        <w:tc>
          <w:tcPr>
            <w:tcW w:w="477" w:type="dxa"/>
            <w:tcBorders>
              <w:top w:val="single" w:sz="4" w:space="0" w:color="000000"/>
              <w:left w:val="single" w:sz="4" w:space="0" w:color="000000"/>
              <w:bottom w:val="single" w:sz="4" w:space="0" w:color="000000"/>
              <w:right w:val="single" w:sz="4" w:space="0" w:color="000000"/>
            </w:tcBorders>
            <w:vAlign w:val="center"/>
          </w:tcPr>
          <w:p w14:paraId="4A55D3FA"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所在师</w:t>
            </w:r>
          </w:p>
        </w:tc>
        <w:tc>
          <w:tcPr>
            <w:tcW w:w="567" w:type="dxa"/>
            <w:tcBorders>
              <w:top w:val="single" w:sz="4" w:space="0" w:color="000000"/>
              <w:left w:val="single" w:sz="4" w:space="0" w:color="000000"/>
              <w:bottom w:val="single" w:sz="4" w:space="0" w:color="000000"/>
              <w:right w:val="single" w:sz="4" w:space="0" w:color="000000"/>
            </w:tcBorders>
            <w:vAlign w:val="center"/>
          </w:tcPr>
          <w:p w14:paraId="59B1EED1"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面积（平方千米）</w:t>
            </w:r>
          </w:p>
        </w:tc>
        <w:tc>
          <w:tcPr>
            <w:tcW w:w="634" w:type="dxa"/>
            <w:tcBorders>
              <w:top w:val="single" w:sz="4" w:space="0" w:color="000000"/>
              <w:left w:val="single" w:sz="4" w:space="0" w:color="000000"/>
              <w:bottom w:val="single" w:sz="4" w:space="0" w:color="000000"/>
              <w:right w:val="single" w:sz="4" w:space="0" w:color="000000"/>
            </w:tcBorders>
            <w:vAlign w:val="center"/>
          </w:tcPr>
          <w:p w14:paraId="1A23AF54"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已设采矿权数</w:t>
            </w:r>
          </w:p>
        </w:tc>
        <w:tc>
          <w:tcPr>
            <w:tcW w:w="0" w:type="auto"/>
            <w:tcBorders>
              <w:top w:val="single" w:sz="4" w:space="0" w:color="000000"/>
              <w:left w:val="single" w:sz="4" w:space="0" w:color="000000"/>
              <w:bottom w:val="single" w:sz="4" w:space="0" w:color="000000"/>
              <w:right w:val="single" w:sz="4" w:space="0" w:color="000000"/>
            </w:tcBorders>
            <w:vAlign w:val="center"/>
          </w:tcPr>
          <w:p w14:paraId="6609F677"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拟新设采矿权数</w:t>
            </w:r>
          </w:p>
        </w:tc>
        <w:tc>
          <w:tcPr>
            <w:tcW w:w="0" w:type="auto"/>
            <w:tcBorders>
              <w:top w:val="single" w:sz="4" w:space="0" w:color="000000"/>
              <w:left w:val="single" w:sz="4" w:space="0" w:color="000000"/>
              <w:bottom w:val="single" w:sz="4" w:space="0" w:color="000000"/>
              <w:right w:val="single" w:sz="4" w:space="0" w:color="000000"/>
            </w:tcBorders>
            <w:vAlign w:val="center"/>
          </w:tcPr>
          <w:p w14:paraId="274121FA"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拟设采矿权设计规模（万立方米</w:t>
            </w:r>
            <w:r>
              <w:rPr>
                <w:rFonts w:eastAsia="黑体"/>
                <w:kern w:val="0"/>
                <w:sz w:val="21"/>
                <w:szCs w:val="21"/>
              </w:rPr>
              <w:t>/</w:t>
            </w:r>
            <w:r>
              <w:rPr>
                <w:rFonts w:eastAsia="黑体"/>
                <w:kern w:val="0"/>
                <w:sz w:val="21"/>
                <w:szCs w:val="21"/>
              </w:rPr>
              <w:t>年）</w:t>
            </w:r>
          </w:p>
        </w:tc>
        <w:tc>
          <w:tcPr>
            <w:tcW w:w="0" w:type="auto"/>
            <w:tcBorders>
              <w:top w:val="single" w:sz="4" w:space="0" w:color="000000"/>
              <w:left w:val="single" w:sz="4" w:space="0" w:color="000000"/>
              <w:bottom w:val="single" w:sz="4" w:space="0" w:color="000000"/>
              <w:right w:val="single" w:sz="4" w:space="0" w:color="000000"/>
            </w:tcBorders>
            <w:vAlign w:val="center"/>
          </w:tcPr>
          <w:p w14:paraId="08C13922"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备注</w:t>
            </w:r>
          </w:p>
        </w:tc>
      </w:tr>
      <w:tr w:rsidR="00107085" w14:paraId="0636E4F5"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22A9F587"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w:t>
            </w:r>
          </w:p>
        </w:tc>
        <w:tc>
          <w:tcPr>
            <w:tcW w:w="1555" w:type="dxa"/>
            <w:tcBorders>
              <w:top w:val="single" w:sz="4" w:space="0" w:color="000000"/>
              <w:left w:val="single" w:sz="4" w:space="0" w:color="000000"/>
              <w:bottom w:val="single" w:sz="4" w:space="0" w:color="000000"/>
              <w:right w:val="single" w:sz="4" w:space="0" w:color="000000"/>
            </w:tcBorders>
            <w:vAlign w:val="center"/>
          </w:tcPr>
          <w:p w14:paraId="6D3CF06A"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CS66011100001</w:t>
            </w:r>
          </w:p>
        </w:tc>
        <w:tc>
          <w:tcPr>
            <w:tcW w:w="1082" w:type="dxa"/>
            <w:vMerge w:val="restart"/>
            <w:tcBorders>
              <w:top w:val="single" w:sz="4" w:space="0" w:color="000000"/>
              <w:left w:val="single" w:sz="4" w:space="0" w:color="000000"/>
              <w:bottom w:val="single" w:sz="4" w:space="0" w:color="000000"/>
              <w:right w:val="single" w:sz="4" w:space="0" w:color="000000"/>
            </w:tcBorders>
            <w:vAlign w:val="center"/>
          </w:tcPr>
          <w:p w14:paraId="55E0116F"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r>
              <w:rPr>
                <w:rFonts w:eastAsia="黑体"/>
                <w:kern w:val="0"/>
                <w:sz w:val="21"/>
                <w:szCs w:val="21"/>
              </w:rPr>
              <w:t>4</w:t>
            </w:r>
            <w:r>
              <w:rPr>
                <w:rFonts w:eastAsia="黑体"/>
                <w:kern w:val="0"/>
                <w:sz w:val="21"/>
                <w:szCs w:val="21"/>
              </w:rPr>
              <w:t>团砂石土开采区</w:t>
            </w:r>
            <w:r>
              <w:rPr>
                <w:rFonts w:eastAsia="黑体" w:hint="eastAsia"/>
                <w:kern w:val="0"/>
                <w:sz w:val="21"/>
                <w:szCs w:val="21"/>
              </w:rPr>
              <w:t>块</w:t>
            </w:r>
          </w:p>
        </w:tc>
        <w:tc>
          <w:tcPr>
            <w:tcW w:w="477" w:type="dxa"/>
            <w:vMerge w:val="restart"/>
            <w:tcBorders>
              <w:top w:val="single" w:sz="4" w:space="0" w:color="000000"/>
              <w:left w:val="single" w:sz="4" w:space="0" w:color="000000"/>
              <w:bottom w:val="single" w:sz="4" w:space="0" w:color="000000"/>
              <w:right w:val="single" w:sz="4" w:space="0" w:color="000000"/>
            </w:tcBorders>
            <w:vAlign w:val="center"/>
          </w:tcPr>
          <w:p w14:paraId="1009C424"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61B6535F"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 xml:space="preserve">4.25 </w:t>
            </w:r>
          </w:p>
        </w:tc>
        <w:tc>
          <w:tcPr>
            <w:tcW w:w="634" w:type="dxa"/>
            <w:vMerge w:val="restart"/>
            <w:tcBorders>
              <w:top w:val="single" w:sz="4" w:space="0" w:color="000000"/>
              <w:left w:val="single" w:sz="4" w:space="0" w:color="000000"/>
              <w:bottom w:val="single" w:sz="4" w:space="0" w:color="000000"/>
              <w:right w:val="single" w:sz="4" w:space="0" w:color="000000"/>
            </w:tcBorders>
            <w:vAlign w:val="center"/>
          </w:tcPr>
          <w:p w14:paraId="2AA9497E"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0</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B75226B"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5</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17B62CD4"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82</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42E27F35"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为</w:t>
            </w:r>
            <w:r>
              <w:rPr>
                <w:rFonts w:eastAsia="黑体"/>
                <w:kern w:val="0"/>
                <w:sz w:val="21"/>
                <w:szCs w:val="21"/>
              </w:rPr>
              <w:t>4</w:t>
            </w:r>
            <w:r>
              <w:rPr>
                <w:rFonts w:eastAsia="黑体"/>
                <w:kern w:val="0"/>
                <w:sz w:val="21"/>
                <w:szCs w:val="21"/>
              </w:rPr>
              <w:t>团团场公路、城镇建设和水利建设等提供建筑用砂</w:t>
            </w:r>
          </w:p>
        </w:tc>
      </w:tr>
      <w:tr w:rsidR="00107085" w14:paraId="7ED5BF59"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02FA302C"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2</w:t>
            </w:r>
          </w:p>
        </w:tc>
        <w:tc>
          <w:tcPr>
            <w:tcW w:w="1555" w:type="dxa"/>
            <w:tcBorders>
              <w:top w:val="single" w:sz="4" w:space="0" w:color="000000"/>
              <w:left w:val="single" w:sz="4" w:space="0" w:color="000000"/>
              <w:bottom w:val="single" w:sz="4" w:space="0" w:color="000000"/>
              <w:right w:val="single" w:sz="4" w:space="0" w:color="000000"/>
            </w:tcBorders>
            <w:vAlign w:val="center"/>
          </w:tcPr>
          <w:p w14:paraId="5316BF0E"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CS66011100002</w:t>
            </w:r>
          </w:p>
        </w:tc>
        <w:tc>
          <w:tcPr>
            <w:tcW w:w="1082" w:type="dxa"/>
            <w:vMerge/>
            <w:tcBorders>
              <w:top w:val="single" w:sz="4" w:space="0" w:color="000000"/>
              <w:left w:val="single" w:sz="4" w:space="0" w:color="000000"/>
              <w:bottom w:val="single" w:sz="4" w:space="0" w:color="000000"/>
              <w:right w:val="single" w:sz="4" w:space="0" w:color="000000"/>
            </w:tcBorders>
            <w:vAlign w:val="center"/>
          </w:tcPr>
          <w:p w14:paraId="2AAC6956" w14:textId="77777777" w:rsidR="00107085" w:rsidRDefault="00107085">
            <w:pPr>
              <w:spacing w:line="320" w:lineRule="exact"/>
              <w:ind w:firstLineChars="0" w:firstLine="0"/>
              <w:jc w:val="center"/>
              <w:rPr>
                <w:rFonts w:eastAsia="黑体"/>
                <w:kern w:val="0"/>
                <w:sz w:val="21"/>
                <w:szCs w:val="21"/>
              </w:rPr>
            </w:pPr>
          </w:p>
        </w:tc>
        <w:tc>
          <w:tcPr>
            <w:tcW w:w="477" w:type="dxa"/>
            <w:vMerge/>
            <w:tcBorders>
              <w:top w:val="single" w:sz="4" w:space="0" w:color="000000"/>
              <w:left w:val="single" w:sz="4" w:space="0" w:color="000000"/>
              <w:bottom w:val="single" w:sz="4" w:space="0" w:color="000000"/>
              <w:right w:val="single" w:sz="4" w:space="0" w:color="000000"/>
            </w:tcBorders>
            <w:vAlign w:val="center"/>
          </w:tcPr>
          <w:p w14:paraId="3351CC47" w14:textId="77777777" w:rsidR="00107085" w:rsidRDefault="00107085">
            <w:pPr>
              <w:spacing w:line="320" w:lineRule="exact"/>
              <w:ind w:firstLineChars="0" w:firstLine="0"/>
              <w:jc w:val="center"/>
              <w:rPr>
                <w:rFonts w:eastAsia="黑体"/>
                <w:kern w:val="0"/>
                <w:sz w:val="21"/>
                <w:szCs w:val="21"/>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641696EF" w14:textId="77777777" w:rsidR="00107085" w:rsidRDefault="00107085">
            <w:pPr>
              <w:spacing w:line="320" w:lineRule="exact"/>
              <w:ind w:firstLineChars="0" w:firstLine="0"/>
              <w:jc w:val="center"/>
              <w:rPr>
                <w:rFonts w:eastAsia="黑体"/>
                <w:kern w:val="0"/>
                <w:sz w:val="21"/>
                <w:szCs w:val="21"/>
              </w:rPr>
            </w:pPr>
          </w:p>
        </w:tc>
        <w:tc>
          <w:tcPr>
            <w:tcW w:w="634" w:type="dxa"/>
            <w:vMerge/>
            <w:tcBorders>
              <w:top w:val="single" w:sz="4" w:space="0" w:color="000000"/>
              <w:left w:val="single" w:sz="4" w:space="0" w:color="000000"/>
              <w:bottom w:val="single" w:sz="4" w:space="0" w:color="000000"/>
              <w:right w:val="single" w:sz="4" w:space="0" w:color="000000"/>
            </w:tcBorders>
            <w:vAlign w:val="center"/>
          </w:tcPr>
          <w:p w14:paraId="51A9322E"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2F6E301"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46F8477"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539A0AC" w14:textId="77777777" w:rsidR="00107085" w:rsidRDefault="00107085">
            <w:pPr>
              <w:spacing w:line="320" w:lineRule="exact"/>
              <w:ind w:firstLineChars="0" w:firstLine="0"/>
              <w:jc w:val="center"/>
              <w:rPr>
                <w:rFonts w:eastAsia="黑体"/>
                <w:kern w:val="0"/>
                <w:sz w:val="21"/>
                <w:szCs w:val="21"/>
              </w:rPr>
            </w:pPr>
          </w:p>
        </w:tc>
      </w:tr>
      <w:tr w:rsidR="00107085" w14:paraId="68E75698"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691AA381"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3</w:t>
            </w:r>
          </w:p>
        </w:tc>
        <w:tc>
          <w:tcPr>
            <w:tcW w:w="1555" w:type="dxa"/>
            <w:tcBorders>
              <w:top w:val="single" w:sz="4" w:space="0" w:color="000000"/>
              <w:left w:val="single" w:sz="4" w:space="0" w:color="000000"/>
              <w:bottom w:val="single" w:sz="4" w:space="0" w:color="000000"/>
              <w:right w:val="single" w:sz="4" w:space="0" w:color="000000"/>
            </w:tcBorders>
            <w:vAlign w:val="center"/>
          </w:tcPr>
          <w:p w14:paraId="3DFF748A"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CS66011100003</w:t>
            </w:r>
          </w:p>
        </w:tc>
        <w:tc>
          <w:tcPr>
            <w:tcW w:w="1082" w:type="dxa"/>
            <w:vMerge/>
            <w:tcBorders>
              <w:top w:val="single" w:sz="4" w:space="0" w:color="000000"/>
              <w:left w:val="single" w:sz="4" w:space="0" w:color="000000"/>
              <w:bottom w:val="single" w:sz="4" w:space="0" w:color="000000"/>
              <w:right w:val="single" w:sz="4" w:space="0" w:color="000000"/>
            </w:tcBorders>
            <w:vAlign w:val="center"/>
          </w:tcPr>
          <w:p w14:paraId="0C26A276" w14:textId="77777777" w:rsidR="00107085" w:rsidRDefault="00107085">
            <w:pPr>
              <w:spacing w:line="320" w:lineRule="exact"/>
              <w:ind w:firstLineChars="0" w:firstLine="0"/>
              <w:jc w:val="center"/>
              <w:rPr>
                <w:rFonts w:eastAsia="黑体"/>
                <w:kern w:val="0"/>
                <w:sz w:val="21"/>
                <w:szCs w:val="21"/>
              </w:rPr>
            </w:pPr>
          </w:p>
        </w:tc>
        <w:tc>
          <w:tcPr>
            <w:tcW w:w="477" w:type="dxa"/>
            <w:vMerge/>
            <w:tcBorders>
              <w:top w:val="single" w:sz="4" w:space="0" w:color="000000"/>
              <w:left w:val="single" w:sz="4" w:space="0" w:color="000000"/>
              <w:bottom w:val="single" w:sz="4" w:space="0" w:color="000000"/>
              <w:right w:val="single" w:sz="4" w:space="0" w:color="000000"/>
            </w:tcBorders>
            <w:vAlign w:val="center"/>
          </w:tcPr>
          <w:p w14:paraId="4133318E" w14:textId="77777777" w:rsidR="00107085" w:rsidRDefault="00107085">
            <w:pPr>
              <w:spacing w:line="320" w:lineRule="exact"/>
              <w:ind w:firstLineChars="0" w:firstLine="0"/>
              <w:jc w:val="center"/>
              <w:rPr>
                <w:rFonts w:eastAsia="黑体"/>
                <w:kern w:val="0"/>
                <w:sz w:val="21"/>
                <w:szCs w:val="21"/>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6400E043" w14:textId="77777777" w:rsidR="00107085" w:rsidRDefault="00107085">
            <w:pPr>
              <w:spacing w:line="320" w:lineRule="exact"/>
              <w:ind w:firstLineChars="0" w:firstLine="0"/>
              <w:jc w:val="center"/>
              <w:rPr>
                <w:rFonts w:eastAsia="黑体"/>
                <w:kern w:val="0"/>
                <w:sz w:val="21"/>
                <w:szCs w:val="21"/>
              </w:rPr>
            </w:pPr>
          </w:p>
        </w:tc>
        <w:tc>
          <w:tcPr>
            <w:tcW w:w="634" w:type="dxa"/>
            <w:vMerge/>
            <w:tcBorders>
              <w:top w:val="single" w:sz="4" w:space="0" w:color="000000"/>
              <w:left w:val="single" w:sz="4" w:space="0" w:color="000000"/>
              <w:bottom w:val="single" w:sz="4" w:space="0" w:color="000000"/>
              <w:right w:val="single" w:sz="4" w:space="0" w:color="000000"/>
            </w:tcBorders>
            <w:vAlign w:val="center"/>
          </w:tcPr>
          <w:p w14:paraId="10A855B7"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4ED0C1F"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4F6D568"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C65CFF1" w14:textId="77777777" w:rsidR="00107085" w:rsidRDefault="00107085">
            <w:pPr>
              <w:spacing w:line="320" w:lineRule="exact"/>
              <w:ind w:firstLineChars="0" w:firstLine="0"/>
              <w:jc w:val="center"/>
              <w:rPr>
                <w:rFonts w:eastAsia="黑体"/>
                <w:kern w:val="0"/>
                <w:sz w:val="21"/>
                <w:szCs w:val="21"/>
              </w:rPr>
            </w:pPr>
          </w:p>
        </w:tc>
      </w:tr>
      <w:tr w:rsidR="00107085" w14:paraId="7AE73F30"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0DF203C7"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4</w:t>
            </w:r>
          </w:p>
        </w:tc>
        <w:tc>
          <w:tcPr>
            <w:tcW w:w="1555" w:type="dxa"/>
            <w:tcBorders>
              <w:top w:val="single" w:sz="4" w:space="0" w:color="000000"/>
              <w:left w:val="single" w:sz="4" w:space="0" w:color="000000"/>
              <w:bottom w:val="single" w:sz="4" w:space="0" w:color="000000"/>
              <w:right w:val="single" w:sz="4" w:space="0" w:color="000000"/>
            </w:tcBorders>
            <w:vAlign w:val="center"/>
          </w:tcPr>
          <w:p w14:paraId="188794C1"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CS66011100004</w:t>
            </w:r>
          </w:p>
        </w:tc>
        <w:tc>
          <w:tcPr>
            <w:tcW w:w="1082" w:type="dxa"/>
            <w:vMerge/>
            <w:tcBorders>
              <w:top w:val="single" w:sz="4" w:space="0" w:color="000000"/>
              <w:left w:val="single" w:sz="4" w:space="0" w:color="000000"/>
              <w:bottom w:val="single" w:sz="4" w:space="0" w:color="000000"/>
              <w:right w:val="single" w:sz="4" w:space="0" w:color="000000"/>
            </w:tcBorders>
            <w:vAlign w:val="center"/>
          </w:tcPr>
          <w:p w14:paraId="24627114" w14:textId="77777777" w:rsidR="00107085" w:rsidRDefault="00107085">
            <w:pPr>
              <w:spacing w:line="320" w:lineRule="exact"/>
              <w:ind w:firstLineChars="0" w:firstLine="0"/>
              <w:jc w:val="center"/>
              <w:rPr>
                <w:rFonts w:eastAsia="黑体"/>
                <w:kern w:val="0"/>
                <w:sz w:val="21"/>
                <w:szCs w:val="21"/>
              </w:rPr>
            </w:pPr>
          </w:p>
        </w:tc>
        <w:tc>
          <w:tcPr>
            <w:tcW w:w="477" w:type="dxa"/>
            <w:vMerge/>
            <w:tcBorders>
              <w:top w:val="single" w:sz="4" w:space="0" w:color="000000"/>
              <w:left w:val="single" w:sz="4" w:space="0" w:color="000000"/>
              <w:bottom w:val="single" w:sz="4" w:space="0" w:color="000000"/>
              <w:right w:val="single" w:sz="4" w:space="0" w:color="000000"/>
            </w:tcBorders>
            <w:vAlign w:val="center"/>
          </w:tcPr>
          <w:p w14:paraId="6F98D23F" w14:textId="77777777" w:rsidR="00107085" w:rsidRDefault="00107085">
            <w:pPr>
              <w:spacing w:line="320" w:lineRule="exact"/>
              <w:ind w:firstLineChars="0" w:firstLine="0"/>
              <w:jc w:val="center"/>
              <w:rPr>
                <w:rFonts w:eastAsia="黑体"/>
                <w:kern w:val="0"/>
                <w:sz w:val="21"/>
                <w:szCs w:val="21"/>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54C6ADC0" w14:textId="77777777" w:rsidR="00107085" w:rsidRDefault="00107085">
            <w:pPr>
              <w:spacing w:line="320" w:lineRule="exact"/>
              <w:ind w:firstLineChars="0" w:firstLine="0"/>
              <w:jc w:val="center"/>
              <w:rPr>
                <w:rFonts w:eastAsia="黑体"/>
                <w:kern w:val="0"/>
                <w:sz w:val="21"/>
                <w:szCs w:val="21"/>
              </w:rPr>
            </w:pPr>
          </w:p>
        </w:tc>
        <w:tc>
          <w:tcPr>
            <w:tcW w:w="634" w:type="dxa"/>
            <w:vMerge/>
            <w:tcBorders>
              <w:top w:val="single" w:sz="4" w:space="0" w:color="000000"/>
              <w:left w:val="single" w:sz="4" w:space="0" w:color="000000"/>
              <w:bottom w:val="single" w:sz="4" w:space="0" w:color="000000"/>
              <w:right w:val="single" w:sz="4" w:space="0" w:color="000000"/>
            </w:tcBorders>
            <w:vAlign w:val="center"/>
          </w:tcPr>
          <w:p w14:paraId="65048A1F"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A33AC43"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B6480D9"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9AFDE12" w14:textId="77777777" w:rsidR="00107085" w:rsidRDefault="00107085">
            <w:pPr>
              <w:spacing w:line="320" w:lineRule="exact"/>
              <w:ind w:firstLineChars="0" w:firstLine="0"/>
              <w:jc w:val="center"/>
              <w:rPr>
                <w:rFonts w:eastAsia="黑体"/>
                <w:kern w:val="0"/>
                <w:sz w:val="21"/>
                <w:szCs w:val="21"/>
              </w:rPr>
            </w:pPr>
          </w:p>
        </w:tc>
      </w:tr>
      <w:tr w:rsidR="00107085" w14:paraId="4FCEF014"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14700ECC"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5</w:t>
            </w:r>
          </w:p>
        </w:tc>
        <w:tc>
          <w:tcPr>
            <w:tcW w:w="1555" w:type="dxa"/>
            <w:tcBorders>
              <w:top w:val="single" w:sz="4" w:space="0" w:color="000000"/>
              <w:left w:val="single" w:sz="4" w:space="0" w:color="000000"/>
              <w:bottom w:val="single" w:sz="4" w:space="0" w:color="000000"/>
              <w:right w:val="single" w:sz="4" w:space="0" w:color="000000"/>
            </w:tcBorders>
            <w:vAlign w:val="center"/>
          </w:tcPr>
          <w:p w14:paraId="29F4736A"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CS66011100005</w:t>
            </w:r>
          </w:p>
        </w:tc>
        <w:tc>
          <w:tcPr>
            <w:tcW w:w="1082" w:type="dxa"/>
            <w:vMerge w:val="restart"/>
            <w:tcBorders>
              <w:top w:val="single" w:sz="4" w:space="0" w:color="000000"/>
              <w:left w:val="single" w:sz="4" w:space="0" w:color="000000"/>
              <w:bottom w:val="single" w:sz="4" w:space="0" w:color="000000"/>
              <w:right w:val="single" w:sz="4" w:space="0" w:color="000000"/>
            </w:tcBorders>
            <w:vAlign w:val="center"/>
          </w:tcPr>
          <w:p w14:paraId="21FC720A"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r>
              <w:rPr>
                <w:rFonts w:eastAsia="黑体"/>
                <w:kern w:val="0"/>
                <w:sz w:val="21"/>
                <w:szCs w:val="21"/>
              </w:rPr>
              <w:t>5</w:t>
            </w:r>
            <w:r>
              <w:rPr>
                <w:rFonts w:eastAsia="黑体"/>
                <w:kern w:val="0"/>
                <w:sz w:val="21"/>
                <w:szCs w:val="21"/>
              </w:rPr>
              <w:t>团砂石土开采区块</w:t>
            </w:r>
          </w:p>
        </w:tc>
        <w:tc>
          <w:tcPr>
            <w:tcW w:w="477" w:type="dxa"/>
            <w:vMerge w:val="restart"/>
            <w:tcBorders>
              <w:top w:val="single" w:sz="4" w:space="0" w:color="000000"/>
              <w:left w:val="single" w:sz="4" w:space="0" w:color="000000"/>
              <w:bottom w:val="single" w:sz="4" w:space="0" w:color="000000"/>
              <w:right w:val="single" w:sz="4" w:space="0" w:color="000000"/>
            </w:tcBorders>
            <w:vAlign w:val="center"/>
          </w:tcPr>
          <w:p w14:paraId="6CAFBCE0"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2CEDD603" w14:textId="77777777" w:rsidR="00107085" w:rsidRDefault="00000000">
            <w:pPr>
              <w:spacing w:line="320" w:lineRule="exact"/>
              <w:ind w:firstLineChars="0" w:firstLine="0"/>
              <w:jc w:val="center"/>
              <w:rPr>
                <w:rFonts w:eastAsia="黑体"/>
                <w:kern w:val="0"/>
                <w:sz w:val="21"/>
                <w:szCs w:val="21"/>
              </w:rPr>
            </w:pPr>
            <w:r>
              <w:rPr>
                <w:rFonts w:eastAsia="黑体" w:hint="eastAsia"/>
                <w:kern w:val="0"/>
                <w:sz w:val="21"/>
                <w:szCs w:val="21"/>
              </w:rPr>
              <w:t>6.86</w:t>
            </w:r>
            <w:r>
              <w:rPr>
                <w:rFonts w:eastAsia="黑体"/>
                <w:kern w:val="0"/>
                <w:sz w:val="21"/>
                <w:szCs w:val="21"/>
              </w:rPr>
              <w:t xml:space="preserve"> </w:t>
            </w:r>
          </w:p>
        </w:tc>
        <w:tc>
          <w:tcPr>
            <w:tcW w:w="634" w:type="dxa"/>
            <w:vMerge w:val="restart"/>
            <w:tcBorders>
              <w:top w:val="single" w:sz="4" w:space="0" w:color="000000"/>
              <w:left w:val="single" w:sz="4" w:space="0" w:color="000000"/>
              <w:bottom w:val="single" w:sz="4" w:space="0" w:color="000000"/>
              <w:right w:val="single" w:sz="4" w:space="0" w:color="000000"/>
            </w:tcBorders>
            <w:vAlign w:val="center"/>
          </w:tcPr>
          <w:p w14:paraId="3B37F5A6"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6CD7C2DC"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4</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2C5B5ECB"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69</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485068BD"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为</w:t>
            </w:r>
            <w:r>
              <w:rPr>
                <w:rFonts w:eastAsia="黑体"/>
                <w:kern w:val="0"/>
                <w:sz w:val="21"/>
                <w:szCs w:val="21"/>
              </w:rPr>
              <w:t>5</w:t>
            </w:r>
            <w:r>
              <w:rPr>
                <w:rFonts w:eastAsia="黑体"/>
                <w:kern w:val="0"/>
                <w:sz w:val="21"/>
                <w:szCs w:val="21"/>
              </w:rPr>
              <w:t>团团场公路、城镇建设和水利建设等提供建筑用砂</w:t>
            </w:r>
          </w:p>
        </w:tc>
      </w:tr>
      <w:tr w:rsidR="00107085" w14:paraId="2DC58FFA"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50DD0BCD"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6</w:t>
            </w:r>
          </w:p>
        </w:tc>
        <w:tc>
          <w:tcPr>
            <w:tcW w:w="1555" w:type="dxa"/>
            <w:tcBorders>
              <w:top w:val="single" w:sz="4" w:space="0" w:color="000000"/>
              <w:left w:val="single" w:sz="4" w:space="0" w:color="000000"/>
              <w:bottom w:val="single" w:sz="4" w:space="0" w:color="000000"/>
              <w:right w:val="single" w:sz="4" w:space="0" w:color="000000"/>
            </w:tcBorders>
            <w:vAlign w:val="center"/>
          </w:tcPr>
          <w:p w14:paraId="4B1A9DD3"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CS66011100006</w:t>
            </w:r>
          </w:p>
        </w:tc>
        <w:tc>
          <w:tcPr>
            <w:tcW w:w="1082" w:type="dxa"/>
            <w:vMerge/>
            <w:tcBorders>
              <w:top w:val="single" w:sz="4" w:space="0" w:color="000000"/>
              <w:left w:val="single" w:sz="4" w:space="0" w:color="000000"/>
              <w:bottom w:val="single" w:sz="4" w:space="0" w:color="000000"/>
              <w:right w:val="single" w:sz="4" w:space="0" w:color="000000"/>
            </w:tcBorders>
            <w:vAlign w:val="center"/>
          </w:tcPr>
          <w:p w14:paraId="57258623" w14:textId="77777777" w:rsidR="00107085" w:rsidRDefault="00107085">
            <w:pPr>
              <w:spacing w:line="320" w:lineRule="exact"/>
              <w:ind w:firstLineChars="0" w:firstLine="0"/>
              <w:jc w:val="center"/>
              <w:rPr>
                <w:rFonts w:eastAsia="黑体"/>
                <w:kern w:val="0"/>
                <w:sz w:val="21"/>
                <w:szCs w:val="21"/>
              </w:rPr>
            </w:pPr>
          </w:p>
        </w:tc>
        <w:tc>
          <w:tcPr>
            <w:tcW w:w="477" w:type="dxa"/>
            <w:vMerge/>
            <w:tcBorders>
              <w:top w:val="single" w:sz="4" w:space="0" w:color="000000"/>
              <w:left w:val="single" w:sz="4" w:space="0" w:color="000000"/>
              <w:bottom w:val="single" w:sz="4" w:space="0" w:color="000000"/>
              <w:right w:val="single" w:sz="4" w:space="0" w:color="000000"/>
            </w:tcBorders>
            <w:vAlign w:val="center"/>
          </w:tcPr>
          <w:p w14:paraId="5597C86D" w14:textId="77777777" w:rsidR="00107085" w:rsidRDefault="00107085">
            <w:pPr>
              <w:spacing w:line="320" w:lineRule="exact"/>
              <w:ind w:firstLineChars="0" w:firstLine="0"/>
              <w:jc w:val="center"/>
              <w:rPr>
                <w:rFonts w:eastAsia="黑体"/>
                <w:kern w:val="0"/>
                <w:sz w:val="21"/>
                <w:szCs w:val="21"/>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3AF0E406" w14:textId="77777777" w:rsidR="00107085" w:rsidRDefault="00107085">
            <w:pPr>
              <w:spacing w:line="320" w:lineRule="exact"/>
              <w:ind w:firstLineChars="0" w:firstLine="0"/>
              <w:jc w:val="center"/>
              <w:rPr>
                <w:rFonts w:eastAsia="黑体"/>
                <w:kern w:val="0"/>
                <w:sz w:val="21"/>
                <w:szCs w:val="21"/>
              </w:rPr>
            </w:pPr>
          </w:p>
        </w:tc>
        <w:tc>
          <w:tcPr>
            <w:tcW w:w="634" w:type="dxa"/>
            <w:vMerge/>
            <w:tcBorders>
              <w:top w:val="single" w:sz="4" w:space="0" w:color="000000"/>
              <w:left w:val="single" w:sz="4" w:space="0" w:color="000000"/>
              <w:bottom w:val="single" w:sz="4" w:space="0" w:color="000000"/>
              <w:right w:val="single" w:sz="4" w:space="0" w:color="000000"/>
            </w:tcBorders>
            <w:vAlign w:val="center"/>
          </w:tcPr>
          <w:p w14:paraId="46689FA2"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6C0E172"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09592DB"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52F9721" w14:textId="77777777" w:rsidR="00107085" w:rsidRDefault="00107085">
            <w:pPr>
              <w:spacing w:line="320" w:lineRule="exact"/>
              <w:ind w:firstLineChars="0" w:firstLine="0"/>
              <w:jc w:val="center"/>
              <w:rPr>
                <w:rFonts w:eastAsia="黑体"/>
                <w:kern w:val="0"/>
                <w:sz w:val="21"/>
                <w:szCs w:val="21"/>
              </w:rPr>
            </w:pPr>
          </w:p>
        </w:tc>
      </w:tr>
      <w:tr w:rsidR="00107085" w14:paraId="20D7A913"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0F312C23"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7</w:t>
            </w:r>
          </w:p>
        </w:tc>
        <w:tc>
          <w:tcPr>
            <w:tcW w:w="1555" w:type="dxa"/>
            <w:tcBorders>
              <w:top w:val="single" w:sz="4" w:space="0" w:color="000000"/>
              <w:left w:val="single" w:sz="4" w:space="0" w:color="000000"/>
              <w:bottom w:val="single" w:sz="4" w:space="0" w:color="000000"/>
              <w:right w:val="single" w:sz="4" w:space="0" w:color="000000"/>
            </w:tcBorders>
            <w:vAlign w:val="center"/>
          </w:tcPr>
          <w:p w14:paraId="6C76E4AC"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CS66011100007</w:t>
            </w:r>
          </w:p>
        </w:tc>
        <w:tc>
          <w:tcPr>
            <w:tcW w:w="1082" w:type="dxa"/>
            <w:vMerge w:val="restart"/>
            <w:tcBorders>
              <w:top w:val="single" w:sz="4" w:space="0" w:color="000000"/>
              <w:left w:val="single" w:sz="4" w:space="0" w:color="000000"/>
              <w:bottom w:val="single" w:sz="4" w:space="0" w:color="000000"/>
              <w:right w:val="single" w:sz="4" w:space="0" w:color="000000"/>
            </w:tcBorders>
            <w:vAlign w:val="center"/>
          </w:tcPr>
          <w:p w14:paraId="282F8FE6"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第一师库沙新拜产业园砂石土开采区块</w:t>
            </w:r>
          </w:p>
        </w:tc>
        <w:tc>
          <w:tcPr>
            <w:tcW w:w="477" w:type="dxa"/>
            <w:vMerge w:val="restart"/>
            <w:tcBorders>
              <w:top w:val="single" w:sz="4" w:space="0" w:color="000000"/>
              <w:left w:val="single" w:sz="4" w:space="0" w:color="000000"/>
              <w:bottom w:val="single" w:sz="4" w:space="0" w:color="000000"/>
              <w:right w:val="single" w:sz="4" w:space="0" w:color="000000"/>
            </w:tcBorders>
            <w:vAlign w:val="center"/>
          </w:tcPr>
          <w:p w14:paraId="43B0364F"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5A2040AD"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 xml:space="preserve">5.48 </w:t>
            </w:r>
          </w:p>
        </w:tc>
        <w:tc>
          <w:tcPr>
            <w:tcW w:w="634" w:type="dxa"/>
            <w:vMerge w:val="restart"/>
            <w:tcBorders>
              <w:top w:val="single" w:sz="4" w:space="0" w:color="000000"/>
              <w:left w:val="single" w:sz="4" w:space="0" w:color="000000"/>
              <w:bottom w:val="single" w:sz="4" w:space="0" w:color="000000"/>
              <w:right w:val="single" w:sz="4" w:space="0" w:color="000000"/>
            </w:tcBorders>
            <w:vAlign w:val="center"/>
          </w:tcPr>
          <w:p w14:paraId="225E0DBB"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2</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0D419375"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4</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27C29EC9"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69</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70525018"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为库沙新拜产业园公路、城镇建设和水利建设等提供建筑用砂</w:t>
            </w:r>
          </w:p>
        </w:tc>
      </w:tr>
      <w:tr w:rsidR="00107085" w14:paraId="06BF3DB2"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0C7DF73A"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8</w:t>
            </w:r>
          </w:p>
        </w:tc>
        <w:tc>
          <w:tcPr>
            <w:tcW w:w="1555" w:type="dxa"/>
            <w:tcBorders>
              <w:top w:val="single" w:sz="4" w:space="0" w:color="000000"/>
              <w:left w:val="single" w:sz="4" w:space="0" w:color="000000"/>
              <w:bottom w:val="single" w:sz="4" w:space="0" w:color="000000"/>
              <w:right w:val="single" w:sz="4" w:space="0" w:color="000000"/>
            </w:tcBorders>
            <w:vAlign w:val="center"/>
          </w:tcPr>
          <w:p w14:paraId="57821DD2"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CS66011100008</w:t>
            </w:r>
          </w:p>
        </w:tc>
        <w:tc>
          <w:tcPr>
            <w:tcW w:w="1082" w:type="dxa"/>
            <w:vMerge/>
            <w:tcBorders>
              <w:top w:val="single" w:sz="4" w:space="0" w:color="000000"/>
              <w:left w:val="single" w:sz="4" w:space="0" w:color="000000"/>
              <w:bottom w:val="single" w:sz="4" w:space="0" w:color="000000"/>
              <w:right w:val="single" w:sz="4" w:space="0" w:color="000000"/>
            </w:tcBorders>
            <w:vAlign w:val="center"/>
          </w:tcPr>
          <w:p w14:paraId="35BEF282" w14:textId="77777777" w:rsidR="00107085" w:rsidRDefault="00107085">
            <w:pPr>
              <w:spacing w:line="320" w:lineRule="exact"/>
              <w:ind w:firstLineChars="0" w:firstLine="0"/>
              <w:jc w:val="center"/>
              <w:rPr>
                <w:rFonts w:eastAsia="黑体"/>
                <w:kern w:val="0"/>
                <w:sz w:val="21"/>
                <w:szCs w:val="21"/>
              </w:rPr>
            </w:pPr>
          </w:p>
        </w:tc>
        <w:tc>
          <w:tcPr>
            <w:tcW w:w="477" w:type="dxa"/>
            <w:vMerge/>
            <w:tcBorders>
              <w:top w:val="single" w:sz="4" w:space="0" w:color="000000"/>
              <w:left w:val="single" w:sz="4" w:space="0" w:color="000000"/>
              <w:bottom w:val="single" w:sz="4" w:space="0" w:color="000000"/>
              <w:right w:val="single" w:sz="4" w:space="0" w:color="000000"/>
            </w:tcBorders>
            <w:vAlign w:val="center"/>
          </w:tcPr>
          <w:p w14:paraId="796A2A4F" w14:textId="77777777" w:rsidR="00107085" w:rsidRDefault="00107085">
            <w:pPr>
              <w:spacing w:line="320" w:lineRule="exact"/>
              <w:ind w:firstLineChars="0" w:firstLine="0"/>
              <w:jc w:val="center"/>
              <w:rPr>
                <w:rFonts w:eastAsia="黑体"/>
                <w:kern w:val="0"/>
                <w:sz w:val="21"/>
                <w:szCs w:val="21"/>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78E604AB" w14:textId="77777777" w:rsidR="00107085" w:rsidRDefault="00107085">
            <w:pPr>
              <w:spacing w:line="320" w:lineRule="exact"/>
              <w:ind w:firstLineChars="0" w:firstLine="0"/>
              <w:jc w:val="center"/>
              <w:rPr>
                <w:rFonts w:eastAsia="黑体"/>
                <w:kern w:val="0"/>
                <w:sz w:val="21"/>
                <w:szCs w:val="21"/>
              </w:rPr>
            </w:pPr>
          </w:p>
        </w:tc>
        <w:tc>
          <w:tcPr>
            <w:tcW w:w="634" w:type="dxa"/>
            <w:vMerge/>
            <w:tcBorders>
              <w:top w:val="single" w:sz="4" w:space="0" w:color="000000"/>
              <w:left w:val="single" w:sz="4" w:space="0" w:color="000000"/>
              <w:bottom w:val="single" w:sz="4" w:space="0" w:color="000000"/>
              <w:right w:val="single" w:sz="4" w:space="0" w:color="000000"/>
            </w:tcBorders>
            <w:vAlign w:val="center"/>
          </w:tcPr>
          <w:p w14:paraId="2B4E0A96"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BF8D6B6"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451E320"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148328C1" w14:textId="77777777" w:rsidR="00107085" w:rsidRDefault="00107085">
            <w:pPr>
              <w:spacing w:line="320" w:lineRule="exact"/>
              <w:ind w:firstLineChars="0" w:firstLine="0"/>
              <w:jc w:val="center"/>
              <w:rPr>
                <w:rFonts w:eastAsia="黑体"/>
                <w:kern w:val="0"/>
                <w:sz w:val="21"/>
                <w:szCs w:val="21"/>
              </w:rPr>
            </w:pPr>
          </w:p>
        </w:tc>
      </w:tr>
      <w:tr w:rsidR="00107085" w14:paraId="32726D95"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71AE9760"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9</w:t>
            </w:r>
          </w:p>
        </w:tc>
        <w:tc>
          <w:tcPr>
            <w:tcW w:w="1555" w:type="dxa"/>
            <w:tcBorders>
              <w:top w:val="single" w:sz="4" w:space="0" w:color="000000"/>
              <w:left w:val="single" w:sz="4" w:space="0" w:color="000000"/>
              <w:bottom w:val="single" w:sz="4" w:space="0" w:color="000000"/>
              <w:right w:val="single" w:sz="4" w:space="0" w:color="000000"/>
            </w:tcBorders>
            <w:vAlign w:val="center"/>
          </w:tcPr>
          <w:p w14:paraId="51F2232D"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CS66011100009</w:t>
            </w:r>
          </w:p>
        </w:tc>
        <w:tc>
          <w:tcPr>
            <w:tcW w:w="1082" w:type="dxa"/>
            <w:vMerge/>
            <w:tcBorders>
              <w:top w:val="single" w:sz="4" w:space="0" w:color="000000"/>
              <w:left w:val="single" w:sz="4" w:space="0" w:color="000000"/>
              <w:bottom w:val="single" w:sz="4" w:space="0" w:color="000000"/>
              <w:right w:val="single" w:sz="4" w:space="0" w:color="000000"/>
            </w:tcBorders>
            <w:vAlign w:val="center"/>
          </w:tcPr>
          <w:p w14:paraId="513C655D" w14:textId="77777777" w:rsidR="00107085" w:rsidRDefault="00107085">
            <w:pPr>
              <w:spacing w:line="320" w:lineRule="exact"/>
              <w:ind w:firstLineChars="0" w:firstLine="0"/>
              <w:jc w:val="center"/>
              <w:rPr>
                <w:rFonts w:eastAsia="黑体"/>
                <w:kern w:val="0"/>
                <w:sz w:val="21"/>
                <w:szCs w:val="21"/>
              </w:rPr>
            </w:pPr>
          </w:p>
        </w:tc>
        <w:tc>
          <w:tcPr>
            <w:tcW w:w="477" w:type="dxa"/>
            <w:vMerge/>
            <w:tcBorders>
              <w:top w:val="single" w:sz="4" w:space="0" w:color="000000"/>
              <w:left w:val="single" w:sz="4" w:space="0" w:color="000000"/>
              <w:bottom w:val="single" w:sz="4" w:space="0" w:color="000000"/>
              <w:right w:val="single" w:sz="4" w:space="0" w:color="000000"/>
            </w:tcBorders>
            <w:vAlign w:val="center"/>
          </w:tcPr>
          <w:p w14:paraId="15098FD5" w14:textId="77777777" w:rsidR="00107085" w:rsidRDefault="00107085">
            <w:pPr>
              <w:spacing w:line="320" w:lineRule="exact"/>
              <w:ind w:firstLineChars="0" w:firstLine="0"/>
              <w:jc w:val="center"/>
              <w:rPr>
                <w:rFonts w:eastAsia="黑体"/>
                <w:kern w:val="0"/>
                <w:sz w:val="21"/>
                <w:szCs w:val="21"/>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2ADF9933" w14:textId="77777777" w:rsidR="00107085" w:rsidRDefault="00107085">
            <w:pPr>
              <w:spacing w:line="320" w:lineRule="exact"/>
              <w:ind w:firstLineChars="0" w:firstLine="0"/>
              <w:jc w:val="center"/>
              <w:rPr>
                <w:rFonts w:eastAsia="黑体"/>
                <w:kern w:val="0"/>
                <w:sz w:val="21"/>
                <w:szCs w:val="21"/>
              </w:rPr>
            </w:pPr>
          </w:p>
        </w:tc>
        <w:tc>
          <w:tcPr>
            <w:tcW w:w="634" w:type="dxa"/>
            <w:vMerge/>
            <w:tcBorders>
              <w:top w:val="single" w:sz="4" w:space="0" w:color="000000"/>
              <w:left w:val="single" w:sz="4" w:space="0" w:color="000000"/>
              <w:bottom w:val="single" w:sz="4" w:space="0" w:color="000000"/>
              <w:right w:val="single" w:sz="4" w:space="0" w:color="000000"/>
            </w:tcBorders>
            <w:vAlign w:val="center"/>
          </w:tcPr>
          <w:p w14:paraId="5F05038E"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E664A1B"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1535E0C0"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EFBF1A7" w14:textId="77777777" w:rsidR="00107085" w:rsidRDefault="00107085">
            <w:pPr>
              <w:spacing w:line="320" w:lineRule="exact"/>
              <w:ind w:firstLineChars="0" w:firstLine="0"/>
              <w:jc w:val="center"/>
              <w:rPr>
                <w:rFonts w:eastAsia="黑体"/>
                <w:kern w:val="0"/>
                <w:sz w:val="21"/>
                <w:szCs w:val="21"/>
              </w:rPr>
            </w:pPr>
          </w:p>
        </w:tc>
      </w:tr>
      <w:tr w:rsidR="00107085" w14:paraId="508B7C42"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6AE2C5C4"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10</w:t>
            </w:r>
          </w:p>
        </w:tc>
        <w:tc>
          <w:tcPr>
            <w:tcW w:w="1555" w:type="dxa"/>
            <w:tcBorders>
              <w:top w:val="single" w:sz="4" w:space="0" w:color="000000"/>
              <w:left w:val="single" w:sz="4" w:space="0" w:color="000000"/>
              <w:bottom w:val="single" w:sz="4" w:space="0" w:color="000000"/>
              <w:right w:val="single" w:sz="4" w:space="0" w:color="000000"/>
            </w:tcBorders>
            <w:vAlign w:val="center"/>
          </w:tcPr>
          <w:p w14:paraId="18C9EBD6"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CS66011100010</w:t>
            </w:r>
          </w:p>
        </w:tc>
        <w:tc>
          <w:tcPr>
            <w:tcW w:w="1082" w:type="dxa"/>
            <w:vMerge/>
            <w:tcBorders>
              <w:top w:val="single" w:sz="4" w:space="0" w:color="000000"/>
              <w:left w:val="single" w:sz="4" w:space="0" w:color="000000"/>
              <w:bottom w:val="single" w:sz="4" w:space="0" w:color="000000"/>
              <w:right w:val="single" w:sz="4" w:space="0" w:color="000000"/>
            </w:tcBorders>
            <w:vAlign w:val="center"/>
          </w:tcPr>
          <w:p w14:paraId="15693F7F" w14:textId="77777777" w:rsidR="00107085" w:rsidRDefault="00107085">
            <w:pPr>
              <w:spacing w:line="320" w:lineRule="exact"/>
              <w:ind w:firstLineChars="0" w:firstLine="0"/>
              <w:jc w:val="center"/>
              <w:rPr>
                <w:rFonts w:eastAsia="黑体"/>
                <w:kern w:val="0"/>
                <w:sz w:val="21"/>
                <w:szCs w:val="21"/>
              </w:rPr>
            </w:pPr>
          </w:p>
        </w:tc>
        <w:tc>
          <w:tcPr>
            <w:tcW w:w="477" w:type="dxa"/>
            <w:vMerge/>
            <w:tcBorders>
              <w:top w:val="single" w:sz="4" w:space="0" w:color="000000"/>
              <w:left w:val="single" w:sz="4" w:space="0" w:color="000000"/>
              <w:bottom w:val="single" w:sz="4" w:space="0" w:color="000000"/>
              <w:right w:val="single" w:sz="4" w:space="0" w:color="000000"/>
            </w:tcBorders>
            <w:vAlign w:val="center"/>
          </w:tcPr>
          <w:p w14:paraId="01B59AF2" w14:textId="77777777" w:rsidR="00107085" w:rsidRDefault="00107085">
            <w:pPr>
              <w:spacing w:line="320" w:lineRule="exact"/>
              <w:ind w:firstLineChars="0" w:firstLine="0"/>
              <w:jc w:val="center"/>
              <w:rPr>
                <w:rFonts w:eastAsia="黑体"/>
                <w:kern w:val="0"/>
                <w:sz w:val="21"/>
                <w:szCs w:val="21"/>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2F05E50C" w14:textId="77777777" w:rsidR="00107085" w:rsidRDefault="00107085">
            <w:pPr>
              <w:spacing w:line="320" w:lineRule="exact"/>
              <w:ind w:firstLineChars="0" w:firstLine="0"/>
              <w:jc w:val="center"/>
              <w:rPr>
                <w:rFonts w:eastAsia="黑体"/>
                <w:kern w:val="0"/>
                <w:sz w:val="21"/>
                <w:szCs w:val="21"/>
              </w:rPr>
            </w:pPr>
          </w:p>
        </w:tc>
        <w:tc>
          <w:tcPr>
            <w:tcW w:w="634" w:type="dxa"/>
            <w:vMerge/>
            <w:tcBorders>
              <w:top w:val="single" w:sz="4" w:space="0" w:color="000000"/>
              <w:left w:val="single" w:sz="4" w:space="0" w:color="000000"/>
              <w:bottom w:val="single" w:sz="4" w:space="0" w:color="000000"/>
              <w:right w:val="single" w:sz="4" w:space="0" w:color="000000"/>
            </w:tcBorders>
            <w:vAlign w:val="center"/>
          </w:tcPr>
          <w:p w14:paraId="1030BA82"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86FB9BC"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1353717"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18F465E" w14:textId="77777777" w:rsidR="00107085" w:rsidRDefault="00107085">
            <w:pPr>
              <w:spacing w:line="320" w:lineRule="exact"/>
              <w:ind w:firstLineChars="0" w:firstLine="0"/>
              <w:jc w:val="center"/>
              <w:rPr>
                <w:rFonts w:eastAsia="黑体"/>
                <w:kern w:val="0"/>
                <w:sz w:val="21"/>
                <w:szCs w:val="21"/>
              </w:rPr>
            </w:pPr>
          </w:p>
        </w:tc>
      </w:tr>
      <w:tr w:rsidR="00107085" w14:paraId="36475509" w14:textId="77777777" w:rsidTr="003A134D">
        <w:trPr>
          <w:trHeight w:val="557"/>
        </w:trPr>
        <w:tc>
          <w:tcPr>
            <w:tcW w:w="0" w:type="auto"/>
            <w:tcBorders>
              <w:top w:val="single" w:sz="4" w:space="0" w:color="000000"/>
              <w:left w:val="single" w:sz="4" w:space="0" w:color="000000"/>
              <w:bottom w:val="single" w:sz="4" w:space="0" w:color="000000"/>
              <w:right w:val="single" w:sz="4" w:space="0" w:color="000000"/>
            </w:tcBorders>
            <w:vAlign w:val="center"/>
          </w:tcPr>
          <w:p w14:paraId="122AD056"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11</w:t>
            </w:r>
          </w:p>
        </w:tc>
        <w:tc>
          <w:tcPr>
            <w:tcW w:w="1555" w:type="dxa"/>
            <w:tcBorders>
              <w:top w:val="single" w:sz="4" w:space="0" w:color="000000"/>
              <w:left w:val="single" w:sz="4" w:space="0" w:color="000000"/>
              <w:bottom w:val="single" w:sz="4" w:space="0" w:color="000000"/>
              <w:right w:val="single" w:sz="4" w:space="0" w:color="000000"/>
            </w:tcBorders>
            <w:vAlign w:val="center"/>
          </w:tcPr>
          <w:p w14:paraId="0F873D59"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CS66011100011</w:t>
            </w:r>
          </w:p>
        </w:tc>
        <w:tc>
          <w:tcPr>
            <w:tcW w:w="1082" w:type="dxa"/>
            <w:vMerge w:val="restart"/>
            <w:tcBorders>
              <w:top w:val="single" w:sz="4" w:space="0" w:color="000000"/>
              <w:left w:val="single" w:sz="4" w:space="0" w:color="000000"/>
              <w:bottom w:val="single" w:sz="4" w:space="0" w:color="000000"/>
              <w:right w:val="single" w:sz="4" w:space="0" w:color="000000"/>
            </w:tcBorders>
            <w:vAlign w:val="center"/>
          </w:tcPr>
          <w:p w14:paraId="52494B75"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r>
              <w:rPr>
                <w:rFonts w:eastAsia="黑体"/>
                <w:kern w:val="0"/>
                <w:sz w:val="21"/>
                <w:szCs w:val="21"/>
              </w:rPr>
              <w:t>11</w:t>
            </w:r>
            <w:r>
              <w:rPr>
                <w:rFonts w:eastAsia="黑体"/>
                <w:kern w:val="0"/>
                <w:sz w:val="21"/>
                <w:szCs w:val="21"/>
              </w:rPr>
              <w:t>团砂石土开采区块</w:t>
            </w:r>
          </w:p>
        </w:tc>
        <w:tc>
          <w:tcPr>
            <w:tcW w:w="477" w:type="dxa"/>
            <w:vMerge w:val="restart"/>
            <w:tcBorders>
              <w:top w:val="single" w:sz="4" w:space="0" w:color="000000"/>
              <w:left w:val="single" w:sz="4" w:space="0" w:color="000000"/>
              <w:bottom w:val="single" w:sz="4" w:space="0" w:color="000000"/>
              <w:right w:val="single" w:sz="4" w:space="0" w:color="000000"/>
            </w:tcBorders>
            <w:vAlign w:val="center"/>
          </w:tcPr>
          <w:p w14:paraId="60E0B652"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27BF5A6E"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 xml:space="preserve">1.09 </w:t>
            </w:r>
          </w:p>
        </w:tc>
        <w:tc>
          <w:tcPr>
            <w:tcW w:w="634" w:type="dxa"/>
            <w:vMerge w:val="restart"/>
            <w:tcBorders>
              <w:top w:val="single" w:sz="4" w:space="0" w:color="000000"/>
              <w:left w:val="single" w:sz="4" w:space="0" w:color="000000"/>
              <w:bottom w:val="single" w:sz="4" w:space="0" w:color="000000"/>
              <w:right w:val="single" w:sz="4" w:space="0" w:color="000000"/>
            </w:tcBorders>
            <w:vAlign w:val="center"/>
          </w:tcPr>
          <w:p w14:paraId="72FD045A"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6F9CDB17"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6F8DFEDC"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30</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577215A"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为</w:t>
            </w:r>
            <w:r>
              <w:rPr>
                <w:rFonts w:eastAsia="黑体"/>
                <w:kern w:val="0"/>
                <w:sz w:val="21"/>
                <w:szCs w:val="21"/>
              </w:rPr>
              <w:t>11</w:t>
            </w:r>
            <w:r>
              <w:rPr>
                <w:rFonts w:eastAsia="黑体"/>
                <w:kern w:val="0"/>
                <w:sz w:val="21"/>
                <w:szCs w:val="21"/>
              </w:rPr>
              <w:t>团团场公路、城镇建设和水利建设等提供建筑用砂</w:t>
            </w:r>
          </w:p>
        </w:tc>
      </w:tr>
      <w:tr w:rsidR="00107085" w14:paraId="6C8A8D26"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6995FDDA"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12</w:t>
            </w:r>
          </w:p>
        </w:tc>
        <w:tc>
          <w:tcPr>
            <w:tcW w:w="1555" w:type="dxa"/>
            <w:tcBorders>
              <w:top w:val="single" w:sz="4" w:space="0" w:color="000000"/>
              <w:left w:val="single" w:sz="4" w:space="0" w:color="000000"/>
              <w:bottom w:val="single" w:sz="4" w:space="0" w:color="000000"/>
              <w:right w:val="single" w:sz="4" w:space="0" w:color="000000"/>
            </w:tcBorders>
            <w:vAlign w:val="center"/>
          </w:tcPr>
          <w:p w14:paraId="3A388E41"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CS66011100012</w:t>
            </w:r>
          </w:p>
        </w:tc>
        <w:tc>
          <w:tcPr>
            <w:tcW w:w="1082" w:type="dxa"/>
            <w:vMerge/>
            <w:tcBorders>
              <w:top w:val="single" w:sz="4" w:space="0" w:color="000000"/>
              <w:left w:val="single" w:sz="4" w:space="0" w:color="000000"/>
              <w:bottom w:val="single" w:sz="4" w:space="0" w:color="000000"/>
              <w:right w:val="single" w:sz="4" w:space="0" w:color="000000"/>
            </w:tcBorders>
            <w:vAlign w:val="center"/>
          </w:tcPr>
          <w:p w14:paraId="26B62955" w14:textId="77777777" w:rsidR="00107085" w:rsidRDefault="00107085">
            <w:pPr>
              <w:spacing w:line="320" w:lineRule="exact"/>
              <w:ind w:firstLineChars="0" w:firstLine="0"/>
              <w:jc w:val="center"/>
              <w:rPr>
                <w:rFonts w:eastAsia="黑体"/>
                <w:kern w:val="0"/>
                <w:sz w:val="21"/>
                <w:szCs w:val="21"/>
              </w:rPr>
            </w:pPr>
          </w:p>
        </w:tc>
        <w:tc>
          <w:tcPr>
            <w:tcW w:w="477" w:type="dxa"/>
            <w:vMerge/>
            <w:tcBorders>
              <w:top w:val="single" w:sz="4" w:space="0" w:color="000000"/>
              <w:left w:val="single" w:sz="4" w:space="0" w:color="000000"/>
              <w:bottom w:val="single" w:sz="4" w:space="0" w:color="000000"/>
              <w:right w:val="single" w:sz="4" w:space="0" w:color="000000"/>
            </w:tcBorders>
            <w:vAlign w:val="center"/>
          </w:tcPr>
          <w:p w14:paraId="355C73ED" w14:textId="77777777" w:rsidR="00107085" w:rsidRDefault="00107085">
            <w:pPr>
              <w:spacing w:line="320" w:lineRule="exact"/>
              <w:ind w:firstLineChars="0" w:firstLine="0"/>
              <w:jc w:val="center"/>
              <w:rPr>
                <w:rFonts w:eastAsia="黑体"/>
                <w:kern w:val="0"/>
                <w:sz w:val="21"/>
                <w:szCs w:val="21"/>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36D820F7" w14:textId="77777777" w:rsidR="00107085" w:rsidRDefault="00107085">
            <w:pPr>
              <w:spacing w:line="320" w:lineRule="exact"/>
              <w:ind w:firstLineChars="0" w:firstLine="0"/>
              <w:jc w:val="center"/>
              <w:rPr>
                <w:rFonts w:eastAsia="黑体"/>
                <w:kern w:val="0"/>
                <w:sz w:val="21"/>
                <w:szCs w:val="21"/>
              </w:rPr>
            </w:pPr>
          </w:p>
        </w:tc>
        <w:tc>
          <w:tcPr>
            <w:tcW w:w="634" w:type="dxa"/>
            <w:vMerge/>
            <w:tcBorders>
              <w:top w:val="single" w:sz="4" w:space="0" w:color="000000"/>
              <w:left w:val="single" w:sz="4" w:space="0" w:color="000000"/>
              <w:bottom w:val="single" w:sz="4" w:space="0" w:color="000000"/>
              <w:right w:val="single" w:sz="4" w:space="0" w:color="000000"/>
            </w:tcBorders>
            <w:vAlign w:val="center"/>
          </w:tcPr>
          <w:p w14:paraId="1C7583B7"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34AD11B"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844D98A"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145A7015" w14:textId="77777777" w:rsidR="00107085" w:rsidRDefault="00107085">
            <w:pPr>
              <w:spacing w:line="320" w:lineRule="exact"/>
              <w:ind w:firstLineChars="0" w:firstLine="0"/>
              <w:jc w:val="center"/>
              <w:rPr>
                <w:rFonts w:eastAsia="黑体"/>
                <w:kern w:val="0"/>
                <w:sz w:val="21"/>
                <w:szCs w:val="21"/>
              </w:rPr>
            </w:pPr>
          </w:p>
        </w:tc>
      </w:tr>
      <w:tr w:rsidR="00107085" w14:paraId="51A06E8D"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1A55DB80"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13</w:t>
            </w:r>
          </w:p>
        </w:tc>
        <w:tc>
          <w:tcPr>
            <w:tcW w:w="1555" w:type="dxa"/>
            <w:tcBorders>
              <w:top w:val="single" w:sz="4" w:space="0" w:color="000000"/>
              <w:left w:val="single" w:sz="4" w:space="0" w:color="000000"/>
              <w:bottom w:val="single" w:sz="4" w:space="0" w:color="000000"/>
              <w:right w:val="single" w:sz="4" w:space="0" w:color="000000"/>
            </w:tcBorders>
            <w:vAlign w:val="center"/>
          </w:tcPr>
          <w:p w14:paraId="6AD2782B"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CS66011100013</w:t>
            </w:r>
          </w:p>
        </w:tc>
        <w:tc>
          <w:tcPr>
            <w:tcW w:w="1082" w:type="dxa"/>
            <w:vMerge w:val="restart"/>
            <w:tcBorders>
              <w:top w:val="single" w:sz="4" w:space="0" w:color="000000"/>
              <w:left w:val="single" w:sz="4" w:space="0" w:color="000000"/>
              <w:bottom w:val="single" w:sz="4" w:space="0" w:color="000000"/>
              <w:right w:val="single" w:sz="4" w:space="0" w:color="000000"/>
            </w:tcBorders>
            <w:vAlign w:val="center"/>
          </w:tcPr>
          <w:p w14:paraId="2758EC14"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r>
              <w:rPr>
                <w:rFonts w:eastAsia="黑体"/>
                <w:kern w:val="0"/>
                <w:sz w:val="21"/>
                <w:szCs w:val="21"/>
              </w:rPr>
              <w:t>12</w:t>
            </w:r>
            <w:r>
              <w:rPr>
                <w:rFonts w:eastAsia="黑体"/>
                <w:kern w:val="0"/>
                <w:sz w:val="21"/>
                <w:szCs w:val="21"/>
              </w:rPr>
              <w:t>团砂石土开采区块</w:t>
            </w:r>
          </w:p>
        </w:tc>
        <w:tc>
          <w:tcPr>
            <w:tcW w:w="477" w:type="dxa"/>
            <w:vMerge w:val="restart"/>
            <w:tcBorders>
              <w:top w:val="single" w:sz="4" w:space="0" w:color="000000"/>
              <w:left w:val="single" w:sz="4" w:space="0" w:color="000000"/>
              <w:bottom w:val="single" w:sz="4" w:space="0" w:color="000000"/>
              <w:right w:val="single" w:sz="4" w:space="0" w:color="000000"/>
            </w:tcBorders>
            <w:vAlign w:val="center"/>
          </w:tcPr>
          <w:p w14:paraId="196588D2"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673E93B0"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 xml:space="preserve">0.57 </w:t>
            </w:r>
          </w:p>
        </w:tc>
        <w:tc>
          <w:tcPr>
            <w:tcW w:w="634" w:type="dxa"/>
            <w:vMerge w:val="restart"/>
            <w:tcBorders>
              <w:top w:val="single" w:sz="4" w:space="0" w:color="000000"/>
              <w:left w:val="single" w:sz="4" w:space="0" w:color="000000"/>
              <w:bottom w:val="single" w:sz="4" w:space="0" w:color="000000"/>
              <w:right w:val="single" w:sz="4" w:space="0" w:color="000000"/>
            </w:tcBorders>
            <w:vAlign w:val="center"/>
          </w:tcPr>
          <w:p w14:paraId="66B4B801"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03DBE0"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516EE3A"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30</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4BBDF658"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为</w:t>
            </w:r>
            <w:r>
              <w:rPr>
                <w:rFonts w:eastAsia="黑体"/>
                <w:kern w:val="0"/>
                <w:sz w:val="21"/>
                <w:szCs w:val="21"/>
              </w:rPr>
              <w:t>12</w:t>
            </w:r>
            <w:r>
              <w:rPr>
                <w:rFonts w:eastAsia="黑体"/>
                <w:kern w:val="0"/>
                <w:sz w:val="21"/>
                <w:szCs w:val="21"/>
              </w:rPr>
              <w:t>团团场公路、城镇建设和水利建设等提供建筑用砂</w:t>
            </w:r>
          </w:p>
        </w:tc>
      </w:tr>
      <w:tr w:rsidR="00107085" w14:paraId="7DEF8629"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12BDF63C"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14</w:t>
            </w:r>
          </w:p>
        </w:tc>
        <w:tc>
          <w:tcPr>
            <w:tcW w:w="1555" w:type="dxa"/>
            <w:tcBorders>
              <w:top w:val="single" w:sz="4" w:space="0" w:color="000000"/>
              <w:left w:val="single" w:sz="4" w:space="0" w:color="000000"/>
              <w:bottom w:val="single" w:sz="4" w:space="0" w:color="000000"/>
              <w:right w:val="single" w:sz="4" w:space="0" w:color="000000"/>
            </w:tcBorders>
            <w:vAlign w:val="center"/>
          </w:tcPr>
          <w:p w14:paraId="1C9C1B90"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CS66011100014</w:t>
            </w:r>
          </w:p>
        </w:tc>
        <w:tc>
          <w:tcPr>
            <w:tcW w:w="1082" w:type="dxa"/>
            <w:vMerge/>
            <w:tcBorders>
              <w:top w:val="single" w:sz="4" w:space="0" w:color="000000"/>
              <w:left w:val="single" w:sz="4" w:space="0" w:color="000000"/>
              <w:bottom w:val="single" w:sz="4" w:space="0" w:color="000000"/>
              <w:right w:val="single" w:sz="4" w:space="0" w:color="000000"/>
            </w:tcBorders>
            <w:vAlign w:val="center"/>
          </w:tcPr>
          <w:p w14:paraId="2BDA2CE5" w14:textId="77777777" w:rsidR="00107085" w:rsidRDefault="00107085">
            <w:pPr>
              <w:spacing w:line="320" w:lineRule="exact"/>
              <w:ind w:firstLineChars="0" w:firstLine="0"/>
              <w:jc w:val="center"/>
              <w:rPr>
                <w:rFonts w:eastAsia="黑体"/>
                <w:kern w:val="0"/>
                <w:sz w:val="21"/>
                <w:szCs w:val="21"/>
              </w:rPr>
            </w:pPr>
          </w:p>
        </w:tc>
        <w:tc>
          <w:tcPr>
            <w:tcW w:w="477" w:type="dxa"/>
            <w:vMerge/>
            <w:tcBorders>
              <w:top w:val="single" w:sz="4" w:space="0" w:color="000000"/>
              <w:left w:val="single" w:sz="4" w:space="0" w:color="000000"/>
              <w:bottom w:val="single" w:sz="4" w:space="0" w:color="000000"/>
              <w:right w:val="single" w:sz="4" w:space="0" w:color="000000"/>
            </w:tcBorders>
            <w:vAlign w:val="center"/>
          </w:tcPr>
          <w:p w14:paraId="6BF90EE7" w14:textId="77777777" w:rsidR="00107085" w:rsidRDefault="00107085">
            <w:pPr>
              <w:spacing w:line="320" w:lineRule="exact"/>
              <w:ind w:firstLineChars="0" w:firstLine="0"/>
              <w:jc w:val="center"/>
              <w:rPr>
                <w:rFonts w:eastAsia="黑体"/>
                <w:kern w:val="0"/>
                <w:sz w:val="21"/>
                <w:szCs w:val="21"/>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4CBD9938" w14:textId="77777777" w:rsidR="00107085" w:rsidRDefault="00107085">
            <w:pPr>
              <w:spacing w:line="320" w:lineRule="exact"/>
              <w:ind w:firstLineChars="0" w:firstLine="0"/>
              <w:jc w:val="center"/>
              <w:rPr>
                <w:rFonts w:eastAsia="黑体"/>
                <w:kern w:val="0"/>
                <w:sz w:val="21"/>
                <w:szCs w:val="21"/>
              </w:rPr>
            </w:pPr>
          </w:p>
        </w:tc>
        <w:tc>
          <w:tcPr>
            <w:tcW w:w="634" w:type="dxa"/>
            <w:vMerge/>
            <w:tcBorders>
              <w:top w:val="single" w:sz="4" w:space="0" w:color="000000"/>
              <w:left w:val="single" w:sz="4" w:space="0" w:color="000000"/>
              <w:bottom w:val="single" w:sz="4" w:space="0" w:color="000000"/>
              <w:right w:val="single" w:sz="4" w:space="0" w:color="000000"/>
            </w:tcBorders>
            <w:vAlign w:val="center"/>
          </w:tcPr>
          <w:p w14:paraId="20ABE95D"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E245D76"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4227F69"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A7ECF9D" w14:textId="77777777" w:rsidR="00107085" w:rsidRDefault="00107085">
            <w:pPr>
              <w:spacing w:line="320" w:lineRule="exact"/>
              <w:ind w:firstLineChars="0" w:firstLine="0"/>
              <w:jc w:val="center"/>
              <w:rPr>
                <w:rFonts w:eastAsia="黑体"/>
                <w:kern w:val="0"/>
                <w:sz w:val="21"/>
                <w:szCs w:val="21"/>
              </w:rPr>
            </w:pPr>
          </w:p>
        </w:tc>
      </w:tr>
      <w:tr w:rsidR="00107085" w14:paraId="321D88F9"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68FAC1B6"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15</w:t>
            </w:r>
          </w:p>
        </w:tc>
        <w:tc>
          <w:tcPr>
            <w:tcW w:w="1555" w:type="dxa"/>
            <w:tcBorders>
              <w:top w:val="single" w:sz="4" w:space="0" w:color="000000"/>
              <w:left w:val="single" w:sz="4" w:space="0" w:color="000000"/>
              <w:bottom w:val="single" w:sz="4" w:space="0" w:color="000000"/>
              <w:right w:val="single" w:sz="4" w:space="0" w:color="000000"/>
            </w:tcBorders>
            <w:vAlign w:val="center"/>
          </w:tcPr>
          <w:p w14:paraId="76E655D4"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CS66011100015</w:t>
            </w:r>
          </w:p>
        </w:tc>
        <w:tc>
          <w:tcPr>
            <w:tcW w:w="1082" w:type="dxa"/>
            <w:vMerge w:val="restart"/>
            <w:tcBorders>
              <w:top w:val="single" w:sz="4" w:space="0" w:color="000000"/>
              <w:left w:val="single" w:sz="4" w:space="0" w:color="000000"/>
              <w:bottom w:val="single" w:sz="4" w:space="0" w:color="000000"/>
              <w:right w:val="single" w:sz="4" w:space="0" w:color="000000"/>
            </w:tcBorders>
            <w:vAlign w:val="center"/>
          </w:tcPr>
          <w:p w14:paraId="7D77A9BC"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r>
              <w:rPr>
                <w:rFonts w:eastAsia="黑体"/>
                <w:kern w:val="0"/>
                <w:sz w:val="21"/>
                <w:szCs w:val="21"/>
              </w:rPr>
              <w:t>7</w:t>
            </w:r>
            <w:r>
              <w:rPr>
                <w:rFonts w:eastAsia="黑体"/>
                <w:kern w:val="0"/>
                <w:sz w:val="21"/>
                <w:szCs w:val="21"/>
              </w:rPr>
              <w:t>团砂石土开采区块</w:t>
            </w:r>
          </w:p>
        </w:tc>
        <w:tc>
          <w:tcPr>
            <w:tcW w:w="477" w:type="dxa"/>
            <w:vMerge w:val="restart"/>
            <w:tcBorders>
              <w:top w:val="single" w:sz="4" w:space="0" w:color="000000"/>
              <w:left w:val="single" w:sz="4" w:space="0" w:color="000000"/>
              <w:bottom w:val="single" w:sz="4" w:space="0" w:color="000000"/>
              <w:right w:val="single" w:sz="4" w:space="0" w:color="000000"/>
            </w:tcBorders>
            <w:vAlign w:val="center"/>
          </w:tcPr>
          <w:p w14:paraId="72B79E16"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09389786"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 xml:space="preserve">0.74 </w:t>
            </w:r>
          </w:p>
        </w:tc>
        <w:tc>
          <w:tcPr>
            <w:tcW w:w="634" w:type="dxa"/>
            <w:vMerge w:val="restart"/>
            <w:tcBorders>
              <w:top w:val="single" w:sz="4" w:space="0" w:color="000000"/>
              <w:left w:val="single" w:sz="4" w:space="0" w:color="000000"/>
              <w:bottom w:val="single" w:sz="4" w:space="0" w:color="000000"/>
              <w:right w:val="single" w:sz="4" w:space="0" w:color="000000"/>
            </w:tcBorders>
            <w:vAlign w:val="center"/>
          </w:tcPr>
          <w:p w14:paraId="5B19A7F3"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2</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024CFEEE"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5EDCA848"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30</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5230B85C"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为</w:t>
            </w:r>
            <w:r>
              <w:rPr>
                <w:rFonts w:eastAsia="黑体"/>
                <w:kern w:val="0"/>
                <w:sz w:val="21"/>
                <w:szCs w:val="21"/>
              </w:rPr>
              <w:t>7</w:t>
            </w:r>
            <w:r>
              <w:rPr>
                <w:rFonts w:eastAsia="黑体"/>
                <w:kern w:val="0"/>
                <w:sz w:val="21"/>
                <w:szCs w:val="21"/>
              </w:rPr>
              <w:t>团团场公路、城镇建设和水利建设等提供建筑用砂</w:t>
            </w:r>
          </w:p>
        </w:tc>
      </w:tr>
      <w:tr w:rsidR="00107085" w14:paraId="0A3B0997"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321C9359"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16</w:t>
            </w:r>
          </w:p>
        </w:tc>
        <w:tc>
          <w:tcPr>
            <w:tcW w:w="1555" w:type="dxa"/>
            <w:tcBorders>
              <w:top w:val="single" w:sz="4" w:space="0" w:color="000000"/>
              <w:left w:val="single" w:sz="4" w:space="0" w:color="000000"/>
              <w:bottom w:val="single" w:sz="4" w:space="0" w:color="000000"/>
              <w:right w:val="single" w:sz="4" w:space="0" w:color="000000"/>
            </w:tcBorders>
            <w:vAlign w:val="center"/>
          </w:tcPr>
          <w:p w14:paraId="0D4D7D79"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CS66011100016</w:t>
            </w:r>
          </w:p>
        </w:tc>
        <w:tc>
          <w:tcPr>
            <w:tcW w:w="1082" w:type="dxa"/>
            <w:vMerge/>
            <w:tcBorders>
              <w:top w:val="single" w:sz="4" w:space="0" w:color="000000"/>
              <w:left w:val="single" w:sz="4" w:space="0" w:color="000000"/>
              <w:bottom w:val="single" w:sz="4" w:space="0" w:color="000000"/>
              <w:right w:val="single" w:sz="4" w:space="0" w:color="000000"/>
            </w:tcBorders>
            <w:vAlign w:val="center"/>
          </w:tcPr>
          <w:p w14:paraId="70D35103" w14:textId="77777777" w:rsidR="00107085" w:rsidRDefault="00107085">
            <w:pPr>
              <w:spacing w:line="320" w:lineRule="exact"/>
              <w:ind w:firstLineChars="0" w:firstLine="0"/>
              <w:jc w:val="center"/>
              <w:rPr>
                <w:rFonts w:eastAsia="黑体"/>
                <w:kern w:val="0"/>
                <w:sz w:val="21"/>
                <w:szCs w:val="21"/>
              </w:rPr>
            </w:pPr>
          </w:p>
        </w:tc>
        <w:tc>
          <w:tcPr>
            <w:tcW w:w="477" w:type="dxa"/>
            <w:vMerge/>
            <w:tcBorders>
              <w:top w:val="single" w:sz="4" w:space="0" w:color="000000"/>
              <w:left w:val="single" w:sz="4" w:space="0" w:color="000000"/>
              <w:bottom w:val="single" w:sz="4" w:space="0" w:color="000000"/>
              <w:right w:val="single" w:sz="4" w:space="0" w:color="000000"/>
            </w:tcBorders>
            <w:vAlign w:val="center"/>
          </w:tcPr>
          <w:p w14:paraId="75D7D9EC" w14:textId="77777777" w:rsidR="00107085" w:rsidRDefault="00107085">
            <w:pPr>
              <w:spacing w:line="320" w:lineRule="exact"/>
              <w:ind w:firstLineChars="0" w:firstLine="0"/>
              <w:jc w:val="center"/>
              <w:rPr>
                <w:rFonts w:eastAsia="黑体"/>
                <w:kern w:val="0"/>
                <w:sz w:val="21"/>
                <w:szCs w:val="21"/>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74D01A0F" w14:textId="77777777" w:rsidR="00107085" w:rsidRDefault="00107085">
            <w:pPr>
              <w:spacing w:line="320" w:lineRule="exact"/>
              <w:ind w:firstLineChars="0" w:firstLine="0"/>
              <w:jc w:val="center"/>
              <w:rPr>
                <w:rFonts w:eastAsia="黑体"/>
                <w:kern w:val="0"/>
                <w:sz w:val="21"/>
                <w:szCs w:val="21"/>
              </w:rPr>
            </w:pPr>
          </w:p>
        </w:tc>
        <w:tc>
          <w:tcPr>
            <w:tcW w:w="634" w:type="dxa"/>
            <w:vMerge/>
            <w:tcBorders>
              <w:top w:val="single" w:sz="4" w:space="0" w:color="000000"/>
              <w:left w:val="single" w:sz="4" w:space="0" w:color="000000"/>
              <w:bottom w:val="single" w:sz="4" w:space="0" w:color="000000"/>
              <w:right w:val="single" w:sz="4" w:space="0" w:color="000000"/>
            </w:tcBorders>
            <w:vAlign w:val="center"/>
          </w:tcPr>
          <w:p w14:paraId="6E849DDE"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0A9478E"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92B00CF" w14:textId="77777777" w:rsidR="00107085" w:rsidRDefault="00107085">
            <w:pPr>
              <w:spacing w:line="320" w:lineRule="exact"/>
              <w:ind w:firstLineChars="0" w:firstLine="0"/>
              <w:jc w:val="center"/>
              <w:rPr>
                <w:rFonts w:eastAsia="黑体"/>
                <w:kern w:val="0"/>
                <w:sz w:val="21"/>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1CAC02A" w14:textId="77777777" w:rsidR="00107085" w:rsidRDefault="00107085">
            <w:pPr>
              <w:spacing w:line="320" w:lineRule="exact"/>
              <w:ind w:firstLineChars="0" w:firstLine="0"/>
              <w:jc w:val="center"/>
              <w:rPr>
                <w:rFonts w:eastAsia="黑体"/>
                <w:kern w:val="0"/>
                <w:sz w:val="21"/>
                <w:szCs w:val="21"/>
              </w:rPr>
            </w:pPr>
          </w:p>
        </w:tc>
      </w:tr>
      <w:tr w:rsidR="00107085" w14:paraId="3D188870" w14:textId="77777777" w:rsidTr="003A134D">
        <w:trPr>
          <w:trHeight w:val="845"/>
        </w:trPr>
        <w:tc>
          <w:tcPr>
            <w:tcW w:w="0" w:type="auto"/>
            <w:tcBorders>
              <w:top w:val="single" w:sz="4" w:space="0" w:color="000000"/>
              <w:left w:val="single" w:sz="4" w:space="0" w:color="000000"/>
              <w:bottom w:val="single" w:sz="4" w:space="0" w:color="000000"/>
              <w:right w:val="single" w:sz="4" w:space="0" w:color="000000"/>
            </w:tcBorders>
            <w:vAlign w:val="center"/>
          </w:tcPr>
          <w:p w14:paraId="15EBA2ED"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17</w:t>
            </w:r>
          </w:p>
        </w:tc>
        <w:tc>
          <w:tcPr>
            <w:tcW w:w="1555" w:type="dxa"/>
            <w:tcBorders>
              <w:top w:val="single" w:sz="4" w:space="0" w:color="000000"/>
              <w:left w:val="single" w:sz="4" w:space="0" w:color="000000"/>
              <w:bottom w:val="single" w:sz="4" w:space="0" w:color="000000"/>
              <w:right w:val="single" w:sz="4" w:space="0" w:color="000000"/>
            </w:tcBorders>
            <w:vAlign w:val="center"/>
          </w:tcPr>
          <w:p w14:paraId="0BD61300"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CS66011100017</w:t>
            </w:r>
          </w:p>
        </w:tc>
        <w:tc>
          <w:tcPr>
            <w:tcW w:w="1082" w:type="dxa"/>
            <w:tcBorders>
              <w:top w:val="single" w:sz="4" w:space="0" w:color="000000"/>
              <w:left w:val="single" w:sz="4" w:space="0" w:color="000000"/>
              <w:bottom w:val="single" w:sz="4" w:space="0" w:color="000000"/>
              <w:right w:val="single" w:sz="4" w:space="0" w:color="000000"/>
            </w:tcBorders>
            <w:vAlign w:val="center"/>
          </w:tcPr>
          <w:p w14:paraId="2EA3A39E"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r>
              <w:rPr>
                <w:rFonts w:eastAsia="黑体"/>
                <w:kern w:val="0"/>
                <w:sz w:val="21"/>
                <w:szCs w:val="21"/>
              </w:rPr>
              <w:t>1</w:t>
            </w:r>
            <w:r>
              <w:rPr>
                <w:rFonts w:eastAsia="黑体"/>
                <w:kern w:val="0"/>
                <w:sz w:val="21"/>
                <w:szCs w:val="21"/>
              </w:rPr>
              <w:t>团砂石土开采区块</w:t>
            </w:r>
          </w:p>
        </w:tc>
        <w:tc>
          <w:tcPr>
            <w:tcW w:w="477" w:type="dxa"/>
            <w:tcBorders>
              <w:top w:val="single" w:sz="4" w:space="0" w:color="000000"/>
              <w:left w:val="single" w:sz="4" w:space="0" w:color="000000"/>
              <w:bottom w:val="single" w:sz="4" w:space="0" w:color="000000"/>
              <w:right w:val="single" w:sz="4" w:space="0" w:color="000000"/>
            </w:tcBorders>
            <w:vAlign w:val="center"/>
          </w:tcPr>
          <w:p w14:paraId="56C8BC37"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p>
        </w:tc>
        <w:tc>
          <w:tcPr>
            <w:tcW w:w="567" w:type="dxa"/>
            <w:tcBorders>
              <w:top w:val="single" w:sz="4" w:space="0" w:color="000000"/>
              <w:left w:val="single" w:sz="4" w:space="0" w:color="000000"/>
              <w:bottom w:val="single" w:sz="4" w:space="0" w:color="000000"/>
              <w:right w:val="single" w:sz="4" w:space="0" w:color="000000"/>
            </w:tcBorders>
            <w:vAlign w:val="center"/>
          </w:tcPr>
          <w:p w14:paraId="6DE95F52"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 xml:space="preserve">0.51 </w:t>
            </w:r>
          </w:p>
        </w:tc>
        <w:tc>
          <w:tcPr>
            <w:tcW w:w="634" w:type="dxa"/>
            <w:tcBorders>
              <w:top w:val="single" w:sz="4" w:space="0" w:color="000000"/>
              <w:left w:val="single" w:sz="4" w:space="0" w:color="000000"/>
              <w:bottom w:val="single" w:sz="4" w:space="0" w:color="000000"/>
              <w:right w:val="single" w:sz="4" w:space="0" w:color="000000"/>
            </w:tcBorders>
            <w:vAlign w:val="center"/>
          </w:tcPr>
          <w:p w14:paraId="2CFAC8B9"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2BF32578"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29F13247"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30</w:t>
            </w:r>
          </w:p>
        </w:tc>
        <w:tc>
          <w:tcPr>
            <w:tcW w:w="0" w:type="auto"/>
            <w:tcBorders>
              <w:top w:val="single" w:sz="4" w:space="0" w:color="000000"/>
              <w:left w:val="single" w:sz="4" w:space="0" w:color="000000"/>
              <w:bottom w:val="single" w:sz="4" w:space="0" w:color="000000"/>
              <w:right w:val="single" w:sz="4" w:space="0" w:color="000000"/>
            </w:tcBorders>
            <w:vAlign w:val="center"/>
          </w:tcPr>
          <w:p w14:paraId="2522A4C9"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为</w:t>
            </w:r>
            <w:r>
              <w:rPr>
                <w:rFonts w:eastAsia="黑体"/>
                <w:kern w:val="0"/>
                <w:sz w:val="21"/>
                <w:szCs w:val="21"/>
              </w:rPr>
              <w:t>1</w:t>
            </w:r>
            <w:r>
              <w:rPr>
                <w:rFonts w:eastAsia="黑体"/>
                <w:kern w:val="0"/>
                <w:sz w:val="21"/>
                <w:szCs w:val="21"/>
              </w:rPr>
              <w:t>团团场公路、城镇建设和水利建设等提供建筑用砂</w:t>
            </w:r>
          </w:p>
        </w:tc>
      </w:tr>
      <w:tr w:rsidR="00107085" w14:paraId="2D53BB8E" w14:textId="77777777" w:rsidTr="003A134D">
        <w:trPr>
          <w:trHeight w:val="700"/>
        </w:trPr>
        <w:tc>
          <w:tcPr>
            <w:tcW w:w="0" w:type="auto"/>
            <w:tcBorders>
              <w:top w:val="single" w:sz="4" w:space="0" w:color="000000"/>
              <w:left w:val="single" w:sz="4" w:space="0" w:color="000000"/>
              <w:bottom w:val="single" w:sz="4" w:space="0" w:color="000000"/>
              <w:right w:val="single" w:sz="4" w:space="0" w:color="000000"/>
            </w:tcBorders>
            <w:vAlign w:val="center"/>
          </w:tcPr>
          <w:p w14:paraId="71370D39"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18</w:t>
            </w:r>
          </w:p>
        </w:tc>
        <w:tc>
          <w:tcPr>
            <w:tcW w:w="1555" w:type="dxa"/>
            <w:tcBorders>
              <w:top w:val="single" w:sz="4" w:space="0" w:color="000000"/>
              <w:left w:val="single" w:sz="4" w:space="0" w:color="000000"/>
              <w:bottom w:val="single" w:sz="4" w:space="0" w:color="000000"/>
              <w:right w:val="single" w:sz="4" w:space="0" w:color="000000"/>
            </w:tcBorders>
            <w:vAlign w:val="center"/>
          </w:tcPr>
          <w:p w14:paraId="68032A0F"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CS66011100018</w:t>
            </w:r>
          </w:p>
        </w:tc>
        <w:tc>
          <w:tcPr>
            <w:tcW w:w="1082" w:type="dxa"/>
            <w:tcBorders>
              <w:top w:val="single" w:sz="4" w:space="0" w:color="000000"/>
              <w:left w:val="single" w:sz="4" w:space="0" w:color="000000"/>
              <w:bottom w:val="single" w:sz="4" w:space="0" w:color="000000"/>
              <w:right w:val="single" w:sz="4" w:space="0" w:color="000000"/>
            </w:tcBorders>
            <w:vAlign w:val="center"/>
          </w:tcPr>
          <w:p w14:paraId="5C716015"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r>
              <w:rPr>
                <w:rFonts w:eastAsia="黑体"/>
                <w:kern w:val="0"/>
                <w:sz w:val="21"/>
                <w:szCs w:val="21"/>
              </w:rPr>
              <w:t>2</w:t>
            </w:r>
            <w:r>
              <w:rPr>
                <w:rFonts w:eastAsia="黑体"/>
                <w:kern w:val="0"/>
                <w:sz w:val="21"/>
                <w:szCs w:val="21"/>
              </w:rPr>
              <w:t>团砂石土开采区块</w:t>
            </w:r>
          </w:p>
        </w:tc>
        <w:tc>
          <w:tcPr>
            <w:tcW w:w="477" w:type="dxa"/>
            <w:tcBorders>
              <w:top w:val="single" w:sz="4" w:space="0" w:color="000000"/>
              <w:left w:val="single" w:sz="4" w:space="0" w:color="000000"/>
              <w:bottom w:val="single" w:sz="4" w:space="0" w:color="000000"/>
              <w:right w:val="single" w:sz="4" w:space="0" w:color="000000"/>
            </w:tcBorders>
            <w:vAlign w:val="center"/>
          </w:tcPr>
          <w:p w14:paraId="047FEF48"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p>
        </w:tc>
        <w:tc>
          <w:tcPr>
            <w:tcW w:w="567" w:type="dxa"/>
            <w:tcBorders>
              <w:top w:val="single" w:sz="4" w:space="0" w:color="000000"/>
              <w:left w:val="single" w:sz="4" w:space="0" w:color="000000"/>
              <w:bottom w:val="single" w:sz="4" w:space="0" w:color="000000"/>
              <w:right w:val="single" w:sz="4" w:space="0" w:color="000000"/>
            </w:tcBorders>
            <w:vAlign w:val="center"/>
          </w:tcPr>
          <w:p w14:paraId="3B0B54FA"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 xml:space="preserve">4.16 </w:t>
            </w:r>
          </w:p>
        </w:tc>
        <w:tc>
          <w:tcPr>
            <w:tcW w:w="634" w:type="dxa"/>
            <w:tcBorders>
              <w:top w:val="single" w:sz="4" w:space="0" w:color="000000"/>
              <w:left w:val="single" w:sz="4" w:space="0" w:color="000000"/>
              <w:bottom w:val="single" w:sz="4" w:space="0" w:color="000000"/>
              <w:right w:val="single" w:sz="4" w:space="0" w:color="000000"/>
            </w:tcBorders>
            <w:vAlign w:val="center"/>
          </w:tcPr>
          <w:p w14:paraId="3CC7E106"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3</w:t>
            </w:r>
          </w:p>
        </w:tc>
        <w:tc>
          <w:tcPr>
            <w:tcW w:w="0" w:type="auto"/>
            <w:tcBorders>
              <w:top w:val="single" w:sz="4" w:space="0" w:color="000000"/>
              <w:left w:val="single" w:sz="4" w:space="0" w:color="000000"/>
              <w:bottom w:val="single" w:sz="4" w:space="0" w:color="000000"/>
              <w:right w:val="single" w:sz="4" w:space="0" w:color="000000"/>
            </w:tcBorders>
            <w:vAlign w:val="center"/>
          </w:tcPr>
          <w:p w14:paraId="5B1073BA"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21348A87"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77B31C5B"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为</w:t>
            </w:r>
            <w:r>
              <w:rPr>
                <w:rFonts w:eastAsia="黑体"/>
                <w:kern w:val="0"/>
                <w:sz w:val="21"/>
                <w:szCs w:val="21"/>
              </w:rPr>
              <w:t>2</w:t>
            </w:r>
            <w:r>
              <w:rPr>
                <w:rFonts w:eastAsia="黑体"/>
                <w:kern w:val="0"/>
                <w:sz w:val="21"/>
                <w:szCs w:val="21"/>
              </w:rPr>
              <w:t>团团场公路、城镇建设和水利建设等提供建筑用砂</w:t>
            </w:r>
          </w:p>
        </w:tc>
      </w:tr>
      <w:tr w:rsidR="00107085" w14:paraId="57F9274B"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004F1107"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19</w:t>
            </w:r>
          </w:p>
        </w:tc>
        <w:tc>
          <w:tcPr>
            <w:tcW w:w="1555" w:type="dxa"/>
            <w:tcBorders>
              <w:top w:val="single" w:sz="4" w:space="0" w:color="000000"/>
              <w:left w:val="single" w:sz="4" w:space="0" w:color="000000"/>
              <w:bottom w:val="single" w:sz="4" w:space="0" w:color="000000"/>
              <w:right w:val="single" w:sz="4" w:space="0" w:color="000000"/>
            </w:tcBorders>
            <w:vAlign w:val="center"/>
          </w:tcPr>
          <w:p w14:paraId="744CF63B"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CS66011100019</w:t>
            </w:r>
          </w:p>
        </w:tc>
        <w:tc>
          <w:tcPr>
            <w:tcW w:w="1082" w:type="dxa"/>
            <w:vMerge w:val="restart"/>
            <w:tcBorders>
              <w:top w:val="single" w:sz="4" w:space="0" w:color="000000"/>
              <w:left w:val="single" w:sz="4" w:space="0" w:color="000000"/>
              <w:bottom w:val="single" w:sz="4" w:space="0" w:color="000000"/>
              <w:right w:val="single" w:sz="4" w:space="0" w:color="000000"/>
            </w:tcBorders>
            <w:vAlign w:val="center"/>
          </w:tcPr>
          <w:p w14:paraId="478F3A95"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r>
              <w:rPr>
                <w:rFonts w:eastAsia="黑体"/>
                <w:kern w:val="0"/>
                <w:sz w:val="21"/>
                <w:szCs w:val="21"/>
              </w:rPr>
              <w:t>3</w:t>
            </w:r>
            <w:r>
              <w:rPr>
                <w:rFonts w:eastAsia="黑体"/>
                <w:kern w:val="0"/>
                <w:sz w:val="21"/>
                <w:szCs w:val="21"/>
              </w:rPr>
              <w:t>团砂石土开采区块</w:t>
            </w:r>
          </w:p>
        </w:tc>
        <w:tc>
          <w:tcPr>
            <w:tcW w:w="477" w:type="dxa"/>
            <w:vMerge w:val="restart"/>
            <w:tcBorders>
              <w:top w:val="single" w:sz="4" w:space="0" w:color="000000"/>
              <w:left w:val="single" w:sz="4" w:space="0" w:color="000000"/>
              <w:bottom w:val="single" w:sz="4" w:space="0" w:color="000000"/>
              <w:right w:val="single" w:sz="4" w:space="0" w:color="000000"/>
            </w:tcBorders>
            <w:vAlign w:val="center"/>
          </w:tcPr>
          <w:p w14:paraId="5CC745D0"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第一师</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63CE14AD"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 xml:space="preserve">3.55 </w:t>
            </w:r>
          </w:p>
        </w:tc>
        <w:tc>
          <w:tcPr>
            <w:tcW w:w="634" w:type="dxa"/>
            <w:vMerge w:val="restart"/>
            <w:tcBorders>
              <w:top w:val="single" w:sz="4" w:space="0" w:color="000000"/>
              <w:left w:val="single" w:sz="4" w:space="0" w:color="000000"/>
              <w:bottom w:val="single" w:sz="4" w:space="0" w:color="000000"/>
              <w:right w:val="single" w:sz="4" w:space="0" w:color="000000"/>
            </w:tcBorders>
            <w:vAlign w:val="center"/>
          </w:tcPr>
          <w:p w14:paraId="73FC2210"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2AB3AB43"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4</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49BDEF19"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120</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168A700C"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为</w:t>
            </w:r>
            <w:r>
              <w:rPr>
                <w:rFonts w:eastAsia="黑体"/>
                <w:kern w:val="0"/>
                <w:sz w:val="21"/>
                <w:szCs w:val="21"/>
              </w:rPr>
              <w:t>3</w:t>
            </w:r>
            <w:r>
              <w:rPr>
                <w:rFonts w:eastAsia="黑体"/>
                <w:kern w:val="0"/>
                <w:sz w:val="21"/>
                <w:szCs w:val="21"/>
              </w:rPr>
              <w:t>团团场公路、城镇建设和水利建设等提供建筑用砂</w:t>
            </w:r>
          </w:p>
        </w:tc>
      </w:tr>
      <w:tr w:rsidR="00107085" w14:paraId="667268E8"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0C654529"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20</w:t>
            </w:r>
          </w:p>
        </w:tc>
        <w:tc>
          <w:tcPr>
            <w:tcW w:w="1555" w:type="dxa"/>
            <w:tcBorders>
              <w:top w:val="single" w:sz="4" w:space="0" w:color="000000"/>
              <w:left w:val="single" w:sz="4" w:space="0" w:color="000000"/>
              <w:bottom w:val="single" w:sz="4" w:space="0" w:color="000000"/>
              <w:right w:val="single" w:sz="4" w:space="0" w:color="000000"/>
            </w:tcBorders>
            <w:vAlign w:val="center"/>
          </w:tcPr>
          <w:p w14:paraId="241AF25D"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CS66011100020</w:t>
            </w:r>
          </w:p>
        </w:tc>
        <w:tc>
          <w:tcPr>
            <w:tcW w:w="1082" w:type="dxa"/>
            <w:vMerge/>
            <w:tcBorders>
              <w:top w:val="single" w:sz="4" w:space="0" w:color="000000"/>
              <w:left w:val="single" w:sz="4" w:space="0" w:color="000000"/>
              <w:bottom w:val="single" w:sz="4" w:space="0" w:color="000000"/>
              <w:right w:val="single" w:sz="4" w:space="0" w:color="000000"/>
            </w:tcBorders>
            <w:vAlign w:val="center"/>
          </w:tcPr>
          <w:p w14:paraId="38D0A3AA" w14:textId="77777777" w:rsidR="00107085" w:rsidRDefault="00107085">
            <w:pPr>
              <w:spacing w:line="320" w:lineRule="exact"/>
              <w:ind w:firstLineChars="0" w:firstLine="0"/>
              <w:jc w:val="center"/>
              <w:rPr>
                <w:rFonts w:eastAsia="黑体"/>
                <w:kern w:val="0"/>
                <w:sz w:val="21"/>
                <w:szCs w:val="21"/>
                <w:highlight w:val="yellow"/>
              </w:rPr>
            </w:pPr>
          </w:p>
        </w:tc>
        <w:tc>
          <w:tcPr>
            <w:tcW w:w="477" w:type="dxa"/>
            <w:vMerge/>
            <w:tcBorders>
              <w:top w:val="single" w:sz="4" w:space="0" w:color="000000"/>
              <w:left w:val="single" w:sz="4" w:space="0" w:color="000000"/>
              <w:bottom w:val="single" w:sz="4" w:space="0" w:color="000000"/>
              <w:right w:val="single" w:sz="4" w:space="0" w:color="000000"/>
            </w:tcBorders>
            <w:vAlign w:val="center"/>
          </w:tcPr>
          <w:p w14:paraId="37238E58" w14:textId="77777777" w:rsidR="00107085" w:rsidRDefault="00107085">
            <w:pPr>
              <w:spacing w:line="320" w:lineRule="exact"/>
              <w:ind w:firstLineChars="0" w:firstLine="0"/>
              <w:jc w:val="center"/>
              <w:rPr>
                <w:rFonts w:eastAsia="黑体"/>
                <w:kern w:val="0"/>
                <w:sz w:val="21"/>
                <w:szCs w:val="21"/>
                <w:highlight w:val="yellow"/>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6A189AC9" w14:textId="77777777" w:rsidR="00107085" w:rsidRDefault="00107085">
            <w:pPr>
              <w:spacing w:line="320" w:lineRule="exact"/>
              <w:ind w:firstLineChars="0" w:firstLine="0"/>
              <w:jc w:val="center"/>
              <w:rPr>
                <w:rFonts w:eastAsia="黑体"/>
                <w:kern w:val="0"/>
                <w:sz w:val="21"/>
                <w:szCs w:val="21"/>
                <w:highlight w:val="yellow"/>
              </w:rPr>
            </w:pPr>
          </w:p>
        </w:tc>
        <w:tc>
          <w:tcPr>
            <w:tcW w:w="634" w:type="dxa"/>
            <w:vMerge/>
            <w:tcBorders>
              <w:top w:val="single" w:sz="4" w:space="0" w:color="000000"/>
              <w:left w:val="single" w:sz="4" w:space="0" w:color="000000"/>
              <w:bottom w:val="single" w:sz="4" w:space="0" w:color="000000"/>
              <w:right w:val="single" w:sz="4" w:space="0" w:color="000000"/>
            </w:tcBorders>
            <w:vAlign w:val="center"/>
          </w:tcPr>
          <w:p w14:paraId="4CF70289" w14:textId="77777777" w:rsidR="00107085" w:rsidRDefault="00107085">
            <w:pPr>
              <w:spacing w:line="320" w:lineRule="exact"/>
              <w:ind w:firstLineChars="0" w:firstLine="0"/>
              <w:jc w:val="center"/>
              <w:rPr>
                <w:rFonts w:eastAsia="黑体"/>
                <w:kern w:val="0"/>
                <w:sz w:val="21"/>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B2922BA" w14:textId="77777777" w:rsidR="00107085" w:rsidRDefault="00107085">
            <w:pPr>
              <w:spacing w:line="320" w:lineRule="exact"/>
              <w:ind w:firstLineChars="0" w:firstLine="0"/>
              <w:jc w:val="center"/>
              <w:rPr>
                <w:rFonts w:eastAsia="黑体"/>
                <w:kern w:val="0"/>
                <w:sz w:val="21"/>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426150F" w14:textId="77777777" w:rsidR="00107085" w:rsidRDefault="00107085">
            <w:pPr>
              <w:spacing w:line="320" w:lineRule="exact"/>
              <w:ind w:firstLineChars="0" w:firstLine="0"/>
              <w:jc w:val="center"/>
              <w:rPr>
                <w:rFonts w:eastAsia="黑体"/>
                <w:kern w:val="0"/>
                <w:sz w:val="21"/>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402B1F9" w14:textId="77777777" w:rsidR="00107085" w:rsidRDefault="00107085">
            <w:pPr>
              <w:spacing w:line="320" w:lineRule="exact"/>
              <w:ind w:firstLineChars="0" w:firstLine="0"/>
              <w:jc w:val="center"/>
              <w:rPr>
                <w:rFonts w:eastAsia="黑体"/>
                <w:kern w:val="0"/>
                <w:sz w:val="21"/>
                <w:szCs w:val="21"/>
                <w:highlight w:val="yellow"/>
              </w:rPr>
            </w:pPr>
          </w:p>
        </w:tc>
      </w:tr>
      <w:tr w:rsidR="00107085" w14:paraId="4B709BD4"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4E2F891C"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21</w:t>
            </w:r>
          </w:p>
        </w:tc>
        <w:tc>
          <w:tcPr>
            <w:tcW w:w="1555" w:type="dxa"/>
            <w:tcBorders>
              <w:top w:val="single" w:sz="4" w:space="0" w:color="000000"/>
              <w:left w:val="single" w:sz="4" w:space="0" w:color="000000"/>
              <w:bottom w:val="single" w:sz="4" w:space="0" w:color="000000"/>
              <w:right w:val="single" w:sz="4" w:space="0" w:color="000000"/>
            </w:tcBorders>
            <w:vAlign w:val="center"/>
          </w:tcPr>
          <w:p w14:paraId="10ABE88B"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CS66011100021</w:t>
            </w:r>
          </w:p>
        </w:tc>
        <w:tc>
          <w:tcPr>
            <w:tcW w:w="1082" w:type="dxa"/>
            <w:vMerge/>
            <w:tcBorders>
              <w:top w:val="single" w:sz="4" w:space="0" w:color="000000"/>
              <w:left w:val="single" w:sz="4" w:space="0" w:color="000000"/>
              <w:bottom w:val="single" w:sz="4" w:space="0" w:color="000000"/>
              <w:right w:val="single" w:sz="4" w:space="0" w:color="000000"/>
            </w:tcBorders>
            <w:vAlign w:val="center"/>
          </w:tcPr>
          <w:p w14:paraId="2E04C928" w14:textId="77777777" w:rsidR="00107085" w:rsidRDefault="00107085">
            <w:pPr>
              <w:spacing w:line="320" w:lineRule="exact"/>
              <w:ind w:firstLineChars="0" w:firstLine="0"/>
              <w:jc w:val="center"/>
              <w:rPr>
                <w:rFonts w:eastAsia="黑体"/>
                <w:kern w:val="0"/>
                <w:sz w:val="21"/>
                <w:szCs w:val="21"/>
                <w:highlight w:val="yellow"/>
              </w:rPr>
            </w:pPr>
          </w:p>
        </w:tc>
        <w:tc>
          <w:tcPr>
            <w:tcW w:w="477" w:type="dxa"/>
            <w:vMerge/>
            <w:tcBorders>
              <w:top w:val="single" w:sz="4" w:space="0" w:color="000000"/>
              <w:left w:val="single" w:sz="4" w:space="0" w:color="000000"/>
              <w:bottom w:val="single" w:sz="4" w:space="0" w:color="000000"/>
              <w:right w:val="single" w:sz="4" w:space="0" w:color="000000"/>
            </w:tcBorders>
            <w:vAlign w:val="center"/>
          </w:tcPr>
          <w:p w14:paraId="08A5C0E7" w14:textId="77777777" w:rsidR="00107085" w:rsidRDefault="00107085">
            <w:pPr>
              <w:spacing w:line="320" w:lineRule="exact"/>
              <w:ind w:firstLineChars="0" w:firstLine="0"/>
              <w:jc w:val="center"/>
              <w:rPr>
                <w:rFonts w:eastAsia="黑体"/>
                <w:kern w:val="0"/>
                <w:sz w:val="21"/>
                <w:szCs w:val="21"/>
                <w:highlight w:val="yellow"/>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59E60853" w14:textId="77777777" w:rsidR="00107085" w:rsidRDefault="00107085">
            <w:pPr>
              <w:spacing w:line="320" w:lineRule="exact"/>
              <w:ind w:firstLineChars="0" w:firstLine="0"/>
              <w:jc w:val="center"/>
              <w:rPr>
                <w:rFonts w:eastAsia="黑体"/>
                <w:kern w:val="0"/>
                <w:sz w:val="21"/>
                <w:szCs w:val="21"/>
                <w:highlight w:val="yellow"/>
              </w:rPr>
            </w:pPr>
          </w:p>
        </w:tc>
        <w:tc>
          <w:tcPr>
            <w:tcW w:w="634" w:type="dxa"/>
            <w:vMerge/>
            <w:tcBorders>
              <w:top w:val="single" w:sz="4" w:space="0" w:color="000000"/>
              <w:left w:val="single" w:sz="4" w:space="0" w:color="000000"/>
              <w:bottom w:val="single" w:sz="4" w:space="0" w:color="000000"/>
              <w:right w:val="single" w:sz="4" w:space="0" w:color="000000"/>
            </w:tcBorders>
            <w:vAlign w:val="center"/>
          </w:tcPr>
          <w:p w14:paraId="68DA5102" w14:textId="77777777" w:rsidR="00107085" w:rsidRDefault="00107085">
            <w:pPr>
              <w:spacing w:line="320" w:lineRule="exact"/>
              <w:ind w:firstLineChars="0" w:firstLine="0"/>
              <w:jc w:val="center"/>
              <w:rPr>
                <w:rFonts w:eastAsia="黑体"/>
                <w:kern w:val="0"/>
                <w:sz w:val="21"/>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1A62B968" w14:textId="77777777" w:rsidR="00107085" w:rsidRDefault="00107085">
            <w:pPr>
              <w:spacing w:line="320" w:lineRule="exact"/>
              <w:ind w:firstLineChars="0" w:firstLine="0"/>
              <w:jc w:val="center"/>
              <w:rPr>
                <w:rFonts w:eastAsia="黑体"/>
                <w:kern w:val="0"/>
                <w:sz w:val="21"/>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86F9209" w14:textId="77777777" w:rsidR="00107085" w:rsidRDefault="00107085">
            <w:pPr>
              <w:spacing w:line="320" w:lineRule="exact"/>
              <w:ind w:firstLineChars="0" w:firstLine="0"/>
              <w:jc w:val="center"/>
              <w:rPr>
                <w:rFonts w:eastAsia="黑体"/>
                <w:kern w:val="0"/>
                <w:sz w:val="21"/>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B425982" w14:textId="77777777" w:rsidR="00107085" w:rsidRDefault="00107085">
            <w:pPr>
              <w:spacing w:line="320" w:lineRule="exact"/>
              <w:ind w:firstLineChars="0" w:firstLine="0"/>
              <w:jc w:val="center"/>
              <w:rPr>
                <w:rFonts w:eastAsia="黑体"/>
                <w:kern w:val="0"/>
                <w:sz w:val="21"/>
                <w:szCs w:val="21"/>
                <w:highlight w:val="yellow"/>
              </w:rPr>
            </w:pPr>
          </w:p>
        </w:tc>
      </w:tr>
      <w:tr w:rsidR="00107085" w14:paraId="3CC74DE4" w14:textId="77777777" w:rsidTr="003A134D">
        <w:trPr>
          <w:trHeight w:val="370"/>
        </w:trPr>
        <w:tc>
          <w:tcPr>
            <w:tcW w:w="0" w:type="auto"/>
            <w:tcBorders>
              <w:top w:val="single" w:sz="4" w:space="0" w:color="000000"/>
              <w:left w:val="single" w:sz="4" w:space="0" w:color="000000"/>
              <w:bottom w:val="single" w:sz="4" w:space="0" w:color="000000"/>
              <w:right w:val="single" w:sz="4" w:space="0" w:color="000000"/>
            </w:tcBorders>
            <w:vAlign w:val="center"/>
          </w:tcPr>
          <w:p w14:paraId="3A16F86C"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22</w:t>
            </w:r>
          </w:p>
        </w:tc>
        <w:tc>
          <w:tcPr>
            <w:tcW w:w="1555" w:type="dxa"/>
            <w:tcBorders>
              <w:top w:val="single" w:sz="4" w:space="0" w:color="000000"/>
              <w:left w:val="single" w:sz="4" w:space="0" w:color="000000"/>
              <w:bottom w:val="single" w:sz="4" w:space="0" w:color="000000"/>
              <w:right w:val="single" w:sz="4" w:space="0" w:color="000000"/>
            </w:tcBorders>
            <w:vAlign w:val="center"/>
          </w:tcPr>
          <w:p w14:paraId="1E4509FF" w14:textId="77777777" w:rsidR="00107085" w:rsidRDefault="00000000">
            <w:pPr>
              <w:spacing w:line="320" w:lineRule="exact"/>
              <w:ind w:firstLineChars="0" w:firstLine="0"/>
              <w:jc w:val="center"/>
              <w:rPr>
                <w:rFonts w:eastAsia="黑体"/>
                <w:kern w:val="0"/>
                <w:sz w:val="21"/>
                <w:szCs w:val="21"/>
              </w:rPr>
            </w:pPr>
            <w:r>
              <w:rPr>
                <w:rFonts w:eastAsia="黑体"/>
                <w:kern w:val="0"/>
                <w:sz w:val="21"/>
                <w:szCs w:val="21"/>
              </w:rPr>
              <w:t>CS66011100022</w:t>
            </w:r>
          </w:p>
        </w:tc>
        <w:tc>
          <w:tcPr>
            <w:tcW w:w="1082" w:type="dxa"/>
            <w:vMerge/>
            <w:tcBorders>
              <w:top w:val="single" w:sz="4" w:space="0" w:color="000000"/>
              <w:left w:val="single" w:sz="4" w:space="0" w:color="000000"/>
              <w:bottom w:val="single" w:sz="4" w:space="0" w:color="000000"/>
              <w:right w:val="single" w:sz="4" w:space="0" w:color="000000"/>
            </w:tcBorders>
            <w:vAlign w:val="center"/>
          </w:tcPr>
          <w:p w14:paraId="599D4F68" w14:textId="77777777" w:rsidR="00107085" w:rsidRDefault="00107085">
            <w:pPr>
              <w:spacing w:line="320" w:lineRule="exact"/>
              <w:ind w:firstLineChars="0" w:firstLine="0"/>
              <w:jc w:val="center"/>
              <w:rPr>
                <w:rFonts w:eastAsia="黑体"/>
                <w:kern w:val="0"/>
                <w:sz w:val="21"/>
                <w:szCs w:val="21"/>
                <w:highlight w:val="yellow"/>
              </w:rPr>
            </w:pPr>
          </w:p>
        </w:tc>
        <w:tc>
          <w:tcPr>
            <w:tcW w:w="477" w:type="dxa"/>
            <w:vMerge/>
            <w:tcBorders>
              <w:top w:val="single" w:sz="4" w:space="0" w:color="000000"/>
              <w:left w:val="single" w:sz="4" w:space="0" w:color="000000"/>
              <w:bottom w:val="single" w:sz="4" w:space="0" w:color="000000"/>
              <w:right w:val="single" w:sz="4" w:space="0" w:color="000000"/>
            </w:tcBorders>
            <w:vAlign w:val="center"/>
          </w:tcPr>
          <w:p w14:paraId="02FC2579" w14:textId="77777777" w:rsidR="00107085" w:rsidRDefault="00107085">
            <w:pPr>
              <w:spacing w:line="320" w:lineRule="exact"/>
              <w:ind w:firstLineChars="0" w:firstLine="0"/>
              <w:jc w:val="center"/>
              <w:rPr>
                <w:rFonts w:eastAsia="黑体"/>
                <w:kern w:val="0"/>
                <w:sz w:val="21"/>
                <w:szCs w:val="21"/>
                <w:highlight w:val="yellow"/>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1E363A86" w14:textId="77777777" w:rsidR="00107085" w:rsidRDefault="00107085">
            <w:pPr>
              <w:spacing w:line="320" w:lineRule="exact"/>
              <w:ind w:firstLineChars="0" w:firstLine="0"/>
              <w:jc w:val="center"/>
              <w:rPr>
                <w:rFonts w:eastAsia="黑体"/>
                <w:kern w:val="0"/>
                <w:sz w:val="21"/>
                <w:szCs w:val="21"/>
                <w:highlight w:val="yellow"/>
              </w:rPr>
            </w:pPr>
          </w:p>
        </w:tc>
        <w:tc>
          <w:tcPr>
            <w:tcW w:w="634" w:type="dxa"/>
            <w:vMerge/>
            <w:tcBorders>
              <w:top w:val="single" w:sz="4" w:space="0" w:color="000000"/>
              <w:left w:val="single" w:sz="4" w:space="0" w:color="000000"/>
              <w:bottom w:val="single" w:sz="4" w:space="0" w:color="000000"/>
              <w:right w:val="single" w:sz="4" w:space="0" w:color="000000"/>
            </w:tcBorders>
            <w:vAlign w:val="center"/>
          </w:tcPr>
          <w:p w14:paraId="216FD690" w14:textId="77777777" w:rsidR="00107085" w:rsidRDefault="00107085">
            <w:pPr>
              <w:spacing w:line="320" w:lineRule="exact"/>
              <w:ind w:firstLineChars="0" w:firstLine="0"/>
              <w:jc w:val="center"/>
              <w:rPr>
                <w:rFonts w:eastAsia="黑体"/>
                <w:kern w:val="0"/>
                <w:sz w:val="21"/>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A871F6A" w14:textId="77777777" w:rsidR="00107085" w:rsidRDefault="00107085">
            <w:pPr>
              <w:spacing w:line="320" w:lineRule="exact"/>
              <w:ind w:firstLineChars="0" w:firstLine="0"/>
              <w:jc w:val="center"/>
              <w:rPr>
                <w:rFonts w:eastAsia="黑体"/>
                <w:kern w:val="0"/>
                <w:sz w:val="21"/>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CCCFBD4" w14:textId="77777777" w:rsidR="00107085" w:rsidRDefault="00107085">
            <w:pPr>
              <w:spacing w:line="320" w:lineRule="exact"/>
              <w:ind w:firstLineChars="0" w:firstLine="0"/>
              <w:jc w:val="center"/>
              <w:rPr>
                <w:rFonts w:eastAsia="黑体"/>
                <w:kern w:val="0"/>
                <w:sz w:val="21"/>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EE5B115" w14:textId="77777777" w:rsidR="00107085" w:rsidRDefault="00107085">
            <w:pPr>
              <w:spacing w:line="320" w:lineRule="exact"/>
              <w:ind w:firstLineChars="0" w:firstLine="0"/>
              <w:jc w:val="center"/>
              <w:rPr>
                <w:rFonts w:eastAsia="黑体"/>
                <w:kern w:val="0"/>
                <w:sz w:val="21"/>
                <w:szCs w:val="21"/>
                <w:highlight w:val="yellow"/>
              </w:rPr>
            </w:pPr>
          </w:p>
        </w:tc>
      </w:tr>
    </w:tbl>
    <w:p w14:paraId="450406CF" w14:textId="77777777" w:rsidR="00107085" w:rsidRDefault="00107085">
      <w:pPr>
        <w:spacing w:line="320" w:lineRule="exact"/>
        <w:ind w:firstLineChars="0" w:firstLine="0"/>
        <w:rPr>
          <w:rFonts w:eastAsia="黑体"/>
          <w:kern w:val="0"/>
          <w:sz w:val="21"/>
          <w:szCs w:val="21"/>
        </w:rPr>
      </w:pPr>
    </w:p>
    <w:p w14:paraId="46860B04"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03" w:name="_Toc227172391"/>
      <w:bookmarkStart w:id="104" w:name="_Toc108714665"/>
      <w:bookmarkStart w:id="105" w:name="_Toc237883272"/>
      <w:r>
        <w:rPr>
          <w:rFonts w:ascii="Times New Roman" w:eastAsia="楷体" w:hAnsi="Times New Roman" w:cs="Times New Roman"/>
          <w:b w:val="0"/>
          <w:sz w:val="32"/>
          <w:szCs w:val="32"/>
        </w:rPr>
        <w:lastRenderedPageBreak/>
        <w:t>（五）</w:t>
      </w:r>
      <w:bookmarkEnd w:id="103"/>
      <w:bookmarkEnd w:id="104"/>
      <w:r>
        <w:rPr>
          <w:rFonts w:ascii="Times New Roman" w:eastAsia="楷体" w:hAnsi="Times New Roman" w:cs="Times New Roman"/>
          <w:b w:val="0"/>
          <w:sz w:val="32"/>
          <w:szCs w:val="32"/>
        </w:rPr>
        <w:t>规范师市开采区划设置</w:t>
      </w:r>
      <w:bookmarkEnd w:id="105"/>
    </w:p>
    <w:p w14:paraId="1F616DCC" w14:textId="77777777" w:rsidR="00107085" w:rsidRDefault="00000000">
      <w:pPr>
        <w:ind w:firstLine="640"/>
        <w:rPr>
          <w:bCs/>
        </w:rPr>
      </w:pPr>
      <w:r>
        <w:rPr>
          <w:bCs/>
        </w:rPr>
        <w:t>师市级规划严格落实划定自然资源部、兵团出让登记矿产的开采规划区块，重点聚焦本级出让登记矿产及建筑用砂石料矿产，科学划定开采规划区块。本轮规划编制坚持</w:t>
      </w:r>
      <w:r>
        <w:rPr>
          <w:rFonts w:hint="eastAsia"/>
          <w:bCs/>
        </w:rPr>
        <w:t>“</w:t>
      </w:r>
      <w:r>
        <w:rPr>
          <w:bCs/>
        </w:rPr>
        <w:t>需求导向、生态优先、统筹协调</w:t>
      </w:r>
      <w:r>
        <w:rPr>
          <w:rFonts w:hint="eastAsia"/>
          <w:bCs/>
        </w:rPr>
        <w:t>”</w:t>
      </w:r>
      <w:r>
        <w:rPr>
          <w:bCs/>
        </w:rPr>
        <w:t>的原则，结合师市基础设施建设、产业园区发展及民生改善的刚性资源需求，统筹考虑资源禀赋、环境承载力及</w:t>
      </w:r>
      <w:r>
        <w:rPr>
          <w:rFonts w:hint="eastAsia"/>
          <w:bCs/>
        </w:rPr>
        <w:t>“</w:t>
      </w:r>
      <w:r>
        <w:rPr>
          <w:bCs/>
        </w:rPr>
        <w:t>三条控制线</w:t>
      </w:r>
      <w:r>
        <w:rPr>
          <w:rFonts w:hint="eastAsia"/>
          <w:bCs/>
        </w:rPr>
        <w:t>”</w:t>
      </w:r>
      <w:r>
        <w:rPr>
          <w:bCs/>
        </w:rPr>
        <w:t>管控要求，确保矿产资源开发与经济社会发展同频共振。</w:t>
      </w:r>
    </w:p>
    <w:p w14:paraId="77BE00AD" w14:textId="77777777" w:rsidR="00107085" w:rsidRDefault="00000000">
      <w:pPr>
        <w:ind w:firstLine="640"/>
        <w:rPr>
          <w:bCs/>
        </w:rPr>
      </w:pPr>
      <w:r>
        <w:rPr>
          <w:bCs/>
        </w:rPr>
        <w:t>为确保规划布局的科学性与可实施性，本规划编制过程中主动加强了与相关职能部门的横向衔接。在空间布局上，充分对接水利、交通运输等部门，优先在重大交通干线、水利枢纽及引调水工程沿线合理设置开采区，以保障交通与水利建设的骨料供给，降低物流成本；严格落实林草部门对生态空间的管控要求，避让天然林保护区和重要湿地，确保矿山开采与生态修复相协调；同时兼顾文旅部门对景观资源的保护需求，严格控制景区周边开采活动的视觉干扰，实现资源开发与旅游环境的和谐共生。通过多部门数据叠加与意见整合，形成了</w:t>
      </w:r>
      <w:r>
        <w:rPr>
          <w:rFonts w:hint="eastAsia"/>
          <w:bCs/>
        </w:rPr>
        <w:t>“</w:t>
      </w:r>
      <w:r>
        <w:rPr>
          <w:bCs/>
        </w:rPr>
        <w:t>保障发展、保护生态、多规合一</w:t>
      </w:r>
      <w:r>
        <w:rPr>
          <w:rFonts w:hint="eastAsia"/>
          <w:bCs/>
        </w:rPr>
        <w:t>”</w:t>
      </w:r>
      <w:r>
        <w:rPr>
          <w:bCs/>
        </w:rPr>
        <w:t>的空间管控格局。需要特别说明的是，规划中部分开采区块及矿权边界呈现不规则形状，这主要是受林地、农用地、</w:t>
      </w:r>
      <w:r>
        <w:rPr>
          <w:rFonts w:hint="eastAsia"/>
          <w:bCs/>
        </w:rPr>
        <w:t>生态保护红线</w:t>
      </w:r>
      <w:r>
        <w:rPr>
          <w:bCs/>
        </w:rPr>
        <w:t>等限制性空间要素的严格约束。在空间落图过程中，规划编制组通过将各类红线的矢量数据以及已有矿权、厂房等地表设施进行精准的</w:t>
      </w:r>
      <w:r>
        <w:rPr>
          <w:bCs/>
        </w:rPr>
        <w:t>GIS</w:t>
      </w:r>
      <w:r>
        <w:rPr>
          <w:bCs/>
        </w:rPr>
        <w:t>叠加比对，对不可利用的受限空间进行了精细化剔除与彻底避让，从</w:t>
      </w:r>
      <w:r>
        <w:rPr>
          <w:bCs/>
        </w:rPr>
        <w:lastRenderedPageBreak/>
        <w:t>而形成了当前的空间边界形态，切实做到了依法依规、底线清晰。</w:t>
      </w:r>
    </w:p>
    <w:p w14:paraId="4F2CD752" w14:textId="77777777" w:rsidR="00107085" w:rsidRDefault="00000000">
      <w:pPr>
        <w:ind w:firstLine="640"/>
        <w:rPr>
          <w:bCs/>
        </w:rPr>
      </w:pPr>
      <w:r>
        <w:rPr>
          <w:bCs/>
        </w:rPr>
        <w:t>依据上述原则与协同成果，本轮规划科学划定了</w:t>
      </w:r>
      <w:r>
        <w:rPr>
          <w:bCs/>
        </w:rPr>
        <w:t>22</w:t>
      </w:r>
      <w:r>
        <w:rPr>
          <w:bCs/>
        </w:rPr>
        <w:t>个砂石粘土开采区块（</w:t>
      </w:r>
      <w:r>
        <w:rPr>
          <w:bCs/>
        </w:rPr>
        <w:t>CS66011100001~CS66011100022</w:t>
      </w:r>
      <w:r>
        <w:rPr>
          <w:bCs/>
        </w:rPr>
        <w:t>），拟设采矿权</w:t>
      </w:r>
      <w:r>
        <w:rPr>
          <w:bCs/>
        </w:rPr>
        <w:t>21</w:t>
      </w:r>
      <w:r>
        <w:rPr>
          <w:bCs/>
        </w:rPr>
        <w:t>个。规划布局坚持</w:t>
      </w:r>
      <w:r>
        <w:rPr>
          <w:rFonts w:hint="eastAsia"/>
          <w:bCs/>
        </w:rPr>
        <w:t>“</w:t>
      </w:r>
      <w:r>
        <w:rPr>
          <w:bCs/>
        </w:rPr>
        <w:t>以需定供、就近保供</w:t>
      </w:r>
      <w:r>
        <w:rPr>
          <w:rFonts w:hint="eastAsia"/>
          <w:bCs/>
        </w:rPr>
        <w:t>”</w:t>
      </w:r>
      <w:r>
        <w:rPr>
          <w:bCs/>
        </w:rPr>
        <w:t>原则，将</w:t>
      </w:r>
      <w:r>
        <w:rPr>
          <w:rFonts w:hint="eastAsia"/>
          <w:bCs/>
        </w:rPr>
        <w:t>“</w:t>
      </w:r>
      <w:r>
        <w:rPr>
          <w:bCs/>
        </w:rPr>
        <w:t>距城镇、重点工业园区及重大工程标段运输距离</w:t>
      </w:r>
      <w:r>
        <w:rPr>
          <w:bCs/>
        </w:rPr>
        <w:t>≤30</w:t>
      </w:r>
      <w:r>
        <w:rPr>
          <w:bCs/>
        </w:rPr>
        <w:t>公里</w:t>
      </w:r>
      <w:r>
        <w:rPr>
          <w:rFonts w:hint="eastAsia"/>
          <w:bCs/>
        </w:rPr>
        <w:t>”</w:t>
      </w:r>
      <w:r>
        <w:rPr>
          <w:bCs/>
        </w:rPr>
        <w:t>作为开采区块优选与空间落图的硬性量化指标。重点向交通、水利等行业主管部门的重点工程项目倾斜，构建了全域覆盖、精准高效的原材料保供体系</w:t>
      </w:r>
      <w:r>
        <w:rPr>
          <w:rFonts w:hint="eastAsia"/>
          <w:bCs/>
        </w:rPr>
        <w:t>。</w:t>
      </w:r>
    </w:p>
    <w:p w14:paraId="064D42FA" w14:textId="77777777" w:rsidR="00107085" w:rsidRDefault="00000000">
      <w:pPr>
        <w:ind w:firstLine="640"/>
        <w:rPr>
          <w:bCs/>
        </w:rPr>
      </w:pPr>
      <w:r>
        <w:rPr>
          <w:bCs/>
        </w:rPr>
        <w:t>针对各类铁路与干线公路建设，实行</w:t>
      </w:r>
      <w:r>
        <w:rPr>
          <w:rFonts w:hint="eastAsia"/>
          <w:bCs/>
        </w:rPr>
        <w:t>“</w:t>
      </w:r>
      <w:r>
        <w:rPr>
          <w:bCs/>
        </w:rPr>
        <w:t>30</w:t>
      </w:r>
      <w:r>
        <w:rPr>
          <w:bCs/>
        </w:rPr>
        <w:t>公里服务半径</w:t>
      </w:r>
      <w:r>
        <w:rPr>
          <w:rFonts w:hint="eastAsia"/>
          <w:bCs/>
        </w:rPr>
        <w:t>”</w:t>
      </w:r>
      <w:r>
        <w:rPr>
          <w:bCs/>
        </w:rPr>
        <w:t>内的精准支撑。其中，库沙新拜产业园、十一团及十二团开采区块，重点服务于库车</w:t>
      </w:r>
      <w:r>
        <w:rPr>
          <w:bCs/>
        </w:rPr>
        <w:t>—</w:t>
      </w:r>
      <w:r>
        <w:rPr>
          <w:bCs/>
        </w:rPr>
        <w:t>沙雅</w:t>
      </w:r>
      <w:r>
        <w:rPr>
          <w:bCs/>
        </w:rPr>
        <w:t>—</w:t>
      </w:r>
      <w:r>
        <w:rPr>
          <w:bCs/>
        </w:rPr>
        <w:t>阿拉尔铁路、阿拉尔</w:t>
      </w:r>
      <w:r>
        <w:rPr>
          <w:bCs/>
        </w:rPr>
        <w:t>—</w:t>
      </w:r>
      <w:r>
        <w:rPr>
          <w:bCs/>
        </w:rPr>
        <w:t>图木舒克铁路、阿拉尔</w:t>
      </w:r>
      <w:r>
        <w:rPr>
          <w:bCs/>
        </w:rPr>
        <w:t>—</w:t>
      </w:r>
      <w:r>
        <w:rPr>
          <w:bCs/>
        </w:rPr>
        <w:t>和田铁路等重大干线工程；七团、三团、二团及一团开采区块，则有力支撑了阿拉尔</w:t>
      </w:r>
      <w:r>
        <w:rPr>
          <w:bCs/>
        </w:rPr>
        <w:t>—</w:t>
      </w:r>
      <w:r>
        <w:rPr>
          <w:bCs/>
        </w:rPr>
        <w:t>阿瓦提公路、</w:t>
      </w:r>
      <w:r>
        <w:rPr>
          <w:bCs/>
        </w:rPr>
        <w:t>S654</w:t>
      </w:r>
      <w:r>
        <w:rPr>
          <w:bCs/>
        </w:rPr>
        <w:t>线（</w:t>
      </w:r>
      <w:r>
        <w:rPr>
          <w:bCs/>
        </w:rPr>
        <w:t>5</w:t>
      </w:r>
      <w:r>
        <w:rPr>
          <w:bCs/>
        </w:rPr>
        <w:t>团</w:t>
      </w:r>
      <w:r>
        <w:rPr>
          <w:bCs/>
        </w:rPr>
        <w:t>—G219</w:t>
      </w:r>
      <w:r>
        <w:rPr>
          <w:bCs/>
        </w:rPr>
        <w:t>）、</w:t>
      </w:r>
      <w:r>
        <w:rPr>
          <w:bCs/>
        </w:rPr>
        <w:t>S649</w:t>
      </w:r>
      <w:r>
        <w:rPr>
          <w:bCs/>
        </w:rPr>
        <w:t>线（</w:t>
      </w:r>
      <w:r>
        <w:rPr>
          <w:bCs/>
        </w:rPr>
        <w:t>G314—2</w:t>
      </w:r>
      <w:r>
        <w:rPr>
          <w:bCs/>
        </w:rPr>
        <w:t>团）、</w:t>
      </w:r>
      <w:r>
        <w:rPr>
          <w:bCs/>
        </w:rPr>
        <w:t>S731</w:t>
      </w:r>
      <w:r>
        <w:rPr>
          <w:bCs/>
        </w:rPr>
        <w:t>线（</w:t>
      </w:r>
      <w:r>
        <w:rPr>
          <w:bCs/>
        </w:rPr>
        <w:t>1</w:t>
      </w:r>
      <w:r>
        <w:rPr>
          <w:bCs/>
        </w:rPr>
        <w:t>团</w:t>
      </w:r>
      <w:r>
        <w:rPr>
          <w:bCs/>
        </w:rPr>
        <w:t>—G219—4</w:t>
      </w:r>
      <w:r>
        <w:rPr>
          <w:bCs/>
        </w:rPr>
        <w:t>团）及相关团场路网建设。</w:t>
      </w:r>
    </w:p>
    <w:p w14:paraId="5D0F30A8" w14:textId="77777777" w:rsidR="00107085" w:rsidRDefault="00000000">
      <w:pPr>
        <w:ind w:firstLine="640"/>
        <w:rPr>
          <w:bCs/>
        </w:rPr>
      </w:pPr>
      <w:r>
        <w:rPr>
          <w:bCs/>
        </w:rPr>
        <w:t>针对师市重大水利骨干工程，落实空间伴随式原材料保障。</w:t>
      </w:r>
      <w:r>
        <w:rPr>
          <w:bCs/>
        </w:rPr>
        <w:t xml:space="preserve"> </w:t>
      </w:r>
      <w:r>
        <w:rPr>
          <w:bCs/>
        </w:rPr>
        <w:t>依托五团砂石土开采区块，为第一师喀拉玉尔滚河至阿拉尔市引调水工程及相关防洪治理项目提供原材料；四团开采区块在空间上精准覆盖沉沙池建设工程等关键水利节点（与标段中心直线距离均控制在</w:t>
      </w:r>
      <w:r>
        <w:rPr>
          <w:bCs/>
        </w:rPr>
        <w:t>30</w:t>
      </w:r>
      <w:r>
        <w:rPr>
          <w:bCs/>
        </w:rPr>
        <w:t>公里经济运距内），为防洪减灾与引调水工程提供必要、低成本的基础骨料保障。</w:t>
      </w:r>
    </w:p>
    <w:p w14:paraId="2ACA93F2" w14:textId="77777777" w:rsidR="00107085" w:rsidRDefault="00000000">
      <w:pPr>
        <w:ind w:firstLine="640"/>
        <w:rPr>
          <w:bCs/>
        </w:rPr>
      </w:pPr>
      <w:r>
        <w:rPr>
          <w:bCs/>
        </w:rPr>
        <w:t>在优先保障重大战略工程的基础上，各开采区块兼顾区域</w:t>
      </w:r>
      <w:r>
        <w:rPr>
          <w:bCs/>
        </w:rPr>
        <w:lastRenderedPageBreak/>
        <w:t>协调发展。一方面，通过合理的空间布点，能够有效满足库沙新拜产业园等重点产业园区及其附属泵站调节池的建设需求；另一方面，依托布局优势，各开采区还具备向周边乡村公路建设及临近团场重大工程提供原材料的弹性保障能力，切实发挥了资源供给的基础性支撑作用</w:t>
      </w:r>
      <w:r>
        <w:rPr>
          <w:rFonts w:hint="eastAsia"/>
          <w:bCs/>
        </w:rPr>
        <w:t>。</w:t>
      </w:r>
    </w:p>
    <w:p w14:paraId="389A6882" w14:textId="77777777" w:rsidR="00107085" w:rsidRDefault="00000000">
      <w:pPr>
        <w:ind w:firstLine="640"/>
        <w:rPr>
          <w:bCs/>
        </w:rPr>
      </w:pPr>
      <w:r>
        <w:rPr>
          <w:bCs/>
        </w:rPr>
        <w:t>在优先保障重大战略工程的基础上，各开采区块兼顾区域协调发展。针对交通路网建设，库沙新拜产业园及周边开采区块不仅服务于库车</w:t>
      </w:r>
      <w:r>
        <w:rPr>
          <w:bCs/>
        </w:rPr>
        <w:t>—</w:t>
      </w:r>
      <w:r>
        <w:rPr>
          <w:bCs/>
        </w:rPr>
        <w:t>沙雅</w:t>
      </w:r>
      <w:r>
        <w:rPr>
          <w:bCs/>
        </w:rPr>
        <w:t>—</w:t>
      </w:r>
      <w:r>
        <w:rPr>
          <w:bCs/>
        </w:rPr>
        <w:t>阿拉尔铁路等干线工程，还重点且精准保障沙雅产业园富民路、新民路等宽幅市政道路的改扩建，以及</w:t>
      </w:r>
      <w:r>
        <w:rPr>
          <w:bCs/>
        </w:rPr>
        <w:t>G3033</w:t>
      </w:r>
      <w:r>
        <w:rPr>
          <w:bCs/>
        </w:rPr>
        <w:t>高速、伊阿铁路等周边重大交通路网工程的基础骨料稳定供给。针对市政水利建设，开采区布局定向支撑新和产业园超</w:t>
      </w:r>
      <w:r>
        <w:rPr>
          <w:bCs/>
        </w:rPr>
        <w:t>30</w:t>
      </w:r>
      <w:r>
        <w:rPr>
          <w:bCs/>
        </w:rPr>
        <w:t>公里的给排水管网新建工程，以及正在大力实施的库沙新拜产业园水资源保障工程（含新和、沙雅产业园引蓄水及齐满水库除险加固等项目），就近供应符合工程质量规范要求的管道基础垫层、管沟回填土方及水工建筑物浇筑所需的优质常规砂石及粘土资源</w:t>
      </w:r>
      <w:r>
        <w:rPr>
          <w:rFonts w:hint="eastAsia"/>
          <w:bCs/>
        </w:rPr>
        <w:t>。</w:t>
      </w:r>
    </w:p>
    <w:p w14:paraId="16A8028B"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06" w:name="_Toc237883273"/>
      <w:r>
        <w:rPr>
          <w:rFonts w:ascii="Times New Roman" w:eastAsia="楷体" w:hAnsi="Times New Roman" w:cs="Times New Roman"/>
          <w:b w:val="0"/>
          <w:sz w:val="32"/>
          <w:szCs w:val="32"/>
        </w:rPr>
        <w:t>（六）加强矿产资源储备地建设</w:t>
      </w:r>
      <w:bookmarkEnd w:id="106"/>
      <w:r>
        <w:rPr>
          <w:rFonts w:ascii="Times New Roman" w:eastAsia="楷体" w:hAnsi="Times New Roman" w:cs="Times New Roman"/>
          <w:b w:val="0"/>
          <w:sz w:val="32"/>
          <w:szCs w:val="32"/>
        </w:rPr>
        <w:t xml:space="preserve"> </w:t>
      </w:r>
    </w:p>
    <w:p w14:paraId="467654A1" w14:textId="77777777" w:rsidR="00107085" w:rsidRDefault="00000000">
      <w:pPr>
        <w:ind w:firstLine="640"/>
        <w:rPr>
          <w:bCs/>
        </w:rPr>
      </w:pPr>
      <w:r>
        <w:rPr>
          <w:bCs/>
        </w:rPr>
        <w:t>贯彻落实兵团关于矿产资源储备地建设的要求，鉴于第一师</w:t>
      </w:r>
      <w:r>
        <w:rPr>
          <w:rFonts w:hint="eastAsia"/>
          <w:bCs/>
        </w:rPr>
        <w:t>阿拉尔市</w:t>
      </w:r>
      <w:r>
        <w:rPr>
          <w:bCs/>
        </w:rPr>
        <w:t>辖区内暂未发现符合国家级或兵团级战略性矿产资源储备条件的矿产地，师市将立足自身资源禀赋，以服务重大工程和新材料产业长远发展为导向，探索建立地方性优势非金属矿产储备机制。</w:t>
      </w:r>
    </w:p>
    <w:p w14:paraId="44997EED" w14:textId="77777777" w:rsidR="00107085" w:rsidRDefault="00000000">
      <w:pPr>
        <w:ind w:firstLine="640"/>
        <w:rPr>
          <w:bCs/>
        </w:rPr>
      </w:pPr>
      <w:r>
        <w:rPr>
          <w:bCs/>
        </w:rPr>
        <w:t>规划期内，以库沙新拜产业园周边及沙井子垦区东部等风</w:t>
      </w:r>
      <w:r>
        <w:rPr>
          <w:bCs/>
        </w:rPr>
        <w:lastRenderedPageBreak/>
        <w:t>积沙和潜在高品质建筑用砂分布区为重点，针对储量规模大、具备高值化利用前景（如可提纯为压裂</w:t>
      </w:r>
      <w:r>
        <w:rPr>
          <w:rFonts w:hint="eastAsia"/>
          <w:bCs/>
        </w:rPr>
        <w:t>砂</w:t>
      </w:r>
      <w:r>
        <w:rPr>
          <w:bCs/>
        </w:rPr>
        <w:t>、石英砂）但当前开采条件不成熟或市场需求尚未充分释放的矿产地，划定为师市级非金属矿产储备区。坚持科学评估、合理布局、分级管理、动态调整的原则，严格控制储备区内的其他建设活动和低效开发，确保这部分优质非金属资源安全、稳定，为师市</w:t>
      </w:r>
      <w:r>
        <w:rPr>
          <w:rFonts w:hint="eastAsia"/>
          <w:bCs/>
        </w:rPr>
        <w:t>“</w:t>
      </w:r>
      <w:r>
        <w:rPr>
          <w:bCs/>
        </w:rPr>
        <w:t>十五五</w:t>
      </w:r>
      <w:r>
        <w:rPr>
          <w:rFonts w:hint="eastAsia"/>
          <w:bCs/>
        </w:rPr>
        <w:t>”</w:t>
      </w:r>
      <w:r>
        <w:rPr>
          <w:bCs/>
        </w:rPr>
        <w:t>及中长期深加工产业发展预留充足的空间与资源基础。</w:t>
      </w:r>
    </w:p>
    <w:p w14:paraId="4FA72D27"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07" w:name="_Toc237883274"/>
      <w:r>
        <w:rPr>
          <w:rFonts w:ascii="Times New Roman" w:eastAsia="楷体" w:hAnsi="Times New Roman" w:cs="Times New Roman"/>
          <w:b w:val="0"/>
          <w:sz w:val="32"/>
          <w:szCs w:val="32"/>
        </w:rPr>
        <w:t>（</w:t>
      </w:r>
      <w:r>
        <w:rPr>
          <w:rFonts w:ascii="Times New Roman" w:eastAsia="楷体" w:hAnsi="Times New Roman" w:cs="Times New Roman" w:hint="eastAsia"/>
          <w:b w:val="0"/>
          <w:sz w:val="32"/>
          <w:szCs w:val="32"/>
        </w:rPr>
        <w:t>七</w:t>
      </w:r>
      <w:r>
        <w:rPr>
          <w:rFonts w:ascii="Times New Roman" w:eastAsia="楷体" w:hAnsi="Times New Roman" w:cs="Times New Roman"/>
          <w:b w:val="0"/>
          <w:sz w:val="32"/>
          <w:szCs w:val="32"/>
        </w:rPr>
        <w:t>）兵地矿产资源规划衔接与区域协同机制</w:t>
      </w:r>
      <w:bookmarkEnd w:id="107"/>
      <w:r>
        <w:rPr>
          <w:rFonts w:ascii="Times New Roman" w:eastAsia="楷体" w:hAnsi="Times New Roman" w:cs="Times New Roman"/>
          <w:b w:val="0"/>
          <w:sz w:val="32"/>
          <w:szCs w:val="32"/>
        </w:rPr>
        <w:t xml:space="preserve"> </w:t>
      </w:r>
    </w:p>
    <w:p w14:paraId="5B7C0FF3" w14:textId="77777777" w:rsidR="00107085" w:rsidRDefault="00000000">
      <w:pPr>
        <w:ind w:firstLine="640"/>
        <w:rPr>
          <w:bCs/>
        </w:rPr>
      </w:pPr>
      <w:r>
        <w:rPr>
          <w:bCs/>
        </w:rPr>
        <w:t>鉴于第一师阿拉尔市辖区（包括一团、二团、三团、四团、五团等）与周边阿克苏市、温宿县、乌什县等地方行政区在地理空间上存在紧密交织的实际情况，为实现矿产资源有序开发与生态环境保护的一体化管理，建立以下衔接机制</w:t>
      </w:r>
      <w:r>
        <w:rPr>
          <w:rFonts w:hint="eastAsia"/>
          <w:bCs/>
        </w:rPr>
        <w:t>。</w:t>
      </w:r>
    </w:p>
    <w:p w14:paraId="417CD4DD" w14:textId="77777777" w:rsidR="00107085" w:rsidRDefault="00000000">
      <w:pPr>
        <w:ind w:firstLine="640"/>
        <w:rPr>
          <w:bCs/>
        </w:rPr>
      </w:pPr>
      <w:r>
        <w:rPr>
          <w:bCs/>
        </w:rPr>
        <w:t>边界协同认定：针对一团、二团、三团（属阿克苏市范围）、四团（属乌什县范围）及五团（属温宿县范围）的矿产资源勘查开发区块，建立师市与上述县（市）自然资源部门的定期数据交换与图斑核对机制。</w:t>
      </w:r>
      <w:r>
        <w:rPr>
          <w:bCs/>
        </w:rPr>
        <w:t xml:space="preserve">  </w:t>
      </w:r>
    </w:p>
    <w:p w14:paraId="6CFEF83A" w14:textId="77777777" w:rsidR="00107085" w:rsidRDefault="00000000">
      <w:pPr>
        <w:ind w:firstLine="640"/>
        <w:rPr>
          <w:bCs/>
        </w:rPr>
      </w:pPr>
      <w:r>
        <w:rPr>
          <w:bCs/>
        </w:rPr>
        <w:t>底线管控统一：在划定开采规划区块及勘查规划区块时，各级规划均须严格遵守兵地共同的</w:t>
      </w:r>
      <w:r>
        <w:rPr>
          <w:rFonts w:hint="eastAsia"/>
          <w:bCs/>
        </w:rPr>
        <w:t>“</w:t>
      </w:r>
      <w:r>
        <w:rPr>
          <w:bCs/>
        </w:rPr>
        <w:t>三区三线</w:t>
      </w:r>
      <w:r>
        <w:rPr>
          <w:rFonts w:hint="eastAsia"/>
          <w:bCs/>
        </w:rPr>
        <w:t>”</w:t>
      </w:r>
      <w:r>
        <w:rPr>
          <w:bCs/>
        </w:rPr>
        <w:t>管控要求，确保兵地双方对生态保护红线、永久基本农田的保护标准一致、管控尺度统一。</w:t>
      </w:r>
    </w:p>
    <w:p w14:paraId="0C85B006" w14:textId="77777777" w:rsidR="00107085" w:rsidRDefault="00000000">
      <w:pPr>
        <w:ind w:firstLine="640"/>
        <w:rPr>
          <w:bCs/>
        </w:rPr>
      </w:pPr>
      <w:r>
        <w:rPr>
          <w:bCs/>
        </w:rPr>
        <w:t>互通互荐：在规划编制阶段，主动与阿克苏地区及相关县市进行规划草案的交叉审阅，确保在成矿区带划分、重点工程部署及矿业权投放时序上无重复设置与冲突，避免同质化竞争</w:t>
      </w:r>
      <w:r>
        <w:rPr>
          <w:bCs/>
        </w:rPr>
        <w:lastRenderedPageBreak/>
        <w:t>或资源布局</w:t>
      </w:r>
      <w:r>
        <w:rPr>
          <w:rFonts w:hint="eastAsia"/>
          <w:bCs/>
        </w:rPr>
        <w:t>矛盾</w:t>
      </w:r>
      <w:r>
        <w:rPr>
          <w:bCs/>
        </w:rPr>
        <w:t>。</w:t>
      </w:r>
    </w:p>
    <w:p w14:paraId="7FBE9FD5" w14:textId="77777777" w:rsidR="00107085" w:rsidRDefault="00000000">
      <w:pPr>
        <w:ind w:firstLine="640"/>
        <w:rPr>
          <w:bCs/>
        </w:rPr>
      </w:pPr>
      <w:r>
        <w:rPr>
          <w:bCs/>
        </w:rPr>
        <w:t>重大项目跨区域论证：对于跨兵地边界的重大矿产开发项目或基础设施原材料保供项目，实行联合论证、共同准入，确保矿政审批在兵地双方政策上的衔接与互认。</w:t>
      </w:r>
    </w:p>
    <w:p w14:paraId="4F069D6C" w14:textId="77777777" w:rsidR="00107085" w:rsidRDefault="00000000">
      <w:pPr>
        <w:ind w:firstLine="640"/>
        <w:rPr>
          <w:bCs/>
        </w:rPr>
      </w:pPr>
      <w:r>
        <w:rPr>
          <w:bCs/>
        </w:rPr>
        <w:t>建立兵地矿政联席会议制度：建立师市与阿克苏市、温宿县、乌什县的定期矿产资源管理联席会议，重点解决跨区域矿权纠纷、</w:t>
      </w:r>
      <w:r>
        <w:rPr>
          <w:rFonts w:hint="eastAsia"/>
          <w:bCs/>
        </w:rPr>
        <w:t>矿山生态修复</w:t>
      </w:r>
      <w:r>
        <w:rPr>
          <w:bCs/>
        </w:rPr>
        <w:t>标准统一及采砂管理协同等关键问题。</w:t>
      </w:r>
    </w:p>
    <w:p w14:paraId="4BD21991" w14:textId="77777777" w:rsidR="00107085" w:rsidRDefault="00000000">
      <w:pPr>
        <w:ind w:firstLine="640"/>
        <w:rPr>
          <w:bCs/>
        </w:rPr>
      </w:pPr>
      <w:r>
        <w:rPr>
          <w:bCs/>
        </w:rPr>
        <w:t>联合监管执法：针对行政边界交错区域，推行</w:t>
      </w:r>
      <w:r>
        <w:rPr>
          <w:rFonts w:hint="eastAsia"/>
          <w:bCs/>
        </w:rPr>
        <w:t>“</w:t>
      </w:r>
      <w:r>
        <w:rPr>
          <w:bCs/>
        </w:rPr>
        <w:t>兵地跨区域联合执法</w:t>
      </w:r>
      <w:r>
        <w:rPr>
          <w:rFonts w:hint="eastAsia"/>
          <w:bCs/>
        </w:rPr>
        <w:t>”</w:t>
      </w:r>
      <w:r>
        <w:rPr>
          <w:bCs/>
        </w:rPr>
        <w:t>，严厉打击无证开采、越界开采及违规占用</w:t>
      </w:r>
      <w:r>
        <w:rPr>
          <w:rFonts w:hint="eastAsia"/>
          <w:bCs/>
        </w:rPr>
        <w:t>生态保护红线</w:t>
      </w:r>
      <w:r>
        <w:rPr>
          <w:bCs/>
        </w:rPr>
        <w:t>行为，构建联防联控的监管网络，保障区域矿产资源开发秩序的统一稳定。</w:t>
      </w:r>
    </w:p>
    <w:p w14:paraId="562BA7A4" w14:textId="77777777" w:rsidR="00107085" w:rsidRDefault="00107085">
      <w:pPr>
        <w:ind w:firstLine="640"/>
        <w:rPr>
          <w:bCs/>
        </w:rPr>
      </w:pPr>
    </w:p>
    <w:p w14:paraId="63CB21DB" w14:textId="77777777" w:rsidR="00107085" w:rsidRDefault="00107085">
      <w:pPr>
        <w:ind w:firstLine="640"/>
        <w:rPr>
          <w:bCs/>
        </w:rPr>
        <w:sectPr w:rsidR="00107085">
          <w:type w:val="continuous"/>
          <w:pgSz w:w="11906" w:h="16838"/>
          <w:pgMar w:top="1701" w:right="1701" w:bottom="1701" w:left="1701" w:header="851" w:footer="851" w:gutter="0"/>
          <w:cols w:space="425"/>
          <w:docGrid w:type="lines" w:linePitch="560"/>
        </w:sectPr>
      </w:pPr>
    </w:p>
    <w:p w14:paraId="02DEC240" w14:textId="77777777" w:rsidR="00107085" w:rsidRDefault="00107085">
      <w:pPr>
        <w:ind w:firstLineChars="62" w:firstLine="198"/>
        <w:rPr>
          <w:bCs/>
        </w:rPr>
        <w:sectPr w:rsidR="00107085">
          <w:type w:val="continuous"/>
          <w:pgSz w:w="11906" w:h="16838"/>
          <w:pgMar w:top="1701" w:right="1701" w:bottom="1701" w:left="1701" w:header="851" w:footer="851" w:gutter="0"/>
          <w:cols w:space="425"/>
          <w:docGrid w:type="lines" w:linePitch="560"/>
        </w:sectPr>
      </w:pPr>
    </w:p>
    <w:p w14:paraId="36CED61C" w14:textId="77777777" w:rsidR="00107085" w:rsidRDefault="00000000">
      <w:pPr>
        <w:pStyle w:val="1"/>
        <w:keepLines w:val="0"/>
        <w:spacing w:beforeLines="0" w:before="0" w:afterLines="0" w:after="0"/>
        <w:ind w:firstLineChars="200" w:firstLine="640"/>
        <w:jc w:val="both"/>
        <w:rPr>
          <w:rFonts w:ascii="Times New Roman" w:eastAsia="黑体" w:hAnsi="Times New Roman"/>
          <w:b w:val="0"/>
          <w:sz w:val="32"/>
          <w:szCs w:val="32"/>
        </w:rPr>
      </w:pPr>
      <w:bookmarkStart w:id="108" w:name="_Toc108714669"/>
      <w:bookmarkStart w:id="109" w:name="_Toc227172392"/>
      <w:bookmarkStart w:id="110" w:name="_Toc237883275"/>
      <w:r>
        <w:rPr>
          <w:rFonts w:ascii="Times New Roman" w:eastAsia="黑体" w:hAnsi="Times New Roman"/>
          <w:b w:val="0"/>
          <w:sz w:val="32"/>
          <w:szCs w:val="32"/>
        </w:rPr>
        <w:lastRenderedPageBreak/>
        <w:t>六、</w:t>
      </w:r>
      <w:bookmarkStart w:id="111" w:name="OLE_LINK15"/>
      <w:bookmarkEnd w:id="108"/>
      <w:r>
        <w:rPr>
          <w:rFonts w:ascii="Times New Roman" w:eastAsia="黑体" w:hAnsi="Times New Roman"/>
          <w:b w:val="0"/>
          <w:sz w:val="32"/>
          <w:szCs w:val="32"/>
        </w:rPr>
        <w:t>库沙新拜产业园</w:t>
      </w:r>
      <w:bookmarkEnd w:id="111"/>
      <w:r>
        <w:rPr>
          <w:rFonts w:ascii="Times New Roman" w:eastAsia="黑体" w:hAnsi="Times New Roman"/>
          <w:b w:val="0"/>
          <w:sz w:val="32"/>
          <w:szCs w:val="32"/>
        </w:rPr>
        <w:t>建设与发展</w:t>
      </w:r>
      <w:bookmarkEnd w:id="109"/>
      <w:bookmarkEnd w:id="110"/>
    </w:p>
    <w:p w14:paraId="37F8C73E" w14:textId="77777777" w:rsidR="00107085" w:rsidRDefault="00000000" w:rsidP="00D337DE">
      <w:pPr>
        <w:ind w:firstLine="640"/>
        <w:rPr>
          <w:b/>
        </w:rPr>
      </w:pPr>
      <w:bookmarkStart w:id="112" w:name="_Toc227172393"/>
      <w:bookmarkStart w:id="113" w:name="_Toc108714670"/>
      <w:r>
        <w:t>库沙新拜产业园位于新疆阿克苏地区，地处天山南麓、塔里木盆地北缘，由库车、沙雅、新和、拜城四县市采用</w:t>
      </w:r>
      <w:r>
        <w:rPr>
          <w:rFonts w:hint="eastAsia"/>
        </w:rPr>
        <w:t>“</w:t>
      </w:r>
      <w:r>
        <w:t>一区四园</w:t>
      </w:r>
      <w:r>
        <w:rPr>
          <w:rFonts w:hint="eastAsia"/>
        </w:rPr>
        <w:t>”</w:t>
      </w:r>
      <w:r>
        <w:t>模式协同发展，规划占地面积达</w:t>
      </w:r>
      <w:r>
        <w:t>484.18</w:t>
      </w:r>
      <w:r>
        <w:t>平方公里。第一师阿拉尔市作为南疆兵团的重要支点，在空间上与库沙新拜产业园形成紧密的依托与联动关系。库沙新拜产业园是师市矿产资源建材供应的重要服务区域。师市将主动融入该城镇组群区域发展，发挥自身建材资源优势，打造服务产业园及周边区域的基础设施材料供应基地。为确保矿产资源配置的法定效力与刚性约束，明确产业园的相关专项规划必须与本级矿产资源规划相衔接。</w:t>
      </w:r>
    </w:p>
    <w:p w14:paraId="5E00628C"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14" w:name="_Toc237883276"/>
      <w:r>
        <w:rPr>
          <w:rFonts w:ascii="Times New Roman" w:eastAsia="楷体" w:hAnsi="Times New Roman" w:cs="Times New Roman"/>
          <w:b w:val="0"/>
          <w:sz w:val="32"/>
          <w:szCs w:val="32"/>
        </w:rPr>
        <w:t>（一）</w:t>
      </w:r>
      <w:bookmarkEnd w:id="112"/>
      <w:bookmarkEnd w:id="113"/>
      <w:r>
        <w:rPr>
          <w:rFonts w:ascii="Times New Roman" w:eastAsia="楷体" w:hAnsi="Times New Roman" w:cs="Times New Roman"/>
          <w:b w:val="0"/>
          <w:sz w:val="32"/>
          <w:szCs w:val="32"/>
        </w:rPr>
        <w:t>战略定位与空间产业布局</w:t>
      </w:r>
      <w:bookmarkEnd w:id="114"/>
    </w:p>
    <w:p w14:paraId="4FD18A92" w14:textId="77777777" w:rsidR="00107085" w:rsidRDefault="00000000">
      <w:pPr>
        <w:ind w:firstLine="640"/>
      </w:pPr>
      <w:bookmarkStart w:id="115" w:name="OLE_LINK10"/>
      <w:bookmarkStart w:id="116" w:name="_Toc108714671"/>
      <w:r>
        <w:t>立足</w:t>
      </w:r>
      <w:r>
        <w:rPr>
          <w:rFonts w:hint="eastAsia"/>
        </w:rPr>
        <w:t>“</w:t>
      </w:r>
      <w:r>
        <w:t>新疆重要的能源战略基地、南疆北部的综合性交通服务枢纽、阿克苏地区东部经济带动增长核</w:t>
      </w:r>
      <w:r>
        <w:rPr>
          <w:rFonts w:hint="eastAsia"/>
        </w:rPr>
        <w:t>”</w:t>
      </w:r>
      <w:r>
        <w:t>的战略定位，全面落实</w:t>
      </w:r>
      <w:r>
        <w:rPr>
          <w:rFonts w:hint="eastAsia"/>
        </w:rPr>
        <w:t>“</w:t>
      </w:r>
      <w:r>
        <w:t>一核三心，一廊一带四片区</w:t>
      </w:r>
      <w:r>
        <w:rPr>
          <w:rFonts w:hint="eastAsia"/>
        </w:rPr>
        <w:t>”</w:t>
      </w:r>
      <w:r>
        <w:t>的发展格局。以库车市中心城区为发展极核，依托国家级库车经济技术开发区重点做强石油天然气化工产业；联合沙雅、新和、拜城三大城镇发展核心及重点工业园区，突出沙雅县风积沙等特色非金属资源的战略依托作用，高标准设立南疆非金属矿产（风积沙）综合利用示范区及新材料、商贸物流产业园。重点发展化工、纺织服装业、商贸物流三大主导产业，将风积沙的资源化利用与沙漠生态治理深度融合，实现资源开发与生态保护的良性互动。</w:t>
      </w:r>
    </w:p>
    <w:p w14:paraId="34BDEA97"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17" w:name="_Toc227172394"/>
      <w:bookmarkStart w:id="118" w:name="_Toc237883277"/>
      <w:bookmarkEnd w:id="115"/>
      <w:r>
        <w:rPr>
          <w:rFonts w:ascii="Times New Roman" w:eastAsia="楷体" w:hAnsi="Times New Roman" w:cs="Times New Roman"/>
          <w:b w:val="0"/>
          <w:sz w:val="32"/>
          <w:szCs w:val="32"/>
        </w:rPr>
        <w:t>（二）</w:t>
      </w:r>
      <w:bookmarkEnd w:id="116"/>
      <w:bookmarkEnd w:id="117"/>
      <w:r>
        <w:rPr>
          <w:rFonts w:ascii="Times New Roman" w:eastAsia="楷体" w:hAnsi="Times New Roman" w:cs="Times New Roman"/>
          <w:b w:val="0"/>
          <w:sz w:val="32"/>
          <w:szCs w:val="32"/>
        </w:rPr>
        <w:t>支撑产业园建设与发展的主要举措</w:t>
      </w:r>
      <w:bookmarkEnd w:id="118"/>
    </w:p>
    <w:p w14:paraId="74DD7DBE" w14:textId="77777777" w:rsidR="00107085" w:rsidRDefault="00000000">
      <w:pPr>
        <w:spacing w:line="540" w:lineRule="exact"/>
        <w:ind w:firstLine="640"/>
      </w:pPr>
      <w:bookmarkStart w:id="119" w:name="_Toc108714672"/>
      <w:r>
        <w:t>依托国家及兵团</w:t>
      </w:r>
      <w:r>
        <w:rPr>
          <w:rFonts w:hint="eastAsia"/>
        </w:rPr>
        <w:t>“</w:t>
      </w:r>
      <w:r>
        <w:t>十五五</w:t>
      </w:r>
      <w:r>
        <w:rPr>
          <w:rFonts w:hint="eastAsia"/>
        </w:rPr>
        <w:t>”</w:t>
      </w:r>
      <w:r>
        <w:t>支持阿克苏地区库沙新拜城镇</w:t>
      </w:r>
      <w:r>
        <w:lastRenderedPageBreak/>
        <w:t>组群专项规划项目实施方案，以补短板、强弱项为重点，统筹推进园区基础设施建设</w:t>
      </w:r>
      <w:r>
        <w:rPr>
          <w:rFonts w:hint="eastAsia"/>
        </w:rPr>
        <w:t>。</w:t>
      </w:r>
    </w:p>
    <w:p w14:paraId="702DC886" w14:textId="77777777" w:rsidR="00107085" w:rsidRDefault="00000000">
      <w:pPr>
        <w:spacing w:line="540" w:lineRule="exact"/>
        <w:ind w:firstLine="643"/>
      </w:pPr>
      <w:r>
        <w:rPr>
          <w:rFonts w:ascii="方正楷体_GBK" w:eastAsia="方正楷体_GBK" w:hint="eastAsia"/>
          <w:b/>
          <w:bCs/>
        </w:rPr>
        <w:t>完善综合交通运输体系</w:t>
      </w:r>
      <w:r>
        <w:rPr>
          <w:rFonts w:hint="eastAsia"/>
          <w:b/>
          <w:bCs/>
        </w:rPr>
        <w:t>。</w:t>
      </w:r>
      <w:r>
        <w:t>重点实施沙雅产业园富民路（改扩建</w:t>
      </w:r>
      <w:r>
        <w:t>3.433</w:t>
      </w:r>
      <w:r>
        <w:t>公里、红线宽度</w:t>
      </w:r>
      <w:r>
        <w:t>40</w:t>
      </w:r>
      <w:r>
        <w:t>米）、新民路（改扩建</w:t>
      </w:r>
      <w:r>
        <w:t>2.435</w:t>
      </w:r>
      <w:r>
        <w:t>公里）等主干道路的提标改造工程，以及区域国省干道和铁路网建设，构建内外畅通、便捷高效的综合交通网络。</w:t>
      </w:r>
    </w:p>
    <w:p w14:paraId="2772A91A" w14:textId="77777777" w:rsidR="00107085" w:rsidRDefault="00000000">
      <w:pPr>
        <w:spacing w:line="540" w:lineRule="exact"/>
        <w:ind w:firstLine="643"/>
      </w:pPr>
      <w:r>
        <w:rPr>
          <w:rFonts w:ascii="方正楷体_GBK" w:eastAsia="方正楷体_GBK" w:hint="eastAsia"/>
          <w:b/>
          <w:bCs/>
        </w:rPr>
        <w:t>提升市政与水利基础设施保障</w:t>
      </w:r>
      <w:r>
        <w:rPr>
          <w:rFonts w:hint="eastAsia"/>
          <w:b/>
          <w:bCs/>
        </w:rPr>
        <w:t>。</w:t>
      </w:r>
      <w:r>
        <w:t>全面推进新和产业园地下管网建设，包括排水工程二、三期（新建</w:t>
      </w:r>
      <w:r>
        <w:t>PE</w:t>
      </w:r>
      <w:r>
        <w:t>螺旋波纹管</w:t>
      </w:r>
      <w:r>
        <w:t>10.4</w:t>
      </w:r>
      <w:r>
        <w:t>公里）及给水工程二期（新建</w:t>
      </w:r>
      <w:r>
        <w:t>PE100</w:t>
      </w:r>
      <w:r>
        <w:t>管道</w:t>
      </w:r>
      <w:r>
        <w:t>21</w:t>
      </w:r>
      <w:r>
        <w:t>公里）。同步建设库车产业园配售型保障性住房及配套市政、绿化设施，提升城镇综合承载能力。</w:t>
      </w:r>
    </w:p>
    <w:p w14:paraId="74CE1DFD" w14:textId="77777777" w:rsidR="00107085" w:rsidRDefault="00000000">
      <w:pPr>
        <w:spacing w:line="540" w:lineRule="exact"/>
        <w:ind w:firstLine="643"/>
      </w:pPr>
      <w:r>
        <w:rPr>
          <w:rFonts w:ascii="方正楷体_GBK" w:eastAsia="方正楷体_GBK" w:hint="eastAsia"/>
          <w:b/>
          <w:bCs/>
        </w:rPr>
        <w:t>优化能源供应网络</w:t>
      </w:r>
      <w:r>
        <w:rPr>
          <w:rFonts w:hint="eastAsia"/>
          <w:b/>
          <w:bCs/>
        </w:rPr>
        <w:t>。</w:t>
      </w:r>
      <w:r>
        <w:t>推进电网升级改造与天然气管网建设，对接气化南疆工程，推动能源结构向绿色低碳转型，提高产业园能源供应的稳定性。</w:t>
      </w:r>
      <w:bookmarkEnd w:id="119"/>
    </w:p>
    <w:p w14:paraId="2261610F"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20" w:name="_Toc237883278"/>
      <w:bookmarkStart w:id="121" w:name="OLE_LINK18"/>
      <w:r>
        <w:rPr>
          <w:rFonts w:ascii="Times New Roman" w:eastAsia="楷体" w:hAnsi="Times New Roman" w:cs="Times New Roman"/>
          <w:b w:val="0"/>
          <w:sz w:val="32"/>
          <w:szCs w:val="32"/>
        </w:rPr>
        <w:t>（三）服务产业园建设的矿产资源工作任务</w:t>
      </w:r>
      <w:bookmarkEnd w:id="120"/>
    </w:p>
    <w:p w14:paraId="0CD53087" w14:textId="77777777" w:rsidR="00107085" w:rsidRDefault="00000000">
      <w:pPr>
        <w:spacing w:line="540" w:lineRule="exact"/>
        <w:ind w:firstLine="640"/>
      </w:pPr>
      <w:bookmarkStart w:id="122" w:name="_Toc227172395"/>
      <w:bookmarkEnd w:id="121"/>
      <w:r>
        <w:t>为切实保障库沙新拜产业园重大基础设施及产业项目顺利落地，师市将重点细化落实以下矿产资源保供与服务任务</w:t>
      </w:r>
      <w:r>
        <w:rPr>
          <w:rFonts w:hint="eastAsia"/>
        </w:rPr>
        <w:t>。</w:t>
      </w:r>
    </w:p>
    <w:p w14:paraId="69B367BC" w14:textId="77777777" w:rsidR="00107085" w:rsidRDefault="00000000">
      <w:pPr>
        <w:spacing w:line="540" w:lineRule="exact"/>
        <w:ind w:firstLine="643"/>
      </w:pPr>
      <w:r>
        <w:rPr>
          <w:rFonts w:ascii="方正楷体_GBK" w:eastAsia="方正楷体_GBK" w:hint="eastAsia"/>
          <w:b/>
          <w:bCs/>
        </w:rPr>
        <w:t>突出风积沙资源战略价值与高值化综合利用</w:t>
      </w:r>
      <w:r>
        <w:rPr>
          <w:b/>
          <w:bCs/>
        </w:rPr>
        <w:t>。</w:t>
      </w:r>
      <w:r>
        <w:t>立足师市及周边广袤的沙漠风积沙资源，打破传统粗放填埋的单一用途，依托科技创新大力推进风积沙的规模化与高值化利用，实现生态治理与资源经济效益双赢。</w:t>
      </w:r>
    </w:p>
    <w:p w14:paraId="229F7615" w14:textId="77777777" w:rsidR="00107085" w:rsidRDefault="00000000">
      <w:pPr>
        <w:spacing w:line="540" w:lineRule="exact"/>
        <w:ind w:firstLine="640"/>
      </w:pPr>
      <w:r>
        <w:t>一是深耕新型绿色建材产业，大力发展基于风积沙的特种干混砂浆、市政环保透水砖、免烧建筑砖以及新型墙体材料（如轻质陶粒、加气混凝土砌块），打造具有沙漠特色的低碳建材</w:t>
      </w:r>
      <w:r>
        <w:lastRenderedPageBreak/>
        <w:t>产业链。</w:t>
      </w:r>
    </w:p>
    <w:p w14:paraId="5A81D4DA" w14:textId="77777777" w:rsidR="00107085" w:rsidRDefault="00000000">
      <w:pPr>
        <w:spacing w:line="540" w:lineRule="exact"/>
        <w:ind w:firstLine="640"/>
      </w:pPr>
      <w:r>
        <w:t>二是拓展特种工程材料应用场景，推广风积沙在干旱区公路高等级路基修筑、水稳基层混合料以及风积沙混凝土中的规模化应用，解决区域基础设施建设的原料瓶颈。</w:t>
      </w:r>
    </w:p>
    <w:p w14:paraId="41CF8523" w14:textId="77777777" w:rsidR="00107085" w:rsidRDefault="00000000">
      <w:pPr>
        <w:spacing w:line="540" w:lineRule="exact"/>
        <w:ind w:firstLine="640"/>
      </w:pPr>
      <w:r>
        <w:t>三是探索向高端工业与能源开采领域的跨界转化，打造油气增产核心材料。紧密结合库沙新拜产业园周边作为塔里木盆地核心油气能源基地的绝对优势，瞄准周边油气田水力压裂作业中对</w:t>
      </w:r>
      <w:r>
        <w:rPr>
          <w:rFonts w:hint="eastAsia"/>
        </w:rPr>
        <w:t>“</w:t>
      </w:r>
      <w:r>
        <w:t>压裂</w:t>
      </w:r>
      <w:r>
        <w:rPr>
          <w:rFonts w:hint="eastAsia"/>
        </w:rPr>
        <w:t>砂”</w:t>
      </w:r>
      <w:r>
        <w:t>（支撑剂）的庞大刚性需求。大力引入物理筛分及表面树脂覆膜改性工艺，将本地风积沙深加工为优质的树脂覆膜砂。该产品不仅能克服常规天然石英砂抗压能力弱、酸溶率高的短板，还能凭借其极低的酸溶率和防返吐优势，作为高成本陶粒支撑剂的经济型替代材料，广泛应用于周边油田浅中深层及低压储层的压裂改造中。其随携砂液送入人工裂缝后，可在停泵后有效支撑裂缝不闭合，保持持久导流，形成高渗油气通道。这一举措将打破外部高端支撑剂的成本垄断，实现师市非金属资源开发与区域主导能源化工产业的高附加值深度融合。</w:t>
      </w:r>
    </w:p>
    <w:p w14:paraId="513376AA" w14:textId="77777777" w:rsidR="00107085" w:rsidRDefault="00000000">
      <w:pPr>
        <w:spacing w:line="540" w:lineRule="exact"/>
        <w:ind w:firstLine="643"/>
      </w:pPr>
      <w:r>
        <w:rPr>
          <w:rFonts w:ascii="方正楷体_GBK" w:eastAsia="方正楷体_GBK" w:hint="eastAsia"/>
          <w:b/>
          <w:bCs/>
        </w:rPr>
        <w:t>精准保障重大交通干线及市政道路砂石骨料</w:t>
      </w:r>
      <w:r>
        <w:rPr>
          <w:b/>
          <w:bCs/>
        </w:rPr>
        <w:t>。</w:t>
      </w:r>
      <w:r>
        <w:t>针对沙雅产业园富民路、新民路等宽幅市政道路的改扩建需求，以及</w:t>
      </w:r>
      <w:r>
        <w:t>G3033</w:t>
      </w:r>
      <w:r>
        <w:t>高速、伊阿铁路等周边重大交通路网工程，重点依托库沙新拜产业园及周边规划的砂石土开采区块，科学合理投放建筑用砂采矿权，优先保障路基填料、沥青</w:t>
      </w:r>
      <w:r>
        <w:t>/</w:t>
      </w:r>
      <w:r>
        <w:t>水泥混凝土骨料的稳定、低成本供给。</w:t>
      </w:r>
    </w:p>
    <w:p w14:paraId="3E5C47A0" w14:textId="77777777" w:rsidR="00107085" w:rsidRDefault="00000000">
      <w:pPr>
        <w:spacing w:line="540" w:lineRule="exact"/>
        <w:ind w:firstLine="643"/>
      </w:pPr>
      <w:r>
        <w:rPr>
          <w:rFonts w:ascii="方正楷体_GBK" w:eastAsia="方正楷体_GBK" w:hint="eastAsia"/>
          <w:b/>
          <w:bCs/>
        </w:rPr>
        <w:t>定向支撑市政水利及重大水资源保障工程建设</w:t>
      </w:r>
      <w:r>
        <w:rPr>
          <w:b/>
          <w:bCs/>
        </w:rPr>
        <w:t>。</w:t>
      </w:r>
      <w:r>
        <w:t>针对新</w:t>
      </w:r>
      <w:r>
        <w:lastRenderedPageBreak/>
        <w:t>和产业园超</w:t>
      </w:r>
      <w:r>
        <w:t>30</w:t>
      </w:r>
      <w:r>
        <w:t>公里的给排水管网新建工程，以及正在大力实施的库沙新拜产业园水资源保障工程（含新和、沙雅产业园引蓄水工程及其满水库除险加固与提质增效项目），定向供应符合工程质量规范要求的管道基础垫层、管沟回填土方及检查井、水工建筑物浇筑所需的优质常规砂石及粘土资源，保障园区</w:t>
      </w:r>
      <w:r>
        <w:rPr>
          <w:rFonts w:hint="eastAsia"/>
        </w:rPr>
        <w:t>“</w:t>
      </w:r>
      <w:r>
        <w:t>生命线</w:t>
      </w:r>
      <w:r>
        <w:rPr>
          <w:rFonts w:hint="eastAsia"/>
        </w:rPr>
        <w:t>”</w:t>
      </w:r>
      <w:r>
        <w:t>工程及骨干水源保障工程建设质量与进度。同时，结合水利规划中大力推进的洪水资源化利用工程和非常规水资源利用项目等专项任务，矿产资源保供将全面精准对接这些新建水生态、水调蓄设施的基础建材需求，助力产业园区及周边水资源的综合高效利用。</w:t>
      </w:r>
    </w:p>
    <w:p w14:paraId="7534A63B" w14:textId="77777777" w:rsidR="00107085" w:rsidRDefault="00000000">
      <w:pPr>
        <w:spacing w:line="540" w:lineRule="exact"/>
        <w:ind w:firstLine="643"/>
      </w:pPr>
      <w:r>
        <w:rPr>
          <w:rFonts w:ascii="方正楷体_GBK" w:eastAsia="方正楷体_GBK" w:hint="eastAsia"/>
          <w:b/>
          <w:bCs/>
        </w:rPr>
        <w:t>建立兵地建材保供协调与“净矿”出让机制</w:t>
      </w:r>
      <w:r>
        <w:rPr>
          <w:b/>
          <w:bCs/>
        </w:rPr>
        <w:t>。</w:t>
      </w:r>
      <w:r>
        <w:t>针对产业园集中建设期爆发式的基础设施用料需求，建立师市与库、沙、新、拜四县市的跨区域建材调度协调机制。提前开展相关区域建筑用砂石土矿的</w:t>
      </w:r>
      <w:r>
        <w:rPr>
          <w:rFonts w:hint="eastAsia"/>
        </w:rPr>
        <w:t>“</w:t>
      </w:r>
      <w:r>
        <w:t>净矿</w:t>
      </w:r>
      <w:r>
        <w:rPr>
          <w:rFonts w:hint="eastAsia"/>
        </w:rPr>
        <w:t>”</w:t>
      </w:r>
      <w:r>
        <w:t>出让工作，确保采矿权配置时序与重大工程进度精准匹配，严防因原材料短缺或价格大幅波动影响产业园项目的顺利实施。</w:t>
      </w:r>
    </w:p>
    <w:p w14:paraId="7FDA0EDB" w14:textId="77777777" w:rsidR="00107085" w:rsidRDefault="00000000">
      <w:pPr>
        <w:spacing w:line="540" w:lineRule="exact"/>
        <w:ind w:firstLine="643"/>
      </w:pPr>
      <w:r>
        <w:rPr>
          <w:rFonts w:ascii="方正楷体_GBK" w:eastAsia="方正楷体_GBK"/>
          <w:b/>
          <w:bCs/>
        </w:rPr>
        <w:t>统筹域外优势资源，保障新材料产业原料供给。</w:t>
      </w:r>
      <w:r>
        <w:t>针对阿拉尔本地缺乏玄武岩等实体矿山资源的现状，为确保已招商落地的两家拉丝玄武岩等新材料工厂顺利发展，师市将打破行政区划局限，依托库沙新拜产业园协同发展机制，全面梳理并主动对接统筹利用</w:t>
      </w:r>
      <w:r>
        <w:rPr>
          <w:rFonts w:hint="eastAsia"/>
        </w:rPr>
        <w:t>阿克苏</w:t>
      </w:r>
      <w:r>
        <w:t>周边县市丰富的优质玄武岩资源。通过建立跨区域的原材料供需对接与协同保障通道，为新材料产业园提供长期、稳定的原料支撑，切实解决企业的原料瓶颈问题，坚决保卫师市重大招商引资成果的平稳落地与持续达产。以园</w:t>
      </w:r>
      <w:r>
        <w:lastRenderedPageBreak/>
        <w:t>区为承载平台，全力保障玄武岩连续纤维项目做大做强，将跨区域调配来的优质玄武岩原石，高效转化为具有高强度、耐高低温、耐腐蚀等优异性能的高科技连续纤维材料。以拉丝玄武岩新材料为产业引擎，大力吸引和承接高端装备制造、军民融合、轻量化汽车配件、航空航天配套以及新型绿色环保建材等下游高附加值产业向产业园集聚。切实将周边区域的实体矿产资源优势，通过师市的新材料深加工平台转化为强劲的经济发展动能与新质生产力。</w:t>
      </w:r>
    </w:p>
    <w:p w14:paraId="6B78D746"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23" w:name="_Toc237883279"/>
      <w:r>
        <w:rPr>
          <w:rFonts w:ascii="Times New Roman" w:eastAsia="楷体" w:hAnsi="Times New Roman" w:cs="Times New Roman"/>
          <w:b w:val="0"/>
          <w:sz w:val="32"/>
          <w:szCs w:val="32"/>
        </w:rPr>
        <w:t>（</w:t>
      </w:r>
      <w:r>
        <w:rPr>
          <w:rFonts w:ascii="Times New Roman" w:eastAsia="楷体" w:hAnsi="Times New Roman" w:cs="Times New Roman" w:hint="eastAsia"/>
          <w:b w:val="0"/>
          <w:sz w:val="32"/>
          <w:szCs w:val="32"/>
        </w:rPr>
        <w:t>四</w:t>
      </w:r>
      <w:r>
        <w:rPr>
          <w:rFonts w:ascii="Times New Roman" w:eastAsia="楷体" w:hAnsi="Times New Roman" w:cs="Times New Roman"/>
          <w:b w:val="0"/>
          <w:sz w:val="32"/>
          <w:szCs w:val="32"/>
        </w:rPr>
        <w:t>）产业链协同与政策集成保障</w:t>
      </w:r>
      <w:bookmarkEnd w:id="123"/>
    </w:p>
    <w:p w14:paraId="15E7920B" w14:textId="77777777" w:rsidR="00107085" w:rsidRDefault="00000000">
      <w:pPr>
        <w:spacing w:line="540" w:lineRule="exact"/>
        <w:ind w:firstLine="640"/>
      </w:pPr>
      <w:r>
        <w:t>为将产业园的资源禀赋转化为高质量产业优势，在矿产资源规划层面建立协同推进机制</w:t>
      </w:r>
      <w:r>
        <w:rPr>
          <w:rFonts w:hint="eastAsia"/>
        </w:rPr>
        <w:t>。</w:t>
      </w:r>
    </w:p>
    <w:p w14:paraId="6FDA5BFA" w14:textId="77777777" w:rsidR="00107085" w:rsidRDefault="00000000">
      <w:pPr>
        <w:spacing w:line="540" w:lineRule="exact"/>
        <w:ind w:firstLine="640"/>
      </w:pPr>
      <w:r>
        <w:t>高端工业材料转化：重点依托风积沙、建筑用砂资源，协同科技创新，实施风积沙基油气压裂支撑剂（压裂沙）产业化转化，打造低成本、高强度的油气增产配套材料产业链。</w:t>
      </w:r>
    </w:p>
    <w:p w14:paraId="27077790" w14:textId="77777777" w:rsidR="00107085" w:rsidRDefault="00000000">
      <w:pPr>
        <w:spacing w:line="540" w:lineRule="exact"/>
        <w:ind w:firstLine="640"/>
      </w:pPr>
      <w:r>
        <w:t>新材料产业闭环：通过建立跨区域矿产资源协同供给通道，重点支持连续纤维等高新技术企业，向下游延伸至航空航天、轻量化汽配及环保新材料，构建完整的新材料产业闭环。</w:t>
      </w:r>
    </w:p>
    <w:p w14:paraId="64829EF6" w14:textId="77777777" w:rsidR="00107085" w:rsidRDefault="00000000">
      <w:pPr>
        <w:spacing w:line="540" w:lineRule="exact"/>
        <w:ind w:firstLine="640"/>
      </w:pPr>
      <w:r>
        <w:t>资源要素精准投放：对符合产业链延伸导向的重大项目，实施</w:t>
      </w:r>
      <w:r>
        <w:rPr>
          <w:rFonts w:hint="eastAsia"/>
        </w:rPr>
        <w:t>“</w:t>
      </w:r>
      <w:r>
        <w:t>资源随项目配置</w:t>
      </w:r>
      <w:r>
        <w:rPr>
          <w:rFonts w:hint="eastAsia"/>
        </w:rPr>
        <w:t>”</w:t>
      </w:r>
      <w:r>
        <w:t>策略，在勘查开发区块审批及用地指标上优先予以保障。</w:t>
      </w:r>
    </w:p>
    <w:p w14:paraId="0219206F" w14:textId="77777777" w:rsidR="00107085" w:rsidRDefault="00000000">
      <w:pPr>
        <w:spacing w:line="540" w:lineRule="exact"/>
        <w:ind w:firstLine="640"/>
      </w:pPr>
      <w:r>
        <w:t>兵地利益共享机制：打破行政区划局限，在产业园建设中探索建立兵地在原材料供应、税收分成及生态修复责任分担方面的联合管理细则。</w:t>
      </w:r>
    </w:p>
    <w:p w14:paraId="18FDE65E" w14:textId="77777777" w:rsidR="00107085" w:rsidRDefault="00000000">
      <w:pPr>
        <w:spacing w:line="540" w:lineRule="exact"/>
        <w:ind w:firstLine="640"/>
      </w:pPr>
      <w:r>
        <w:t>全生命周期约束激励：在矿业权</w:t>
      </w:r>
      <w:r>
        <w:rPr>
          <w:rFonts w:hint="eastAsia"/>
        </w:rPr>
        <w:t>“</w:t>
      </w:r>
      <w:r>
        <w:t>净矿</w:t>
      </w:r>
      <w:r>
        <w:rPr>
          <w:rFonts w:hint="eastAsia"/>
        </w:rPr>
        <w:t>”</w:t>
      </w:r>
      <w:r>
        <w:t>出让合同中增设</w:t>
      </w:r>
      <w:r>
        <w:lastRenderedPageBreak/>
        <w:t>产业链配套义务条款，同步配套精深加工激励政策，对达到绿色矿山标准及产业链延伸指标的企业给予专项科研经费支持或税收优惠。</w:t>
      </w:r>
    </w:p>
    <w:p w14:paraId="5F7B65C9" w14:textId="77777777" w:rsidR="00107085" w:rsidRDefault="00107085">
      <w:pPr>
        <w:spacing w:line="540" w:lineRule="exact"/>
        <w:ind w:firstLine="640"/>
      </w:pPr>
    </w:p>
    <w:p w14:paraId="1BFCC55C" w14:textId="77777777" w:rsidR="00107085" w:rsidRDefault="00107085">
      <w:pPr>
        <w:spacing w:line="540" w:lineRule="exact"/>
        <w:ind w:firstLine="640"/>
        <w:sectPr w:rsidR="00107085">
          <w:pgSz w:w="11906" w:h="16838"/>
          <w:pgMar w:top="1701" w:right="1701" w:bottom="1701" w:left="1701" w:header="851" w:footer="851" w:gutter="0"/>
          <w:cols w:space="425"/>
          <w:docGrid w:type="lines" w:linePitch="560"/>
        </w:sectPr>
      </w:pPr>
    </w:p>
    <w:p w14:paraId="4B2C1F21" w14:textId="77777777" w:rsidR="00107085" w:rsidRDefault="00107085">
      <w:pPr>
        <w:spacing w:line="540" w:lineRule="exact"/>
        <w:ind w:firstLine="640"/>
        <w:sectPr w:rsidR="00107085">
          <w:type w:val="continuous"/>
          <w:pgSz w:w="11906" w:h="16838"/>
          <w:pgMar w:top="1701" w:right="1701" w:bottom="1701" w:left="1701" w:header="851" w:footer="851" w:gutter="0"/>
          <w:cols w:space="425"/>
          <w:docGrid w:type="lines" w:linePitch="560"/>
        </w:sectPr>
      </w:pPr>
    </w:p>
    <w:p w14:paraId="76B3247B" w14:textId="77777777" w:rsidR="00107085" w:rsidRDefault="00000000">
      <w:pPr>
        <w:pStyle w:val="1"/>
        <w:keepLines w:val="0"/>
        <w:spacing w:beforeLines="0" w:before="0" w:afterLines="0" w:after="0"/>
        <w:ind w:firstLineChars="200" w:firstLine="640"/>
        <w:jc w:val="both"/>
        <w:rPr>
          <w:rFonts w:ascii="Times New Roman" w:eastAsia="黑体" w:hAnsi="Times New Roman"/>
          <w:b w:val="0"/>
          <w:sz w:val="32"/>
          <w:szCs w:val="32"/>
        </w:rPr>
      </w:pPr>
      <w:bookmarkStart w:id="124" w:name="_Toc237883280"/>
      <w:r>
        <w:rPr>
          <w:rFonts w:ascii="Times New Roman" w:eastAsia="黑体" w:hAnsi="Times New Roman"/>
          <w:b w:val="0"/>
          <w:sz w:val="32"/>
          <w:szCs w:val="32"/>
        </w:rPr>
        <w:lastRenderedPageBreak/>
        <w:t>七、加快科技创新，促进矿业绿色发展</w:t>
      </w:r>
      <w:bookmarkEnd w:id="122"/>
      <w:bookmarkEnd w:id="124"/>
    </w:p>
    <w:p w14:paraId="518B6750" w14:textId="77777777" w:rsidR="00107085" w:rsidRDefault="00000000">
      <w:pPr>
        <w:pStyle w:val="2"/>
        <w:keepLines w:val="0"/>
        <w:spacing w:beforeLines="0" w:before="0" w:afterLines="0" w:after="0"/>
        <w:ind w:firstLineChars="200" w:firstLine="640"/>
        <w:jc w:val="both"/>
        <w:rPr>
          <w:rFonts w:hint="eastAsia"/>
        </w:rPr>
      </w:pPr>
      <w:bookmarkStart w:id="125" w:name="_Toc237883281"/>
      <w:bookmarkStart w:id="126" w:name="_Toc472345097"/>
      <w:bookmarkStart w:id="127" w:name="_Toc472344919"/>
      <w:bookmarkStart w:id="128" w:name="_Toc227172396"/>
      <w:r>
        <w:rPr>
          <w:rFonts w:ascii="Times New Roman" w:eastAsia="楷体" w:hAnsi="Times New Roman" w:cs="Times New Roman"/>
          <w:b w:val="0"/>
          <w:sz w:val="32"/>
          <w:szCs w:val="32"/>
        </w:rPr>
        <w:t>（一）明确砂石、粘土矿产的科技攻关方向与举措</w:t>
      </w:r>
      <w:bookmarkEnd w:id="125"/>
    </w:p>
    <w:p w14:paraId="6C073FCD" w14:textId="77777777" w:rsidR="00107085" w:rsidRDefault="00000000">
      <w:pPr>
        <w:ind w:firstLine="640"/>
      </w:pPr>
      <w:r>
        <w:t>紧密结合第一师阿拉尔市以建筑用砂石、砖瓦用粘土及风积沙为主要矿种的资源特征，摒弃传统粗放模式，针对性开展非金属矿产绿色开发与高值化利用的科技攻关：</w:t>
      </w:r>
    </w:p>
    <w:p w14:paraId="6D279035" w14:textId="77777777" w:rsidR="00107085" w:rsidRDefault="00000000">
      <w:pPr>
        <w:ind w:firstLine="640"/>
      </w:pPr>
      <w:r>
        <w:t>推广全封闭式砂石料场与清洁生产技术攻关。针对师市干旱缺水、生态脆弱的自然条件，积极借鉴内地绿色矿山建设的先进环保经验，大力推进砂石料场向</w:t>
      </w:r>
      <w:r>
        <w:rPr>
          <w:rFonts w:hint="eastAsia"/>
        </w:rPr>
        <w:t>“</w:t>
      </w:r>
      <w:r>
        <w:t>全封闭式</w:t>
      </w:r>
      <w:r>
        <w:rPr>
          <w:rFonts w:hint="eastAsia"/>
        </w:rPr>
        <w:t>”</w:t>
      </w:r>
      <w:r>
        <w:t>标准升级。在全面巩固</w:t>
      </w:r>
      <w:r>
        <w:rPr>
          <w:rFonts w:hint="eastAsia"/>
        </w:rPr>
        <w:t>“</w:t>
      </w:r>
      <w:r>
        <w:t>干法制砂</w:t>
      </w:r>
      <w:r>
        <w:t>+</w:t>
      </w:r>
      <w:r>
        <w:t>除尘选粉</w:t>
      </w:r>
      <w:r>
        <w:rPr>
          <w:rFonts w:hint="eastAsia"/>
        </w:rPr>
        <w:t>”</w:t>
      </w:r>
      <w:r>
        <w:t>工艺应用的基础上，构建从开采、扬尘治理、封闭存储到运输的绿色化全链条管控体系。大力研发和推广建筑用砂石全封闭干法开采、高效精准筛分及微负压智能除尘技术，并在物料贮存环节全面推行全封闭料仓，在外运环节积极引入新能源运输车辆并实施矿区道路常态化洒水除尘作业。全面提升粉尘收集率与尾细粉资源化利用水平，切实做到生产过程水资源零消耗、粉尘超低排放，打造</w:t>
      </w:r>
      <w:r>
        <w:t>“</w:t>
      </w:r>
      <w:r>
        <w:t>无尘化</w:t>
      </w:r>
      <w:r>
        <w:t>”</w:t>
      </w:r>
      <w:r>
        <w:t>的干旱荒漠区绿色砂石矿山标杆。</w:t>
      </w:r>
    </w:p>
    <w:p w14:paraId="21D44175" w14:textId="77777777" w:rsidR="00107085" w:rsidRDefault="00000000">
      <w:pPr>
        <w:ind w:firstLine="640"/>
      </w:pPr>
      <w:r>
        <w:t>风积沙资源的高值化综合利用与压裂沙核心技术攻关。</w:t>
      </w:r>
      <w:r>
        <w:t xml:space="preserve"> </w:t>
      </w:r>
      <w:r>
        <w:t>突出风积沙资源的战略价值，打破传统粗放填埋的单一用途。一方面，深耕新型绿色建材产业，大力研发基于风积沙的特种干混砂浆、市政环保透水砖及轻质陶粒等新型墙体材料，并拓展其在干旱区高等级路基修筑及水稳基层中的规模化应用。另一方面，依托塔里木盆地周边极其丰富的油气资源储备，瞄准油田水力压裂作业对支撑剂的庞大刚性需求，重点开展风积沙</w:t>
      </w:r>
      <w:r>
        <w:lastRenderedPageBreak/>
        <w:t>物理筛分、表面树脂覆膜改性及固化等前沿工艺研发，制备低成本、高强度的风积沙基油气压裂支撑剂（压裂沙），替代传统高成本材料，推动师市非金属矿产向国家级能源化工高端服务领域战略延伸。</w:t>
      </w:r>
    </w:p>
    <w:p w14:paraId="66DFF740" w14:textId="77777777" w:rsidR="00107085" w:rsidRDefault="00000000">
      <w:pPr>
        <w:ind w:firstLine="640"/>
      </w:pPr>
      <w:r>
        <w:t>干旱区砂石采坑与废弃砖厂生态修复技术。针对露天开采留下的砂石采坑和取土场，研发适合塔里木盆地北缘干旱荒漠区的快速生态重建技术。探索采空区建筑固废协同回填、土壤改良与耐旱先锋植被快速恢复的联合修复模式，提升矿山生态修复的成活率和景观协调性。</w:t>
      </w:r>
    </w:p>
    <w:p w14:paraId="391D329C"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29" w:name="_Toc237883282"/>
      <w:r>
        <w:rPr>
          <w:rFonts w:ascii="Times New Roman" w:eastAsia="楷体" w:hAnsi="Times New Roman" w:cs="Times New Roman"/>
          <w:b w:val="0"/>
          <w:sz w:val="32"/>
          <w:szCs w:val="32"/>
        </w:rPr>
        <w:t>（</w:t>
      </w:r>
      <w:bookmarkEnd w:id="126"/>
      <w:bookmarkEnd w:id="127"/>
      <w:r>
        <w:rPr>
          <w:rFonts w:ascii="Times New Roman" w:eastAsia="楷体" w:hAnsi="Times New Roman" w:cs="Times New Roman" w:hint="eastAsia"/>
          <w:b w:val="0"/>
          <w:sz w:val="32"/>
          <w:szCs w:val="32"/>
        </w:rPr>
        <w:t>二</w:t>
      </w:r>
      <w:r>
        <w:rPr>
          <w:rFonts w:ascii="Times New Roman" w:eastAsia="楷体" w:hAnsi="Times New Roman" w:cs="Times New Roman"/>
          <w:b w:val="0"/>
          <w:sz w:val="32"/>
          <w:szCs w:val="32"/>
        </w:rPr>
        <w:t>）全面实施绿色勘查</w:t>
      </w:r>
      <w:bookmarkEnd w:id="128"/>
      <w:bookmarkEnd w:id="129"/>
    </w:p>
    <w:p w14:paraId="302B54C7" w14:textId="77777777" w:rsidR="00107085" w:rsidRDefault="00000000">
      <w:pPr>
        <w:ind w:firstLine="640"/>
      </w:pPr>
      <w:r>
        <w:t>推广应用无人机航测、高分辨率遥感解译等绿色调查新设备、新技术，提高砂石土矿产勘查及越界开采动态监测的精度，提升师市非金属矿产资源调查等地质装备与技术水平。</w:t>
      </w:r>
    </w:p>
    <w:p w14:paraId="0960226C" w14:textId="77777777" w:rsidR="00107085" w:rsidRDefault="00000000">
      <w:pPr>
        <w:ind w:firstLine="640"/>
      </w:pPr>
      <w:r>
        <w:t>探索制定符合兵团实际的绿色勘查技术规范，加快研究制定兵团绿色勘查地方标准，从环境本底调查、道路修建和场地平整、驻地建设与管理、勘查施工、环境修复等方面，最大限度减少地质勘查对生态环境的影响。在全面巩固地质勘查项目绿色勘查全覆盖成果的基础上，新立及延续勘查项目必须严格执行更高标准的绿色勘查规范，将生态环境保护要求无缝贯穿于项目设计、施工、恢复与验收全过程。到</w:t>
      </w:r>
      <w:r>
        <w:t>2030</w:t>
      </w:r>
      <w:r>
        <w:t>年底，推动师市地质勘查全面向低碳化、智能化、精细化升级，建立健全与干旱荒漠区生态承载力相适应的绿色勘查新技术体系与常态化监管机制，实现地质找矿与生态保护的高水平共赢。</w:t>
      </w:r>
    </w:p>
    <w:p w14:paraId="481551B1"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30" w:name="_Toc472344923"/>
      <w:bookmarkStart w:id="131" w:name="_Toc472345098"/>
      <w:bookmarkStart w:id="132" w:name="_Toc227172397"/>
      <w:bookmarkStart w:id="133" w:name="_Toc237883283"/>
      <w:r>
        <w:rPr>
          <w:rFonts w:ascii="Times New Roman" w:eastAsia="楷体" w:hAnsi="Times New Roman" w:cs="Times New Roman"/>
          <w:b w:val="0"/>
          <w:sz w:val="32"/>
          <w:szCs w:val="32"/>
        </w:rPr>
        <w:lastRenderedPageBreak/>
        <w:t>（</w:t>
      </w:r>
      <w:bookmarkEnd w:id="130"/>
      <w:bookmarkEnd w:id="131"/>
      <w:r>
        <w:rPr>
          <w:rFonts w:ascii="Times New Roman" w:eastAsia="楷体" w:hAnsi="Times New Roman" w:cs="Times New Roman" w:hint="eastAsia"/>
          <w:b w:val="0"/>
          <w:sz w:val="32"/>
          <w:szCs w:val="32"/>
        </w:rPr>
        <w:t>三</w:t>
      </w:r>
      <w:r>
        <w:rPr>
          <w:rFonts w:ascii="Times New Roman" w:eastAsia="楷体" w:hAnsi="Times New Roman" w:cs="Times New Roman"/>
          <w:b w:val="0"/>
          <w:sz w:val="32"/>
          <w:szCs w:val="32"/>
        </w:rPr>
        <w:t>）全面建设绿色矿山</w:t>
      </w:r>
      <w:bookmarkEnd w:id="132"/>
      <w:bookmarkEnd w:id="133"/>
    </w:p>
    <w:p w14:paraId="74EBBF93" w14:textId="6D6342C0" w:rsidR="00107085" w:rsidRDefault="00000000">
      <w:pPr>
        <w:ind w:firstLine="640"/>
        <w:rPr>
          <w:rFonts w:eastAsia="仿宋"/>
          <w:bCs/>
        </w:rPr>
      </w:pPr>
      <w:bookmarkStart w:id="134" w:name="_Toc472344924"/>
      <w:r>
        <w:t>探索建立符合师市实际的</w:t>
      </w:r>
      <w:r>
        <w:rPr>
          <w:rFonts w:hint="eastAsia"/>
        </w:rPr>
        <w:t>“</w:t>
      </w:r>
      <w:r>
        <w:t>绿色高质量矿山</w:t>
      </w:r>
      <w:r>
        <w:rPr>
          <w:rFonts w:hint="eastAsia"/>
        </w:rPr>
        <w:t>”</w:t>
      </w:r>
      <w:r>
        <w:t>与</w:t>
      </w:r>
      <w:r>
        <w:rPr>
          <w:rFonts w:hint="eastAsia"/>
        </w:rPr>
        <w:t>“</w:t>
      </w:r>
      <w:r>
        <w:t>智能化矿山</w:t>
      </w:r>
      <w:r>
        <w:rPr>
          <w:rFonts w:hint="eastAsia"/>
        </w:rPr>
        <w:t>”</w:t>
      </w:r>
      <w:r>
        <w:t>建设规范，加快研究制定契合南疆干旱区风积沙及常规砂石矿实际的分类地方标准，坚决避免脱离基层实际的</w:t>
      </w:r>
      <w:r>
        <w:rPr>
          <w:rFonts w:hint="eastAsia"/>
        </w:rPr>
        <w:t>“</w:t>
      </w:r>
      <w:r>
        <w:t>一刀切</w:t>
      </w:r>
      <w:r>
        <w:rPr>
          <w:rFonts w:hint="eastAsia"/>
        </w:rPr>
        <w:t>”</w:t>
      </w:r>
      <w:r>
        <w:t>式考核。在规划执行期间，逐步引导师市生产矿山完成绿色高质量或数智化改造；</w:t>
      </w:r>
      <w:r w:rsidR="00DB39B3" w:rsidRPr="00DB39B3">
        <w:t>到</w:t>
      </w:r>
      <w:r w:rsidR="00DB39B3" w:rsidRPr="00DB39B3">
        <w:t>2030</w:t>
      </w:r>
      <w:r w:rsidR="00DB39B3" w:rsidRPr="00DB39B3">
        <w:t>年，新建矿山，要严格按照绿色矿山标准建设运行，持证在产的</w:t>
      </w:r>
      <w:r w:rsidR="00DB39B3" w:rsidRPr="00DB39B3">
        <w:t>90%</w:t>
      </w:r>
      <w:r w:rsidR="00DB39B3" w:rsidRPr="00DB39B3">
        <w:t>大型矿山、</w:t>
      </w:r>
      <w:r w:rsidR="00DB39B3" w:rsidRPr="00DB39B3">
        <w:t>80%</w:t>
      </w:r>
      <w:r w:rsidR="00DB39B3" w:rsidRPr="00DB39B3">
        <w:t>中型矿山要达到兵团级绿色矿山标准要求</w:t>
      </w:r>
      <w:r>
        <w:t>。同时，推动辖区内新建砂石矿山</w:t>
      </w:r>
      <w:r>
        <w:t>100%</w:t>
      </w:r>
      <w:r>
        <w:t>按绿色高质量标准规划建设，并依托五团等重点开采区，重点培育并推动</w:t>
      </w:r>
      <w:r>
        <w:t>2</w:t>
      </w:r>
      <w:r>
        <w:t>至</w:t>
      </w:r>
      <w:r>
        <w:t>3</w:t>
      </w:r>
      <w:r>
        <w:t>家具有示范效应的骨干砂石企业成功申报并纳入兵团级绿色矿山名录</w:t>
      </w:r>
      <w:r>
        <w:rPr>
          <w:rFonts w:eastAsia="仿宋" w:hint="eastAsia"/>
          <w:bCs/>
        </w:rPr>
        <w:t>。</w:t>
      </w:r>
    </w:p>
    <w:p w14:paraId="13216729" w14:textId="77777777" w:rsidR="00107085" w:rsidRDefault="00000000">
      <w:pPr>
        <w:ind w:firstLine="640"/>
        <w:rPr>
          <w:rFonts w:eastAsia="仿宋"/>
          <w:bCs/>
        </w:rPr>
      </w:pPr>
      <w:r>
        <w:rPr>
          <w:rFonts w:eastAsia="仿宋"/>
          <w:bCs/>
        </w:rPr>
        <w:t>探索建立符合南疆干旱区实际的</w:t>
      </w:r>
      <w:r>
        <w:rPr>
          <w:rFonts w:eastAsia="仿宋" w:hint="eastAsia"/>
          <w:bCs/>
        </w:rPr>
        <w:t>“</w:t>
      </w:r>
      <w:r>
        <w:rPr>
          <w:rFonts w:eastAsia="仿宋"/>
          <w:bCs/>
        </w:rPr>
        <w:t>绿色高质量矿山</w:t>
      </w:r>
      <w:r>
        <w:rPr>
          <w:rFonts w:eastAsia="仿宋" w:hint="eastAsia"/>
          <w:bCs/>
        </w:rPr>
        <w:t>”</w:t>
      </w:r>
      <w:r>
        <w:rPr>
          <w:rFonts w:eastAsia="仿宋"/>
          <w:bCs/>
        </w:rPr>
        <w:t>分类地方标准，推动新建砂石矿山</w:t>
      </w:r>
      <w:r>
        <w:rPr>
          <w:rFonts w:eastAsia="仿宋"/>
          <w:bCs/>
        </w:rPr>
        <w:t>100%</w:t>
      </w:r>
      <w:r>
        <w:rPr>
          <w:rFonts w:eastAsia="仿宋"/>
          <w:bCs/>
        </w:rPr>
        <w:t>按高标准规划建设，培育骨干企业纳入兵团级绿色矿山名录，确保到</w:t>
      </w:r>
      <w:r>
        <w:rPr>
          <w:rFonts w:eastAsia="仿宋"/>
          <w:bCs/>
        </w:rPr>
        <w:t>2030</w:t>
      </w:r>
      <w:r>
        <w:rPr>
          <w:rFonts w:eastAsia="仿宋"/>
          <w:bCs/>
        </w:rPr>
        <w:t>年辖区非金属矿综合开发利用水平全面达标。同时，坚决守住生态安全底线，构建动态监管与闭环整改约束机制；依托遥感与无人机高频巡检，对越界开采、非法采砂等违法图斑实施</w:t>
      </w:r>
      <w:r>
        <w:rPr>
          <w:rFonts w:eastAsia="仿宋" w:hint="eastAsia"/>
          <w:bCs/>
        </w:rPr>
        <w:t>“</w:t>
      </w:r>
      <w:r>
        <w:rPr>
          <w:rFonts w:eastAsia="仿宋"/>
          <w:bCs/>
        </w:rPr>
        <w:t>发现</w:t>
      </w:r>
      <w:r>
        <w:rPr>
          <w:rFonts w:eastAsia="仿宋" w:hint="eastAsia"/>
          <w:bCs/>
        </w:rPr>
        <w:t>－</w:t>
      </w:r>
      <w:r>
        <w:rPr>
          <w:rFonts w:eastAsia="仿宋"/>
          <w:bCs/>
        </w:rPr>
        <w:t>核查</w:t>
      </w:r>
      <w:r>
        <w:rPr>
          <w:rFonts w:eastAsia="仿宋" w:hint="eastAsia"/>
          <w:bCs/>
        </w:rPr>
        <w:t>－</w:t>
      </w:r>
      <w:r>
        <w:rPr>
          <w:rFonts w:eastAsia="仿宋"/>
          <w:bCs/>
        </w:rPr>
        <w:t>整改</w:t>
      </w:r>
      <w:r>
        <w:rPr>
          <w:rFonts w:eastAsia="仿宋" w:hint="eastAsia"/>
          <w:bCs/>
        </w:rPr>
        <w:t>－</w:t>
      </w:r>
      <w:r>
        <w:rPr>
          <w:rFonts w:eastAsia="仿宋"/>
          <w:bCs/>
        </w:rPr>
        <w:t>处罚</w:t>
      </w:r>
      <w:r>
        <w:rPr>
          <w:rFonts w:eastAsia="仿宋" w:hint="eastAsia"/>
          <w:bCs/>
        </w:rPr>
        <w:t>－</w:t>
      </w:r>
      <w:r>
        <w:rPr>
          <w:rFonts w:eastAsia="仿宋"/>
          <w:bCs/>
        </w:rPr>
        <w:t>修复</w:t>
      </w:r>
      <w:r>
        <w:rPr>
          <w:rFonts w:eastAsia="仿宋" w:hint="eastAsia"/>
          <w:bCs/>
        </w:rPr>
        <w:t>”</w:t>
      </w:r>
      <w:r>
        <w:rPr>
          <w:rFonts w:eastAsia="仿宋"/>
          <w:bCs/>
        </w:rPr>
        <w:t>的标准化闭环管理，严格督促企业落实</w:t>
      </w:r>
      <w:r>
        <w:rPr>
          <w:rFonts w:eastAsia="仿宋" w:hint="eastAsia"/>
          <w:bCs/>
        </w:rPr>
        <w:t>“</w:t>
      </w:r>
      <w:r>
        <w:rPr>
          <w:rFonts w:eastAsia="仿宋"/>
          <w:bCs/>
        </w:rPr>
        <w:t>边开采、边治理</w:t>
      </w:r>
      <w:r>
        <w:rPr>
          <w:rFonts w:eastAsia="仿宋" w:hint="eastAsia"/>
          <w:bCs/>
        </w:rPr>
        <w:t>”</w:t>
      </w:r>
      <w:r>
        <w:rPr>
          <w:rFonts w:eastAsia="仿宋"/>
          <w:bCs/>
        </w:rPr>
        <w:t>，确保违法图斑及新增破坏的生态修复达标率达到</w:t>
      </w:r>
      <w:r>
        <w:rPr>
          <w:rFonts w:eastAsia="仿宋"/>
          <w:bCs/>
        </w:rPr>
        <w:t>100%</w:t>
      </w:r>
      <w:r>
        <w:rPr>
          <w:rFonts w:eastAsia="仿宋"/>
          <w:bCs/>
        </w:rPr>
        <w:t>。</w:t>
      </w:r>
    </w:p>
    <w:p w14:paraId="037F5402" w14:textId="77777777" w:rsidR="00107085" w:rsidRDefault="00000000">
      <w:pPr>
        <w:ind w:firstLine="640"/>
        <w:rPr>
          <w:rFonts w:eastAsia="仿宋"/>
          <w:bCs/>
        </w:rPr>
      </w:pPr>
      <w:r>
        <w:rPr>
          <w:rFonts w:eastAsia="仿宋"/>
          <w:bCs/>
        </w:rPr>
        <w:t>在</w:t>
      </w:r>
      <w:r>
        <w:rPr>
          <w:rFonts w:eastAsia="仿宋" w:hint="eastAsia"/>
          <w:bCs/>
        </w:rPr>
        <w:t>历史遗留废弃矿山生态修复</w:t>
      </w:r>
      <w:r>
        <w:rPr>
          <w:rFonts w:eastAsia="仿宋"/>
          <w:bCs/>
        </w:rPr>
        <w:t>方面，坚持分类施策与图斑销号制度，稳步推进矿区地质环境的系统性改善。针对前期梳理出的</w:t>
      </w:r>
      <w:r>
        <w:rPr>
          <w:rFonts w:eastAsia="仿宋"/>
          <w:bCs/>
        </w:rPr>
        <w:t>2010</w:t>
      </w:r>
      <w:r>
        <w:rPr>
          <w:rFonts w:eastAsia="仿宋"/>
          <w:bCs/>
        </w:rPr>
        <w:t>年以前历史遗留无主废弃矿山，在已完成阶段性</w:t>
      </w:r>
      <w:r>
        <w:rPr>
          <w:rFonts w:eastAsia="仿宋"/>
          <w:bCs/>
        </w:rPr>
        <w:lastRenderedPageBreak/>
        <w:t>治理的基础上，规划将针对剩余的</w:t>
      </w:r>
      <w:r>
        <w:rPr>
          <w:rFonts w:eastAsia="仿宋"/>
          <w:bCs/>
        </w:rPr>
        <w:t>23</w:t>
      </w:r>
      <w:r>
        <w:rPr>
          <w:rFonts w:eastAsia="仿宋"/>
          <w:bCs/>
        </w:rPr>
        <w:t>个历史遗留图斑（总面积</w:t>
      </w:r>
      <w:r>
        <w:rPr>
          <w:rFonts w:eastAsia="仿宋"/>
          <w:bCs/>
        </w:rPr>
        <w:t>57.29</w:t>
      </w:r>
      <w:r>
        <w:rPr>
          <w:rFonts w:eastAsia="仿宋"/>
          <w:bCs/>
        </w:rPr>
        <w:t>公顷）接续发力重点治理。明确专项治理指标与时序，计划于</w:t>
      </w:r>
      <w:r>
        <w:rPr>
          <w:rFonts w:eastAsia="仿宋"/>
          <w:bCs/>
        </w:rPr>
        <w:t>2027—2028</w:t>
      </w:r>
      <w:r>
        <w:rPr>
          <w:rFonts w:eastAsia="仿宋"/>
          <w:bCs/>
        </w:rPr>
        <w:t>年全面完成上述废弃图斑的修复与销号工作，切实消除地质灾害隐患，提升矿区修复成效与周边自然景观的空间协调性。</w:t>
      </w:r>
    </w:p>
    <w:p w14:paraId="46C68879"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35" w:name="_Toc227172398"/>
      <w:bookmarkStart w:id="136" w:name="_Toc237883284"/>
      <w:r>
        <w:rPr>
          <w:rFonts w:ascii="Times New Roman" w:eastAsia="楷体" w:hAnsi="Times New Roman" w:cs="Times New Roman"/>
          <w:b w:val="0"/>
          <w:sz w:val="32"/>
          <w:szCs w:val="32"/>
        </w:rPr>
        <w:t>（</w:t>
      </w:r>
      <w:r>
        <w:rPr>
          <w:rFonts w:ascii="Times New Roman" w:eastAsia="楷体" w:hAnsi="Times New Roman" w:cs="Times New Roman" w:hint="eastAsia"/>
          <w:b w:val="0"/>
          <w:sz w:val="32"/>
          <w:szCs w:val="32"/>
        </w:rPr>
        <w:t>四</w:t>
      </w:r>
      <w:r>
        <w:rPr>
          <w:rFonts w:ascii="Times New Roman" w:eastAsia="楷体" w:hAnsi="Times New Roman" w:cs="Times New Roman"/>
          <w:b w:val="0"/>
          <w:sz w:val="32"/>
          <w:szCs w:val="32"/>
        </w:rPr>
        <w:t>）数字赋能矿产资源绿色发展监督管理</w:t>
      </w:r>
      <w:bookmarkEnd w:id="135"/>
      <w:bookmarkEnd w:id="136"/>
    </w:p>
    <w:p w14:paraId="496E6931" w14:textId="77777777" w:rsidR="00107085" w:rsidRDefault="00000000">
      <w:pPr>
        <w:ind w:firstLine="640"/>
      </w:pPr>
      <w:bookmarkStart w:id="137" w:name="_Toc227172399"/>
      <w:r>
        <w:t>将科技赋能作为促进基层矿山绿色转型的核心抓手。结合师市矿业发展实际，推动数字化技术在矿山生产、安全监测、资源管理、生态修复等方面应用。在企业生产端，鼓励矿山企业加强信息化监控网络建设，推行矿区全覆盖的视频监控与扬尘在线实时监测系统，推进开采作业与环境监测等环节数字化改造。在政府监管端，积极依托师市卫星中心与高分辨率遥感技术，建立</w:t>
      </w:r>
      <w:r>
        <w:rPr>
          <w:rFonts w:hint="eastAsia"/>
        </w:rPr>
        <w:t>“</w:t>
      </w:r>
      <w:r>
        <w:t>无人机定期巡检</w:t>
      </w:r>
      <w:r>
        <w:t>+</w:t>
      </w:r>
      <w:r>
        <w:t>遥感动态比对</w:t>
      </w:r>
      <w:r>
        <w:rPr>
          <w:rFonts w:hint="eastAsia"/>
        </w:rPr>
        <w:t>”</w:t>
      </w:r>
      <w:r>
        <w:t>的智能化矿山监管执法新模式。通过</w:t>
      </w:r>
      <w:r>
        <w:rPr>
          <w:rFonts w:hint="eastAsia"/>
        </w:rPr>
        <w:t>“</w:t>
      </w:r>
      <w:r>
        <w:t>天空地</w:t>
      </w:r>
      <w:r>
        <w:rPr>
          <w:rFonts w:hint="eastAsia"/>
        </w:rPr>
        <w:t>”</w:t>
      </w:r>
      <w:r>
        <w:t>一体化的技术赋能，对矿山越界开采、地质灾害隐患及生态修复成效进行高效动态监测，以科技手段大幅提升矿山精细化管理和本质安全水平。</w:t>
      </w:r>
    </w:p>
    <w:p w14:paraId="2BC65179" w14:textId="631F7C1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38" w:name="_Toc237883285"/>
      <w:r>
        <w:rPr>
          <w:rFonts w:ascii="Times New Roman" w:eastAsia="楷体" w:hAnsi="Times New Roman" w:cs="Times New Roman"/>
          <w:b w:val="0"/>
          <w:sz w:val="32"/>
          <w:szCs w:val="32"/>
        </w:rPr>
        <w:t>（</w:t>
      </w:r>
      <w:r>
        <w:rPr>
          <w:rFonts w:ascii="Times New Roman" w:eastAsia="楷体" w:hAnsi="Times New Roman" w:cs="Times New Roman" w:hint="eastAsia"/>
          <w:b w:val="0"/>
          <w:sz w:val="32"/>
          <w:szCs w:val="32"/>
        </w:rPr>
        <w:t>五</w:t>
      </w:r>
      <w:r>
        <w:rPr>
          <w:rFonts w:ascii="Times New Roman" w:eastAsia="楷体" w:hAnsi="Times New Roman" w:cs="Times New Roman"/>
          <w:b w:val="0"/>
          <w:sz w:val="32"/>
          <w:szCs w:val="32"/>
        </w:rPr>
        <w:t>）</w:t>
      </w:r>
      <w:r w:rsidR="003E2207" w:rsidRPr="003E2207">
        <w:rPr>
          <w:rFonts w:ascii="Times New Roman" w:eastAsia="楷体" w:hAnsi="Times New Roman" w:cs="Times New Roman"/>
          <w:b w:val="0"/>
          <w:sz w:val="32"/>
          <w:szCs w:val="32"/>
        </w:rPr>
        <w:t>规划实施的环境影响评价与管控对策</w:t>
      </w:r>
      <w:bookmarkEnd w:id="138"/>
    </w:p>
    <w:p w14:paraId="72304C2C" w14:textId="77777777" w:rsidR="00107085" w:rsidRDefault="00000000">
      <w:pPr>
        <w:ind w:firstLine="640"/>
      </w:pPr>
      <w:r>
        <w:t>针对第一师阿拉尔市以建筑砂石和砖瓦用粘土为主的非金属露天开采特点，规划实施的环境影响及减缓措施评估如下：</w:t>
      </w:r>
    </w:p>
    <w:p w14:paraId="41E71D2F" w14:textId="77777777" w:rsidR="00107085" w:rsidRDefault="00000000">
      <w:pPr>
        <w:ind w:firstLine="640"/>
      </w:pPr>
      <w:r>
        <w:t>环境影响预测与评估</w:t>
      </w:r>
      <w:r>
        <w:rPr>
          <w:rFonts w:hint="eastAsia"/>
        </w:rPr>
        <w:t>。</w:t>
      </w:r>
      <w:r>
        <w:t>规划严格落实</w:t>
      </w:r>
      <w:r>
        <w:rPr>
          <w:rFonts w:hint="eastAsia"/>
        </w:rPr>
        <w:t>“</w:t>
      </w:r>
      <w:r>
        <w:t>三区三线</w:t>
      </w:r>
      <w:r>
        <w:rPr>
          <w:rFonts w:hint="eastAsia"/>
        </w:rPr>
        <w:t>”</w:t>
      </w:r>
      <w:r>
        <w:t>和生态环境分区管控要求，矿区空间布局全面避让了自然保护地与生态保护红线，从源头最大程度规避了生态风险。矿业活动的不利影响主要局限于露天开采对局部地貌植被的扰动，以及采运</w:t>
      </w:r>
      <w:r>
        <w:lastRenderedPageBreak/>
        <w:t>环节产生的扬尘、噪声和固体废弃物。因矿区多位于戈壁荒漠，且无矿坑排水，对区域水土及生态环境的整体影响较小</w:t>
      </w:r>
      <w:r>
        <w:rPr>
          <w:rFonts w:hint="eastAsia"/>
        </w:rPr>
        <w:t>。</w:t>
      </w:r>
    </w:p>
    <w:p w14:paraId="5A576ED0" w14:textId="77777777" w:rsidR="00107085" w:rsidRDefault="00000000">
      <w:pPr>
        <w:ind w:firstLine="640"/>
      </w:pPr>
      <w:r>
        <w:t>环境保护对策与减缓措施</w:t>
      </w:r>
      <w:r>
        <w:rPr>
          <w:rFonts w:hint="eastAsia"/>
        </w:rPr>
        <w:t>。</w:t>
      </w:r>
      <w:r>
        <w:t>严格空间避让与源头减量：矿产开采工程必须严格避开水源保护区、基本农田等敏感目标，优化工业场地布置以减少土地占用。大气与水污染防治：全面推行封闭式生产与湿式作业，在破碎筛分环节安装袋式除尘装置，强化道路洒水抑尘；矿区生产废水及降雨径流经沉淀后循环用于厂区降尘，严禁外排。固废安全处置与生态修复：剥离的表土及废弃土石须集中规范堆放，优先用于采坑回填；严格落实</w:t>
      </w:r>
      <w:r>
        <w:rPr>
          <w:rFonts w:hint="eastAsia"/>
        </w:rPr>
        <w:t>“</w:t>
      </w:r>
      <w:r>
        <w:t>边开采、边治理</w:t>
      </w:r>
      <w:r>
        <w:rPr>
          <w:rFonts w:hint="eastAsia"/>
        </w:rPr>
        <w:t>”</w:t>
      </w:r>
      <w:r>
        <w:t>，闭坑后及时实施土地平整与覆土绿化，防止土地沙化及水土流失，恢复矿区地质环境与生态功能。</w:t>
      </w:r>
    </w:p>
    <w:p w14:paraId="6742FA20" w14:textId="77777777" w:rsidR="00107085" w:rsidRDefault="00107085">
      <w:pPr>
        <w:ind w:firstLine="640"/>
      </w:pPr>
    </w:p>
    <w:p w14:paraId="0F82924B" w14:textId="77777777" w:rsidR="00107085" w:rsidRDefault="00107085">
      <w:pPr>
        <w:ind w:firstLine="640"/>
        <w:sectPr w:rsidR="00107085">
          <w:pgSz w:w="11906" w:h="16838"/>
          <w:pgMar w:top="1701" w:right="1701" w:bottom="1701" w:left="1701" w:header="851" w:footer="851" w:gutter="0"/>
          <w:cols w:space="425"/>
          <w:docGrid w:type="lines" w:linePitch="560"/>
        </w:sectPr>
      </w:pPr>
    </w:p>
    <w:p w14:paraId="1F32F39B" w14:textId="77777777" w:rsidR="00107085" w:rsidRDefault="00107085">
      <w:pPr>
        <w:ind w:firstLine="640"/>
        <w:rPr>
          <w:rFonts w:eastAsia="仿宋"/>
          <w:bCs/>
        </w:rPr>
        <w:sectPr w:rsidR="00107085">
          <w:type w:val="continuous"/>
          <w:pgSz w:w="11906" w:h="16838"/>
          <w:pgMar w:top="1701" w:right="1701" w:bottom="1701" w:left="1701" w:header="851" w:footer="851" w:gutter="0"/>
          <w:cols w:space="425"/>
          <w:docGrid w:type="lines" w:linePitch="560"/>
        </w:sectPr>
      </w:pPr>
    </w:p>
    <w:p w14:paraId="00B8492B" w14:textId="77777777" w:rsidR="00107085" w:rsidRDefault="00000000">
      <w:pPr>
        <w:pStyle w:val="1"/>
        <w:keepLines w:val="0"/>
        <w:spacing w:beforeLines="0" w:before="0" w:afterLines="0" w:after="0"/>
        <w:ind w:firstLineChars="200" w:firstLine="640"/>
        <w:jc w:val="both"/>
        <w:rPr>
          <w:rFonts w:ascii="Times New Roman" w:eastAsia="黑体" w:hAnsi="Times New Roman"/>
          <w:b w:val="0"/>
          <w:sz w:val="32"/>
          <w:szCs w:val="32"/>
        </w:rPr>
      </w:pPr>
      <w:bookmarkStart w:id="139" w:name="_Toc237883286"/>
      <w:r>
        <w:rPr>
          <w:rFonts w:ascii="Times New Roman" w:eastAsia="黑体" w:hAnsi="Times New Roman"/>
          <w:b w:val="0"/>
          <w:sz w:val="32"/>
          <w:szCs w:val="32"/>
        </w:rPr>
        <w:lastRenderedPageBreak/>
        <w:t>八、深化矿产资源管理改革</w:t>
      </w:r>
      <w:bookmarkEnd w:id="137"/>
      <w:bookmarkEnd w:id="139"/>
    </w:p>
    <w:p w14:paraId="38DBB184" w14:textId="77777777" w:rsidR="00107085" w:rsidRDefault="00000000">
      <w:pPr>
        <w:ind w:firstLine="640"/>
      </w:pPr>
      <w:r>
        <w:t>为提升矿产资源治理能力现代化水平，需以新《</w:t>
      </w:r>
      <w:r>
        <w:rPr>
          <w:rFonts w:hint="eastAsia"/>
        </w:rPr>
        <w:t>中华人民共和国矿产资源法</w:t>
      </w:r>
      <w:r>
        <w:t>》及配套法规为统领，聚焦矿业权全生命周期，构建</w:t>
      </w:r>
      <w:r>
        <w:rPr>
          <w:rFonts w:hint="eastAsia"/>
        </w:rPr>
        <w:t>“</w:t>
      </w:r>
      <w:r>
        <w:t>事前高效配置、事中精准监管、事后闭环修复</w:t>
      </w:r>
      <w:r>
        <w:rPr>
          <w:rFonts w:hint="eastAsia"/>
        </w:rPr>
        <w:t>”</w:t>
      </w:r>
      <w:r>
        <w:t>的全流程管理体系，推动矿产资源开发利用从</w:t>
      </w:r>
      <w:r>
        <w:rPr>
          <w:rFonts w:hint="eastAsia"/>
        </w:rPr>
        <w:t>“</w:t>
      </w:r>
      <w:r>
        <w:t>碎片化管理</w:t>
      </w:r>
      <w:r>
        <w:rPr>
          <w:rFonts w:hint="eastAsia"/>
        </w:rPr>
        <w:t>”</w:t>
      </w:r>
      <w:r>
        <w:t>向</w:t>
      </w:r>
      <w:r>
        <w:rPr>
          <w:rFonts w:hint="eastAsia"/>
        </w:rPr>
        <w:t>“</w:t>
      </w:r>
      <w:r>
        <w:t>系统化治理</w:t>
      </w:r>
      <w:r>
        <w:rPr>
          <w:rFonts w:hint="eastAsia"/>
        </w:rPr>
        <w:t>”</w:t>
      </w:r>
      <w:r>
        <w:t>转变。</w:t>
      </w:r>
    </w:p>
    <w:p w14:paraId="5F35E5F3"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40" w:name="_Toc15200"/>
      <w:bookmarkStart w:id="141" w:name="_Toc108714689"/>
      <w:bookmarkStart w:id="142" w:name="_Toc484698682"/>
      <w:bookmarkStart w:id="143" w:name="_Toc12121"/>
      <w:bookmarkStart w:id="144" w:name="_Toc106959591"/>
      <w:bookmarkStart w:id="145" w:name="_Toc227172400"/>
      <w:bookmarkStart w:id="146" w:name="_Toc237883287"/>
      <w:r>
        <w:rPr>
          <w:rFonts w:ascii="Times New Roman" w:eastAsia="楷体" w:hAnsi="Times New Roman" w:cs="Times New Roman"/>
          <w:b w:val="0"/>
          <w:sz w:val="32"/>
          <w:szCs w:val="32"/>
        </w:rPr>
        <w:t>（一）</w:t>
      </w:r>
      <w:bookmarkEnd w:id="140"/>
      <w:bookmarkEnd w:id="141"/>
      <w:bookmarkEnd w:id="142"/>
      <w:bookmarkEnd w:id="143"/>
      <w:bookmarkEnd w:id="144"/>
      <w:r>
        <w:rPr>
          <w:rFonts w:ascii="Times New Roman" w:eastAsia="楷体" w:hAnsi="Times New Roman" w:cs="Times New Roman"/>
          <w:b w:val="0"/>
          <w:sz w:val="32"/>
          <w:szCs w:val="32"/>
        </w:rPr>
        <w:t>制度筑基与精准配置（源头管控）</w:t>
      </w:r>
      <w:bookmarkEnd w:id="145"/>
      <w:bookmarkEnd w:id="146"/>
    </w:p>
    <w:p w14:paraId="31C38E25" w14:textId="77777777" w:rsidR="00107085" w:rsidRDefault="00000000">
      <w:pPr>
        <w:ind w:firstLine="643"/>
      </w:pPr>
      <w:bookmarkStart w:id="147" w:name="_Toc484698685"/>
      <w:bookmarkStart w:id="148" w:name="_Toc10359"/>
      <w:bookmarkStart w:id="149" w:name="_Toc108714690"/>
      <w:bookmarkStart w:id="150" w:name="_Toc20091"/>
      <w:bookmarkStart w:id="151" w:name="_Toc106959593"/>
      <w:r>
        <w:rPr>
          <w:rFonts w:ascii="方正楷体_GBK" w:eastAsia="方正楷体_GBK" w:hint="eastAsia"/>
          <w:b/>
          <w:bCs/>
        </w:rPr>
        <w:t>健全法规与准入机制</w:t>
      </w:r>
      <w:r>
        <w:rPr>
          <w:b/>
          <w:bCs/>
        </w:rPr>
        <w:t>。</w:t>
      </w:r>
      <w:r>
        <w:t>严格落实新《</w:t>
      </w:r>
      <w:r>
        <w:rPr>
          <w:rFonts w:hint="eastAsia"/>
        </w:rPr>
        <w:t>中华人民共和国矿产资源法</w:t>
      </w:r>
      <w:r>
        <w:t>》及配套法规，完善师市矿业权出让登记、勘查开采许可、矿业用地等制度体系。依据</w:t>
      </w:r>
      <w:r>
        <w:rPr>
          <w:rFonts w:hint="eastAsia"/>
        </w:rPr>
        <w:t>“</w:t>
      </w:r>
      <w:r>
        <w:t>三条控制线</w:t>
      </w:r>
      <w:r>
        <w:rPr>
          <w:rFonts w:hint="eastAsia"/>
        </w:rPr>
        <w:t>”</w:t>
      </w:r>
      <w:r>
        <w:t>管控规则，在采矿权设置前严格审核规划符合性，确保新设采矿权位于规划开采区。严格落实开采方案审批制度。进一步规范矿产资源开发利用行为，矿业权人在开展采矿活动前，必须依法依规编制矿产资源开采方案（或开发利用与生态保护修复综合方案），并报原矿业权出让部门审查批准。矿山企业必须严格按照经批准的开采方案进行施工和生产，实现对矿产资源开发利用的科学统筹与源头管控。</w:t>
      </w:r>
    </w:p>
    <w:p w14:paraId="3630E660" w14:textId="77777777" w:rsidR="00107085" w:rsidRDefault="00000000">
      <w:pPr>
        <w:ind w:firstLine="643"/>
      </w:pPr>
      <w:r>
        <w:rPr>
          <w:rFonts w:ascii="方正楷体_GBK" w:eastAsia="方正楷体_GBK" w:hint="eastAsia"/>
          <w:b/>
          <w:bCs/>
        </w:rPr>
        <w:t>深化“净矿”出让机制</w:t>
      </w:r>
      <w:r>
        <w:rPr>
          <w:b/>
          <w:bCs/>
        </w:rPr>
        <w:t>。</w:t>
      </w:r>
      <w:r>
        <w:t>严格执行</w:t>
      </w:r>
      <w:r>
        <w:rPr>
          <w:rFonts w:hint="eastAsia"/>
        </w:rPr>
        <w:t>“</w:t>
      </w:r>
      <w:r>
        <w:t>政府组织、部门配合、社会监督</w:t>
      </w:r>
      <w:r>
        <w:rPr>
          <w:rFonts w:hint="eastAsia"/>
        </w:rPr>
        <w:t>”</w:t>
      </w:r>
      <w:r>
        <w:t>的</w:t>
      </w:r>
      <w:r>
        <w:rPr>
          <w:rFonts w:hint="eastAsia"/>
        </w:rPr>
        <w:t>“</w:t>
      </w:r>
      <w:r>
        <w:t>净矿</w:t>
      </w:r>
      <w:r>
        <w:rPr>
          <w:rFonts w:hint="eastAsia"/>
        </w:rPr>
        <w:t>”</w:t>
      </w:r>
      <w:r>
        <w:t>出让工作机制。在出让前，切实做好权属清晰、土地使用相关权利协调等基础工作，优选有利区块推进矿产勘查开发，构建政府主导、企业参与、市场竞争的矿业权出让体系。</w:t>
      </w:r>
    </w:p>
    <w:p w14:paraId="0D02CEEA" w14:textId="77777777" w:rsidR="00107085" w:rsidRDefault="00000000">
      <w:pPr>
        <w:ind w:firstLine="643"/>
      </w:pPr>
      <w:r>
        <w:rPr>
          <w:rFonts w:ascii="方正楷体_GBK" w:eastAsia="方正楷体_GBK"/>
          <w:b/>
          <w:bCs/>
        </w:rPr>
        <w:t>建立资源要素与重大项目联动投放机制</w:t>
      </w:r>
      <w:r>
        <w:rPr>
          <w:b/>
          <w:bCs/>
        </w:rPr>
        <w:t>。</w:t>
      </w:r>
      <w:r>
        <w:t>加强规划引领，</w:t>
      </w:r>
      <w:r>
        <w:lastRenderedPageBreak/>
        <w:t>实施</w:t>
      </w:r>
      <w:r>
        <w:rPr>
          <w:rFonts w:hint="eastAsia"/>
        </w:rPr>
        <w:t>“</w:t>
      </w:r>
      <w:r>
        <w:t>资源随项目配置</w:t>
      </w:r>
      <w:r>
        <w:rPr>
          <w:rFonts w:hint="eastAsia"/>
        </w:rPr>
        <w:t>”</w:t>
      </w:r>
      <w:r>
        <w:t>的精细化投放策略。在采矿权设置初期，紧密围绕库沙新拜产业园及重大交通、水利等基础设施工程的实际建设进度，科学测算资源需求量。转变传统投放模式，结合工程建设周期与合理开采年限，实行矿业权分期、分批、梯次出让。科学设定出让规模与期限，保障矿产资源开发时序与重大工程施工进度的高效契合，实现矿产资源的精准配置与适度开采。</w:t>
      </w:r>
    </w:p>
    <w:p w14:paraId="3FC898E9" w14:textId="77777777" w:rsidR="00107085" w:rsidRDefault="00000000">
      <w:pPr>
        <w:ind w:firstLine="643"/>
      </w:pPr>
      <w:r>
        <w:rPr>
          <w:rFonts w:ascii="方正楷体_GBK" w:eastAsia="方正楷体_GBK"/>
          <w:b/>
          <w:bCs/>
        </w:rPr>
        <w:t>构建跨区域新材料产业链资源保障机制</w:t>
      </w:r>
      <w:r>
        <w:rPr>
          <w:b/>
          <w:bCs/>
        </w:rPr>
        <w:t>。</w:t>
      </w:r>
      <w:r>
        <w:t>针对</w:t>
      </w:r>
      <w:r>
        <w:rPr>
          <w:rFonts w:hint="eastAsia"/>
        </w:rPr>
        <w:t>第一师</w:t>
      </w:r>
      <w:r>
        <w:t>阿拉尔市招商引资落地的玄武岩连续纤维拉丝等高新技术工厂，立足本地无玄武岩山体资源的实际，打破行政区划壁垒，依托兵地融合平台创新跨区域资源统筹机制。主动与阿克苏地区等周边拥有优质玄武岩资源的县市建立</w:t>
      </w:r>
      <w:r>
        <w:rPr>
          <w:rFonts w:hint="eastAsia"/>
        </w:rPr>
        <w:t>“</w:t>
      </w:r>
      <w:r>
        <w:t>异地供矿、定向互保</w:t>
      </w:r>
      <w:r>
        <w:rPr>
          <w:rFonts w:hint="eastAsia"/>
        </w:rPr>
        <w:t>”</w:t>
      </w:r>
      <w:r>
        <w:t>的原材料协同保障通道。通过稳固上游资源供给，打通玄武岩新材料</w:t>
      </w:r>
      <w:r>
        <w:rPr>
          <w:rFonts w:hint="eastAsia"/>
        </w:rPr>
        <w:t>“</w:t>
      </w:r>
      <w:r>
        <w:t>从原石到高科技纤维</w:t>
      </w:r>
      <w:r>
        <w:rPr>
          <w:rFonts w:hint="eastAsia"/>
        </w:rPr>
        <w:t>”</w:t>
      </w:r>
      <w:r>
        <w:t>的产业链条，不仅切实解决落地企业的原料瓶颈，保障重大招商引资项目平稳达产；更将以新材料产业为引擎，大幅拉动师市高端制造、军民</w:t>
      </w:r>
      <w:r>
        <w:rPr>
          <w:rFonts w:hint="eastAsia"/>
        </w:rPr>
        <w:t>融</w:t>
      </w:r>
      <w:r>
        <w:t>合及航空航天配套等下游高附加值产业的集聚，创造显著的税收与稳岗就业效益，将周边区域的资源优势有效转化为师市的经济发展强力动能。</w:t>
      </w:r>
    </w:p>
    <w:p w14:paraId="0D9EFB70" w14:textId="77777777" w:rsidR="00107085" w:rsidRDefault="00000000">
      <w:pPr>
        <w:ind w:firstLine="643"/>
        <w:rPr>
          <w:rFonts w:ascii="方正楷体_GBK" w:eastAsia="方正楷体_GBK"/>
          <w:b/>
          <w:bCs/>
        </w:rPr>
      </w:pPr>
      <w:r>
        <w:rPr>
          <w:rFonts w:ascii="方正楷体_GBK" w:eastAsia="方正楷体_GBK"/>
          <w:b/>
          <w:bCs/>
        </w:rPr>
        <w:t>依法严格保护矿业权人合法权益。</w:t>
      </w:r>
      <w:r>
        <w:t>全面贯彻落实新修订的《中华人民共和国矿产资源法》，坚持维护矿产资源国家所有者权益与矿业权人合法权益并重。一是稳定矿业权存续预期。依法保障探矿权人、采矿权人在有效审批期限内的排他性勘查、</w:t>
      </w:r>
      <w:r>
        <w:lastRenderedPageBreak/>
        <w:t>开采权利。除法定事由外，任何单位和部门不得随意干预或非法剥夺矿业权人的合法生产经营权。二是落实矿业权收回补偿与政策性退出救济制度。确因生态保护红线划定、自然保护地设立、重大基础设施建设等公共利益需要，或者因矿产资源规划等法定事由调整，导致合法存续的矿业权必须提前退出或依法收回的，师市相关主管部门应当严格依照法定程序，遵循公平、合理原则，及时对矿业权人给予依法补偿；对因生态保护红线、自然保护地等区域范围优化调整后不再重叠的原已注销或缩减面积的矿业权，允许原矿业权人按规定提出恢复申请，畅通矿业权合法退出与权益救济通道。三是优化矿业营商法治环境。</w:t>
      </w:r>
      <w:r>
        <w:t xml:space="preserve"> </w:t>
      </w:r>
      <w:r>
        <w:t>加大矿业权出让、登记等各环节的公开力度，进一步提升矿产资源管理透明度，切实保障公众及矿业权人的知情权、参与权和监督权。完善国有、民营等各类市场主体公平参与矿业权竞争的法治环境，各级政府及主管部门应积极履行矿产资源属地监管和执法主体责任，依法维护矿产资源勘查开发秩序，以</w:t>
      </w:r>
      <w:r>
        <w:rPr>
          <w:rFonts w:hint="eastAsia"/>
        </w:rPr>
        <w:t>法治化营商环境</w:t>
      </w:r>
      <w:r>
        <w:t>吸引优质资本参与师市矿业经济发展。</w:t>
      </w:r>
      <w:r>
        <w:t xml:space="preserve"> </w:t>
      </w:r>
    </w:p>
    <w:p w14:paraId="2720B488"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52" w:name="_Toc227172401"/>
      <w:bookmarkStart w:id="153" w:name="_Toc237883288"/>
      <w:bookmarkStart w:id="154" w:name="OLE_LINK2"/>
      <w:r>
        <w:rPr>
          <w:rFonts w:ascii="Times New Roman" w:eastAsia="楷体" w:hAnsi="Times New Roman" w:cs="Times New Roman"/>
          <w:b w:val="0"/>
          <w:sz w:val="32"/>
          <w:szCs w:val="32"/>
        </w:rPr>
        <w:t>（二）</w:t>
      </w:r>
      <w:bookmarkEnd w:id="147"/>
      <w:bookmarkEnd w:id="148"/>
      <w:bookmarkEnd w:id="149"/>
      <w:bookmarkEnd w:id="150"/>
      <w:bookmarkEnd w:id="151"/>
      <w:r>
        <w:rPr>
          <w:rFonts w:ascii="Times New Roman" w:eastAsia="楷体" w:hAnsi="Times New Roman" w:cs="Times New Roman"/>
          <w:b w:val="0"/>
          <w:sz w:val="32"/>
          <w:szCs w:val="32"/>
        </w:rPr>
        <w:t>数字赋能与协同监管（过程严管）</w:t>
      </w:r>
      <w:bookmarkEnd w:id="152"/>
      <w:bookmarkEnd w:id="153"/>
    </w:p>
    <w:bookmarkEnd w:id="154"/>
    <w:p w14:paraId="2CBA8BC4" w14:textId="77777777" w:rsidR="00107085" w:rsidRDefault="00000000">
      <w:pPr>
        <w:ind w:firstLine="643"/>
      </w:pPr>
      <w:r>
        <w:rPr>
          <w:rFonts w:ascii="方正楷体_GBK" w:eastAsia="方正楷体_GBK" w:hint="eastAsia"/>
          <w:b/>
          <w:bCs/>
        </w:rPr>
        <w:t>实施数字化动态监测</w:t>
      </w:r>
      <w:r>
        <w:rPr>
          <w:b/>
          <w:bCs/>
        </w:rPr>
        <w:t>。</w:t>
      </w:r>
      <w:r>
        <w:t>依托师市国土空间治理平台，将矿产资源规划实施管理要素纳入其中。利用信息化手段对矿山生产、安全监测、资源储量消耗及生态环境状况进行实时监控，提升矿山精细化管理和本质安全水平。</w:t>
      </w:r>
    </w:p>
    <w:p w14:paraId="0B90A730" w14:textId="77777777" w:rsidR="00107085" w:rsidRDefault="00000000">
      <w:pPr>
        <w:ind w:firstLine="643"/>
        <w:rPr>
          <w:rFonts w:ascii="方正楷体_GBK" w:eastAsia="方正楷体_GBK"/>
          <w:b/>
          <w:bCs/>
        </w:rPr>
      </w:pPr>
      <w:r>
        <w:rPr>
          <w:rFonts w:ascii="方正楷体_GBK" w:eastAsia="方正楷体_GBK"/>
          <w:b/>
          <w:bCs/>
        </w:rPr>
        <w:t>深化兵地融合，构建跨区域协同的实质性制度安排</w:t>
      </w:r>
      <w:r>
        <w:rPr>
          <w:rFonts w:ascii="方正楷体_GBK" w:eastAsia="方正楷体_GBK" w:hint="eastAsia"/>
          <w:b/>
          <w:bCs/>
        </w:rPr>
        <w:t>。</w:t>
      </w:r>
    </w:p>
    <w:p w14:paraId="476A8CC4" w14:textId="77777777" w:rsidR="00107085" w:rsidRDefault="00000000">
      <w:pPr>
        <w:ind w:firstLine="643"/>
      </w:pPr>
      <w:r>
        <w:rPr>
          <w:b/>
          <w:bCs/>
        </w:rPr>
        <w:t>一</w:t>
      </w:r>
      <w:r>
        <w:t>是建立跨区域矿业权管理协调机制。针对地跨兵地边界</w:t>
      </w:r>
      <w:r>
        <w:lastRenderedPageBreak/>
        <w:t>的矿区及临近行政边界的矿业权，师市将与阿克苏地区及库沙新拜等县市自然资源部门建立矿权联审与定点会商制度。在矿业权空间布局、年度出让计划、开采边界划定以及</w:t>
      </w:r>
      <w:r>
        <w:rPr>
          <w:rFonts w:hint="eastAsia"/>
        </w:rPr>
        <w:t>“</w:t>
      </w:r>
      <w:r>
        <w:t>净矿</w:t>
      </w:r>
      <w:r>
        <w:rPr>
          <w:rFonts w:hint="eastAsia"/>
        </w:rPr>
        <w:t>”</w:t>
      </w:r>
      <w:r>
        <w:t>出让前期工作环节实行</w:t>
      </w:r>
      <w:r>
        <w:rPr>
          <w:rFonts w:hint="eastAsia"/>
        </w:rPr>
        <w:t>“</w:t>
      </w:r>
      <w:r>
        <w:t>事前通报、事中联审</w:t>
      </w:r>
      <w:r>
        <w:rPr>
          <w:rFonts w:hint="eastAsia"/>
        </w:rPr>
        <w:t>”</w:t>
      </w:r>
      <w:r>
        <w:t>，避免同质化竞争、资源浪费与边界开采纠纷，实现兵地矿产勘查开发在空间与权属上的无缝衔接。</w:t>
      </w:r>
    </w:p>
    <w:p w14:paraId="5DA71B1C" w14:textId="77777777" w:rsidR="00107085" w:rsidRDefault="00000000">
      <w:pPr>
        <w:ind w:firstLine="640"/>
      </w:pPr>
      <w:r>
        <w:t>二是探索构建资源开发利益分配与共享机制。创新</w:t>
      </w:r>
      <w:r>
        <w:rPr>
          <w:rFonts w:hint="eastAsia"/>
        </w:rPr>
        <w:t>“</w:t>
      </w:r>
      <w:r>
        <w:t>兵地一盘棋</w:t>
      </w:r>
      <w:r>
        <w:rPr>
          <w:rFonts w:hint="eastAsia"/>
        </w:rPr>
        <w:t>”</w:t>
      </w:r>
      <w:r>
        <w:t>的资源开发模式，探索推进跨区域矿业权交叉持股、利益共享。针对跨区域协同保供的重点砂石土矿、风积沙综合利用项目以及玄武岩等异地供矿项目，研究建立</w:t>
      </w:r>
      <w:r>
        <w:rPr>
          <w:rFonts w:hint="eastAsia"/>
        </w:rPr>
        <w:t>“</w:t>
      </w:r>
      <w:r>
        <w:t>财税合理分成、基础设施共建分摊、生态修复基金联合筹措</w:t>
      </w:r>
      <w:r>
        <w:rPr>
          <w:rFonts w:hint="eastAsia"/>
        </w:rPr>
        <w:t>”</w:t>
      </w:r>
      <w:r>
        <w:t>的利益分配与责任分担细则。通过理顺利益纽带，切实调动兵地双方在矿产资源保供与深加工领域的合作积极性。</w:t>
      </w:r>
    </w:p>
    <w:p w14:paraId="6EC7EE31" w14:textId="77777777" w:rsidR="00107085" w:rsidRDefault="00000000">
      <w:pPr>
        <w:ind w:firstLine="640"/>
      </w:pPr>
      <w:r>
        <w:t>三是落实常态化兵地联合执法制度。组建由师市与阿克苏地区及周边县市的自然资源、生态环境、水利、交通及综合执法部门共同参与的</w:t>
      </w:r>
      <w:r>
        <w:rPr>
          <w:rFonts w:hint="eastAsia"/>
        </w:rPr>
        <w:t>“</w:t>
      </w:r>
      <w:r>
        <w:t>兵地跨区域联合执法工作专班</w:t>
      </w:r>
      <w:r>
        <w:rPr>
          <w:rFonts w:hint="eastAsia"/>
        </w:rPr>
        <w:t>”</w:t>
      </w:r>
      <w:r>
        <w:t>。聚焦塔里木河、阿克苏河沿岸、生态脆弱区及行政边界交错地带等监管薄弱地带，常态化开展联合巡查与专项整治行动。建立违法线索互通、案件协查移交与联合挂牌督办机制，严厉打击跨界非法采砂、无证越界开采及破坏水土环境等违法行为，形成兵地协同的高压震慑网。</w:t>
      </w:r>
      <w:r>
        <w:t xml:space="preserve"> </w:t>
      </w:r>
    </w:p>
    <w:p w14:paraId="0709B2A8" w14:textId="77777777" w:rsidR="00107085" w:rsidRDefault="00000000">
      <w:pPr>
        <w:ind w:firstLine="640"/>
      </w:pPr>
      <w:r>
        <w:t>四是建设砂石骨料供需信息共享平台。紧扣库沙新拜产业园及南疆重大水网、交通干线的集中用料需求，师市将主动牵</w:t>
      </w:r>
      <w:r>
        <w:lastRenderedPageBreak/>
        <w:t>头或全面融入阿克苏地区建材大数据网络，联合搭建</w:t>
      </w:r>
      <w:r>
        <w:rPr>
          <w:rFonts w:hint="eastAsia"/>
        </w:rPr>
        <w:t>“</w:t>
      </w:r>
      <w:r>
        <w:t>兵地砂石骨料供需与价格监测信息共享平台</w:t>
      </w:r>
      <w:r>
        <w:rPr>
          <w:rFonts w:hint="eastAsia"/>
        </w:rPr>
        <w:t>”</w:t>
      </w:r>
      <w:r>
        <w:t>。该平台将实现兵地双方矿区产能、工程项目需求、物流调度路线与市场指导价的实时互通与公开。通过大数据的</w:t>
      </w:r>
      <w:r>
        <w:rPr>
          <w:rFonts w:hint="eastAsia"/>
        </w:rPr>
        <w:t>“</w:t>
      </w:r>
      <w:r>
        <w:t>以需定产、余缺</w:t>
      </w:r>
      <w:r>
        <w:rPr>
          <w:rFonts w:hint="eastAsia"/>
        </w:rPr>
        <w:t>互补”</w:t>
      </w:r>
      <w:r>
        <w:t>，有效平抑区域建材价格剧烈波动，从根本上防范原材料短缺风险，为重大项目的低成本、高效率建设提供智慧化的大数据保供支撑。</w:t>
      </w:r>
    </w:p>
    <w:p w14:paraId="1A179D64" w14:textId="77777777" w:rsidR="00107085" w:rsidRDefault="00000000">
      <w:pPr>
        <w:ind w:firstLine="643"/>
      </w:pPr>
      <w:r>
        <w:rPr>
          <w:rFonts w:ascii="方正楷体_GBK" w:eastAsia="方正楷体_GBK"/>
          <w:b/>
          <w:bCs/>
        </w:rPr>
        <w:t>深化</w:t>
      </w:r>
      <w:r>
        <w:rPr>
          <w:rFonts w:ascii="方正楷体_GBK" w:eastAsia="方正楷体_GBK" w:hint="eastAsia"/>
          <w:b/>
          <w:bCs/>
        </w:rPr>
        <w:t>“</w:t>
      </w:r>
      <w:r>
        <w:rPr>
          <w:rFonts w:ascii="方正楷体_GBK" w:eastAsia="方正楷体_GBK"/>
          <w:b/>
          <w:bCs/>
        </w:rPr>
        <w:t>净矿</w:t>
      </w:r>
      <w:r>
        <w:rPr>
          <w:rFonts w:ascii="方正楷体_GBK" w:eastAsia="方正楷体_GBK" w:hint="eastAsia"/>
          <w:b/>
          <w:bCs/>
        </w:rPr>
        <w:t>”</w:t>
      </w:r>
      <w:r>
        <w:rPr>
          <w:rFonts w:ascii="方正楷体_GBK" w:eastAsia="方正楷体_GBK"/>
          <w:b/>
          <w:bCs/>
        </w:rPr>
        <w:t>出让与合同管理机制</w:t>
      </w:r>
      <w:r>
        <w:rPr>
          <w:b/>
          <w:bCs/>
        </w:rPr>
        <w:t>。</w:t>
      </w:r>
      <w:r>
        <w:t>严格执行</w:t>
      </w:r>
      <w:r>
        <w:rPr>
          <w:rFonts w:hint="eastAsia"/>
        </w:rPr>
        <w:t>“</w:t>
      </w:r>
      <w:r>
        <w:t>政府组织、部门配合、社会监督</w:t>
      </w:r>
      <w:r>
        <w:rPr>
          <w:rFonts w:hint="eastAsia"/>
        </w:rPr>
        <w:t>”</w:t>
      </w:r>
      <w:r>
        <w:t>的</w:t>
      </w:r>
      <w:r>
        <w:rPr>
          <w:rFonts w:hint="eastAsia"/>
        </w:rPr>
        <w:t>“</w:t>
      </w:r>
      <w:r>
        <w:t>净矿</w:t>
      </w:r>
      <w:r>
        <w:rPr>
          <w:rFonts w:hint="eastAsia"/>
        </w:rPr>
        <w:t>”</w:t>
      </w:r>
      <w:r>
        <w:t>出让工作机制。在出让前，切实做好权属清晰、土地使用相关权利协调等基础工作，优选有利区块推进矿产勘查开发。全面依法全面实行矿业权出让合同管理制度。在矿业权</w:t>
      </w:r>
      <w:r>
        <w:rPr>
          <w:rFonts w:hint="eastAsia"/>
        </w:rPr>
        <w:t>“</w:t>
      </w:r>
      <w:r>
        <w:t>净矿</w:t>
      </w:r>
      <w:r>
        <w:rPr>
          <w:rFonts w:hint="eastAsia"/>
        </w:rPr>
        <w:t>”</w:t>
      </w:r>
      <w:r>
        <w:t>出让交易完成后，师市自然资源主管部门必须与竞得人依法签订书面出让合同。为强化全生命周期监管，出让合同中应当明确载明以下事项：勘查或开采的矿种、区块空间范围与面积、出让期限、矿业权出让收益数额及支付方式、矿山地质环境治理恢复与土地复垦等生态修复刚性义务、开采总量的调控要求、违约责任以及争议解决方式等。通过严格的合同履约与台账监管，构建</w:t>
      </w:r>
      <w:r>
        <w:rPr>
          <w:rFonts w:hint="eastAsia"/>
        </w:rPr>
        <w:t>“</w:t>
      </w:r>
      <w:r>
        <w:t>政府主导、企业参与、市场竞争、合同约束、违约担责</w:t>
      </w:r>
      <w:r>
        <w:rPr>
          <w:rFonts w:hint="eastAsia"/>
        </w:rPr>
        <w:t>”</w:t>
      </w:r>
      <w:r>
        <w:t>的矿业权出让新体系。</w:t>
      </w:r>
    </w:p>
    <w:p w14:paraId="16FDCE50" w14:textId="77777777" w:rsidR="00107085" w:rsidRDefault="00000000">
      <w:pPr>
        <w:ind w:firstLine="643"/>
      </w:pPr>
      <w:r>
        <w:rPr>
          <w:rFonts w:ascii="方正楷体_GBK" w:eastAsia="方正楷体_GBK"/>
          <w:b/>
          <w:bCs/>
        </w:rPr>
        <w:t>规范矿山综合执法队伍与智慧化监管网络。</w:t>
      </w:r>
      <w:r>
        <w:t>针对过去矿山监管手段单一、人员不足的短板，全面规范和建强师市矿山综合执法监管队伍，变被动执法为主动监管。充分依托师市现有的卫星中心与无人机装备优势，推行</w:t>
      </w:r>
      <w:r>
        <w:rPr>
          <w:rFonts w:hint="eastAsia"/>
        </w:rPr>
        <w:t>“</w:t>
      </w:r>
      <w:r>
        <w:t>卫星遥感动态比对</w:t>
      </w:r>
      <w:r>
        <w:t>+</w:t>
      </w:r>
      <w:r>
        <w:lastRenderedPageBreak/>
        <w:t>无人机定期巡飞</w:t>
      </w:r>
      <w:r>
        <w:rPr>
          <w:rFonts w:hint="eastAsia"/>
        </w:rPr>
        <w:t>”</w:t>
      </w:r>
      <w:r>
        <w:t>的智慧化监管新模式，实现对矿产资源重点开采区每月至少一次的高频动态巡查。同时，深化自然资源、生态环境、水利及综合执法部门的协同机制，构建</w:t>
      </w:r>
      <w:r>
        <w:rPr>
          <w:rFonts w:hint="eastAsia"/>
        </w:rPr>
        <w:t>“</w:t>
      </w:r>
      <w:r>
        <w:t>天上看、地上查、网上管</w:t>
      </w:r>
      <w:r>
        <w:rPr>
          <w:rFonts w:hint="eastAsia"/>
        </w:rPr>
        <w:t>”</w:t>
      </w:r>
      <w:r>
        <w:t>的立体化跨部门联合执法网络。针对越界开采、非法采砂及未按方案落实环保措施等违规行为，建立</w:t>
      </w:r>
      <w:r>
        <w:rPr>
          <w:rFonts w:hint="eastAsia"/>
        </w:rPr>
        <w:t>“</w:t>
      </w:r>
      <w:r>
        <w:t>发现</w:t>
      </w:r>
      <w:r>
        <w:rPr>
          <w:rFonts w:hint="eastAsia"/>
        </w:rPr>
        <w:t>－</w:t>
      </w:r>
      <w:r>
        <w:t>核查</w:t>
      </w:r>
      <w:r>
        <w:rPr>
          <w:rFonts w:hint="eastAsia"/>
        </w:rPr>
        <w:t>－</w:t>
      </w:r>
      <w:r>
        <w:t>整改</w:t>
      </w:r>
      <w:r>
        <w:rPr>
          <w:rFonts w:hint="eastAsia"/>
        </w:rPr>
        <w:t>－</w:t>
      </w:r>
      <w:r>
        <w:t>处罚</w:t>
      </w:r>
      <w:r>
        <w:rPr>
          <w:rFonts w:hint="eastAsia"/>
        </w:rPr>
        <w:t>”</w:t>
      </w:r>
      <w:r>
        <w:t>的标准化闭环执法台账，切实提升执法的精细化、威慑力与现代化水平。</w:t>
      </w:r>
    </w:p>
    <w:p w14:paraId="21E08365"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55" w:name="_Toc237883289"/>
      <w:r>
        <w:rPr>
          <w:rFonts w:ascii="Times New Roman" w:eastAsia="楷体" w:hAnsi="Times New Roman" w:cs="Times New Roman"/>
          <w:b w:val="0"/>
          <w:sz w:val="32"/>
          <w:szCs w:val="32"/>
        </w:rPr>
        <w:t>（三）修复验收与评估退出（末端闭环）</w:t>
      </w:r>
      <w:bookmarkEnd w:id="155"/>
    </w:p>
    <w:p w14:paraId="3D1D733D" w14:textId="77777777" w:rsidR="00107085" w:rsidRDefault="00000000">
      <w:pPr>
        <w:ind w:firstLine="643"/>
      </w:pPr>
      <w:r>
        <w:rPr>
          <w:rFonts w:ascii="方正楷体_GBK" w:eastAsia="方正楷体_GBK"/>
          <w:b/>
          <w:bCs/>
        </w:rPr>
        <w:t>严格落实</w:t>
      </w:r>
      <w:r>
        <w:rPr>
          <w:rFonts w:ascii="方正楷体_GBK" w:eastAsia="方正楷体_GBK" w:hint="eastAsia"/>
          <w:b/>
          <w:bCs/>
        </w:rPr>
        <w:t>矿山生态修复</w:t>
      </w:r>
      <w:r>
        <w:rPr>
          <w:rFonts w:ascii="方正楷体_GBK" w:eastAsia="方正楷体_GBK"/>
          <w:b/>
          <w:bCs/>
        </w:rPr>
        <w:t>主体责任与法定义务。</w:t>
      </w:r>
      <w:r>
        <w:t>明确采矿权人是矿区生态修复的法定责任主体。采矿权人在开展采矿活动前，应当依法编制</w:t>
      </w:r>
      <w:r>
        <w:rPr>
          <w:rFonts w:hint="eastAsia"/>
        </w:rPr>
        <w:t>矿山生态修复</w:t>
      </w:r>
      <w:r>
        <w:t>方案。全面落实</w:t>
      </w:r>
      <w:r>
        <w:rPr>
          <w:rFonts w:hint="eastAsia"/>
        </w:rPr>
        <w:t>矿山生态修复</w:t>
      </w:r>
      <w:r>
        <w:t>资金保障，</w:t>
      </w:r>
      <w:r>
        <w:rPr>
          <w:rFonts w:hint="eastAsia"/>
        </w:rPr>
        <w:t>矿山生态修复</w:t>
      </w:r>
      <w:r>
        <w:t>费用应当依法、据实计入矿山生产成本。强化修复义务的刚性终身约束，矿区生态修复义务不因采矿权的消灭而免除；采矿权依法转让的，矿区生态修复义务由受让人接续履行。</w:t>
      </w:r>
    </w:p>
    <w:p w14:paraId="2DDAB1D2" w14:textId="77777777" w:rsidR="00107085" w:rsidRDefault="00000000">
      <w:pPr>
        <w:ind w:firstLine="643"/>
      </w:pPr>
      <w:r>
        <w:rPr>
          <w:rFonts w:ascii="方正楷体_GBK" w:eastAsia="方正楷体_GBK"/>
          <w:b/>
          <w:bCs/>
        </w:rPr>
        <w:t>健全矿山地质环境治理恢复基金硬性约束机制。</w:t>
      </w:r>
      <w:r>
        <w:t>紧扣企业</w:t>
      </w:r>
      <w:r>
        <w:rPr>
          <w:rFonts w:hint="eastAsia"/>
        </w:rPr>
        <w:t>“</w:t>
      </w:r>
      <w:r>
        <w:t>必须交、能使用、可恢复</w:t>
      </w:r>
      <w:r>
        <w:rPr>
          <w:rFonts w:hint="eastAsia"/>
        </w:rPr>
        <w:t>”</w:t>
      </w:r>
      <w:r>
        <w:t>的核心闭环，彻底扭转管理短板</w:t>
      </w:r>
      <w:r>
        <w:rPr>
          <w:rFonts w:hint="eastAsia"/>
        </w:rPr>
        <w:t>。</w:t>
      </w:r>
      <w:r>
        <w:t>建立采矿权人基金预提强制核查与信用挂钩机制。将治理恢复基金按时、足额预提并存入指定专户作为采矿权延续、变更、采矿许可证年检及</w:t>
      </w:r>
      <w:r>
        <w:rPr>
          <w:rFonts w:hint="eastAsia"/>
        </w:rPr>
        <w:t>“</w:t>
      </w:r>
      <w:r>
        <w:t>净矿</w:t>
      </w:r>
      <w:r>
        <w:rPr>
          <w:rFonts w:hint="eastAsia"/>
        </w:rPr>
        <w:t>”</w:t>
      </w:r>
      <w:r>
        <w:t>出让的前置刚性条件。对未按规定计提或欠缴的，依法责令限期整改；逾期不整改的，严肃查处并列入矿业权人异常名录或严重违法失信名单。优化规范基金提取与支取使用程序，坚决打破企业</w:t>
      </w:r>
      <w:r>
        <w:rPr>
          <w:rFonts w:hint="eastAsia"/>
        </w:rPr>
        <w:t>“</w:t>
      </w:r>
      <w:r>
        <w:t>不敢用、用不上</w:t>
      </w:r>
      <w:r>
        <w:rPr>
          <w:rFonts w:hint="eastAsia"/>
        </w:rPr>
        <w:t>”</w:t>
      </w:r>
      <w:r>
        <w:lastRenderedPageBreak/>
        <w:t>的体制卡点。明确采矿权人在实施</w:t>
      </w:r>
      <w:r>
        <w:rPr>
          <w:rFonts w:hint="eastAsia"/>
        </w:rPr>
        <w:t>“</w:t>
      </w:r>
      <w:r>
        <w:t>边开采、边治理</w:t>
      </w:r>
      <w:r>
        <w:rPr>
          <w:rFonts w:hint="eastAsia"/>
        </w:rPr>
        <w:t>”</w:t>
      </w:r>
      <w:r>
        <w:t>过程中，凭阶段性生态修复设计与第三方工程监理合格报告，可按工程节点申请划拨专户基金用于治理施工，保障生态修复资金及时精准投入。严把工程质量验收关，建立多部门联合巡查与终期闭坑验收销号制度。对治理恢复质量达不到审查方案要求的，一律不予通过验收，并动用预提基金或依法追缴追加资金由政府统筹实施代为治理，确保实现</w:t>
      </w:r>
      <w:r>
        <w:rPr>
          <w:rFonts w:hint="eastAsia"/>
        </w:rPr>
        <w:t>“</w:t>
      </w:r>
      <w:r>
        <w:t>开采一片、治理一片、恢复一片</w:t>
      </w:r>
      <w:r>
        <w:rPr>
          <w:rFonts w:hint="eastAsia"/>
        </w:rPr>
        <w:t>”</w:t>
      </w:r>
      <w:r>
        <w:t>的生态效果。</w:t>
      </w:r>
    </w:p>
    <w:p w14:paraId="39E483C8" w14:textId="77777777" w:rsidR="00107085" w:rsidRDefault="00000000">
      <w:pPr>
        <w:ind w:firstLine="643"/>
      </w:pPr>
      <w:r>
        <w:rPr>
          <w:rFonts w:ascii="方正楷体_GBK" w:eastAsia="方正楷体_GBK"/>
          <w:b/>
          <w:bCs/>
        </w:rPr>
        <w:t>规范矿山行政执法与动态监管</w:t>
      </w:r>
      <w:r>
        <w:rPr>
          <w:rFonts w:ascii="方正楷体_GBK" w:eastAsia="方正楷体_GBK" w:hint="eastAsia"/>
          <w:b/>
          <w:bCs/>
        </w:rPr>
        <w:t>队伍</w:t>
      </w:r>
      <w:r>
        <w:rPr>
          <w:rFonts w:ascii="方正楷体_GBK" w:eastAsia="方正楷体_GBK"/>
          <w:b/>
          <w:bCs/>
        </w:rPr>
        <w:t>建设。</w:t>
      </w:r>
      <w:r>
        <w:t>针对执法监管薄弱环节，全面规范和建强师市矿山执法监管队伍。根据《关于印发</w:t>
      </w:r>
      <w:r>
        <w:rPr>
          <w:rFonts w:hint="eastAsia"/>
        </w:rPr>
        <w:t>〈</w:t>
      </w:r>
      <w:r>
        <w:t>第一师阿拉尔市安全生产委员会成员单位安全生产工作职责分工</w:t>
      </w:r>
      <w:r>
        <w:rPr>
          <w:rFonts w:hint="eastAsia"/>
        </w:rPr>
        <w:t>〉的通知》</w:t>
      </w:r>
      <w:r>
        <w:t>（师市安委发</w:t>
      </w:r>
      <w:r>
        <w:rPr>
          <w:rFonts w:hint="eastAsia"/>
        </w:rPr>
        <w:t>〔</w:t>
      </w:r>
      <w:r>
        <w:rPr>
          <w:rFonts w:hint="eastAsia"/>
        </w:rPr>
        <w:t>2020</w:t>
      </w:r>
      <w:r>
        <w:rPr>
          <w:rFonts w:hint="eastAsia"/>
        </w:rPr>
        <w:t>〕</w:t>
      </w:r>
      <w:r>
        <w:rPr>
          <w:rFonts w:hint="eastAsia"/>
        </w:rPr>
        <w:t>8</w:t>
      </w:r>
      <w:r>
        <w:rPr>
          <w:rFonts w:hint="eastAsia"/>
        </w:rPr>
        <w:t>号</w:t>
      </w:r>
      <w:r>
        <w:t>）规定，师市自然资源和规划局负责查处无证勘查、无证采矿、超层越界开采、以探代采、以采代探等违法违规行为；负责对无采矿许可证和超层越界开采、资源接近枯竭、不符合矿产资源规划等矿井关闭工作及关闭是否到位情况进行监督和指导深化自然资源、生态环境、水利及综合执法部门的联合执法机制，加大对未按方案治理、越界开采、非法采砂等违规行为的查处惩戒力度。结合卫星遥感与无人机定期巡检，将日常监管责任落实到人、到矿，切实提升执法威慑力与精细化水平。</w:t>
      </w:r>
    </w:p>
    <w:p w14:paraId="0EA055DE" w14:textId="77777777" w:rsidR="00107085" w:rsidRDefault="00000000">
      <w:pPr>
        <w:ind w:firstLine="643"/>
      </w:pPr>
      <w:r>
        <w:rPr>
          <w:rFonts w:ascii="方正楷体_GBK" w:eastAsia="方正楷体_GBK"/>
          <w:b/>
          <w:bCs/>
        </w:rPr>
        <w:t>规范项目竣工结余资源处置与闲置矿业权盘活</w:t>
      </w:r>
      <w:r>
        <w:rPr>
          <w:b/>
          <w:bCs/>
        </w:rPr>
        <w:t>。</w:t>
      </w:r>
      <w:r>
        <w:t>严格执行矿业权退出与盘活机制。建立常态化、硬约束的矿业权清退与闲置盘活体系。</w:t>
      </w:r>
    </w:p>
    <w:p w14:paraId="380AE0B1" w14:textId="77777777" w:rsidR="00107085" w:rsidRDefault="00000000">
      <w:pPr>
        <w:ind w:firstLine="640"/>
      </w:pPr>
      <w:r>
        <w:lastRenderedPageBreak/>
        <w:t>明确强制退出条件：凡存在以下情形的矿业权必须依法强制退出：一是国家产业政策明令淘汰的；二是勘查许可证、采矿许可证有效期限届满，未依法办理延续手续的；三是因生态保护红线划定、自然保护地设立等公共利益需要依法必须退出的；四是矿产资源已经枯竭或定向服务的重大工程项目已竣工结项的；五是存在重大安全隐患拒不整改或发生重大环境污染事故的。</w:t>
      </w:r>
    </w:p>
    <w:p w14:paraId="145AC53D" w14:textId="77777777" w:rsidR="00107085" w:rsidRDefault="00000000">
      <w:pPr>
        <w:ind w:firstLine="640"/>
      </w:pPr>
      <w:r>
        <w:t>规范退出程序与时限：师市自然资源主管部门是矿业权退出的执行与监管主体。对于触发退出条件的矿业权，自然资源主管部门应提前</w:t>
      </w:r>
      <w:r>
        <w:t>30</w:t>
      </w:r>
      <w:r>
        <w:t>日向矿业权人下达《限期退出通知书》。矿业权人必须在收到通知后</w:t>
      </w:r>
      <w:r>
        <w:t>60</w:t>
      </w:r>
      <w:r>
        <w:t>日内完成地面设施拆除与撤离。</w:t>
      </w:r>
    </w:p>
    <w:p w14:paraId="794D6DF4" w14:textId="77777777" w:rsidR="00107085" w:rsidRDefault="00000000">
      <w:pPr>
        <w:ind w:firstLine="640"/>
      </w:pPr>
      <w:r>
        <w:t>压实闭坑与修复责任：矿业权退出前，矿业权人必须依法履行矿山地质环境治理恢复与土地复垦等生态修复刚性义务。对逾期不履行修复义务或验收不合格的，自然资源主管部门有权动用其预提基金代为治理，不足部分依法向矿业权人追缴，并将其列入严重违法失信名单。</w:t>
      </w:r>
    </w:p>
    <w:p w14:paraId="2A801DB5" w14:textId="77777777" w:rsidR="00107085" w:rsidRDefault="00000000">
      <w:pPr>
        <w:ind w:firstLine="640"/>
      </w:pPr>
      <w:r>
        <w:t>闲置与结余资源盘活：对</w:t>
      </w:r>
      <w:r>
        <w:rPr>
          <w:rFonts w:hint="eastAsia"/>
        </w:rPr>
        <w:t>“</w:t>
      </w:r>
      <w:r>
        <w:t>圈而不采</w:t>
      </w:r>
      <w:r>
        <w:rPr>
          <w:rFonts w:hint="eastAsia"/>
        </w:rPr>
        <w:t>”</w:t>
      </w:r>
      <w:r>
        <w:t>或长期停工停产的低效闲置矿业权，实行限期清退；对工程竣工后的结余资源及依法收回的矿业权，由自然资源主管部门统一重新评估，通过市场化方式（如重新招拍挂）流转盘活，确保优质资源向具备实际开发能力的企业集聚。</w:t>
      </w:r>
    </w:p>
    <w:p w14:paraId="10006A2B" w14:textId="77777777" w:rsidR="00107085" w:rsidRDefault="00000000">
      <w:pPr>
        <w:ind w:firstLine="643"/>
      </w:pPr>
      <w:r>
        <w:rPr>
          <w:rFonts w:ascii="方正楷体_GBK" w:eastAsia="方正楷体_GBK"/>
          <w:b/>
          <w:bCs/>
        </w:rPr>
        <w:t>深化生态修复协同与矿山地质灾害防范治理。</w:t>
      </w:r>
      <w:r>
        <w:t>全面推行</w:t>
      </w:r>
      <w:r>
        <w:rPr>
          <w:rFonts w:hint="eastAsia"/>
        </w:rPr>
        <w:t>矿山生态修复</w:t>
      </w:r>
      <w:r>
        <w:t>与地质灾害防治的</w:t>
      </w:r>
      <w:r>
        <w:rPr>
          <w:rFonts w:hint="eastAsia"/>
        </w:rPr>
        <w:t>“</w:t>
      </w:r>
      <w:r>
        <w:t>项目化治理</w:t>
      </w:r>
      <w:r>
        <w:rPr>
          <w:rFonts w:hint="eastAsia"/>
        </w:rPr>
        <w:t>”</w:t>
      </w:r>
      <w:r>
        <w:t>模式，变零散</w:t>
      </w:r>
      <w:r>
        <w:lastRenderedPageBreak/>
        <w:t>修复为系统工程。针对历史遗留废弃矿山、尾矿库，特别是</w:t>
      </w:r>
      <w:r>
        <w:rPr>
          <w:rFonts w:hint="eastAsia"/>
        </w:rPr>
        <w:t>矿山生态修复</w:t>
      </w:r>
      <w:r>
        <w:t>后可能形成的不稳定高陡边坡等地质灾害隐患，必须建立严格的防范排查与退出验收标准。通过引入社会资本或政府统筹等方式实施综合治理项目，完成末端修复，实现资源开发全生命周期的无缝闭环管理。针对修复区及存量矿山的边坡隐患，全面衔接师市</w:t>
      </w:r>
      <w:r>
        <w:rPr>
          <w:rFonts w:hint="eastAsia"/>
        </w:rPr>
        <w:t>“</w:t>
      </w:r>
      <w:r>
        <w:t>十五五</w:t>
      </w:r>
      <w:r>
        <w:rPr>
          <w:rFonts w:hint="eastAsia"/>
        </w:rPr>
        <w:t>”</w:t>
      </w:r>
      <w:r>
        <w:t>重要地质灾害隐患点自动化监测项目。重点在四团、五团等防灾核心区域，针对易发灾害的矿山边坡部署倾角加速度计、泥位计等普适性自动化监测预警设备。构建</w:t>
      </w:r>
      <w:r>
        <w:t>“</w:t>
      </w:r>
      <w:r>
        <w:t>群专结合</w:t>
      </w:r>
      <w:r>
        <w:t>”</w:t>
      </w:r>
      <w:r>
        <w:t>的监测预警网络与分级响应机制，有效降低群测群防员的工作压力，确保矿区修复后的长期地质安全。同时深化生态修复协同，探索将部分条件适宜的露天采空区、采砂坑与洪水资源化利用调蓄设施、沉沙池建设等水利工程项目深度捆绑，统筹推进新时代水土保持与河湖生态保护治理，筑牢兵团南疆中心城市的人居环境生态屏障。</w:t>
      </w:r>
    </w:p>
    <w:p w14:paraId="7AF5BD0C" w14:textId="77777777" w:rsidR="00107085" w:rsidRDefault="00107085">
      <w:pPr>
        <w:ind w:firstLine="640"/>
      </w:pPr>
    </w:p>
    <w:p w14:paraId="406275DD" w14:textId="77777777" w:rsidR="00107085" w:rsidRDefault="00107085">
      <w:pPr>
        <w:ind w:firstLine="640"/>
      </w:pPr>
    </w:p>
    <w:p w14:paraId="1C50668B" w14:textId="77777777" w:rsidR="00107085" w:rsidRDefault="00107085">
      <w:pPr>
        <w:ind w:firstLine="640"/>
        <w:sectPr w:rsidR="00107085">
          <w:pgSz w:w="11906" w:h="16838"/>
          <w:pgMar w:top="1701" w:right="1701" w:bottom="1701" w:left="1701" w:header="851" w:footer="851" w:gutter="0"/>
          <w:cols w:space="425"/>
          <w:docGrid w:type="lines" w:linePitch="560"/>
        </w:sectPr>
      </w:pPr>
    </w:p>
    <w:p w14:paraId="537AB25E" w14:textId="77777777" w:rsidR="00107085" w:rsidRDefault="00107085">
      <w:pPr>
        <w:ind w:firstLine="640"/>
        <w:sectPr w:rsidR="00107085">
          <w:type w:val="continuous"/>
          <w:pgSz w:w="11906" w:h="16838"/>
          <w:pgMar w:top="1701" w:right="1701" w:bottom="1701" w:left="1701" w:header="851" w:footer="851" w:gutter="0"/>
          <w:cols w:space="425"/>
          <w:docGrid w:type="lines" w:linePitch="560"/>
        </w:sectPr>
      </w:pPr>
    </w:p>
    <w:p w14:paraId="2519B21E" w14:textId="77777777" w:rsidR="00107085" w:rsidRDefault="00000000">
      <w:pPr>
        <w:pStyle w:val="1"/>
        <w:keepLines w:val="0"/>
        <w:spacing w:beforeLines="0" w:before="0" w:afterLines="0" w:after="0"/>
        <w:ind w:firstLineChars="200" w:firstLine="640"/>
        <w:jc w:val="both"/>
        <w:rPr>
          <w:rFonts w:ascii="Times New Roman" w:eastAsia="黑体" w:hAnsi="Times New Roman"/>
          <w:b w:val="0"/>
          <w:sz w:val="32"/>
          <w:szCs w:val="32"/>
        </w:rPr>
      </w:pPr>
      <w:bookmarkStart w:id="156" w:name="_Toc227172402"/>
      <w:bookmarkStart w:id="157" w:name="_Toc237883290"/>
      <w:bookmarkEnd w:id="134"/>
      <w:r>
        <w:rPr>
          <w:rFonts w:ascii="Times New Roman" w:eastAsia="黑体" w:hAnsi="Times New Roman"/>
          <w:b w:val="0"/>
          <w:sz w:val="32"/>
          <w:szCs w:val="32"/>
        </w:rPr>
        <w:lastRenderedPageBreak/>
        <w:t>九、规划实施保障</w:t>
      </w:r>
      <w:bookmarkEnd w:id="156"/>
      <w:bookmarkEnd w:id="157"/>
    </w:p>
    <w:p w14:paraId="65D2E6F0" w14:textId="77777777" w:rsidR="00107085" w:rsidRDefault="00000000">
      <w:pPr>
        <w:ind w:firstLine="640"/>
      </w:pPr>
      <w:bookmarkStart w:id="158" w:name="_Toc108714711"/>
      <w:r>
        <w:t>在规划实施过程中应加强组织领导，按照统筹协调、分工负责的原则，加强规划实施管理，加强宣传和社会监督。</w:t>
      </w:r>
    </w:p>
    <w:p w14:paraId="66F26E4F"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59" w:name="_Toc227172403"/>
      <w:bookmarkStart w:id="160" w:name="_Toc237883291"/>
      <w:r>
        <w:rPr>
          <w:rFonts w:ascii="Times New Roman" w:eastAsia="楷体" w:hAnsi="Times New Roman" w:cs="Times New Roman"/>
          <w:b w:val="0"/>
          <w:sz w:val="32"/>
          <w:szCs w:val="32"/>
        </w:rPr>
        <w:t>（一）加强组织领导</w:t>
      </w:r>
      <w:bookmarkEnd w:id="158"/>
      <w:bookmarkEnd w:id="159"/>
      <w:bookmarkEnd w:id="160"/>
    </w:p>
    <w:p w14:paraId="7D7EC6D4" w14:textId="77777777" w:rsidR="00107085" w:rsidRDefault="00000000">
      <w:pPr>
        <w:ind w:firstLine="640"/>
      </w:pPr>
      <w:bookmarkStart w:id="161" w:name="_Toc108714712"/>
      <w:bookmarkStart w:id="162" w:name="_Hlk107929320"/>
      <w:r>
        <w:t>在兵团领导下，师市及团场等有关部门要按照职责分工，构建部门协同、上下联动机制，进一步细化和完善相关政策措施，做好政策衔接，形成工作合力，做好规划组织实施工作，及时研究解决规划实施中的重大问题。研究制定规划实施年度计划，将规划目标和任务分解到年度及各团场。将规划实施情况纳入师市自然资源主管部门绩效考核评价体系，作为改进工作的重要依据。</w:t>
      </w:r>
    </w:p>
    <w:p w14:paraId="039EB612"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63" w:name="_Toc227172404"/>
      <w:bookmarkStart w:id="164" w:name="_Toc237883292"/>
      <w:r>
        <w:rPr>
          <w:rFonts w:ascii="Times New Roman" w:eastAsia="楷体" w:hAnsi="Times New Roman" w:cs="Times New Roman"/>
          <w:b w:val="0"/>
          <w:sz w:val="32"/>
          <w:szCs w:val="32"/>
        </w:rPr>
        <w:t>（二）</w:t>
      </w:r>
      <w:bookmarkEnd w:id="161"/>
      <w:r>
        <w:rPr>
          <w:rFonts w:ascii="Times New Roman" w:eastAsia="楷体" w:hAnsi="Times New Roman" w:cs="Times New Roman"/>
          <w:b w:val="0"/>
          <w:sz w:val="32"/>
          <w:szCs w:val="32"/>
        </w:rPr>
        <w:t>加强规划引领管控</w:t>
      </w:r>
      <w:bookmarkEnd w:id="163"/>
      <w:bookmarkEnd w:id="164"/>
    </w:p>
    <w:bookmarkEnd w:id="162"/>
    <w:p w14:paraId="7ABB782C" w14:textId="77777777" w:rsidR="00107085" w:rsidRDefault="00000000">
      <w:pPr>
        <w:ind w:firstLine="640"/>
      </w:pPr>
      <w:r>
        <w:t>师市自然资源主管部门在勘查开采区块优选、矿业权出让、矿产资源勘查开发重大工程设置或已有矿业权退出过程中严格规划审核把关，并提出审查意见。经审查不符合矿产资源规划管控要求的区块或重大工程，自然资源主管部门不得出让矿业权。</w:t>
      </w:r>
    </w:p>
    <w:p w14:paraId="04FE3390"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65" w:name="_Toc108714717"/>
      <w:bookmarkStart w:id="166" w:name="_Toc227172405"/>
      <w:bookmarkStart w:id="167" w:name="_Toc237883293"/>
      <w:r>
        <w:rPr>
          <w:rFonts w:ascii="Times New Roman" w:eastAsia="楷体" w:hAnsi="Times New Roman" w:cs="Times New Roman"/>
          <w:b w:val="0"/>
          <w:sz w:val="32"/>
          <w:szCs w:val="32"/>
        </w:rPr>
        <w:t>（三）</w:t>
      </w:r>
      <w:bookmarkEnd w:id="165"/>
      <w:r>
        <w:rPr>
          <w:rFonts w:ascii="Times New Roman" w:eastAsia="楷体" w:hAnsi="Times New Roman" w:cs="Times New Roman"/>
          <w:b w:val="0"/>
          <w:sz w:val="32"/>
          <w:szCs w:val="32"/>
        </w:rPr>
        <w:t>强化规划实施监督检查</w:t>
      </w:r>
      <w:bookmarkEnd w:id="166"/>
      <w:bookmarkEnd w:id="167"/>
    </w:p>
    <w:p w14:paraId="270CCD4B" w14:textId="77777777" w:rsidR="00107085" w:rsidRDefault="00000000">
      <w:pPr>
        <w:ind w:firstLine="640"/>
        <w:sectPr w:rsidR="00107085">
          <w:pgSz w:w="11906" w:h="16838"/>
          <w:pgMar w:top="1701" w:right="1701" w:bottom="1701" w:left="1701" w:header="851" w:footer="851" w:gutter="0"/>
          <w:cols w:space="425"/>
          <w:docGrid w:type="lines" w:linePitch="560"/>
        </w:sectPr>
      </w:pPr>
      <w:r>
        <w:t>师市自然资源主管部门及相关部门需强化对矿产资源总体规划实施情况的监督检查，将其纳入矿产资源监督执法。健全规划监督检查手段，随机抽查、专项检查与经常性检查相结合，强化社会监督和舆论监督，将监督检查结果予以公示公开，促进规划有效实施</w:t>
      </w:r>
      <w:r>
        <w:rPr>
          <w:rFonts w:hint="eastAsia"/>
        </w:rPr>
        <w:t>。</w:t>
      </w:r>
    </w:p>
    <w:p w14:paraId="312C6FA4"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68" w:name="_Toc108714714"/>
      <w:bookmarkStart w:id="169" w:name="_Toc227172406"/>
      <w:bookmarkStart w:id="170" w:name="_Toc237883294"/>
      <w:bookmarkStart w:id="171" w:name="_Hlk107929349"/>
      <w:bookmarkStart w:id="172" w:name="_Toc108714713"/>
      <w:bookmarkStart w:id="173" w:name="_Hlk107929340"/>
      <w:r>
        <w:rPr>
          <w:rFonts w:ascii="Times New Roman" w:eastAsia="楷体" w:hAnsi="Times New Roman" w:cs="Times New Roman"/>
          <w:b w:val="0"/>
          <w:sz w:val="32"/>
          <w:szCs w:val="32"/>
        </w:rPr>
        <w:lastRenderedPageBreak/>
        <w:t>（四）</w:t>
      </w:r>
      <w:bookmarkEnd w:id="168"/>
      <w:r>
        <w:rPr>
          <w:rFonts w:ascii="Times New Roman" w:eastAsia="楷体" w:hAnsi="Times New Roman" w:cs="Times New Roman"/>
          <w:b w:val="0"/>
          <w:sz w:val="32"/>
          <w:szCs w:val="32"/>
        </w:rPr>
        <w:t>提高规划信息化管理水平</w:t>
      </w:r>
      <w:bookmarkEnd w:id="169"/>
      <w:bookmarkEnd w:id="170"/>
    </w:p>
    <w:bookmarkEnd w:id="171"/>
    <w:p w14:paraId="10C3C5AA" w14:textId="77777777" w:rsidR="00107085" w:rsidRDefault="00000000">
      <w:pPr>
        <w:ind w:firstLine="640"/>
      </w:pPr>
      <w:r>
        <w:t>以数字化引领规划实施管理创新，将规划实施管理要素纳入师市国土空间治理平台，强化规划数据库与其他矿政管理数据库的互联互通与信息整合。完善矿产资源规划管理信息系统，为规划实施监管、考核、评估、调整提供数字化支撑；做好矿产资源规划信息的动态管理，完善数据库建设和更新机制，提高规划实施管理水平。</w:t>
      </w:r>
    </w:p>
    <w:p w14:paraId="4182D17E"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74" w:name="_Toc232942588"/>
      <w:bookmarkStart w:id="175" w:name="_Toc227172407"/>
      <w:bookmarkStart w:id="176" w:name="_Toc237883295"/>
      <w:r>
        <w:rPr>
          <w:rFonts w:ascii="Times New Roman" w:eastAsia="楷体" w:hAnsi="Times New Roman" w:cs="Times New Roman"/>
          <w:b w:val="0"/>
          <w:sz w:val="32"/>
          <w:szCs w:val="32"/>
        </w:rPr>
        <w:t>（五）推进规划实施监测评估</w:t>
      </w:r>
      <w:bookmarkEnd w:id="172"/>
      <w:bookmarkEnd w:id="174"/>
      <w:bookmarkEnd w:id="175"/>
      <w:bookmarkEnd w:id="176"/>
    </w:p>
    <w:bookmarkEnd w:id="173"/>
    <w:p w14:paraId="52AB943B" w14:textId="77777777" w:rsidR="00107085" w:rsidRDefault="00000000">
      <w:pPr>
        <w:ind w:firstLine="640"/>
      </w:pPr>
      <w:r>
        <w:t>师市自然资源主管部门依据规划内容，明确规划年度实施监测指标与任务，对矿业权投放、总量调控、结构调整、综合利用、绿色矿山建设等进行监测。严格执行规划中期评估、期末评估，全面掌握规划主要目标和任务完成进度。依据监测结果，着重评估规划实施的总体进展情况，剖析存在的问题，为后续推进和完善规划实施工作提供科学依据。</w:t>
      </w:r>
    </w:p>
    <w:p w14:paraId="1B6283E3" w14:textId="77777777" w:rsidR="00107085" w:rsidRDefault="00000000">
      <w:pPr>
        <w:pStyle w:val="2"/>
        <w:keepLines w:val="0"/>
        <w:spacing w:beforeLines="0" w:before="0" w:afterLines="0" w:after="0"/>
        <w:ind w:firstLineChars="200" w:firstLine="640"/>
        <w:jc w:val="both"/>
        <w:rPr>
          <w:rFonts w:ascii="Times New Roman" w:eastAsia="楷体" w:hAnsi="Times New Roman" w:cs="Times New Roman"/>
          <w:b w:val="0"/>
          <w:sz w:val="32"/>
          <w:szCs w:val="32"/>
        </w:rPr>
      </w:pPr>
      <w:bookmarkStart w:id="177" w:name="_Toc237883296"/>
      <w:r>
        <w:rPr>
          <w:rFonts w:ascii="Times New Roman" w:eastAsia="楷体" w:hAnsi="Times New Roman" w:cs="Times New Roman"/>
          <w:b w:val="0"/>
          <w:sz w:val="32"/>
          <w:szCs w:val="32"/>
        </w:rPr>
        <w:t>（六）规划实施风险评估与应对预案</w:t>
      </w:r>
      <w:bookmarkEnd w:id="177"/>
    </w:p>
    <w:p w14:paraId="2D6A56E2" w14:textId="77777777" w:rsidR="00107085" w:rsidRDefault="00000000">
      <w:pPr>
        <w:ind w:firstLine="640"/>
      </w:pPr>
      <w:r>
        <w:t>为确保规划目标和任务的顺利实现，针对规划实施过程中可能面临的各类风险因素，建立以下防范与应对机制：</w:t>
      </w:r>
    </w:p>
    <w:p w14:paraId="6393F783" w14:textId="77777777" w:rsidR="00107085" w:rsidRDefault="00000000">
      <w:pPr>
        <w:ind w:firstLine="640"/>
      </w:pPr>
      <w:r>
        <w:rPr>
          <w:rFonts w:hint="eastAsia"/>
        </w:rPr>
        <w:t>一、</w:t>
      </w:r>
      <w:r>
        <w:t>宏观经济与市场波动风险应对</w:t>
      </w:r>
    </w:p>
    <w:p w14:paraId="3E8B4D82" w14:textId="77777777" w:rsidR="00107085" w:rsidRDefault="00000000">
      <w:pPr>
        <w:ind w:firstLine="640"/>
      </w:pPr>
      <w:r>
        <w:t>风险评估：建筑用砂石、粘土等大宗非金属矿产受固定资产投资和基础设施建设进度影响极大。若区域重大工程（如交通、水利项目）延期或停滞，可能导致短时期内产能过剩、价格波动或矿山企业经营困难。</w:t>
      </w:r>
    </w:p>
    <w:p w14:paraId="012943CE" w14:textId="77777777" w:rsidR="00107085" w:rsidRDefault="00000000">
      <w:pPr>
        <w:ind w:firstLine="640"/>
      </w:pPr>
      <w:r>
        <w:t>应对预案：建立师市砂石骨料供需与价格动态监测大数据平台。实施采矿权梯次投放与弹性产能储备机制，根据重大工程实</w:t>
      </w:r>
      <w:r>
        <w:lastRenderedPageBreak/>
        <w:t>际进度动态调整年度出让计划；鼓励矿山企业向下游建材深加工（如干混砂浆、预制构件）延伸，提高抗风险能力。</w:t>
      </w:r>
    </w:p>
    <w:p w14:paraId="271AE591" w14:textId="77777777" w:rsidR="00107085" w:rsidRDefault="00000000">
      <w:pPr>
        <w:ind w:firstLineChars="262" w:firstLine="838"/>
      </w:pPr>
      <w:r>
        <w:rPr>
          <w:rFonts w:hint="eastAsia"/>
        </w:rPr>
        <w:t>二、</w:t>
      </w:r>
      <w:r>
        <w:t>政策调整与空间管控约束风险应对</w:t>
      </w:r>
    </w:p>
    <w:p w14:paraId="4DE5BA34" w14:textId="77777777" w:rsidR="00107085" w:rsidRDefault="00000000">
      <w:pPr>
        <w:ind w:firstLine="640"/>
      </w:pPr>
      <w:r>
        <w:t>风险评估：随着生态文明建设的深入，国家或兵团可能出台更加严格的环保政策，或对</w:t>
      </w:r>
      <w:r>
        <w:rPr>
          <w:rFonts w:hint="eastAsia"/>
        </w:rPr>
        <w:t>“</w:t>
      </w:r>
      <w:r>
        <w:t>三区三线</w:t>
      </w:r>
      <w:r>
        <w:rPr>
          <w:rFonts w:hint="eastAsia"/>
        </w:rPr>
        <w:t>”</w:t>
      </w:r>
      <w:r>
        <w:t>（特别是生态保护红线、永久基本农田）进行动态调整，可能导致部分已设矿权或规划区块被迫缩减或退出。</w:t>
      </w:r>
    </w:p>
    <w:p w14:paraId="012529A9" w14:textId="77777777" w:rsidR="00107085" w:rsidRDefault="00000000">
      <w:pPr>
        <w:ind w:firstLine="640"/>
      </w:pPr>
      <w:r>
        <w:t>应对预案：建立规划动态调整与</w:t>
      </w:r>
      <w:r>
        <w:rPr>
          <w:rFonts w:hint="eastAsia"/>
        </w:rPr>
        <w:t>国土空间规划“一张图”</w:t>
      </w:r>
      <w:r>
        <w:t>联动核查机制。依法落实因公共利益需要退出的矿业权补偿救济机制；优先在非敏感区储备一批</w:t>
      </w:r>
      <w:r>
        <w:rPr>
          <w:rFonts w:hint="eastAsia"/>
        </w:rPr>
        <w:t>“</w:t>
      </w:r>
      <w:r>
        <w:t>净矿</w:t>
      </w:r>
      <w:r>
        <w:rPr>
          <w:rFonts w:hint="eastAsia"/>
        </w:rPr>
        <w:t>”</w:t>
      </w:r>
      <w:r>
        <w:t>资源地，一旦发生政策性清退，可迅速启动替代区块投放，保障建材基本供给。</w:t>
      </w:r>
    </w:p>
    <w:p w14:paraId="09BBDC37" w14:textId="77777777" w:rsidR="00107085" w:rsidRDefault="00000000">
      <w:pPr>
        <w:ind w:firstLine="640"/>
      </w:pPr>
      <w:r>
        <w:rPr>
          <w:rFonts w:hint="eastAsia"/>
        </w:rPr>
        <w:t>三、</w:t>
      </w:r>
      <w:r>
        <w:t>重大自然灾害与突发事件风险应对</w:t>
      </w:r>
    </w:p>
    <w:p w14:paraId="06FBD6B8" w14:textId="77777777" w:rsidR="00107085" w:rsidRDefault="00000000">
      <w:pPr>
        <w:ind w:firstLine="640"/>
      </w:pPr>
      <w:r>
        <w:t>风险评估：师市地处干旱荒漠区及天山南麓前缘，极端天气（如暴雨洪水）易引发局部地段的崩塌、泥石流等地质灾害，对矿山安全生产和运输生命线构成威胁；此外，突发公共卫生事件等也可能影响正常生产。</w:t>
      </w:r>
    </w:p>
    <w:p w14:paraId="0668FA52" w14:textId="77777777" w:rsidR="00107085" w:rsidRDefault="00000000">
      <w:pPr>
        <w:ind w:firstLine="640"/>
      </w:pPr>
      <w:r>
        <w:t>应对预案：积极争取国家、兵团地质勘查基金及专项转移支付资金支持；依托产学研合作平台，联合疆内外高校开展风积沙高值化利用等专项技术攻关；发挥政府产业引导基金的杠杆作用，吸引社会资本与大型国有企业参与师市矿业开发与深加工项目。</w:t>
      </w:r>
    </w:p>
    <w:p w14:paraId="0457D0BB" w14:textId="77777777" w:rsidR="00107085" w:rsidRDefault="00107085">
      <w:pPr>
        <w:ind w:firstLine="640"/>
      </w:pPr>
    </w:p>
    <w:p w14:paraId="37EF42DB" w14:textId="77777777" w:rsidR="00107085" w:rsidRDefault="00107085">
      <w:pPr>
        <w:ind w:firstLine="640"/>
      </w:pPr>
    </w:p>
    <w:p w14:paraId="70E48E21" w14:textId="77777777" w:rsidR="00107085" w:rsidRDefault="00107085">
      <w:pPr>
        <w:ind w:firstLine="640"/>
      </w:pPr>
    </w:p>
    <w:p w14:paraId="0B2D83EC" w14:textId="77777777" w:rsidR="00107085" w:rsidRDefault="00107085">
      <w:pPr>
        <w:ind w:firstLine="640"/>
      </w:pPr>
    </w:p>
    <w:p w14:paraId="2EE6FCAA" w14:textId="77777777" w:rsidR="00107085" w:rsidRDefault="00107085">
      <w:pPr>
        <w:widowControl/>
        <w:spacing w:line="240" w:lineRule="auto"/>
        <w:ind w:firstLineChars="0" w:firstLine="0"/>
        <w:jc w:val="left"/>
        <w:rPr>
          <w:rFonts w:eastAsia="宋体"/>
          <w:kern w:val="0"/>
          <w:sz w:val="20"/>
          <w:szCs w:val="20"/>
        </w:rPr>
      </w:pPr>
    </w:p>
    <w:sectPr w:rsidR="00107085">
      <w:pgSz w:w="11906" w:h="16838"/>
      <w:pgMar w:top="1440" w:right="1463" w:bottom="1440" w:left="1463"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3ACDD" w14:textId="77777777" w:rsidR="0097775C" w:rsidRDefault="0097775C">
      <w:pPr>
        <w:spacing w:line="240" w:lineRule="auto"/>
        <w:ind w:firstLine="640"/>
      </w:pPr>
      <w:r>
        <w:separator/>
      </w:r>
    </w:p>
  </w:endnote>
  <w:endnote w:type="continuationSeparator" w:id="0">
    <w:p w14:paraId="202147E9" w14:textId="77777777" w:rsidR="0097775C" w:rsidRDefault="0097775C">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embedRegular r:id="rId1" w:subsetted="1" w:fontKey="{B57E97CB-46DC-4198-A488-F0AA7E86BBCD}"/>
    <w:embedBold r:id="rId2" w:subsetted="1" w:fontKey="{FF75A7D4-3599-497F-90DF-DD35FF8C3A4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3" w:subsetted="1" w:fontKey="{B7E7B5AD-F405-47A4-998E-92E4AD8D955B}"/>
    <w:embedBold r:id="rId4" w:subsetted="1" w:fontKey="{7BB3D80B-DE5B-4ED3-9A5D-9A196EC7F79F}"/>
  </w:font>
  <w:font w:name="楷体_GB2312">
    <w:altName w:val="楷体"/>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embedRegular r:id="rId5" w:subsetted="1" w:fontKey="{EBFC488F-3BCA-4115-B674-3D78C095E992}"/>
  </w:font>
  <w:font w:name="方正小标宋简体">
    <w:panose1 w:val="02010601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embedBold r:id="rId6" w:subsetted="1" w:fontKey="{C6E9A0A9-718C-4E50-96D9-210005994314}"/>
  </w:font>
  <w:font w:name="楷体">
    <w:panose1 w:val="02010609060101010101"/>
    <w:charset w:val="86"/>
    <w:family w:val="modern"/>
    <w:pitch w:val="fixed"/>
    <w:sig w:usb0="800002BF" w:usb1="38CF7CFA" w:usb2="00000016" w:usb3="00000000" w:csb0="00040001" w:csb1="00000000"/>
    <w:embedRegular r:id="rId7" w:subsetted="1" w:fontKey="{7AFED4D0-28FB-45A4-B3D3-E88C42627DA3}"/>
    <w:embedBold r:id="rId8" w:subsetted="1" w:fontKey="{9666D67B-AD73-41F2-A8F2-397E76EBCB6C}"/>
  </w:font>
  <w:font w:name="方正楷体_GBK">
    <w:panose1 w:val="03000509000000000000"/>
    <w:charset w:val="86"/>
    <w:family w:val="script"/>
    <w:pitch w:val="fixed"/>
    <w:sig w:usb0="00000001" w:usb1="080E0000" w:usb2="00000010" w:usb3="00000000" w:csb0="00040000" w:csb1="00000000"/>
    <w:embedRegular r:id="rId9" w:subsetted="1" w:fontKey="{A114506E-EAEF-4B04-8BE7-0F51AC21E6CC}"/>
    <w:embedBold r:id="rId10" w:subsetted="1" w:fontKey="{3DBCA445-AA3B-4C8E-8FC6-223614FD1549}"/>
  </w:font>
  <w:font w:name="Cambria Math">
    <w:panose1 w:val="02040503050406030204"/>
    <w:charset w:val="00"/>
    <w:family w:val="roman"/>
    <w:pitch w:val="variable"/>
    <w:sig w:usb0="E00006FF" w:usb1="420024FF" w:usb2="02000000" w:usb3="00000000" w:csb0="0000019F" w:csb1="00000000"/>
    <w:embedRegular r:id="rId11" w:fontKey="{D4BF69B9-C71D-49A0-99FF-3AEE37107A4A}"/>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95F9" w14:textId="77777777" w:rsidR="00107085" w:rsidRDefault="00107085">
    <w:pPr>
      <w:pStyle w:val="ac"/>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AC738" w14:textId="77777777" w:rsidR="00107085" w:rsidRDefault="00000000">
    <w:pPr>
      <w:pStyle w:val="ac"/>
      <w:ind w:firstLineChars="0" w:firstLine="0"/>
      <w:jc w:val="center"/>
    </w:pPr>
    <w:r>
      <w:fldChar w:fldCharType="begin"/>
    </w:r>
    <w:r>
      <w:instrText xml:space="preserve"> PAGE   \* MERGEFORMAT </w:instrText>
    </w:r>
    <w:r>
      <w:fldChar w:fldCharType="separate"/>
    </w:r>
    <w:r>
      <w:rPr>
        <w:lang w:val="zh-CN"/>
      </w:rPr>
      <w:t>2</w:t>
    </w:r>
    <w:r>
      <w:rPr>
        <w:lang w:val="zh-CN"/>
      </w:rPr>
      <w:t>3</w:t>
    </w:r>
    <w:r>
      <w:rPr>
        <w:lang w:val="zh-CN"/>
      </w:rPr>
      <w:fldChar w:fldCharType="end"/>
    </w:r>
  </w:p>
  <w:p w14:paraId="6A098E80" w14:textId="77777777" w:rsidR="00107085" w:rsidRDefault="00107085">
    <w:pPr>
      <w:pStyle w:val="ac"/>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F259" w14:textId="77777777" w:rsidR="00107085" w:rsidRDefault="00107085">
    <w:pPr>
      <w:pStyle w:val="ac"/>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52B2" w14:textId="77777777" w:rsidR="00107085" w:rsidRDefault="00107085">
    <w:pPr>
      <w:pStyle w:val="ac"/>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4607456"/>
    </w:sdtPr>
    <w:sdtContent>
      <w:p w14:paraId="548545FF" w14:textId="77777777" w:rsidR="00107085" w:rsidRDefault="00000000">
        <w:pPr>
          <w:pStyle w:val="ac"/>
          <w:ind w:firstLine="360"/>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C5E5E" w14:textId="77777777" w:rsidR="0097775C" w:rsidRDefault="0097775C">
      <w:pPr>
        <w:spacing w:line="240" w:lineRule="auto"/>
        <w:ind w:firstLine="640"/>
      </w:pPr>
      <w:r>
        <w:separator/>
      </w:r>
    </w:p>
  </w:footnote>
  <w:footnote w:type="continuationSeparator" w:id="0">
    <w:p w14:paraId="5F384AFE" w14:textId="77777777" w:rsidR="0097775C" w:rsidRDefault="0097775C">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6A4C0" w14:textId="77777777" w:rsidR="00107085" w:rsidRDefault="00107085">
    <w:pPr>
      <w:pStyle w:val="a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FCF0D" w14:textId="77777777" w:rsidR="00107085" w:rsidRDefault="00107085">
    <w:pPr>
      <w:ind w:left="640"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15403" w14:textId="77777777" w:rsidR="00107085" w:rsidRDefault="00107085">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60"/>
  <w:drawingGridVerticalSpacing w:val="280"/>
  <w:noPunctuationKerning/>
  <w:characterSpacingControl w:val="compressPunctuation"/>
  <w:noLineBreaksAfter w:lang="zh-CN" w:val="([{·‘“〈《「『【〔〖（．［｛￡￥"/>
  <w:noLineBreaksBefore w:lang="zh-CN" w:val="!),.:;?]}¨°·ˇˉ―‖’”…′″∶、。〃々〉》」』】〕〗！＂％＇），．：；？］｀｜｝～￠"/>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QxYmQ0ZTY1MjMxZGI2NzkwNmY4OTI0MzcwZjNjZDQifQ=="/>
  </w:docVars>
  <w:rsids>
    <w:rsidRoot w:val="003E6B8B"/>
    <w:rsid w:val="00000F82"/>
    <w:rsid w:val="0000283F"/>
    <w:rsid w:val="00003349"/>
    <w:rsid w:val="00003CDF"/>
    <w:rsid w:val="00004D0D"/>
    <w:rsid w:val="00004D90"/>
    <w:rsid w:val="00004F81"/>
    <w:rsid w:val="00005E33"/>
    <w:rsid w:val="000110B6"/>
    <w:rsid w:val="000110E6"/>
    <w:rsid w:val="00012691"/>
    <w:rsid w:val="00012B7F"/>
    <w:rsid w:val="0001523F"/>
    <w:rsid w:val="00016BC3"/>
    <w:rsid w:val="000173A0"/>
    <w:rsid w:val="00017E87"/>
    <w:rsid w:val="0002078C"/>
    <w:rsid w:val="00020931"/>
    <w:rsid w:val="00020A7D"/>
    <w:rsid w:val="00021D95"/>
    <w:rsid w:val="000221D6"/>
    <w:rsid w:val="00024C27"/>
    <w:rsid w:val="00024DE4"/>
    <w:rsid w:val="0002501B"/>
    <w:rsid w:val="000254AF"/>
    <w:rsid w:val="00025A3E"/>
    <w:rsid w:val="00026340"/>
    <w:rsid w:val="0002754D"/>
    <w:rsid w:val="0002762E"/>
    <w:rsid w:val="00030096"/>
    <w:rsid w:val="00030D16"/>
    <w:rsid w:val="000312C8"/>
    <w:rsid w:val="0003188C"/>
    <w:rsid w:val="00032420"/>
    <w:rsid w:val="00033E80"/>
    <w:rsid w:val="00034B7E"/>
    <w:rsid w:val="00035230"/>
    <w:rsid w:val="00035D18"/>
    <w:rsid w:val="00035E99"/>
    <w:rsid w:val="00036841"/>
    <w:rsid w:val="00036BDF"/>
    <w:rsid w:val="00037D33"/>
    <w:rsid w:val="00037EA1"/>
    <w:rsid w:val="000403B8"/>
    <w:rsid w:val="00040FB6"/>
    <w:rsid w:val="00041055"/>
    <w:rsid w:val="00042161"/>
    <w:rsid w:val="0004224C"/>
    <w:rsid w:val="000424D5"/>
    <w:rsid w:val="00042BE1"/>
    <w:rsid w:val="00042E6E"/>
    <w:rsid w:val="00043033"/>
    <w:rsid w:val="0004486F"/>
    <w:rsid w:val="00045144"/>
    <w:rsid w:val="000452EC"/>
    <w:rsid w:val="000469BF"/>
    <w:rsid w:val="00046BB9"/>
    <w:rsid w:val="00046DDD"/>
    <w:rsid w:val="00047748"/>
    <w:rsid w:val="000511F9"/>
    <w:rsid w:val="00051482"/>
    <w:rsid w:val="00051B9F"/>
    <w:rsid w:val="00052033"/>
    <w:rsid w:val="00054416"/>
    <w:rsid w:val="000546FE"/>
    <w:rsid w:val="00054A6A"/>
    <w:rsid w:val="0005523A"/>
    <w:rsid w:val="00056025"/>
    <w:rsid w:val="00056E04"/>
    <w:rsid w:val="00056FD4"/>
    <w:rsid w:val="00057E40"/>
    <w:rsid w:val="00057FE8"/>
    <w:rsid w:val="00060064"/>
    <w:rsid w:val="0006013E"/>
    <w:rsid w:val="0006090E"/>
    <w:rsid w:val="00060E7C"/>
    <w:rsid w:val="0006128F"/>
    <w:rsid w:val="00061C14"/>
    <w:rsid w:val="00061D89"/>
    <w:rsid w:val="0006292C"/>
    <w:rsid w:val="00062F33"/>
    <w:rsid w:val="0006304E"/>
    <w:rsid w:val="00064915"/>
    <w:rsid w:val="00064C85"/>
    <w:rsid w:val="000663F9"/>
    <w:rsid w:val="000664CA"/>
    <w:rsid w:val="0006663D"/>
    <w:rsid w:val="00066A6C"/>
    <w:rsid w:val="0007076A"/>
    <w:rsid w:val="0007274E"/>
    <w:rsid w:val="00074B9D"/>
    <w:rsid w:val="00075A34"/>
    <w:rsid w:val="00077595"/>
    <w:rsid w:val="000822B6"/>
    <w:rsid w:val="00082BE5"/>
    <w:rsid w:val="00082CE0"/>
    <w:rsid w:val="00082FEC"/>
    <w:rsid w:val="00083253"/>
    <w:rsid w:val="000834AA"/>
    <w:rsid w:val="00083779"/>
    <w:rsid w:val="00083A60"/>
    <w:rsid w:val="00083E67"/>
    <w:rsid w:val="000840B5"/>
    <w:rsid w:val="000847E1"/>
    <w:rsid w:val="0008496B"/>
    <w:rsid w:val="00084D7D"/>
    <w:rsid w:val="00085718"/>
    <w:rsid w:val="000858FD"/>
    <w:rsid w:val="00086291"/>
    <w:rsid w:val="00086820"/>
    <w:rsid w:val="00086F81"/>
    <w:rsid w:val="00087DC9"/>
    <w:rsid w:val="0009035E"/>
    <w:rsid w:val="00090A15"/>
    <w:rsid w:val="000913FF"/>
    <w:rsid w:val="00093BC0"/>
    <w:rsid w:val="000940D7"/>
    <w:rsid w:val="0009501F"/>
    <w:rsid w:val="00095A2D"/>
    <w:rsid w:val="00095B2D"/>
    <w:rsid w:val="00096F6C"/>
    <w:rsid w:val="00097D25"/>
    <w:rsid w:val="000A02E0"/>
    <w:rsid w:val="000A0933"/>
    <w:rsid w:val="000A09A2"/>
    <w:rsid w:val="000A1D01"/>
    <w:rsid w:val="000A2A4F"/>
    <w:rsid w:val="000A3F31"/>
    <w:rsid w:val="000A5412"/>
    <w:rsid w:val="000A5FD2"/>
    <w:rsid w:val="000A62E9"/>
    <w:rsid w:val="000A65DC"/>
    <w:rsid w:val="000A69E2"/>
    <w:rsid w:val="000A75AD"/>
    <w:rsid w:val="000A7694"/>
    <w:rsid w:val="000A787A"/>
    <w:rsid w:val="000B06AE"/>
    <w:rsid w:val="000B0D74"/>
    <w:rsid w:val="000B16C4"/>
    <w:rsid w:val="000B2CDC"/>
    <w:rsid w:val="000B38EC"/>
    <w:rsid w:val="000C09B2"/>
    <w:rsid w:val="000C3F5F"/>
    <w:rsid w:val="000C4087"/>
    <w:rsid w:val="000C4B53"/>
    <w:rsid w:val="000C57C7"/>
    <w:rsid w:val="000D0CDD"/>
    <w:rsid w:val="000D10DE"/>
    <w:rsid w:val="000D1A94"/>
    <w:rsid w:val="000D27C2"/>
    <w:rsid w:val="000D280F"/>
    <w:rsid w:val="000D29A9"/>
    <w:rsid w:val="000D2E12"/>
    <w:rsid w:val="000D366C"/>
    <w:rsid w:val="000D3CB6"/>
    <w:rsid w:val="000D407E"/>
    <w:rsid w:val="000D5210"/>
    <w:rsid w:val="000D58ED"/>
    <w:rsid w:val="000D65AE"/>
    <w:rsid w:val="000D6AEE"/>
    <w:rsid w:val="000D6C04"/>
    <w:rsid w:val="000E0847"/>
    <w:rsid w:val="000E0F67"/>
    <w:rsid w:val="000E184E"/>
    <w:rsid w:val="000E1E6D"/>
    <w:rsid w:val="000E2162"/>
    <w:rsid w:val="000E21F8"/>
    <w:rsid w:val="000E3B45"/>
    <w:rsid w:val="000E3B80"/>
    <w:rsid w:val="000E3E50"/>
    <w:rsid w:val="000E5305"/>
    <w:rsid w:val="000E725B"/>
    <w:rsid w:val="000E77A1"/>
    <w:rsid w:val="000E7992"/>
    <w:rsid w:val="000E79FD"/>
    <w:rsid w:val="000F04B7"/>
    <w:rsid w:val="000F05B4"/>
    <w:rsid w:val="000F084F"/>
    <w:rsid w:val="000F0C1E"/>
    <w:rsid w:val="000F0F99"/>
    <w:rsid w:val="000F17B5"/>
    <w:rsid w:val="000F1B40"/>
    <w:rsid w:val="000F2678"/>
    <w:rsid w:val="000F2713"/>
    <w:rsid w:val="000F4740"/>
    <w:rsid w:val="000F57AB"/>
    <w:rsid w:val="000F64A5"/>
    <w:rsid w:val="000F6BFF"/>
    <w:rsid w:val="000F7745"/>
    <w:rsid w:val="000F7F43"/>
    <w:rsid w:val="00100859"/>
    <w:rsid w:val="00100B0E"/>
    <w:rsid w:val="00100D7D"/>
    <w:rsid w:val="00101AB3"/>
    <w:rsid w:val="00101EA1"/>
    <w:rsid w:val="001033AE"/>
    <w:rsid w:val="00103703"/>
    <w:rsid w:val="001043DB"/>
    <w:rsid w:val="00104CB1"/>
    <w:rsid w:val="00106568"/>
    <w:rsid w:val="00106E4D"/>
    <w:rsid w:val="00107085"/>
    <w:rsid w:val="001078DD"/>
    <w:rsid w:val="00107A71"/>
    <w:rsid w:val="0011011C"/>
    <w:rsid w:val="00110AB5"/>
    <w:rsid w:val="00110AB8"/>
    <w:rsid w:val="00111A4D"/>
    <w:rsid w:val="00111EF2"/>
    <w:rsid w:val="00112061"/>
    <w:rsid w:val="00112DE1"/>
    <w:rsid w:val="00112E5E"/>
    <w:rsid w:val="00113617"/>
    <w:rsid w:val="001138E4"/>
    <w:rsid w:val="00113BC4"/>
    <w:rsid w:val="00113F77"/>
    <w:rsid w:val="00114560"/>
    <w:rsid w:val="001150E5"/>
    <w:rsid w:val="0011561A"/>
    <w:rsid w:val="00115CA3"/>
    <w:rsid w:val="00115CD1"/>
    <w:rsid w:val="001160BF"/>
    <w:rsid w:val="00116C04"/>
    <w:rsid w:val="00117C4A"/>
    <w:rsid w:val="00120351"/>
    <w:rsid w:val="0012046C"/>
    <w:rsid w:val="001205AD"/>
    <w:rsid w:val="001209D8"/>
    <w:rsid w:val="00121133"/>
    <w:rsid w:val="001213EF"/>
    <w:rsid w:val="00121C8A"/>
    <w:rsid w:val="00121FB3"/>
    <w:rsid w:val="00122373"/>
    <w:rsid w:val="00122C59"/>
    <w:rsid w:val="001243C1"/>
    <w:rsid w:val="00124709"/>
    <w:rsid w:val="00124CE2"/>
    <w:rsid w:val="00124E82"/>
    <w:rsid w:val="00125865"/>
    <w:rsid w:val="001258AE"/>
    <w:rsid w:val="00126307"/>
    <w:rsid w:val="00126776"/>
    <w:rsid w:val="001274DC"/>
    <w:rsid w:val="00127E43"/>
    <w:rsid w:val="00127FDC"/>
    <w:rsid w:val="001300B7"/>
    <w:rsid w:val="00131802"/>
    <w:rsid w:val="00131CC6"/>
    <w:rsid w:val="00131DA9"/>
    <w:rsid w:val="00133894"/>
    <w:rsid w:val="001342D2"/>
    <w:rsid w:val="00134486"/>
    <w:rsid w:val="001349B1"/>
    <w:rsid w:val="001350FD"/>
    <w:rsid w:val="00135D73"/>
    <w:rsid w:val="00136CFD"/>
    <w:rsid w:val="0013751D"/>
    <w:rsid w:val="001376CF"/>
    <w:rsid w:val="00137C0B"/>
    <w:rsid w:val="00140387"/>
    <w:rsid w:val="00140C4D"/>
    <w:rsid w:val="00141B28"/>
    <w:rsid w:val="001429DE"/>
    <w:rsid w:val="0014311B"/>
    <w:rsid w:val="0014436B"/>
    <w:rsid w:val="001449BA"/>
    <w:rsid w:val="00144BBF"/>
    <w:rsid w:val="001454AD"/>
    <w:rsid w:val="00145531"/>
    <w:rsid w:val="00145C2A"/>
    <w:rsid w:val="00145C78"/>
    <w:rsid w:val="00146249"/>
    <w:rsid w:val="001479E8"/>
    <w:rsid w:val="00147E87"/>
    <w:rsid w:val="00150CB7"/>
    <w:rsid w:val="00152232"/>
    <w:rsid w:val="001527A4"/>
    <w:rsid w:val="00153035"/>
    <w:rsid w:val="0015308F"/>
    <w:rsid w:val="0015339A"/>
    <w:rsid w:val="00155513"/>
    <w:rsid w:val="00156163"/>
    <w:rsid w:val="00157222"/>
    <w:rsid w:val="00157362"/>
    <w:rsid w:val="001602EE"/>
    <w:rsid w:val="00160F2A"/>
    <w:rsid w:val="001611C8"/>
    <w:rsid w:val="0016215C"/>
    <w:rsid w:val="00162F02"/>
    <w:rsid w:val="00163351"/>
    <w:rsid w:val="00163643"/>
    <w:rsid w:val="001640E6"/>
    <w:rsid w:val="00165F1C"/>
    <w:rsid w:val="001665AC"/>
    <w:rsid w:val="00166915"/>
    <w:rsid w:val="00166C64"/>
    <w:rsid w:val="00167DA6"/>
    <w:rsid w:val="001702AD"/>
    <w:rsid w:val="00170A8B"/>
    <w:rsid w:val="0017234D"/>
    <w:rsid w:val="00172388"/>
    <w:rsid w:val="00172484"/>
    <w:rsid w:val="00173548"/>
    <w:rsid w:val="001738F5"/>
    <w:rsid w:val="00173F02"/>
    <w:rsid w:val="001742F8"/>
    <w:rsid w:val="00174318"/>
    <w:rsid w:val="00174915"/>
    <w:rsid w:val="00174B8C"/>
    <w:rsid w:val="001752F1"/>
    <w:rsid w:val="00175364"/>
    <w:rsid w:val="0017550B"/>
    <w:rsid w:val="0017609A"/>
    <w:rsid w:val="001761A2"/>
    <w:rsid w:val="00176CE3"/>
    <w:rsid w:val="00177051"/>
    <w:rsid w:val="001775B2"/>
    <w:rsid w:val="0018000F"/>
    <w:rsid w:val="001807B4"/>
    <w:rsid w:val="00180A90"/>
    <w:rsid w:val="00181E32"/>
    <w:rsid w:val="0018244B"/>
    <w:rsid w:val="00182AA9"/>
    <w:rsid w:val="001830CD"/>
    <w:rsid w:val="00183FB8"/>
    <w:rsid w:val="00184299"/>
    <w:rsid w:val="00184F30"/>
    <w:rsid w:val="001861E2"/>
    <w:rsid w:val="001879C7"/>
    <w:rsid w:val="0019197C"/>
    <w:rsid w:val="00191F0A"/>
    <w:rsid w:val="00192332"/>
    <w:rsid w:val="001924AE"/>
    <w:rsid w:val="00192AD5"/>
    <w:rsid w:val="00193DDE"/>
    <w:rsid w:val="001941E2"/>
    <w:rsid w:val="00194911"/>
    <w:rsid w:val="0019495D"/>
    <w:rsid w:val="0019559C"/>
    <w:rsid w:val="001962F2"/>
    <w:rsid w:val="001969A9"/>
    <w:rsid w:val="00196C2B"/>
    <w:rsid w:val="001978F5"/>
    <w:rsid w:val="001A017E"/>
    <w:rsid w:val="001A101B"/>
    <w:rsid w:val="001A231B"/>
    <w:rsid w:val="001A23EA"/>
    <w:rsid w:val="001A3CD0"/>
    <w:rsid w:val="001A3EFE"/>
    <w:rsid w:val="001A42A9"/>
    <w:rsid w:val="001A4960"/>
    <w:rsid w:val="001A4AE7"/>
    <w:rsid w:val="001A506D"/>
    <w:rsid w:val="001A53AB"/>
    <w:rsid w:val="001A69A3"/>
    <w:rsid w:val="001A7E1D"/>
    <w:rsid w:val="001A7E2F"/>
    <w:rsid w:val="001B0D49"/>
    <w:rsid w:val="001B1151"/>
    <w:rsid w:val="001B168D"/>
    <w:rsid w:val="001B199C"/>
    <w:rsid w:val="001B3CEE"/>
    <w:rsid w:val="001B3E3F"/>
    <w:rsid w:val="001B4382"/>
    <w:rsid w:val="001B4F44"/>
    <w:rsid w:val="001B5449"/>
    <w:rsid w:val="001B560E"/>
    <w:rsid w:val="001B6BAA"/>
    <w:rsid w:val="001B70E1"/>
    <w:rsid w:val="001B729F"/>
    <w:rsid w:val="001B7430"/>
    <w:rsid w:val="001B77FA"/>
    <w:rsid w:val="001B7964"/>
    <w:rsid w:val="001B797E"/>
    <w:rsid w:val="001C0387"/>
    <w:rsid w:val="001C069F"/>
    <w:rsid w:val="001C08DB"/>
    <w:rsid w:val="001C0ACD"/>
    <w:rsid w:val="001C1C77"/>
    <w:rsid w:val="001C1F1C"/>
    <w:rsid w:val="001C2253"/>
    <w:rsid w:val="001C2313"/>
    <w:rsid w:val="001C372B"/>
    <w:rsid w:val="001C421E"/>
    <w:rsid w:val="001C5063"/>
    <w:rsid w:val="001C5201"/>
    <w:rsid w:val="001C6464"/>
    <w:rsid w:val="001C6526"/>
    <w:rsid w:val="001C6E0C"/>
    <w:rsid w:val="001C7844"/>
    <w:rsid w:val="001C7993"/>
    <w:rsid w:val="001D03C1"/>
    <w:rsid w:val="001D08BC"/>
    <w:rsid w:val="001D1904"/>
    <w:rsid w:val="001D1A79"/>
    <w:rsid w:val="001D2B78"/>
    <w:rsid w:val="001D36CC"/>
    <w:rsid w:val="001D3774"/>
    <w:rsid w:val="001D4786"/>
    <w:rsid w:val="001D589A"/>
    <w:rsid w:val="001D5A9F"/>
    <w:rsid w:val="001D6130"/>
    <w:rsid w:val="001D6219"/>
    <w:rsid w:val="001D7073"/>
    <w:rsid w:val="001D75FD"/>
    <w:rsid w:val="001D7D43"/>
    <w:rsid w:val="001E4969"/>
    <w:rsid w:val="001E5BEE"/>
    <w:rsid w:val="001E650F"/>
    <w:rsid w:val="001E6F22"/>
    <w:rsid w:val="001E7658"/>
    <w:rsid w:val="001F10AB"/>
    <w:rsid w:val="001F11A2"/>
    <w:rsid w:val="001F12BB"/>
    <w:rsid w:val="001F1646"/>
    <w:rsid w:val="001F1E8F"/>
    <w:rsid w:val="001F2323"/>
    <w:rsid w:val="001F23F9"/>
    <w:rsid w:val="001F29CC"/>
    <w:rsid w:val="001F2D7F"/>
    <w:rsid w:val="001F323C"/>
    <w:rsid w:val="001F3FA0"/>
    <w:rsid w:val="001F45BB"/>
    <w:rsid w:val="001F5009"/>
    <w:rsid w:val="001F5D6A"/>
    <w:rsid w:val="001F5E81"/>
    <w:rsid w:val="001F7485"/>
    <w:rsid w:val="001F757F"/>
    <w:rsid w:val="001F75FD"/>
    <w:rsid w:val="00201676"/>
    <w:rsid w:val="0020378A"/>
    <w:rsid w:val="002045D2"/>
    <w:rsid w:val="002052BE"/>
    <w:rsid w:val="0020577A"/>
    <w:rsid w:val="00205FFC"/>
    <w:rsid w:val="002069C1"/>
    <w:rsid w:val="00207026"/>
    <w:rsid w:val="0020711D"/>
    <w:rsid w:val="0020760B"/>
    <w:rsid w:val="002106D0"/>
    <w:rsid w:val="00211CA4"/>
    <w:rsid w:val="00212244"/>
    <w:rsid w:val="002125C4"/>
    <w:rsid w:val="00212750"/>
    <w:rsid w:val="002132DC"/>
    <w:rsid w:val="00213E42"/>
    <w:rsid w:val="00214FA7"/>
    <w:rsid w:val="002153E1"/>
    <w:rsid w:val="00216971"/>
    <w:rsid w:val="00217188"/>
    <w:rsid w:val="002174E9"/>
    <w:rsid w:val="002200DF"/>
    <w:rsid w:val="00220B12"/>
    <w:rsid w:val="00221164"/>
    <w:rsid w:val="00221731"/>
    <w:rsid w:val="00221EEC"/>
    <w:rsid w:val="00223311"/>
    <w:rsid w:val="0022333D"/>
    <w:rsid w:val="0022349A"/>
    <w:rsid w:val="00224948"/>
    <w:rsid w:val="00225451"/>
    <w:rsid w:val="00225FC6"/>
    <w:rsid w:val="00226116"/>
    <w:rsid w:val="002268AF"/>
    <w:rsid w:val="00226E56"/>
    <w:rsid w:val="00227A09"/>
    <w:rsid w:val="00230FDB"/>
    <w:rsid w:val="002336B5"/>
    <w:rsid w:val="002337F5"/>
    <w:rsid w:val="00233FDA"/>
    <w:rsid w:val="00234375"/>
    <w:rsid w:val="00234C9C"/>
    <w:rsid w:val="00235E60"/>
    <w:rsid w:val="00236903"/>
    <w:rsid w:val="00237C22"/>
    <w:rsid w:val="002403E5"/>
    <w:rsid w:val="002403FC"/>
    <w:rsid w:val="002404C2"/>
    <w:rsid w:val="0024067C"/>
    <w:rsid w:val="00240F09"/>
    <w:rsid w:val="00240FE4"/>
    <w:rsid w:val="002410B7"/>
    <w:rsid w:val="002414C3"/>
    <w:rsid w:val="002417B7"/>
    <w:rsid w:val="00241CF4"/>
    <w:rsid w:val="00242028"/>
    <w:rsid w:val="002421D0"/>
    <w:rsid w:val="00242898"/>
    <w:rsid w:val="00243921"/>
    <w:rsid w:val="00244024"/>
    <w:rsid w:val="002443C5"/>
    <w:rsid w:val="00244F5F"/>
    <w:rsid w:val="0024794F"/>
    <w:rsid w:val="00247D1C"/>
    <w:rsid w:val="00247F2D"/>
    <w:rsid w:val="00250A70"/>
    <w:rsid w:val="00250E2A"/>
    <w:rsid w:val="0025171F"/>
    <w:rsid w:val="00251E5C"/>
    <w:rsid w:val="002525A0"/>
    <w:rsid w:val="002531E0"/>
    <w:rsid w:val="002532DD"/>
    <w:rsid w:val="002547D6"/>
    <w:rsid w:val="00254F8E"/>
    <w:rsid w:val="002566D9"/>
    <w:rsid w:val="0025699D"/>
    <w:rsid w:val="002575FD"/>
    <w:rsid w:val="00257987"/>
    <w:rsid w:val="00257AD7"/>
    <w:rsid w:val="00257B96"/>
    <w:rsid w:val="002603F4"/>
    <w:rsid w:val="00262DC3"/>
    <w:rsid w:val="002632D9"/>
    <w:rsid w:val="00263E2D"/>
    <w:rsid w:val="0026572B"/>
    <w:rsid w:val="00265AB6"/>
    <w:rsid w:val="00266800"/>
    <w:rsid w:val="00267621"/>
    <w:rsid w:val="00267B5D"/>
    <w:rsid w:val="00270581"/>
    <w:rsid w:val="00270D5A"/>
    <w:rsid w:val="00271036"/>
    <w:rsid w:val="002715F3"/>
    <w:rsid w:val="00271C72"/>
    <w:rsid w:val="00274EFE"/>
    <w:rsid w:val="00275056"/>
    <w:rsid w:val="00275A4A"/>
    <w:rsid w:val="00277186"/>
    <w:rsid w:val="00282511"/>
    <w:rsid w:val="00282734"/>
    <w:rsid w:val="00282DF4"/>
    <w:rsid w:val="00283746"/>
    <w:rsid w:val="00283CFA"/>
    <w:rsid w:val="002849CF"/>
    <w:rsid w:val="00285005"/>
    <w:rsid w:val="00285FB1"/>
    <w:rsid w:val="00286485"/>
    <w:rsid w:val="00286873"/>
    <w:rsid w:val="00287270"/>
    <w:rsid w:val="0028783C"/>
    <w:rsid w:val="00287F72"/>
    <w:rsid w:val="00290738"/>
    <w:rsid w:val="00293619"/>
    <w:rsid w:val="002940D8"/>
    <w:rsid w:val="00294480"/>
    <w:rsid w:val="00295263"/>
    <w:rsid w:val="002957E9"/>
    <w:rsid w:val="00295F29"/>
    <w:rsid w:val="0029630D"/>
    <w:rsid w:val="00296433"/>
    <w:rsid w:val="002974A5"/>
    <w:rsid w:val="00297A64"/>
    <w:rsid w:val="00297D33"/>
    <w:rsid w:val="002A1A19"/>
    <w:rsid w:val="002A227B"/>
    <w:rsid w:val="002A24CB"/>
    <w:rsid w:val="002A2784"/>
    <w:rsid w:val="002A3B56"/>
    <w:rsid w:val="002A3E59"/>
    <w:rsid w:val="002A3FDB"/>
    <w:rsid w:val="002A4205"/>
    <w:rsid w:val="002A42AE"/>
    <w:rsid w:val="002A45A4"/>
    <w:rsid w:val="002A5254"/>
    <w:rsid w:val="002A54A8"/>
    <w:rsid w:val="002A5B22"/>
    <w:rsid w:val="002A64AB"/>
    <w:rsid w:val="002A6687"/>
    <w:rsid w:val="002A6E1E"/>
    <w:rsid w:val="002A7690"/>
    <w:rsid w:val="002A7941"/>
    <w:rsid w:val="002B0E08"/>
    <w:rsid w:val="002B1D70"/>
    <w:rsid w:val="002B259C"/>
    <w:rsid w:val="002B26B6"/>
    <w:rsid w:val="002B3EDA"/>
    <w:rsid w:val="002B42C9"/>
    <w:rsid w:val="002B42E3"/>
    <w:rsid w:val="002B5E1A"/>
    <w:rsid w:val="002B5F19"/>
    <w:rsid w:val="002B6325"/>
    <w:rsid w:val="002B69BE"/>
    <w:rsid w:val="002B7FE4"/>
    <w:rsid w:val="002C08DC"/>
    <w:rsid w:val="002C1687"/>
    <w:rsid w:val="002C174C"/>
    <w:rsid w:val="002C2241"/>
    <w:rsid w:val="002C25E1"/>
    <w:rsid w:val="002C316C"/>
    <w:rsid w:val="002C35E9"/>
    <w:rsid w:val="002C4A4B"/>
    <w:rsid w:val="002C4E59"/>
    <w:rsid w:val="002C4F42"/>
    <w:rsid w:val="002C55A8"/>
    <w:rsid w:val="002C59FB"/>
    <w:rsid w:val="002C5A8C"/>
    <w:rsid w:val="002C5E4D"/>
    <w:rsid w:val="002C6734"/>
    <w:rsid w:val="002C6841"/>
    <w:rsid w:val="002D0042"/>
    <w:rsid w:val="002D0171"/>
    <w:rsid w:val="002D1637"/>
    <w:rsid w:val="002D1983"/>
    <w:rsid w:val="002D2AE5"/>
    <w:rsid w:val="002D2FF0"/>
    <w:rsid w:val="002D3EEA"/>
    <w:rsid w:val="002D40D8"/>
    <w:rsid w:val="002D4598"/>
    <w:rsid w:val="002D492D"/>
    <w:rsid w:val="002D4E9E"/>
    <w:rsid w:val="002D4EAF"/>
    <w:rsid w:val="002D569E"/>
    <w:rsid w:val="002D5B78"/>
    <w:rsid w:val="002D6193"/>
    <w:rsid w:val="002D64E3"/>
    <w:rsid w:val="002D6B93"/>
    <w:rsid w:val="002E097B"/>
    <w:rsid w:val="002E0B6D"/>
    <w:rsid w:val="002E0BED"/>
    <w:rsid w:val="002E0D56"/>
    <w:rsid w:val="002E12D0"/>
    <w:rsid w:val="002E1C70"/>
    <w:rsid w:val="002E1F73"/>
    <w:rsid w:val="002E2937"/>
    <w:rsid w:val="002E30DF"/>
    <w:rsid w:val="002E3BEE"/>
    <w:rsid w:val="002E4253"/>
    <w:rsid w:val="002E50A3"/>
    <w:rsid w:val="002E6607"/>
    <w:rsid w:val="002E687A"/>
    <w:rsid w:val="002E7169"/>
    <w:rsid w:val="002E7DE4"/>
    <w:rsid w:val="002F0EA5"/>
    <w:rsid w:val="002F1ABF"/>
    <w:rsid w:val="002F1E09"/>
    <w:rsid w:val="002F1FE6"/>
    <w:rsid w:val="002F23A1"/>
    <w:rsid w:val="002F3FE8"/>
    <w:rsid w:val="002F52E6"/>
    <w:rsid w:val="002F5CB7"/>
    <w:rsid w:val="002F5E16"/>
    <w:rsid w:val="002F6FE9"/>
    <w:rsid w:val="002F7D93"/>
    <w:rsid w:val="002F7E26"/>
    <w:rsid w:val="003000A1"/>
    <w:rsid w:val="00302FFD"/>
    <w:rsid w:val="0030381D"/>
    <w:rsid w:val="00304EE5"/>
    <w:rsid w:val="003053D0"/>
    <w:rsid w:val="0030559A"/>
    <w:rsid w:val="003058C5"/>
    <w:rsid w:val="0030639E"/>
    <w:rsid w:val="00307148"/>
    <w:rsid w:val="0030747D"/>
    <w:rsid w:val="00307553"/>
    <w:rsid w:val="00310728"/>
    <w:rsid w:val="0031188C"/>
    <w:rsid w:val="0031257F"/>
    <w:rsid w:val="00312983"/>
    <w:rsid w:val="00313A31"/>
    <w:rsid w:val="003140E2"/>
    <w:rsid w:val="0031510E"/>
    <w:rsid w:val="0031527D"/>
    <w:rsid w:val="00315935"/>
    <w:rsid w:val="003165A6"/>
    <w:rsid w:val="00316FD1"/>
    <w:rsid w:val="0032153E"/>
    <w:rsid w:val="00323BAC"/>
    <w:rsid w:val="003243D5"/>
    <w:rsid w:val="00324468"/>
    <w:rsid w:val="0032465B"/>
    <w:rsid w:val="00324711"/>
    <w:rsid w:val="0032485F"/>
    <w:rsid w:val="00324FF0"/>
    <w:rsid w:val="00325192"/>
    <w:rsid w:val="0032774D"/>
    <w:rsid w:val="00327E74"/>
    <w:rsid w:val="003305DC"/>
    <w:rsid w:val="00330966"/>
    <w:rsid w:val="00333D32"/>
    <w:rsid w:val="003349E8"/>
    <w:rsid w:val="00334A73"/>
    <w:rsid w:val="00334E66"/>
    <w:rsid w:val="003379CC"/>
    <w:rsid w:val="00340499"/>
    <w:rsid w:val="00340805"/>
    <w:rsid w:val="00341352"/>
    <w:rsid w:val="00341407"/>
    <w:rsid w:val="00341953"/>
    <w:rsid w:val="00341D5D"/>
    <w:rsid w:val="00342C35"/>
    <w:rsid w:val="00342F89"/>
    <w:rsid w:val="0034305F"/>
    <w:rsid w:val="0034394C"/>
    <w:rsid w:val="00344709"/>
    <w:rsid w:val="00344884"/>
    <w:rsid w:val="00345ACC"/>
    <w:rsid w:val="003468A9"/>
    <w:rsid w:val="00346C32"/>
    <w:rsid w:val="00347258"/>
    <w:rsid w:val="00347941"/>
    <w:rsid w:val="00347D62"/>
    <w:rsid w:val="00352384"/>
    <w:rsid w:val="003528B9"/>
    <w:rsid w:val="00353424"/>
    <w:rsid w:val="0035407B"/>
    <w:rsid w:val="0035543C"/>
    <w:rsid w:val="00355638"/>
    <w:rsid w:val="003562BC"/>
    <w:rsid w:val="003569A7"/>
    <w:rsid w:val="00356C77"/>
    <w:rsid w:val="00356F7C"/>
    <w:rsid w:val="00360773"/>
    <w:rsid w:val="00360D60"/>
    <w:rsid w:val="00361EC2"/>
    <w:rsid w:val="00362617"/>
    <w:rsid w:val="00362E59"/>
    <w:rsid w:val="00363B99"/>
    <w:rsid w:val="00364CBA"/>
    <w:rsid w:val="00364FFF"/>
    <w:rsid w:val="003651C2"/>
    <w:rsid w:val="00365D85"/>
    <w:rsid w:val="003664B7"/>
    <w:rsid w:val="0036667D"/>
    <w:rsid w:val="003666C1"/>
    <w:rsid w:val="00366BBE"/>
    <w:rsid w:val="00366C31"/>
    <w:rsid w:val="00366D94"/>
    <w:rsid w:val="0036750A"/>
    <w:rsid w:val="00367A53"/>
    <w:rsid w:val="00367B32"/>
    <w:rsid w:val="00367C9B"/>
    <w:rsid w:val="003700C4"/>
    <w:rsid w:val="003704CB"/>
    <w:rsid w:val="0037161F"/>
    <w:rsid w:val="00373333"/>
    <w:rsid w:val="00373C05"/>
    <w:rsid w:val="0037415E"/>
    <w:rsid w:val="003745DB"/>
    <w:rsid w:val="00374C00"/>
    <w:rsid w:val="00375714"/>
    <w:rsid w:val="0037591A"/>
    <w:rsid w:val="003775EE"/>
    <w:rsid w:val="003807EC"/>
    <w:rsid w:val="00381082"/>
    <w:rsid w:val="00381334"/>
    <w:rsid w:val="0038137B"/>
    <w:rsid w:val="00381ADF"/>
    <w:rsid w:val="00382804"/>
    <w:rsid w:val="00382C65"/>
    <w:rsid w:val="00382F0D"/>
    <w:rsid w:val="00386057"/>
    <w:rsid w:val="00386270"/>
    <w:rsid w:val="003866EC"/>
    <w:rsid w:val="00386EAE"/>
    <w:rsid w:val="00387146"/>
    <w:rsid w:val="00387E1C"/>
    <w:rsid w:val="00390409"/>
    <w:rsid w:val="0039055C"/>
    <w:rsid w:val="00392267"/>
    <w:rsid w:val="0039341B"/>
    <w:rsid w:val="00393A23"/>
    <w:rsid w:val="00393E70"/>
    <w:rsid w:val="00394662"/>
    <w:rsid w:val="003946A5"/>
    <w:rsid w:val="00394B42"/>
    <w:rsid w:val="003965B5"/>
    <w:rsid w:val="00396A05"/>
    <w:rsid w:val="00397513"/>
    <w:rsid w:val="003A134D"/>
    <w:rsid w:val="003A16E0"/>
    <w:rsid w:val="003A193C"/>
    <w:rsid w:val="003A4A94"/>
    <w:rsid w:val="003A5A5D"/>
    <w:rsid w:val="003A6DB3"/>
    <w:rsid w:val="003A7897"/>
    <w:rsid w:val="003B1BC7"/>
    <w:rsid w:val="003B1C3B"/>
    <w:rsid w:val="003B26D2"/>
    <w:rsid w:val="003B27E1"/>
    <w:rsid w:val="003B2F7A"/>
    <w:rsid w:val="003B31EA"/>
    <w:rsid w:val="003B4502"/>
    <w:rsid w:val="003B486A"/>
    <w:rsid w:val="003B54A6"/>
    <w:rsid w:val="003B5B38"/>
    <w:rsid w:val="003B6B21"/>
    <w:rsid w:val="003B73E8"/>
    <w:rsid w:val="003C0AAA"/>
    <w:rsid w:val="003C0E33"/>
    <w:rsid w:val="003C0E4C"/>
    <w:rsid w:val="003C17F9"/>
    <w:rsid w:val="003C180C"/>
    <w:rsid w:val="003C1D5A"/>
    <w:rsid w:val="003C1E18"/>
    <w:rsid w:val="003C2286"/>
    <w:rsid w:val="003C26A4"/>
    <w:rsid w:val="003C29AE"/>
    <w:rsid w:val="003C3683"/>
    <w:rsid w:val="003C4D19"/>
    <w:rsid w:val="003C58BB"/>
    <w:rsid w:val="003C615F"/>
    <w:rsid w:val="003C66D0"/>
    <w:rsid w:val="003C67E3"/>
    <w:rsid w:val="003C6C68"/>
    <w:rsid w:val="003C71DA"/>
    <w:rsid w:val="003C7220"/>
    <w:rsid w:val="003D01E0"/>
    <w:rsid w:val="003D0333"/>
    <w:rsid w:val="003D1792"/>
    <w:rsid w:val="003D1935"/>
    <w:rsid w:val="003D25C9"/>
    <w:rsid w:val="003D2747"/>
    <w:rsid w:val="003D4083"/>
    <w:rsid w:val="003D5933"/>
    <w:rsid w:val="003D750A"/>
    <w:rsid w:val="003E0B48"/>
    <w:rsid w:val="003E0E38"/>
    <w:rsid w:val="003E181E"/>
    <w:rsid w:val="003E1CC3"/>
    <w:rsid w:val="003E2207"/>
    <w:rsid w:val="003E282F"/>
    <w:rsid w:val="003E384E"/>
    <w:rsid w:val="003E3BC6"/>
    <w:rsid w:val="003E3E1E"/>
    <w:rsid w:val="003E3F5D"/>
    <w:rsid w:val="003E460A"/>
    <w:rsid w:val="003E5B60"/>
    <w:rsid w:val="003E621C"/>
    <w:rsid w:val="003E6A29"/>
    <w:rsid w:val="003E6A6D"/>
    <w:rsid w:val="003E6B8B"/>
    <w:rsid w:val="003E6BF6"/>
    <w:rsid w:val="003E7D08"/>
    <w:rsid w:val="003E7F39"/>
    <w:rsid w:val="003F0122"/>
    <w:rsid w:val="003F0E25"/>
    <w:rsid w:val="003F1B3A"/>
    <w:rsid w:val="003F3262"/>
    <w:rsid w:val="003F376D"/>
    <w:rsid w:val="003F391D"/>
    <w:rsid w:val="003F3F36"/>
    <w:rsid w:val="003F4311"/>
    <w:rsid w:val="003F49E0"/>
    <w:rsid w:val="003F49EC"/>
    <w:rsid w:val="003F5141"/>
    <w:rsid w:val="003F539C"/>
    <w:rsid w:val="003F6E3C"/>
    <w:rsid w:val="003F6E56"/>
    <w:rsid w:val="003F6F72"/>
    <w:rsid w:val="003F73C2"/>
    <w:rsid w:val="00400222"/>
    <w:rsid w:val="004014AD"/>
    <w:rsid w:val="0040172F"/>
    <w:rsid w:val="0040252B"/>
    <w:rsid w:val="00404C54"/>
    <w:rsid w:val="00404F91"/>
    <w:rsid w:val="00405B36"/>
    <w:rsid w:val="0040604A"/>
    <w:rsid w:val="004067B9"/>
    <w:rsid w:val="00411E56"/>
    <w:rsid w:val="00412960"/>
    <w:rsid w:val="00413849"/>
    <w:rsid w:val="0041445E"/>
    <w:rsid w:val="00414672"/>
    <w:rsid w:val="00415A6B"/>
    <w:rsid w:val="00415D11"/>
    <w:rsid w:val="00416300"/>
    <w:rsid w:val="004164F3"/>
    <w:rsid w:val="0041722A"/>
    <w:rsid w:val="00420075"/>
    <w:rsid w:val="0042008B"/>
    <w:rsid w:val="00421EE9"/>
    <w:rsid w:val="0042254F"/>
    <w:rsid w:val="0042299A"/>
    <w:rsid w:val="00423409"/>
    <w:rsid w:val="004241C8"/>
    <w:rsid w:val="004260CB"/>
    <w:rsid w:val="00427F9F"/>
    <w:rsid w:val="004303BD"/>
    <w:rsid w:val="00430E81"/>
    <w:rsid w:val="00431383"/>
    <w:rsid w:val="00431788"/>
    <w:rsid w:val="00431B89"/>
    <w:rsid w:val="00432702"/>
    <w:rsid w:val="004333C4"/>
    <w:rsid w:val="0043364D"/>
    <w:rsid w:val="00433C31"/>
    <w:rsid w:val="004353CF"/>
    <w:rsid w:val="00435639"/>
    <w:rsid w:val="00435999"/>
    <w:rsid w:val="00435FE9"/>
    <w:rsid w:val="004363DE"/>
    <w:rsid w:val="00440034"/>
    <w:rsid w:val="004401CF"/>
    <w:rsid w:val="004406D7"/>
    <w:rsid w:val="0044083A"/>
    <w:rsid w:val="00441088"/>
    <w:rsid w:val="00441151"/>
    <w:rsid w:val="0044186D"/>
    <w:rsid w:val="0044226C"/>
    <w:rsid w:val="004429AB"/>
    <w:rsid w:val="00442B0F"/>
    <w:rsid w:val="0044320E"/>
    <w:rsid w:val="00443474"/>
    <w:rsid w:val="00443BB2"/>
    <w:rsid w:val="00443F9B"/>
    <w:rsid w:val="00444244"/>
    <w:rsid w:val="00446A8A"/>
    <w:rsid w:val="00446F0D"/>
    <w:rsid w:val="0044724C"/>
    <w:rsid w:val="0044798D"/>
    <w:rsid w:val="00450DBB"/>
    <w:rsid w:val="00451395"/>
    <w:rsid w:val="00451E48"/>
    <w:rsid w:val="00452462"/>
    <w:rsid w:val="0045287F"/>
    <w:rsid w:val="004528B6"/>
    <w:rsid w:val="00452A6A"/>
    <w:rsid w:val="00452BA9"/>
    <w:rsid w:val="004539A8"/>
    <w:rsid w:val="00453DA3"/>
    <w:rsid w:val="00454942"/>
    <w:rsid w:val="00454A95"/>
    <w:rsid w:val="00455C25"/>
    <w:rsid w:val="004607BA"/>
    <w:rsid w:val="00460857"/>
    <w:rsid w:val="00460D92"/>
    <w:rsid w:val="004612DF"/>
    <w:rsid w:val="00461871"/>
    <w:rsid w:val="004621BC"/>
    <w:rsid w:val="00462F9A"/>
    <w:rsid w:val="00463430"/>
    <w:rsid w:val="004634AA"/>
    <w:rsid w:val="0046385C"/>
    <w:rsid w:val="00463DE6"/>
    <w:rsid w:val="00464521"/>
    <w:rsid w:val="00464523"/>
    <w:rsid w:val="00464698"/>
    <w:rsid w:val="00464AF0"/>
    <w:rsid w:val="00466CD8"/>
    <w:rsid w:val="00466F29"/>
    <w:rsid w:val="00467384"/>
    <w:rsid w:val="00467820"/>
    <w:rsid w:val="00470A59"/>
    <w:rsid w:val="00470BB0"/>
    <w:rsid w:val="004710F2"/>
    <w:rsid w:val="00471F4E"/>
    <w:rsid w:val="00472288"/>
    <w:rsid w:val="0047254E"/>
    <w:rsid w:val="00472A7B"/>
    <w:rsid w:val="00472B6A"/>
    <w:rsid w:val="00473583"/>
    <w:rsid w:val="00475D6A"/>
    <w:rsid w:val="004769B5"/>
    <w:rsid w:val="004777DE"/>
    <w:rsid w:val="004806E4"/>
    <w:rsid w:val="00480AAC"/>
    <w:rsid w:val="0048163A"/>
    <w:rsid w:val="00481941"/>
    <w:rsid w:val="00481959"/>
    <w:rsid w:val="0048220A"/>
    <w:rsid w:val="0048227B"/>
    <w:rsid w:val="004828FF"/>
    <w:rsid w:val="00482AA0"/>
    <w:rsid w:val="00482E26"/>
    <w:rsid w:val="00483235"/>
    <w:rsid w:val="00484575"/>
    <w:rsid w:val="00484CE9"/>
    <w:rsid w:val="00486067"/>
    <w:rsid w:val="0048656C"/>
    <w:rsid w:val="0048670C"/>
    <w:rsid w:val="00487131"/>
    <w:rsid w:val="00487731"/>
    <w:rsid w:val="00490555"/>
    <w:rsid w:val="0049117A"/>
    <w:rsid w:val="0049167D"/>
    <w:rsid w:val="004927E1"/>
    <w:rsid w:val="0049283F"/>
    <w:rsid w:val="0049508B"/>
    <w:rsid w:val="00495582"/>
    <w:rsid w:val="004A08E7"/>
    <w:rsid w:val="004A1706"/>
    <w:rsid w:val="004A1D7E"/>
    <w:rsid w:val="004A203D"/>
    <w:rsid w:val="004A2FE2"/>
    <w:rsid w:val="004A3853"/>
    <w:rsid w:val="004A396E"/>
    <w:rsid w:val="004A3AC8"/>
    <w:rsid w:val="004A3BAD"/>
    <w:rsid w:val="004A4544"/>
    <w:rsid w:val="004A49F8"/>
    <w:rsid w:val="004A5A65"/>
    <w:rsid w:val="004A656F"/>
    <w:rsid w:val="004A7ED3"/>
    <w:rsid w:val="004A7FD5"/>
    <w:rsid w:val="004B0FBE"/>
    <w:rsid w:val="004B142C"/>
    <w:rsid w:val="004B1A3C"/>
    <w:rsid w:val="004B2242"/>
    <w:rsid w:val="004B31DF"/>
    <w:rsid w:val="004B3276"/>
    <w:rsid w:val="004B4381"/>
    <w:rsid w:val="004B4E0F"/>
    <w:rsid w:val="004B51EF"/>
    <w:rsid w:val="004B6435"/>
    <w:rsid w:val="004B7E3F"/>
    <w:rsid w:val="004C00C5"/>
    <w:rsid w:val="004C0423"/>
    <w:rsid w:val="004C10B5"/>
    <w:rsid w:val="004C176C"/>
    <w:rsid w:val="004C17D9"/>
    <w:rsid w:val="004C1A01"/>
    <w:rsid w:val="004C367E"/>
    <w:rsid w:val="004C38DC"/>
    <w:rsid w:val="004C3908"/>
    <w:rsid w:val="004C4515"/>
    <w:rsid w:val="004C56E2"/>
    <w:rsid w:val="004C6474"/>
    <w:rsid w:val="004C6615"/>
    <w:rsid w:val="004C6897"/>
    <w:rsid w:val="004C6A6D"/>
    <w:rsid w:val="004C6E92"/>
    <w:rsid w:val="004C71BC"/>
    <w:rsid w:val="004C791A"/>
    <w:rsid w:val="004C7A64"/>
    <w:rsid w:val="004D1B93"/>
    <w:rsid w:val="004D1BC3"/>
    <w:rsid w:val="004D2FEE"/>
    <w:rsid w:val="004D3056"/>
    <w:rsid w:val="004D32DD"/>
    <w:rsid w:val="004D34FB"/>
    <w:rsid w:val="004D3608"/>
    <w:rsid w:val="004D3AF3"/>
    <w:rsid w:val="004D3B3E"/>
    <w:rsid w:val="004D3D24"/>
    <w:rsid w:val="004D4B47"/>
    <w:rsid w:val="004D63B6"/>
    <w:rsid w:val="004D65D7"/>
    <w:rsid w:val="004D6C2D"/>
    <w:rsid w:val="004D6DBE"/>
    <w:rsid w:val="004D6E36"/>
    <w:rsid w:val="004D7E63"/>
    <w:rsid w:val="004E07A8"/>
    <w:rsid w:val="004E09C4"/>
    <w:rsid w:val="004E0D65"/>
    <w:rsid w:val="004E1640"/>
    <w:rsid w:val="004E1A06"/>
    <w:rsid w:val="004E1AF1"/>
    <w:rsid w:val="004E1F5A"/>
    <w:rsid w:val="004E225D"/>
    <w:rsid w:val="004E383E"/>
    <w:rsid w:val="004E4BEC"/>
    <w:rsid w:val="004E4E5D"/>
    <w:rsid w:val="004E528E"/>
    <w:rsid w:val="004E619D"/>
    <w:rsid w:val="004E6652"/>
    <w:rsid w:val="004E703E"/>
    <w:rsid w:val="004E7EB2"/>
    <w:rsid w:val="004F02DA"/>
    <w:rsid w:val="004F0424"/>
    <w:rsid w:val="004F2A80"/>
    <w:rsid w:val="004F2C60"/>
    <w:rsid w:val="004F33B2"/>
    <w:rsid w:val="004F3D5C"/>
    <w:rsid w:val="004F3EEF"/>
    <w:rsid w:val="004F43E4"/>
    <w:rsid w:val="004F472D"/>
    <w:rsid w:val="004F53F5"/>
    <w:rsid w:val="004F55D9"/>
    <w:rsid w:val="004F565A"/>
    <w:rsid w:val="004F674B"/>
    <w:rsid w:val="004F6782"/>
    <w:rsid w:val="004F6A0F"/>
    <w:rsid w:val="004F75A5"/>
    <w:rsid w:val="004F75CB"/>
    <w:rsid w:val="004F7933"/>
    <w:rsid w:val="004F7FCD"/>
    <w:rsid w:val="00500918"/>
    <w:rsid w:val="0050099A"/>
    <w:rsid w:val="0050117F"/>
    <w:rsid w:val="005019E4"/>
    <w:rsid w:val="00502EF2"/>
    <w:rsid w:val="00503FDF"/>
    <w:rsid w:val="00505F2F"/>
    <w:rsid w:val="005069A5"/>
    <w:rsid w:val="00506F8F"/>
    <w:rsid w:val="00510339"/>
    <w:rsid w:val="005109D4"/>
    <w:rsid w:val="00510A17"/>
    <w:rsid w:val="00511907"/>
    <w:rsid w:val="00512D53"/>
    <w:rsid w:val="00513C8B"/>
    <w:rsid w:val="00513DE7"/>
    <w:rsid w:val="00513F8B"/>
    <w:rsid w:val="005160DA"/>
    <w:rsid w:val="0051759F"/>
    <w:rsid w:val="005176CA"/>
    <w:rsid w:val="0052048A"/>
    <w:rsid w:val="0052086D"/>
    <w:rsid w:val="0052115C"/>
    <w:rsid w:val="00521281"/>
    <w:rsid w:val="00521E4E"/>
    <w:rsid w:val="0052335C"/>
    <w:rsid w:val="005237AF"/>
    <w:rsid w:val="00523AD4"/>
    <w:rsid w:val="005243E3"/>
    <w:rsid w:val="00524441"/>
    <w:rsid w:val="00524BAC"/>
    <w:rsid w:val="00525259"/>
    <w:rsid w:val="00525ACE"/>
    <w:rsid w:val="00525B76"/>
    <w:rsid w:val="00526809"/>
    <w:rsid w:val="005268B4"/>
    <w:rsid w:val="00526A6A"/>
    <w:rsid w:val="00526B75"/>
    <w:rsid w:val="00526D4B"/>
    <w:rsid w:val="00527422"/>
    <w:rsid w:val="00527601"/>
    <w:rsid w:val="00527681"/>
    <w:rsid w:val="0052782F"/>
    <w:rsid w:val="00527FC6"/>
    <w:rsid w:val="0053083D"/>
    <w:rsid w:val="005313DB"/>
    <w:rsid w:val="00531671"/>
    <w:rsid w:val="005326A7"/>
    <w:rsid w:val="0053285E"/>
    <w:rsid w:val="0053292F"/>
    <w:rsid w:val="00535152"/>
    <w:rsid w:val="0053534E"/>
    <w:rsid w:val="005357F5"/>
    <w:rsid w:val="0053629D"/>
    <w:rsid w:val="00537083"/>
    <w:rsid w:val="00540137"/>
    <w:rsid w:val="005404C1"/>
    <w:rsid w:val="00541161"/>
    <w:rsid w:val="00541ACE"/>
    <w:rsid w:val="0054274E"/>
    <w:rsid w:val="005427BE"/>
    <w:rsid w:val="00543FC3"/>
    <w:rsid w:val="00544350"/>
    <w:rsid w:val="005449BE"/>
    <w:rsid w:val="0054507F"/>
    <w:rsid w:val="005453CD"/>
    <w:rsid w:val="00546604"/>
    <w:rsid w:val="0055009A"/>
    <w:rsid w:val="00550FD6"/>
    <w:rsid w:val="0055308B"/>
    <w:rsid w:val="005531D3"/>
    <w:rsid w:val="005532BA"/>
    <w:rsid w:val="00553ECF"/>
    <w:rsid w:val="00554DE3"/>
    <w:rsid w:val="00555125"/>
    <w:rsid w:val="0055568B"/>
    <w:rsid w:val="00556E93"/>
    <w:rsid w:val="00557AF6"/>
    <w:rsid w:val="005602AB"/>
    <w:rsid w:val="0056080E"/>
    <w:rsid w:val="00560992"/>
    <w:rsid w:val="00561BD4"/>
    <w:rsid w:val="00561BD8"/>
    <w:rsid w:val="005632C9"/>
    <w:rsid w:val="005634A5"/>
    <w:rsid w:val="0056390B"/>
    <w:rsid w:val="00563C6C"/>
    <w:rsid w:val="0056449B"/>
    <w:rsid w:val="00565005"/>
    <w:rsid w:val="00566043"/>
    <w:rsid w:val="00570B9F"/>
    <w:rsid w:val="00572568"/>
    <w:rsid w:val="0057281D"/>
    <w:rsid w:val="00573CAD"/>
    <w:rsid w:val="00576BB8"/>
    <w:rsid w:val="005770F0"/>
    <w:rsid w:val="005803BB"/>
    <w:rsid w:val="00580A12"/>
    <w:rsid w:val="005817E5"/>
    <w:rsid w:val="00582FE5"/>
    <w:rsid w:val="00583692"/>
    <w:rsid w:val="005837ED"/>
    <w:rsid w:val="00583F5B"/>
    <w:rsid w:val="00584418"/>
    <w:rsid w:val="00584730"/>
    <w:rsid w:val="00584B0E"/>
    <w:rsid w:val="00584CF0"/>
    <w:rsid w:val="005850B5"/>
    <w:rsid w:val="00585991"/>
    <w:rsid w:val="00586755"/>
    <w:rsid w:val="00586870"/>
    <w:rsid w:val="005872E3"/>
    <w:rsid w:val="00587B3F"/>
    <w:rsid w:val="00587EBD"/>
    <w:rsid w:val="005903F6"/>
    <w:rsid w:val="00591051"/>
    <w:rsid w:val="00591056"/>
    <w:rsid w:val="00592632"/>
    <w:rsid w:val="0059289C"/>
    <w:rsid w:val="00592B2E"/>
    <w:rsid w:val="005951A6"/>
    <w:rsid w:val="0059596A"/>
    <w:rsid w:val="005959D1"/>
    <w:rsid w:val="00595A1D"/>
    <w:rsid w:val="005960A6"/>
    <w:rsid w:val="00597CDD"/>
    <w:rsid w:val="005A0152"/>
    <w:rsid w:val="005A16EA"/>
    <w:rsid w:val="005A497F"/>
    <w:rsid w:val="005A5E80"/>
    <w:rsid w:val="005A6596"/>
    <w:rsid w:val="005A75F2"/>
    <w:rsid w:val="005A7687"/>
    <w:rsid w:val="005B1B04"/>
    <w:rsid w:val="005B1F71"/>
    <w:rsid w:val="005B2305"/>
    <w:rsid w:val="005B2313"/>
    <w:rsid w:val="005B2491"/>
    <w:rsid w:val="005B2F13"/>
    <w:rsid w:val="005B34D5"/>
    <w:rsid w:val="005B4194"/>
    <w:rsid w:val="005B4A19"/>
    <w:rsid w:val="005B5A5A"/>
    <w:rsid w:val="005B667F"/>
    <w:rsid w:val="005B6A29"/>
    <w:rsid w:val="005B7069"/>
    <w:rsid w:val="005B7713"/>
    <w:rsid w:val="005C0D7E"/>
    <w:rsid w:val="005C0EBF"/>
    <w:rsid w:val="005C10EE"/>
    <w:rsid w:val="005C1977"/>
    <w:rsid w:val="005C2794"/>
    <w:rsid w:val="005C28BF"/>
    <w:rsid w:val="005C404B"/>
    <w:rsid w:val="005C454A"/>
    <w:rsid w:val="005C4F4F"/>
    <w:rsid w:val="005D0329"/>
    <w:rsid w:val="005D0798"/>
    <w:rsid w:val="005D1948"/>
    <w:rsid w:val="005D216F"/>
    <w:rsid w:val="005D254D"/>
    <w:rsid w:val="005D2591"/>
    <w:rsid w:val="005D2F67"/>
    <w:rsid w:val="005D3009"/>
    <w:rsid w:val="005D3FA8"/>
    <w:rsid w:val="005D4BB6"/>
    <w:rsid w:val="005D4C54"/>
    <w:rsid w:val="005D4D69"/>
    <w:rsid w:val="005D5096"/>
    <w:rsid w:val="005D5EE1"/>
    <w:rsid w:val="005D71B7"/>
    <w:rsid w:val="005D765B"/>
    <w:rsid w:val="005E01BF"/>
    <w:rsid w:val="005E0DA5"/>
    <w:rsid w:val="005E16E2"/>
    <w:rsid w:val="005E1F44"/>
    <w:rsid w:val="005E205F"/>
    <w:rsid w:val="005E3203"/>
    <w:rsid w:val="005E3282"/>
    <w:rsid w:val="005E4970"/>
    <w:rsid w:val="005E51ED"/>
    <w:rsid w:val="005E66A1"/>
    <w:rsid w:val="005E73C7"/>
    <w:rsid w:val="005E79C6"/>
    <w:rsid w:val="005F0D29"/>
    <w:rsid w:val="005F205F"/>
    <w:rsid w:val="005F2B0E"/>
    <w:rsid w:val="005F3C49"/>
    <w:rsid w:val="005F4A01"/>
    <w:rsid w:val="005F4B99"/>
    <w:rsid w:val="005F57B3"/>
    <w:rsid w:val="005F5BCC"/>
    <w:rsid w:val="005F641E"/>
    <w:rsid w:val="00600591"/>
    <w:rsid w:val="00600FF2"/>
    <w:rsid w:val="0060191B"/>
    <w:rsid w:val="00601DD0"/>
    <w:rsid w:val="006029BE"/>
    <w:rsid w:val="00602B56"/>
    <w:rsid w:val="00602F68"/>
    <w:rsid w:val="0060332A"/>
    <w:rsid w:val="00603A60"/>
    <w:rsid w:val="006041FD"/>
    <w:rsid w:val="00604286"/>
    <w:rsid w:val="00604422"/>
    <w:rsid w:val="0060460C"/>
    <w:rsid w:val="00604B8A"/>
    <w:rsid w:val="00604EDA"/>
    <w:rsid w:val="00605071"/>
    <w:rsid w:val="00605D45"/>
    <w:rsid w:val="00605EFB"/>
    <w:rsid w:val="00606238"/>
    <w:rsid w:val="006069C6"/>
    <w:rsid w:val="006070CB"/>
    <w:rsid w:val="00607F33"/>
    <w:rsid w:val="006106F6"/>
    <w:rsid w:val="00610A90"/>
    <w:rsid w:val="006116A0"/>
    <w:rsid w:val="00612E20"/>
    <w:rsid w:val="00612FBF"/>
    <w:rsid w:val="00616374"/>
    <w:rsid w:val="0061703F"/>
    <w:rsid w:val="0061713B"/>
    <w:rsid w:val="0061763C"/>
    <w:rsid w:val="00617E8C"/>
    <w:rsid w:val="00617FC7"/>
    <w:rsid w:val="006202C4"/>
    <w:rsid w:val="00620AFB"/>
    <w:rsid w:val="00622633"/>
    <w:rsid w:val="0062310A"/>
    <w:rsid w:val="006245FB"/>
    <w:rsid w:val="00624652"/>
    <w:rsid w:val="00624CC7"/>
    <w:rsid w:val="00626521"/>
    <w:rsid w:val="006268D3"/>
    <w:rsid w:val="006268DB"/>
    <w:rsid w:val="00627CD0"/>
    <w:rsid w:val="006306D1"/>
    <w:rsid w:val="0063119E"/>
    <w:rsid w:val="0063274D"/>
    <w:rsid w:val="00632825"/>
    <w:rsid w:val="00632854"/>
    <w:rsid w:val="00634815"/>
    <w:rsid w:val="00634B99"/>
    <w:rsid w:val="00635388"/>
    <w:rsid w:val="006354AE"/>
    <w:rsid w:val="00636D6C"/>
    <w:rsid w:val="0063757C"/>
    <w:rsid w:val="006379D1"/>
    <w:rsid w:val="00637CF6"/>
    <w:rsid w:val="00640362"/>
    <w:rsid w:val="00640EFE"/>
    <w:rsid w:val="00641034"/>
    <w:rsid w:val="0064109F"/>
    <w:rsid w:val="0064180F"/>
    <w:rsid w:val="00642544"/>
    <w:rsid w:val="0064286A"/>
    <w:rsid w:val="00643139"/>
    <w:rsid w:val="00643736"/>
    <w:rsid w:val="00643D1C"/>
    <w:rsid w:val="006441D9"/>
    <w:rsid w:val="00644411"/>
    <w:rsid w:val="006451B6"/>
    <w:rsid w:val="006452EC"/>
    <w:rsid w:val="0064555C"/>
    <w:rsid w:val="00646D36"/>
    <w:rsid w:val="006502F6"/>
    <w:rsid w:val="006513A8"/>
    <w:rsid w:val="0065149C"/>
    <w:rsid w:val="00651C5A"/>
    <w:rsid w:val="00652E2D"/>
    <w:rsid w:val="00653C53"/>
    <w:rsid w:val="006541FC"/>
    <w:rsid w:val="006547B1"/>
    <w:rsid w:val="00654B20"/>
    <w:rsid w:val="006552E9"/>
    <w:rsid w:val="00655866"/>
    <w:rsid w:val="0065605E"/>
    <w:rsid w:val="00656226"/>
    <w:rsid w:val="006570C4"/>
    <w:rsid w:val="00660EF5"/>
    <w:rsid w:val="00661430"/>
    <w:rsid w:val="00661EED"/>
    <w:rsid w:val="0066227E"/>
    <w:rsid w:val="006623A1"/>
    <w:rsid w:val="006632F3"/>
    <w:rsid w:val="00664397"/>
    <w:rsid w:val="00664C0C"/>
    <w:rsid w:val="00665BD5"/>
    <w:rsid w:val="00666D84"/>
    <w:rsid w:val="0066751A"/>
    <w:rsid w:val="0066753F"/>
    <w:rsid w:val="006676C7"/>
    <w:rsid w:val="0067026C"/>
    <w:rsid w:val="0067062D"/>
    <w:rsid w:val="00670AD8"/>
    <w:rsid w:val="00670D6E"/>
    <w:rsid w:val="0067416A"/>
    <w:rsid w:val="006766C8"/>
    <w:rsid w:val="00676903"/>
    <w:rsid w:val="00677A37"/>
    <w:rsid w:val="00677BE8"/>
    <w:rsid w:val="00677C33"/>
    <w:rsid w:val="00680884"/>
    <w:rsid w:val="00681641"/>
    <w:rsid w:val="006823B0"/>
    <w:rsid w:val="00682511"/>
    <w:rsid w:val="00682EA5"/>
    <w:rsid w:val="00686225"/>
    <w:rsid w:val="00686851"/>
    <w:rsid w:val="00687032"/>
    <w:rsid w:val="00687332"/>
    <w:rsid w:val="00687B06"/>
    <w:rsid w:val="00687B25"/>
    <w:rsid w:val="00687F31"/>
    <w:rsid w:val="006900C2"/>
    <w:rsid w:val="00690175"/>
    <w:rsid w:val="00691A7B"/>
    <w:rsid w:val="00692F13"/>
    <w:rsid w:val="006944DA"/>
    <w:rsid w:val="006948E6"/>
    <w:rsid w:val="00695919"/>
    <w:rsid w:val="006959B1"/>
    <w:rsid w:val="00695CA6"/>
    <w:rsid w:val="0069633D"/>
    <w:rsid w:val="006969BD"/>
    <w:rsid w:val="006A1659"/>
    <w:rsid w:val="006A1B9D"/>
    <w:rsid w:val="006A2631"/>
    <w:rsid w:val="006A34FE"/>
    <w:rsid w:val="006A3797"/>
    <w:rsid w:val="006A37C5"/>
    <w:rsid w:val="006A39F5"/>
    <w:rsid w:val="006A429D"/>
    <w:rsid w:val="006A6252"/>
    <w:rsid w:val="006A6304"/>
    <w:rsid w:val="006A7887"/>
    <w:rsid w:val="006B0D2D"/>
    <w:rsid w:val="006B1A6F"/>
    <w:rsid w:val="006B2E0D"/>
    <w:rsid w:val="006B3A92"/>
    <w:rsid w:val="006B3E2F"/>
    <w:rsid w:val="006B6650"/>
    <w:rsid w:val="006C031C"/>
    <w:rsid w:val="006C0904"/>
    <w:rsid w:val="006C0EF7"/>
    <w:rsid w:val="006C216E"/>
    <w:rsid w:val="006C2F7B"/>
    <w:rsid w:val="006C31C4"/>
    <w:rsid w:val="006C33A8"/>
    <w:rsid w:val="006C3582"/>
    <w:rsid w:val="006C419A"/>
    <w:rsid w:val="006C4FAA"/>
    <w:rsid w:val="006C51A4"/>
    <w:rsid w:val="006C5835"/>
    <w:rsid w:val="006C602A"/>
    <w:rsid w:val="006C67A5"/>
    <w:rsid w:val="006C6AAB"/>
    <w:rsid w:val="006C7313"/>
    <w:rsid w:val="006C798D"/>
    <w:rsid w:val="006C7B4B"/>
    <w:rsid w:val="006D0C84"/>
    <w:rsid w:val="006D0F2F"/>
    <w:rsid w:val="006D118F"/>
    <w:rsid w:val="006D1916"/>
    <w:rsid w:val="006D1FFD"/>
    <w:rsid w:val="006D2381"/>
    <w:rsid w:val="006D24C8"/>
    <w:rsid w:val="006D3061"/>
    <w:rsid w:val="006D3420"/>
    <w:rsid w:val="006D3422"/>
    <w:rsid w:val="006D36A9"/>
    <w:rsid w:val="006D5761"/>
    <w:rsid w:val="006D5FEF"/>
    <w:rsid w:val="006D6554"/>
    <w:rsid w:val="006D71A8"/>
    <w:rsid w:val="006E00B1"/>
    <w:rsid w:val="006E157B"/>
    <w:rsid w:val="006E1D8C"/>
    <w:rsid w:val="006E29DE"/>
    <w:rsid w:val="006E516E"/>
    <w:rsid w:val="006E6B8D"/>
    <w:rsid w:val="006E7A2C"/>
    <w:rsid w:val="006E7A9E"/>
    <w:rsid w:val="006E7E68"/>
    <w:rsid w:val="006F0659"/>
    <w:rsid w:val="006F1366"/>
    <w:rsid w:val="006F3470"/>
    <w:rsid w:val="006F4D45"/>
    <w:rsid w:val="006F4D51"/>
    <w:rsid w:val="006F53DE"/>
    <w:rsid w:val="006F57D7"/>
    <w:rsid w:val="006F5B4D"/>
    <w:rsid w:val="006F61B8"/>
    <w:rsid w:val="006F6970"/>
    <w:rsid w:val="006F6A8F"/>
    <w:rsid w:val="006F7885"/>
    <w:rsid w:val="006F7B92"/>
    <w:rsid w:val="007006C1"/>
    <w:rsid w:val="00700B29"/>
    <w:rsid w:val="00700BAC"/>
    <w:rsid w:val="007024D4"/>
    <w:rsid w:val="007026F8"/>
    <w:rsid w:val="00703121"/>
    <w:rsid w:val="0070330A"/>
    <w:rsid w:val="00704889"/>
    <w:rsid w:val="00705373"/>
    <w:rsid w:val="00705C15"/>
    <w:rsid w:val="00705CA6"/>
    <w:rsid w:val="00705CB6"/>
    <w:rsid w:val="0070607A"/>
    <w:rsid w:val="007061B1"/>
    <w:rsid w:val="00706F2A"/>
    <w:rsid w:val="00707DE3"/>
    <w:rsid w:val="0071165B"/>
    <w:rsid w:val="00712E97"/>
    <w:rsid w:val="00713AFC"/>
    <w:rsid w:val="007152FA"/>
    <w:rsid w:val="00715901"/>
    <w:rsid w:val="0072004B"/>
    <w:rsid w:val="00720992"/>
    <w:rsid w:val="00720B08"/>
    <w:rsid w:val="0072176D"/>
    <w:rsid w:val="00721C89"/>
    <w:rsid w:val="0072329C"/>
    <w:rsid w:val="007243E9"/>
    <w:rsid w:val="0072460F"/>
    <w:rsid w:val="00724BF0"/>
    <w:rsid w:val="00724D12"/>
    <w:rsid w:val="0072608A"/>
    <w:rsid w:val="00726100"/>
    <w:rsid w:val="00726242"/>
    <w:rsid w:val="00726493"/>
    <w:rsid w:val="007276D7"/>
    <w:rsid w:val="00727847"/>
    <w:rsid w:val="00730E32"/>
    <w:rsid w:val="007314C3"/>
    <w:rsid w:val="00732365"/>
    <w:rsid w:val="00732939"/>
    <w:rsid w:val="00732D5F"/>
    <w:rsid w:val="00732D97"/>
    <w:rsid w:val="00733673"/>
    <w:rsid w:val="00733D0D"/>
    <w:rsid w:val="007341A9"/>
    <w:rsid w:val="0073439E"/>
    <w:rsid w:val="00734EE9"/>
    <w:rsid w:val="00736C6C"/>
    <w:rsid w:val="00737463"/>
    <w:rsid w:val="007376D9"/>
    <w:rsid w:val="0074016C"/>
    <w:rsid w:val="00740F37"/>
    <w:rsid w:val="007414CE"/>
    <w:rsid w:val="00741E24"/>
    <w:rsid w:val="00742271"/>
    <w:rsid w:val="007423E7"/>
    <w:rsid w:val="0074279A"/>
    <w:rsid w:val="007427C2"/>
    <w:rsid w:val="0074296B"/>
    <w:rsid w:val="00742BFE"/>
    <w:rsid w:val="007434B6"/>
    <w:rsid w:val="007434EC"/>
    <w:rsid w:val="00744393"/>
    <w:rsid w:val="00744BF9"/>
    <w:rsid w:val="00745853"/>
    <w:rsid w:val="007459F9"/>
    <w:rsid w:val="00745DA1"/>
    <w:rsid w:val="00746F8C"/>
    <w:rsid w:val="00747FC2"/>
    <w:rsid w:val="007507B9"/>
    <w:rsid w:val="0075221A"/>
    <w:rsid w:val="007522FE"/>
    <w:rsid w:val="00752C61"/>
    <w:rsid w:val="007535BB"/>
    <w:rsid w:val="00754B48"/>
    <w:rsid w:val="0075506A"/>
    <w:rsid w:val="00755B5B"/>
    <w:rsid w:val="00756461"/>
    <w:rsid w:val="00756848"/>
    <w:rsid w:val="00756B27"/>
    <w:rsid w:val="00756C30"/>
    <w:rsid w:val="00756E47"/>
    <w:rsid w:val="007575C1"/>
    <w:rsid w:val="00760494"/>
    <w:rsid w:val="0076479B"/>
    <w:rsid w:val="00764CD4"/>
    <w:rsid w:val="00764F7C"/>
    <w:rsid w:val="00765395"/>
    <w:rsid w:val="007658ED"/>
    <w:rsid w:val="00766460"/>
    <w:rsid w:val="00766AC2"/>
    <w:rsid w:val="00767E71"/>
    <w:rsid w:val="0077092F"/>
    <w:rsid w:val="00770D1A"/>
    <w:rsid w:val="0077120F"/>
    <w:rsid w:val="00772230"/>
    <w:rsid w:val="007729FC"/>
    <w:rsid w:val="00772DDD"/>
    <w:rsid w:val="00774654"/>
    <w:rsid w:val="00776563"/>
    <w:rsid w:val="00777740"/>
    <w:rsid w:val="00777801"/>
    <w:rsid w:val="00777D98"/>
    <w:rsid w:val="00777DD1"/>
    <w:rsid w:val="007808BE"/>
    <w:rsid w:val="007825EF"/>
    <w:rsid w:val="00782730"/>
    <w:rsid w:val="00782866"/>
    <w:rsid w:val="0078326F"/>
    <w:rsid w:val="007839A7"/>
    <w:rsid w:val="00784A4B"/>
    <w:rsid w:val="00784B9A"/>
    <w:rsid w:val="0078510A"/>
    <w:rsid w:val="00785123"/>
    <w:rsid w:val="00785F4D"/>
    <w:rsid w:val="007862E8"/>
    <w:rsid w:val="0078702D"/>
    <w:rsid w:val="007870E5"/>
    <w:rsid w:val="00787162"/>
    <w:rsid w:val="00787BA6"/>
    <w:rsid w:val="00787D42"/>
    <w:rsid w:val="0079002F"/>
    <w:rsid w:val="00790A9C"/>
    <w:rsid w:val="00790E68"/>
    <w:rsid w:val="00791B78"/>
    <w:rsid w:val="0079244D"/>
    <w:rsid w:val="00793263"/>
    <w:rsid w:val="0079376C"/>
    <w:rsid w:val="00793B5A"/>
    <w:rsid w:val="0079458E"/>
    <w:rsid w:val="007946B9"/>
    <w:rsid w:val="00794BAF"/>
    <w:rsid w:val="00794E20"/>
    <w:rsid w:val="007961AA"/>
    <w:rsid w:val="00796C95"/>
    <w:rsid w:val="00796FEF"/>
    <w:rsid w:val="00797378"/>
    <w:rsid w:val="00797BF5"/>
    <w:rsid w:val="007A00CE"/>
    <w:rsid w:val="007A1B7C"/>
    <w:rsid w:val="007A2025"/>
    <w:rsid w:val="007A22F7"/>
    <w:rsid w:val="007A2D28"/>
    <w:rsid w:val="007A3F3D"/>
    <w:rsid w:val="007A43EE"/>
    <w:rsid w:val="007A4F7C"/>
    <w:rsid w:val="007A5563"/>
    <w:rsid w:val="007A56EA"/>
    <w:rsid w:val="007A5764"/>
    <w:rsid w:val="007A5BDC"/>
    <w:rsid w:val="007A6902"/>
    <w:rsid w:val="007A6B8F"/>
    <w:rsid w:val="007B0CEC"/>
    <w:rsid w:val="007B0DEA"/>
    <w:rsid w:val="007B1D02"/>
    <w:rsid w:val="007B1FEF"/>
    <w:rsid w:val="007B2881"/>
    <w:rsid w:val="007B30F0"/>
    <w:rsid w:val="007B3529"/>
    <w:rsid w:val="007B3538"/>
    <w:rsid w:val="007B35D1"/>
    <w:rsid w:val="007B498C"/>
    <w:rsid w:val="007B50F1"/>
    <w:rsid w:val="007B6D6B"/>
    <w:rsid w:val="007B770A"/>
    <w:rsid w:val="007C0399"/>
    <w:rsid w:val="007C05B6"/>
    <w:rsid w:val="007C0BE6"/>
    <w:rsid w:val="007C1886"/>
    <w:rsid w:val="007C255E"/>
    <w:rsid w:val="007C3594"/>
    <w:rsid w:val="007C3D88"/>
    <w:rsid w:val="007C42FC"/>
    <w:rsid w:val="007C476C"/>
    <w:rsid w:val="007C4E2E"/>
    <w:rsid w:val="007C5237"/>
    <w:rsid w:val="007D0EE0"/>
    <w:rsid w:val="007D14F0"/>
    <w:rsid w:val="007D195E"/>
    <w:rsid w:val="007D3E4D"/>
    <w:rsid w:val="007D3F36"/>
    <w:rsid w:val="007D3FA6"/>
    <w:rsid w:val="007D601A"/>
    <w:rsid w:val="007D67B2"/>
    <w:rsid w:val="007D67F5"/>
    <w:rsid w:val="007D7770"/>
    <w:rsid w:val="007D7BFF"/>
    <w:rsid w:val="007E0D96"/>
    <w:rsid w:val="007E12FF"/>
    <w:rsid w:val="007E1FE0"/>
    <w:rsid w:val="007E2A00"/>
    <w:rsid w:val="007E429B"/>
    <w:rsid w:val="007E4CF2"/>
    <w:rsid w:val="007E6535"/>
    <w:rsid w:val="007E6D28"/>
    <w:rsid w:val="007E747B"/>
    <w:rsid w:val="007F08E5"/>
    <w:rsid w:val="007F0BCE"/>
    <w:rsid w:val="007F1255"/>
    <w:rsid w:val="007F145A"/>
    <w:rsid w:val="007F1656"/>
    <w:rsid w:val="007F166A"/>
    <w:rsid w:val="007F1D40"/>
    <w:rsid w:val="007F2019"/>
    <w:rsid w:val="007F2554"/>
    <w:rsid w:val="007F27EB"/>
    <w:rsid w:val="007F28C8"/>
    <w:rsid w:val="007F3407"/>
    <w:rsid w:val="007F3820"/>
    <w:rsid w:val="007F5774"/>
    <w:rsid w:val="00800309"/>
    <w:rsid w:val="00800FB1"/>
    <w:rsid w:val="008014CF"/>
    <w:rsid w:val="0080162A"/>
    <w:rsid w:val="00802B0C"/>
    <w:rsid w:val="00803AE6"/>
    <w:rsid w:val="00803CFD"/>
    <w:rsid w:val="00803E50"/>
    <w:rsid w:val="00804216"/>
    <w:rsid w:val="008052B9"/>
    <w:rsid w:val="00805C5C"/>
    <w:rsid w:val="00806068"/>
    <w:rsid w:val="0080642C"/>
    <w:rsid w:val="00807A8E"/>
    <w:rsid w:val="00807EA9"/>
    <w:rsid w:val="00810EF6"/>
    <w:rsid w:val="00811265"/>
    <w:rsid w:val="00811664"/>
    <w:rsid w:val="008118D6"/>
    <w:rsid w:val="00811948"/>
    <w:rsid w:val="008120E8"/>
    <w:rsid w:val="00813D88"/>
    <w:rsid w:val="00814BD6"/>
    <w:rsid w:val="00815090"/>
    <w:rsid w:val="00815711"/>
    <w:rsid w:val="00816CEE"/>
    <w:rsid w:val="00817C86"/>
    <w:rsid w:val="00820248"/>
    <w:rsid w:val="00820A5D"/>
    <w:rsid w:val="00820E1F"/>
    <w:rsid w:val="00821235"/>
    <w:rsid w:val="00821E1B"/>
    <w:rsid w:val="00822985"/>
    <w:rsid w:val="008229CA"/>
    <w:rsid w:val="00822A13"/>
    <w:rsid w:val="00822B4C"/>
    <w:rsid w:val="00822DDF"/>
    <w:rsid w:val="00822E2B"/>
    <w:rsid w:val="0082454B"/>
    <w:rsid w:val="00824A9F"/>
    <w:rsid w:val="008252C8"/>
    <w:rsid w:val="0082536A"/>
    <w:rsid w:val="00826054"/>
    <w:rsid w:val="00826EA4"/>
    <w:rsid w:val="00830DC1"/>
    <w:rsid w:val="00831F1B"/>
    <w:rsid w:val="008329D6"/>
    <w:rsid w:val="00833AC4"/>
    <w:rsid w:val="00833B8B"/>
    <w:rsid w:val="00833DE9"/>
    <w:rsid w:val="00833DEF"/>
    <w:rsid w:val="0083479A"/>
    <w:rsid w:val="00834BE3"/>
    <w:rsid w:val="00835D0A"/>
    <w:rsid w:val="00835EAD"/>
    <w:rsid w:val="00835F57"/>
    <w:rsid w:val="00836247"/>
    <w:rsid w:val="00836FF0"/>
    <w:rsid w:val="008373AB"/>
    <w:rsid w:val="00837515"/>
    <w:rsid w:val="00840102"/>
    <w:rsid w:val="008403C9"/>
    <w:rsid w:val="0084050B"/>
    <w:rsid w:val="00841731"/>
    <w:rsid w:val="008419BA"/>
    <w:rsid w:val="008429BE"/>
    <w:rsid w:val="00842DE6"/>
    <w:rsid w:val="00843F89"/>
    <w:rsid w:val="008441CB"/>
    <w:rsid w:val="00844432"/>
    <w:rsid w:val="0084478E"/>
    <w:rsid w:val="00844EA8"/>
    <w:rsid w:val="008453FC"/>
    <w:rsid w:val="00847391"/>
    <w:rsid w:val="008506C5"/>
    <w:rsid w:val="00852A3C"/>
    <w:rsid w:val="00855153"/>
    <w:rsid w:val="00856502"/>
    <w:rsid w:val="0085706D"/>
    <w:rsid w:val="00857B20"/>
    <w:rsid w:val="00860112"/>
    <w:rsid w:val="00861354"/>
    <w:rsid w:val="00862282"/>
    <w:rsid w:val="00862BA5"/>
    <w:rsid w:val="00863335"/>
    <w:rsid w:val="00863A08"/>
    <w:rsid w:val="0086416E"/>
    <w:rsid w:val="0086474D"/>
    <w:rsid w:val="0086565F"/>
    <w:rsid w:val="00866E8A"/>
    <w:rsid w:val="00867BBC"/>
    <w:rsid w:val="00871046"/>
    <w:rsid w:val="00871337"/>
    <w:rsid w:val="00871E0E"/>
    <w:rsid w:val="00872B1C"/>
    <w:rsid w:val="00872CE0"/>
    <w:rsid w:val="00872EFF"/>
    <w:rsid w:val="0087348B"/>
    <w:rsid w:val="008734B0"/>
    <w:rsid w:val="00873535"/>
    <w:rsid w:val="00874EFE"/>
    <w:rsid w:val="00875878"/>
    <w:rsid w:val="0087593F"/>
    <w:rsid w:val="008766EA"/>
    <w:rsid w:val="00876D11"/>
    <w:rsid w:val="00877842"/>
    <w:rsid w:val="00880579"/>
    <w:rsid w:val="0088127F"/>
    <w:rsid w:val="0088335F"/>
    <w:rsid w:val="0088386E"/>
    <w:rsid w:val="0088453E"/>
    <w:rsid w:val="008845E2"/>
    <w:rsid w:val="00884F0B"/>
    <w:rsid w:val="00884F9D"/>
    <w:rsid w:val="00885C54"/>
    <w:rsid w:val="00885D27"/>
    <w:rsid w:val="00886022"/>
    <w:rsid w:val="008860E8"/>
    <w:rsid w:val="00886266"/>
    <w:rsid w:val="00886D0D"/>
    <w:rsid w:val="00887045"/>
    <w:rsid w:val="00890832"/>
    <w:rsid w:val="00890AB4"/>
    <w:rsid w:val="00891666"/>
    <w:rsid w:val="0089196C"/>
    <w:rsid w:val="008924C3"/>
    <w:rsid w:val="0089311F"/>
    <w:rsid w:val="008936DB"/>
    <w:rsid w:val="00893E17"/>
    <w:rsid w:val="00894124"/>
    <w:rsid w:val="008941ED"/>
    <w:rsid w:val="00894390"/>
    <w:rsid w:val="00894DF5"/>
    <w:rsid w:val="00895B5D"/>
    <w:rsid w:val="00896127"/>
    <w:rsid w:val="00896618"/>
    <w:rsid w:val="008A0192"/>
    <w:rsid w:val="008A3691"/>
    <w:rsid w:val="008A39C6"/>
    <w:rsid w:val="008A416D"/>
    <w:rsid w:val="008A4382"/>
    <w:rsid w:val="008A45BD"/>
    <w:rsid w:val="008A48CE"/>
    <w:rsid w:val="008A5AB4"/>
    <w:rsid w:val="008A6BF0"/>
    <w:rsid w:val="008A775A"/>
    <w:rsid w:val="008B0ACE"/>
    <w:rsid w:val="008B2E4C"/>
    <w:rsid w:val="008B32FD"/>
    <w:rsid w:val="008B3502"/>
    <w:rsid w:val="008B3999"/>
    <w:rsid w:val="008B3E61"/>
    <w:rsid w:val="008B41D8"/>
    <w:rsid w:val="008B4D68"/>
    <w:rsid w:val="008B5405"/>
    <w:rsid w:val="008B671D"/>
    <w:rsid w:val="008B6B2B"/>
    <w:rsid w:val="008B71A3"/>
    <w:rsid w:val="008B7EE5"/>
    <w:rsid w:val="008C16C4"/>
    <w:rsid w:val="008C19D8"/>
    <w:rsid w:val="008C3886"/>
    <w:rsid w:val="008C3EF2"/>
    <w:rsid w:val="008C50F5"/>
    <w:rsid w:val="008C5CD5"/>
    <w:rsid w:val="008C5D8A"/>
    <w:rsid w:val="008C612D"/>
    <w:rsid w:val="008C7218"/>
    <w:rsid w:val="008D0E8C"/>
    <w:rsid w:val="008D165A"/>
    <w:rsid w:val="008D1886"/>
    <w:rsid w:val="008D1F6B"/>
    <w:rsid w:val="008D28A5"/>
    <w:rsid w:val="008D2DF7"/>
    <w:rsid w:val="008D3B73"/>
    <w:rsid w:val="008D41BB"/>
    <w:rsid w:val="008D559E"/>
    <w:rsid w:val="008D5994"/>
    <w:rsid w:val="008D60C0"/>
    <w:rsid w:val="008D65ED"/>
    <w:rsid w:val="008E098C"/>
    <w:rsid w:val="008E0E11"/>
    <w:rsid w:val="008E17A7"/>
    <w:rsid w:val="008E1DD1"/>
    <w:rsid w:val="008E2055"/>
    <w:rsid w:val="008E2183"/>
    <w:rsid w:val="008E31F1"/>
    <w:rsid w:val="008E43AC"/>
    <w:rsid w:val="008E46CF"/>
    <w:rsid w:val="008E496C"/>
    <w:rsid w:val="008E4E01"/>
    <w:rsid w:val="008E7A69"/>
    <w:rsid w:val="008F03E0"/>
    <w:rsid w:val="008F068C"/>
    <w:rsid w:val="008F1EC5"/>
    <w:rsid w:val="008F26AF"/>
    <w:rsid w:val="008F2FAC"/>
    <w:rsid w:val="008F3258"/>
    <w:rsid w:val="008F45EE"/>
    <w:rsid w:val="008F465D"/>
    <w:rsid w:val="008F6550"/>
    <w:rsid w:val="008F79D1"/>
    <w:rsid w:val="008F7C7F"/>
    <w:rsid w:val="009002DE"/>
    <w:rsid w:val="009012A7"/>
    <w:rsid w:val="0090141E"/>
    <w:rsid w:val="00901F80"/>
    <w:rsid w:val="00902EA7"/>
    <w:rsid w:val="00904249"/>
    <w:rsid w:val="009049A5"/>
    <w:rsid w:val="00904C99"/>
    <w:rsid w:val="009050D2"/>
    <w:rsid w:val="009054FE"/>
    <w:rsid w:val="00905E51"/>
    <w:rsid w:val="00906687"/>
    <w:rsid w:val="00906878"/>
    <w:rsid w:val="009072E1"/>
    <w:rsid w:val="009076E1"/>
    <w:rsid w:val="00907738"/>
    <w:rsid w:val="00907EB7"/>
    <w:rsid w:val="00910593"/>
    <w:rsid w:val="009110ED"/>
    <w:rsid w:val="00911FFD"/>
    <w:rsid w:val="00912173"/>
    <w:rsid w:val="00912383"/>
    <w:rsid w:val="009123A6"/>
    <w:rsid w:val="0091306E"/>
    <w:rsid w:val="0091553D"/>
    <w:rsid w:val="00916BD9"/>
    <w:rsid w:val="00916E34"/>
    <w:rsid w:val="00917238"/>
    <w:rsid w:val="00917EA8"/>
    <w:rsid w:val="00917EAB"/>
    <w:rsid w:val="0092068B"/>
    <w:rsid w:val="00920EB8"/>
    <w:rsid w:val="0092121C"/>
    <w:rsid w:val="00921C7A"/>
    <w:rsid w:val="0092284F"/>
    <w:rsid w:val="009232D7"/>
    <w:rsid w:val="00923909"/>
    <w:rsid w:val="00924589"/>
    <w:rsid w:val="009245C2"/>
    <w:rsid w:val="009252E5"/>
    <w:rsid w:val="0092667E"/>
    <w:rsid w:val="009279AA"/>
    <w:rsid w:val="00927D45"/>
    <w:rsid w:val="00930DBF"/>
    <w:rsid w:val="0093345A"/>
    <w:rsid w:val="009345C9"/>
    <w:rsid w:val="0093499E"/>
    <w:rsid w:val="00937FC6"/>
    <w:rsid w:val="00940103"/>
    <w:rsid w:val="009406EC"/>
    <w:rsid w:val="009415E9"/>
    <w:rsid w:val="00943327"/>
    <w:rsid w:val="009445DC"/>
    <w:rsid w:val="00944869"/>
    <w:rsid w:val="00944928"/>
    <w:rsid w:val="00945295"/>
    <w:rsid w:val="00945AD4"/>
    <w:rsid w:val="0094607C"/>
    <w:rsid w:val="00946447"/>
    <w:rsid w:val="00950E88"/>
    <w:rsid w:val="00951376"/>
    <w:rsid w:val="00953528"/>
    <w:rsid w:val="0095419A"/>
    <w:rsid w:val="00954585"/>
    <w:rsid w:val="00954F77"/>
    <w:rsid w:val="0095500F"/>
    <w:rsid w:val="0095511D"/>
    <w:rsid w:val="00955DD4"/>
    <w:rsid w:val="009564C8"/>
    <w:rsid w:val="009578E6"/>
    <w:rsid w:val="00957D15"/>
    <w:rsid w:val="009617FC"/>
    <w:rsid w:val="00961D57"/>
    <w:rsid w:val="00963A25"/>
    <w:rsid w:val="0096515E"/>
    <w:rsid w:val="009662A1"/>
    <w:rsid w:val="009671C8"/>
    <w:rsid w:val="00967EF1"/>
    <w:rsid w:val="0097019A"/>
    <w:rsid w:val="009739D2"/>
    <w:rsid w:val="00973FA9"/>
    <w:rsid w:val="00974196"/>
    <w:rsid w:val="00974842"/>
    <w:rsid w:val="00975ACE"/>
    <w:rsid w:val="0097713C"/>
    <w:rsid w:val="009775C0"/>
    <w:rsid w:val="0097775C"/>
    <w:rsid w:val="009778F6"/>
    <w:rsid w:val="00977F81"/>
    <w:rsid w:val="00980527"/>
    <w:rsid w:val="009807E4"/>
    <w:rsid w:val="00980D45"/>
    <w:rsid w:val="00981208"/>
    <w:rsid w:val="009817BB"/>
    <w:rsid w:val="009818DE"/>
    <w:rsid w:val="009833D4"/>
    <w:rsid w:val="00983B1C"/>
    <w:rsid w:val="009843EE"/>
    <w:rsid w:val="00984CC1"/>
    <w:rsid w:val="00984D07"/>
    <w:rsid w:val="00985C7C"/>
    <w:rsid w:val="0098676F"/>
    <w:rsid w:val="00986D2D"/>
    <w:rsid w:val="00986FFF"/>
    <w:rsid w:val="00987307"/>
    <w:rsid w:val="00987E7F"/>
    <w:rsid w:val="00990307"/>
    <w:rsid w:val="009904FE"/>
    <w:rsid w:val="009918AE"/>
    <w:rsid w:val="0099247A"/>
    <w:rsid w:val="00992FFC"/>
    <w:rsid w:val="0099308F"/>
    <w:rsid w:val="00995386"/>
    <w:rsid w:val="0099711C"/>
    <w:rsid w:val="009A09C6"/>
    <w:rsid w:val="009A0B1E"/>
    <w:rsid w:val="009A1375"/>
    <w:rsid w:val="009A19AB"/>
    <w:rsid w:val="009A1C8C"/>
    <w:rsid w:val="009A1CDE"/>
    <w:rsid w:val="009A32A0"/>
    <w:rsid w:val="009A3A17"/>
    <w:rsid w:val="009A3F1D"/>
    <w:rsid w:val="009A407D"/>
    <w:rsid w:val="009A43F6"/>
    <w:rsid w:val="009A441B"/>
    <w:rsid w:val="009A4DE9"/>
    <w:rsid w:val="009A62AC"/>
    <w:rsid w:val="009A63D1"/>
    <w:rsid w:val="009A6ADE"/>
    <w:rsid w:val="009A6DB3"/>
    <w:rsid w:val="009A7D56"/>
    <w:rsid w:val="009A7D7F"/>
    <w:rsid w:val="009B1059"/>
    <w:rsid w:val="009B11BC"/>
    <w:rsid w:val="009B14C0"/>
    <w:rsid w:val="009B1BE3"/>
    <w:rsid w:val="009B2BAD"/>
    <w:rsid w:val="009B3A53"/>
    <w:rsid w:val="009B43DB"/>
    <w:rsid w:val="009B4859"/>
    <w:rsid w:val="009B5106"/>
    <w:rsid w:val="009B5AC8"/>
    <w:rsid w:val="009B6248"/>
    <w:rsid w:val="009B6625"/>
    <w:rsid w:val="009B66AE"/>
    <w:rsid w:val="009B6A78"/>
    <w:rsid w:val="009B6C33"/>
    <w:rsid w:val="009B79C1"/>
    <w:rsid w:val="009B7E6F"/>
    <w:rsid w:val="009B7F59"/>
    <w:rsid w:val="009C0291"/>
    <w:rsid w:val="009C02FA"/>
    <w:rsid w:val="009C057D"/>
    <w:rsid w:val="009C1851"/>
    <w:rsid w:val="009C1B67"/>
    <w:rsid w:val="009C226E"/>
    <w:rsid w:val="009C2922"/>
    <w:rsid w:val="009C2A1B"/>
    <w:rsid w:val="009C384F"/>
    <w:rsid w:val="009C38CF"/>
    <w:rsid w:val="009C3C65"/>
    <w:rsid w:val="009C4B29"/>
    <w:rsid w:val="009C5769"/>
    <w:rsid w:val="009C613A"/>
    <w:rsid w:val="009C6A65"/>
    <w:rsid w:val="009C7482"/>
    <w:rsid w:val="009D02AE"/>
    <w:rsid w:val="009D038F"/>
    <w:rsid w:val="009D0397"/>
    <w:rsid w:val="009D0765"/>
    <w:rsid w:val="009D0AD8"/>
    <w:rsid w:val="009D19FC"/>
    <w:rsid w:val="009D2112"/>
    <w:rsid w:val="009D28A5"/>
    <w:rsid w:val="009D4D68"/>
    <w:rsid w:val="009D5401"/>
    <w:rsid w:val="009D5AEE"/>
    <w:rsid w:val="009D6545"/>
    <w:rsid w:val="009D6AF5"/>
    <w:rsid w:val="009D6F87"/>
    <w:rsid w:val="009D77FF"/>
    <w:rsid w:val="009D794D"/>
    <w:rsid w:val="009D7AD7"/>
    <w:rsid w:val="009D7EBC"/>
    <w:rsid w:val="009E034D"/>
    <w:rsid w:val="009E056D"/>
    <w:rsid w:val="009E067D"/>
    <w:rsid w:val="009E08D7"/>
    <w:rsid w:val="009E1107"/>
    <w:rsid w:val="009E1297"/>
    <w:rsid w:val="009E3239"/>
    <w:rsid w:val="009E3624"/>
    <w:rsid w:val="009E40AC"/>
    <w:rsid w:val="009E58D9"/>
    <w:rsid w:val="009E5BA7"/>
    <w:rsid w:val="009E5BCD"/>
    <w:rsid w:val="009E5D51"/>
    <w:rsid w:val="009E5DC2"/>
    <w:rsid w:val="009E5F6A"/>
    <w:rsid w:val="009E68C9"/>
    <w:rsid w:val="009E79C8"/>
    <w:rsid w:val="009E7BB8"/>
    <w:rsid w:val="009F0789"/>
    <w:rsid w:val="009F10B2"/>
    <w:rsid w:val="009F1806"/>
    <w:rsid w:val="009F48DE"/>
    <w:rsid w:val="009F5CB6"/>
    <w:rsid w:val="009F6365"/>
    <w:rsid w:val="009F6538"/>
    <w:rsid w:val="009F719D"/>
    <w:rsid w:val="009F779E"/>
    <w:rsid w:val="00A0159B"/>
    <w:rsid w:val="00A0171D"/>
    <w:rsid w:val="00A03A20"/>
    <w:rsid w:val="00A03E6B"/>
    <w:rsid w:val="00A05426"/>
    <w:rsid w:val="00A05B95"/>
    <w:rsid w:val="00A05C52"/>
    <w:rsid w:val="00A0733D"/>
    <w:rsid w:val="00A07C66"/>
    <w:rsid w:val="00A104F9"/>
    <w:rsid w:val="00A1123B"/>
    <w:rsid w:val="00A11380"/>
    <w:rsid w:val="00A12000"/>
    <w:rsid w:val="00A126D1"/>
    <w:rsid w:val="00A12E64"/>
    <w:rsid w:val="00A1432B"/>
    <w:rsid w:val="00A14C49"/>
    <w:rsid w:val="00A154A9"/>
    <w:rsid w:val="00A156EC"/>
    <w:rsid w:val="00A2040F"/>
    <w:rsid w:val="00A20F0A"/>
    <w:rsid w:val="00A2169E"/>
    <w:rsid w:val="00A21745"/>
    <w:rsid w:val="00A21E05"/>
    <w:rsid w:val="00A22AAA"/>
    <w:rsid w:val="00A22C3E"/>
    <w:rsid w:val="00A22FCF"/>
    <w:rsid w:val="00A23888"/>
    <w:rsid w:val="00A23B4A"/>
    <w:rsid w:val="00A24FB9"/>
    <w:rsid w:val="00A250EF"/>
    <w:rsid w:val="00A259FB"/>
    <w:rsid w:val="00A30381"/>
    <w:rsid w:val="00A30BF9"/>
    <w:rsid w:val="00A314E8"/>
    <w:rsid w:val="00A31F76"/>
    <w:rsid w:val="00A321B9"/>
    <w:rsid w:val="00A33BBB"/>
    <w:rsid w:val="00A3672F"/>
    <w:rsid w:val="00A368E7"/>
    <w:rsid w:val="00A369CB"/>
    <w:rsid w:val="00A36D78"/>
    <w:rsid w:val="00A3783B"/>
    <w:rsid w:val="00A37958"/>
    <w:rsid w:val="00A40A0B"/>
    <w:rsid w:val="00A40D4A"/>
    <w:rsid w:val="00A41287"/>
    <w:rsid w:val="00A4137A"/>
    <w:rsid w:val="00A4181F"/>
    <w:rsid w:val="00A41BD3"/>
    <w:rsid w:val="00A41C5B"/>
    <w:rsid w:val="00A4306A"/>
    <w:rsid w:val="00A43DBA"/>
    <w:rsid w:val="00A44E83"/>
    <w:rsid w:val="00A450C5"/>
    <w:rsid w:val="00A45998"/>
    <w:rsid w:val="00A45D76"/>
    <w:rsid w:val="00A462A9"/>
    <w:rsid w:val="00A47D39"/>
    <w:rsid w:val="00A47F45"/>
    <w:rsid w:val="00A50375"/>
    <w:rsid w:val="00A52F80"/>
    <w:rsid w:val="00A5313A"/>
    <w:rsid w:val="00A54D09"/>
    <w:rsid w:val="00A55497"/>
    <w:rsid w:val="00A568A6"/>
    <w:rsid w:val="00A56BB4"/>
    <w:rsid w:val="00A57313"/>
    <w:rsid w:val="00A57D01"/>
    <w:rsid w:val="00A6000F"/>
    <w:rsid w:val="00A60303"/>
    <w:rsid w:val="00A6115B"/>
    <w:rsid w:val="00A6184F"/>
    <w:rsid w:val="00A6211A"/>
    <w:rsid w:val="00A635A1"/>
    <w:rsid w:val="00A63812"/>
    <w:rsid w:val="00A63C95"/>
    <w:rsid w:val="00A64588"/>
    <w:rsid w:val="00A648F4"/>
    <w:rsid w:val="00A6494E"/>
    <w:rsid w:val="00A64E66"/>
    <w:rsid w:val="00A65370"/>
    <w:rsid w:val="00A65B87"/>
    <w:rsid w:val="00A66409"/>
    <w:rsid w:val="00A66967"/>
    <w:rsid w:val="00A66BCE"/>
    <w:rsid w:val="00A67503"/>
    <w:rsid w:val="00A7062B"/>
    <w:rsid w:val="00A70986"/>
    <w:rsid w:val="00A71CF8"/>
    <w:rsid w:val="00A75C7D"/>
    <w:rsid w:val="00A761FE"/>
    <w:rsid w:val="00A766F5"/>
    <w:rsid w:val="00A76930"/>
    <w:rsid w:val="00A76C78"/>
    <w:rsid w:val="00A77020"/>
    <w:rsid w:val="00A77476"/>
    <w:rsid w:val="00A80428"/>
    <w:rsid w:val="00A80717"/>
    <w:rsid w:val="00A80B00"/>
    <w:rsid w:val="00A813AF"/>
    <w:rsid w:val="00A8225F"/>
    <w:rsid w:val="00A82891"/>
    <w:rsid w:val="00A8318F"/>
    <w:rsid w:val="00A83BB8"/>
    <w:rsid w:val="00A84004"/>
    <w:rsid w:val="00A8469B"/>
    <w:rsid w:val="00A85653"/>
    <w:rsid w:val="00A86749"/>
    <w:rsid w:val="00A86AD9"/>
    <w:rsid w:val="00A879EF"/>
    <w:rsid w:val="00A9039A"/>
    <w:rsid w:val="00A908F8"/>
    <w:rsid w:val="00A91A77"/>
    <w:rsid w:val="00A91A99"/>
    <w:rsid w:val="00A91EAE"/>
    <w:rsid w:val="00A923E7"/>
    <w:rsid w:val="00A93A32"/>
    <w:rsid w:val="00A93AAA"/>
    <w:rsid w:val="00A94512"/>
    <w:rsid w:val="00A94B5F"/>
    <w:rsid w:val="00A950FF"/>
    <w:rsid w:val="00A95211"/>
    <w:rsid w:val="00A96454"/>
    <w:rsid w:val="00A96548"/>
    <w:rsid w:val="00A9662C"/>
    <w:rsid w:val="00A97342"/>
    <w:rsid w:val="00A9797F"/>
    <w:rsid w:val="00AA0239"/>
    <w:rsid w:val="00AA075D"/>
    <w:rsid w:val="00AA0DBA"/>
    <w:rsid w:val="00AA10F8"/>
    <w:rsid w:val="00AA12D2"/>
    <w:rsid w:val="00AA1747"/>
    <w:rsid w:val="00AA1D12"/>
    <w:rsid w:val="00AA29D1"/>
    <w:rsid w:val="00AA315C"/>
    <w:rsid w:val="00AA35A8"/>
    <w:rsid w:val="00AA5F22"/>
    <w:rsid w:val="00AA5F4C"/>
    <w:rsid w:val="00AA6350"/>
    <w:rsid w:val="00AA64A9"/>
    <w:rsid w:val="00AA7A6B"/>
    <w:rsid w:val="00AA7AB5"/>
    <w:rsid w:val="00AB0648"/>
    <w:rsid w:val="00AB3448"/>
    <w:rsid w:val="00AB34BB"/>
    <w:rsid w:val="00AB4330"/>
    <w:rsid w:val="00AB47C7"/>
    <w:rsid w:val="00AB4AE8"/>
    <w:rsid w:val="00AB556A"/>
    <w:rsid w:val="00AB5A80"/>
    <w:rsid w:val="00AB66A1"/>
    <w:rsid w:val="00AB6BBE"/>
    <w:rsid w:val="00AC03B4"/>
    <w:rsid w:val="00AC0DF4"/>
    <w:rsid w:val="00AC24F5"/>
    <w:rsid w:val="00AC348B"/>
    <w:rsid w:val="00AC424F"/>
    <w:rsid w:val="00AC4B31"/>
    <w:rsid w:val="00AC5F94"/>
    <w:rsid w:val="00AC6D16"/>
    <w:rsid w:val="00AC6F9D"/>
    <w:rsid w:val="00AC7263"/>
    <w:rsid w:val="00AD2100"/>
    <w:rsid w:val="00AD2F29"/>
    <w:rsid w:val="00AD3AB9"/>
    <w:rsid w:val="00AD3C7A"/>
    <w:rsid w:val="00AD3CBF"/>
    <w:rsid w:val="00AD4435"/>
    <w:rsid w:val="00AD491E"/>
    <w:rsid w:val="00AD5B2A"/>
    <w:rsid w:val="00AE05DB"/>
    <w:rsid w:val="00AE0782"/>
    <w:rsid w:val="00AE0F1E"/>
    <w:rsid w:val="00AE150D"/>
    <w:rsid w:val="00AE1532"/>
    <w:rsid w:val="00AE2625"/>
    <w:rsid w:val="00AE297C"/>
    <w:rsid w:val="00AE36E6"/>
    <w:rsid w:val="00AE57FE"/>
    <w:rsid w:val="00AE59BA"/>
    <w:rsid w:val="00AF0336"/>
    <w:rsid w:val="00AF05D9"/>
    <w:rsid w:val="00AF0E45"/>
    <w:rsid w:val="00AF0F92"/>
    <w:rsid w:val="00AF2A67"/>
    <w:rsid w:val="00AF3468"/>
    <w:rsid w:val="00AF40F7"/>
    <w:rsid w:val="00AF416A"/>
    <w:rsid w:val="00AF4442"/>
    <w:rsid w:val="00AF49E4"/>
    <w:rsid w:val="00AF629D"/>
    <w:rsid w:val="00AF65F8"/>
    <w:rsid w:val="00AF7A02"/>
    <w:rsid w:val="00AF7D81"/>
    <w:rsid w:val="00B00149"/>
    <w:rsid w:val="00B00205"/>
    <w:rsid w:val="00B02602"/>
    <w:rsid w:val="00B05054"/>
    <w:rsid w:val="00B05F8A"/>
    <w:rsid w:val="00B07664"/>
    <w:rsid w:val="00B07AA1"/>
    <w:rsid w:val="00B104F8"/>
    <w:rsid w:val="00B10647"/>
    <w:rsid w:val="00B118D5"/>
    <w:rsid w:val="00B11EC4"/>
    <w:rsid w:val="00B127C4"/>
    <w:rsid w:val="00B1383B"/>
    <w:rsid w:val="00B14CA8"/>
    <w:rsid w:val="00B14D82"/>
    <w:rsid w:val="00B14EB9"/>
    <w:rsid w:val="00B16D13"/>
    <w:rsid w:val="00B171FD"/>
    <w:rsid w:val="00B1766E"/>
    <w:rsid w:val="00B17D50"/>
    <w:rsid w:val="00B17EA7"/>
    <w:rsid w:val="00B22021"/>
    <w:rsid w:val="00B22290"/>
    <w:rsid w:val="00B22511"/>
    <w:rsid w:val="00B22C31"/>
    <w:rsid w:val="00B234CC"/>
    <w:rsid w:val="00B23ADF"/>
    <w:rsid w:val="00B23B48"/>
    <w:rsid w:val="00B23B51"/>
    <w:rsid w:val="00B246AC"/>
    <w:rsid w:val="00B24AAC"/>
    <w:rsid w:val="00B2542C"/>
    <w:rsid w:val="00B25FAE"/>
    <w:rsid w:val="00B2609D"/>
    <w:rsid w:val="00B26C40"/>
    <w:rsid w:val="00B2778D"/>
    <w:rsid w:val="00B30131"/>
    <w:rsid w:val="00B306DC"/>
    <w:rsid w:val="00B307FF"/>
    <w:rsid w:val="00B31010"/>
    <w:rsid w:val="00B31107"/>
    <w:rsid w:val="00B3132D"/>
    <w:rsid w:val="00B313A2"/>
    <w:rsid w:val="00B32372"/>
    <w:rsid w:val="00B323A1"/>
    <w:rsid w:val="00B32D72"/>
    <w:rsid w:val="00B33BD9"/>
    <w:rsid w:val="00B34F34"/>
    <w:rsid w:val="00B35641"/>
    <w:rsid w:val="00B35ED1"/>
    <w:rsid w:val="00B36004"/>
    <w:rsid w:val="00B36C46"/>
    <w:rsid w:val="00B36CAB"/>
    <w:rsid w:val="00B40A9F"/>
    <w:rsid w:val="00B40DF6"/>
    <w:rsid w:val="00B41E7A"/>
    <w:rsid w:val="00B4307D"/>
    <w:rsid w:val="00B4351D"/>
    <w:rsid w:val="00B4363C"/>
    <w:rsid w:val="00B43BD5"/>
    <w:rsid w:val="00B43EBD"/>
    <w:rsid w:val="00B44375"/>
    <w:rsid w:val="00B45338"/>
    <w:rsid w:val="00B455AC"/>
    <w:rsid w:val="00B45669"/>
    <w:rsid w:val="00B46B2F"/>
    <w:rsid w:val="00B47E51"/>
    <w:rsid w:val="00B50067"/>
    <w:rsid w:val="00B50471"/>
    <w:rsid w:val="00B5074D"/>
    <w:rsid w:val="00B50A89"/>
    <w:rsid w:val="00B50CC4"/>
    <w:rsid w:val="00B50CCB"/>
    <w:rsid w:val="00B50F34"/>
    <w:rsid w:val="00B512C4"/>
    <w:rsid w:val="00B520D8"/>
    <w:rsid w:val="00B52147"/>
    <w:rsid w:val="00B52737"/>
    <w:rsid w:val="00B53BE6"/>
    <w:rsid w:val="00B53CAE"/>
    <w:rsid w:val="00B54852"/>
    <w:rsid w:val="00B54A7F"/>
    <w:rsid w:val="00B553F4"/>
    <w:rsid w:val="00B55486"/>
    <w:rsid w:val="00B5606D"/>
    <w:rsid w:val="00B568AD"/>
    <w:rsid w:val="00B56EB7"/>
    <w:rsid w:val="00B5715B"/>
    <w:rsid w:val="00B573A1"/>
    <w:rsid w:val="00B57DE0"/>
    <w:rsid w:val="00B60623"/>
    <w:rsid w:val="00B61F86"/>
    <w:rsid w:val="00B6228E"/>
    <w:rsid w:val="00B63507"/>
    <w:rsid w:val="00B63D35"/>
    <w:rsid w:val="00B641D5"/>
    <w:rsid w:val="00B65273"/>
    <w:rsid w:val="00B65BA9"/>
    <w:rsid w:val="00B66301"/>
    <w:rsid w:val="00B663FD"/>
    <w:rsid w:val="00B67A6C"/>
    <w:rsid w:val="00B71221"/>
    <w:rsid w:val="00B715E4"/>
    <w:rsid w:val="00B71A04"/>
    <w:rsid w:val="00B73FA2"/>
    <w:rsid w:val="00B74B7C"/>
    <w:rsid w:val="00B766E1"/>
    <w:rsid w:val="00B768A8"/>
    <w:rsid w:val="00B77380"/>
    <w:rsid w:val="00B774C2"/>
    <w:rsid w:val="00B77511"/>
    <w:rsid w:val="00B778DD"/>
    <w:rsid w:val="00B80743"/>
    <w:rsid w:val="00B81FCF"/>
    <w:rsid w:val="00B82B21"/>
    <w:rsid w:val="00B82D03"/>
    <w:rsid w:val="00B83023"/>
    <w:rsid w:val="00B84FC4"/>
    <w:rsid w:val="00B8544D"/>
    <w:rsid w:val="00B856C7"/>
    <w:rsid w:val="00B9080A"/>
    <w:rsid w:val="00B915EC"/>
    <w:rsid w:val="00B926A7"/>
    <w:rsid w:val="00B92906"/>
    <w:rsid w:val="00B94111"/>
    <w:rsid w:val="00B941C3"/>
    <w:rsid w:val="00B947D7"/>
    <w:rsid w:val="00B951BA"/>
    <w:rsid w:val="00B96917"/>
    <w:rsid w:val="00B972A6"/>
    <w:rsid w:val="00B97AA8"/>
    <w:rsid w:val="00B97C09"/>
    <w:rsid w:val="00BA012D"/>
    <w:rsid w:val="00BA14F5"/>
    <w:rsid w:val="00BA16AB"/>
    <w:rsid w:val="00BA3022"/>
    <w:rsid w:val="00BA331E"/>
    <w:rsid w:val="00BA4B78"/>
    <w:rsid w:val="00BA517E"/>
    <w:rsid w:val="00BA54C7"/>
    <w:rsid w:val="00BA580F"/>
    <w:rsid w:val="00BA67C6"/>
    <w:rsid w:val="00BB028F"/>
    <w:rsid w:val="00BB1F2C"/>
    <w:rsid w:val="00BB2250"/>
    <w:rsid w:val="00BB227B"/>
    <w:rsid w:val="00BB2CC3"/>
    <w:rsid w:val="00BB4152"/>
    <w:rsid w:val="00BB42EB"/>
    <w:rsid w:val="00BB4B28"/>
    <w:rsid w:val="00BB5619"/>
    <w:rsid w:val="00BB645C"/>
    <w:rsid w:val="00BB7A8B"/>
    <w:rsid w:val="00BB7CB0"/>
    <w:rsid w:val="00BC129C"/>
    <w:rsid w:val="00BC1DEA"/>
    <w:rsid w:val="00BC2509"/>
    <w:rsid w:val="00BC2CDA"/>
    <w:rsid w:val="00BC3DCE"/>
    <w:rsid w:val="00BC3FEB"/>
    <w:rsid w:val="00BC4014"/>
    <w:rsid w:val="00BC4425"/>
    <w:rsid w:val="00BC48F2"/>
    <w:rsid w:val="00BC7473"/>
    <w:rsid w:val="00BC767B"/>
    <w:rsid w:val="00BD13AD"/>
    <w:rsid w:val="00BD1927"/>
    <w:rsid w:val="00BD22A1"/>
    <w:rsid w:val="00BD23E0"/>
    <w:rsid w:val="00BD2ACD"/>
    <w:rsid w:val="00BD2E1D"/>
    <w:rsid w:val="00BD2FA6"/>
    <w:rsid w:val="00BD303B"/>
    <w:rsid w:val="00BD32A3"/>
    <w:rsid w:val="00BD3878"/>
    <w:rsid w:val="00BD48B8"/>
    <w:rsid w:val="00BD60E0"/>
    <w:rsid w:val="00BD749E"/>
    <w:rsid w:val="00BD74E6"/>
    <w:rsid w:val="00BE3980"/>
    <w:rsid w:val="00BE40F3"/>
    <w:rsid w:val="00BE50BB"/>
    <w:rsid w:val="00BE50C7"/>
    <w:rsid w:val="00BE6929"/>
    <w:rsid w:val="00BE777B"/>
    <w:rsid w:val="00BF0307"/>
    <w:rsid w:val="00BF05A0"/>
    <w:rsid w:val="00BF07FA"/>
    <w:rsid w:val="00BF0E7D"/>
    <w:rsid w:val="00BF140B"/>
    <w:rsid w:val="00BF1FD6"/>
    <w:rsid w:val="00BF2DDA"/>
    <w:rsid w:val="00BF2F81"/>
    <w:rsid w:val="00BF39CE"/>
    <w:rsid w:val="00BF423A"/>
    <w:rsid w:val="00BF4676"/>
    <w:rsid w:val="00BF7303"/>
    <w:rsid w:val="00C001BA"/>
    <w:rsid w:val="00C01808"/>
    <w:rsid w:val="00C026CA"/>
    <w:rsid w:val="00C02780"/>
    <w:rsid w:val="00C029DD"/>
    <w:rsid w:val="00C02E7E"/>
    <w:rsid w:val="00C031FB"/>
    <w:rsid w:val="00C033BF"/>
    <w:rsid w:val="00C036BD"/>
    <w:rsid w:val="00C03B09"/>
    <w:rsid w:val="00C03F97"/>
    <w:rsid w:val="00C048A2"/>
    <w:rsid w:val="00C05812"/>
    <w:rsid w:val="00C060EF"/>
    <w:rsid w:val="00C07275"/>
    <w:rsid w:val="00C075B1"/>
    <w:rsid w:val="00C10933"/>
    <w:rsid w:val="00C11268"/>
    <w:rsid w:val="00C11AEC"/>
    <w:rsid w:val="00C12E63"/>
    <w:rsid w:val="00C13893"/>
    <w:rsid w:val="00C13AB1"/>
    <w:rsid w:val="00C14EAF"/>
    <w:rsid w:val="00C1512C"/>
    <w:rsid w:val="00C1632B"/>
    <w:rsid w:val="00C165F0"/>
    <w:rsid w:val="00C17A95"/>
    <w:rsid w:val="00C17FEA"/>
    <w:rsid w:val="00C2037E"/>
    <w:rsid w:val="00C2059A"/>
    <w:rsid w:val="00C20916"/>
    <w:rsid w:val="00C20C3D"/>
    <w:rsid w:val="00C21120"/>
    <w:rsid w:val="00C22DF6"/>
    <w:rsid w:val="00C22ED2"/>
    <w:rsid w:val="00C22FBD"/>
    <w:rsid w:val="00C231D8"/>
    <w:rsid w:val="00C231FC"/>
    <w:rsid w:val="00C23E74"/>
    <w:rsid w:val="00C2457D"/>
    <w:rsid w:val="00C25110"/>
    <w:rsid w:val="00C2602C"/>
    <w:rsid w:val="00C260ED"/>
    <w:rsid w:val="00C262B3"/>
    <w:rsid w:val="00C26BAA"/>
    <w:rsid w:val="00C26C64"/>
    <w:rsid w:val="00C26D6D"/>
    <w:rsid w:val="00C26DE3"/>
    <w:rsid w:val="00C31A2F"/>
    <w:rsid w:val="00C31AF2"/>
    <w:rsid w:val="00C3216F"/>
    <w:rsid w:val="00C33A91"/>
    <w:rsid w:val="00C342E2"/>
    <w:rsid w:val="00C362F8"/>
    <w:rsid w:val="00C3715D"/>
    <w:rsid w:val="00C37408"/>
    <w:rsid w:val="00C37F10"/>
    <w:rsid w:val="00C40057"/>
    <w:rsid w:val="00C41338"/>
    <w:rsid w:val="00C41549"/>
    <w:rsid w:val="00C419EF"/>
    <w:rsid w:val="00C423D3"/>
    <w:rsid w:val="00C42BE6"/>
    <w:rsid w:val="00C4388B"/>
    <w:rsid w:val="00C438D2"/>
    <w:rsid w:val="00C43C3B"/>
    <w:rsid w:val="00C4554C"/>
    <w:rsid w:val="00C46381"/>
    <w:rsid w:val="00C47FB2"/>
    <w:rsid w:val="00C5038C"/>
    <w:rsid w:val="00C532BE"/>
    <w:rsid w:val="00C54EF4"/>
    <w:rsid w:val="00C55164"/>
    <w:rsid w:val="00C55938"/>
    <w:rsid w:val="00C576EB"/>
    <w:rsid w:val="00C57756"/>
    <w:rsid w:val="00C606C4"/>
    <w:rsid w:val="00C615A0"/>
    <w:rsid w:val="00C6169D"/>
    <w:rsid w:val="00C61C2A"/>
    <w:rsid w:val="00C6206D"/>
    <w:rsid w:val="00C62685"/>
    <w:rsid w:val="00C64AE0"/>
    <w:rsid w:val="00C64D56"/>
    <w:rsid w:val="00C64F30"/>
    <w:rsid w:val="00C6727B"/>
    <w:rsid w:val="00C67282"/>
    <w:rsid w:val="00C6771A"/>
    <w:rsid w:val="00C677A1"/>
    <w:rsid w:val="00C67D08"/>
    <w:rsid w:val="00C67E7A"/>
    <w:rsid w:val="00C70141"/>
    <w:rsid w:val="00C71CC1"/>
    <w:rsid w:val="00C720DC"/>
    <w:rsid w:val="00C72664"/>
    <w:rsid w:val="00C734A1"/>
    <w:rsid w:val="00C73C5C"/>
    <w:rsid w:val="00C73E67"/>
    <w:rsid w:val="00C741C2"/>
    <w:rsid w:val="00C742B3"/>
    <w:rsid w:val="00C747FE"/>
    <w:rsid w:val="00C74981"/>
    <w:rsid w:val="00C74D87"/>
    <w:rsid w:val="00C75A4F"/>
    <w:rsid w:val="00C76275"/>
    <w:rsid w:val="00C76326"/>
    <w:rsid w:val="00C771D9"/>
    <w:rsid w:val="00C8069F"/>
    <w:rsid w:val="00C8193C"/>
    <w:rsid w:val="00C81B8F"/>
    <w:rsid w:val="00C827CA"/>
    <w:rsid w:val="00C83363"/>
    <w:rsid w:val="00C836C7"/>
    <w:rsid w:val="00C84175"/>
    <w:rsid w:val="00C85008"/>
    <w:rsid w:val="00C85856"/>
    <w:rsid w:val="00C85F20"/>
    <w:rsid w:val="00C8606F"/>
    <w:rsid w:val="00C863BE"/>
    <w:rsid w:val="00C86E6A"/>
    <w:rsid w:val="00C874C1"/>
    <w:rsid w:val="00C87AB2"/>
    <w:rsid w:val="00C87B96"/>
    <w:rsid w:val="00C87F29"/>
    <w:rsid w:val="00C91B09"/>
    <w:rsid w:val="00C91FDB"/>
    <w:rsid w:val="00C92169"/>
    <w:rsid w:val="00C925B7"/>
    <w:rsid w:val="00C93473"/>
    <w:rsid w:val="00C936CD"/>
    <w:rsid w:val="00C94088"/>
    <w:rsid w:val="00C941D6"/>
    <w:rsid w:val="00C944C7"/>
    <w:rsid w:val="00C94C08"/>
    <w:rsid w:val="00C95626"/>
    <w:rsid w:val="00C95B75"/>
    <w:rsid w:val="00C960AE"/>
    <w:rsid w:val="00C9639B"/>
    <w:rsid w:val="00C96980"/>
    <w:rsid w:val="00C96DCC"/>
    <w:rsid w:val="00C971BC"/>
    <w:rsid w:val="00C97215"/>
    <w:rsid w:val="00C9734C"/>
    <w:rsid w:val="00C97F72"/>
    <w:rsid w:val="00CA071F"/>
    <w:rsid w:val="00CA0850"/>
    <w:rsid w:val="00CA09E2"/>
    <w:rsid w:val="00CA1097"/>
    <w:rsid w:val="00CA1D6F"/>
    <w:rsid w:val="00CA2DB9"/>
    <w:rsid w:val="00CA2F18"/>
    <w:rsid w:val="00CA3F77"/>
    <w:rsid w:val="00CA44F8"/>
    <w:rsid w:val="00CA4F53"/>
    <w:rsid w:val="00CA5FDE"/>
    <w:rsid w:val="00CA627F"/>
    <w:rsid w:val="00CA639D"/>
    <w:rsid w:val="00CA691E"/>
    <w:rsid w:val="00CB0DD5"/>
    <w:rsid w:val="00CB1231"/>
    <w:rsid w:val="00CB1621"/>
    <w:rsid w:val="00CB1983"/>
    <w:rsid w:val="00CB227A"/>
    <w:rsid w:val="00CB2CBA"/>
    <w:rsid w:val="00CB31FD"/>
    <w:rsid w:val="00CB3513"/>
    <w:rsid w:val="00CB3570"/>
    <w:rsid w:val="00CB5025"/>
    <w:rsid w:val="00CB5275"/>
    <w:rsid w:val="00CB5C9C"/>
    <w:rsid w:val="00CB6E58"/>
    <w:rsid w:val="00CB6F11"/>
    <w:rsid w:val="00CB7C9B"/>
    <w:rsid w:val="00CB7D1A"/>
    <w:rsid w:val="00CC0052"/>
    <w:rsid w:val="00CC01E3"/>
    <w:rsid w:val="00CC0573"/>
    <w:rsid w:val="00CC344E"/>
    <w:rsid w:val="00CC388C"/>
    <w:rsid w:val="00CC5016"/>
    <w:rsid w:val="00CC52FF"/>
    <w:rsid w:val="00CC5A0C"/>
    <w:rsid w:val="00CC714B"/>
    <w:rsid w:val="00CC75F1"/>
    <w:rsid w:val="00CC77AF"/>
    <w:rsid w:val="00CC7C5E"/>
    <w:rsid w:val="00CD0A0F"/>
    <w:rsid w:val="00CD0FD6"/>
    <w:rsid w:val="00CD1968"/>
    <w:rsid w:val="00CD1AE2"/>
    <w:rsid w:val="00CD1F7C"/>
    <w:rsid w:val="00CD2AEA"/>
    <w:rsid w:val="00CD2E9D"/>
    <w:rsid w:val="00CD3464"/>
    <w:rsid w:val="00CD39B0"/>
    <w:rsid w:val="00CD3DA3"/>
    <w:rsid w:val="00CD5145"/>
    <w:rsid w:val="00CD52E0"/>
    <w:rsid w:val="00CD5842"/>
    <w:rsid w:val="00CD5B33"/>
    <w:rsid w:val="00CD5C55"/>
    <w:rsid w:val="00CD69FE"/>
    <w:rsid w:val="00CD7637"/>
    <w:rsid w:val="00CD7E8A"/>
    <w:rsid w:val="00CE070E"/>
    <w:rsid w:val="00CE2A40"/>
    <w:rsid w:val="00CE3712"/>
    <w:rsid w:val="00CE39C1"/>
    <w:rsid w:val="00CE4E5E"/>
    <w:rsid w:val="00CE50FE"/>
    <w:rsid w:val="00CE5FA5"/>
    <w:rsid w:val="00CE6012"/>
    <w:rsid w:val="00CE70C9"/>
    <w:rsid w:val="00CF0892"/>
    <w:rsid w:val="00CF0BA0"/>
    <w:rsid w:val="00CF13BD"/>
    <w:rsid w:val="00CF2EF2"/>
    <w:rsid w:val="00CF2FA2"/>
    <w:rsid w:val="00CF3320"/>
    <w:rsid w:val="00CF49DD"/>
    <w:rsid w:val="00CF5740"/>
    <w:rsid w:val="00CF5F2A"/>
    <w:rsid w:val="00CF5FF3"/>
    <w:rsid w:val="00CF6533"/>
    <w:rsid w:val="00CF6DEE"/>
    <w:rsid w:val="00D00406"/>
    <w:rsid w:val="00D006A6"/>
    <w:rsid w:val="00D007D7"/>
    <w:rsid w:val="00D010BE"/>
    <w:rsid w:val="00D01308"/>
    <w:rsid w:val="00D01400"/>
    <w:rsid w:val="00D01F2D"/>
    <w:rsid w:val="00D02AB2"/>
    <w:rsid w:val="00D02AF3"/>
    <w:rsid w:val="00D02B43"/>
    <w:rsid w:val="00D047D0"/>
    <w:rsid w:val="00D049CA"/>
    <w:rsid w:val="00D059DE"/>
    <w:rsid w:val="00D05A59"/>
    <w:rsid w:val="00D061CE"/>
    <w:rsid w:val="00D07CE6"/>
    <w:rsid w:val="00D07D5E"/>
    <w:rsid w:val="00D07DD8"/>
    <w:rsid w:val="00D101E3"/>
    <w:rsid w:val="00D10D36"/>
    <w:rsid w:val="00D121D1"/>
    <w:rsid w:val="00D13188"/>
    <w:rsid w:val="00D133A2"/>
    <w:rsid w:val="00D15FBA"/>
    <w:rsid w:val="00D16054"/>
    <w:rsid w:val="00D166CA"/>
    <w:rsid w:val="00D16FDC"/>
    <w:rsid w:val="00D175ED"/>
    <w:rsid w:val="00D17870"/>
    <w:rsid w:val="00D21638"/>
    <w:rsid w:val="00D21E9A"/>
    <w:rsid w:val="00D21EA1"/>
    <w:rsid w:val="00D22170"/>
    <w:rsid w:val="00D22249"/>
    <w:rsid w:val="00D25BD2"/>
    <w:rsid w:val="00D26F17"/>
    <w:rsid w:val="00D26FB6"/>
    <w:rsid w:val="00D27417"/>
    <w:rsid w:val="00D3083F"/>
    <w:rsid w:val="00D30E90"/>
    <w:rsid w:val="00D3220F"/>
    <w:rsid w:val="00D324C7"/>
    <w:rsid w:val="00D327D0"/>
    <w:rsid w:val="00D337DE"/>
    <w:rsid w:val="00D3443C"/>
    <w:rsid w:val="00D358E1"/>
    <w:rsid w:val="00D36559"/>
    <w:rsid w:val="00D36655"/>
    <w:rsid w:val="00D377A7"/>
    <w:rsid w:val="00D416F5"/>
    <w:rsid w:val="00D42269"/>
    <w:rsid w:val="00D44B2D"/>
    <w:rsid w:val="00D459FF"/>
    <w:rsid w:val="00D45A6F"/>
    <w:rsid w:val="00D4659F"/>
    <w:rsid w:val="00D46903"/>
    <w:rsid w:val="00D46C8C"/>
    <w:rsid w:val="00D50177"/>
    <w:rsid w:val="00D50779"/>
    <w:rsid w:val="00D51216"/>
    <w:rsid w:val="00D51F69"/>
    <w:rsid w:val="00D52B80"/>
    <w:rsid w:val="00D53012"/>
    <w:rsid w:val="00D54BDA"/>
    <w:rsid w:val="00D55584"/>
    <w:rsid w:val="00D55AF2"/>
    <w:rsid w:val="00D5635D"/>
    <w:rsid w:val="00D569EB"/>
    <w:rsid w:val="00D57A50"/>
    <w:rsid w:val="00D607C7"/>
    <w:rsid w:val="00D60C56"/>
    <w:rsid w:val="00D62382"/>
    <w:rsid w:val="00D626B4"/>
    <w:rsid w:val="00D62BE0"/>
    <w:rsid w:val="00D62D6C"/>
    <w:rsid w:val="00D636E6"/>
    <w:rsid w:val="00D6399F"/>
    <w:rsid w:val="00D6594E"/>
    <w:rsid w:val="00D671A2"/>
    <w:rsid w:val="00D67E96"/>
    <w:rsid w:val="00D7064A"/>
    <w:rsid w:val="00D706D4"/>
    <w:rsid w:val="00D71080"/>
    <w:rsid w:val="00D720ED"/>
    <w:rsid w:val="00D722DA"/>
    <w:rsid w:val="00D727D8"/>
    <w:rsid w:val="00D743B7"/>
    <w:rsid w:val="00D74BB3"/>
    <w:rsid w:val="00D74CAF"/>
    <w:rsid w:val="00D74F02"/>
    <w:rsid w:val="00D759FA"/>
    <w:rsid w:val="00D75A75"/>
    <w:rsid w:val="00D76492"/>
    <w:rsid w:val="00D82345"/>
    <w:rsid w:val="00D82AE8"/>
    <w:rsid w:val="00D83285"/>
    <w:rsid w:val="00D8618E"/>
    <w:rsid w:val="00D861ED"/>
    <w:rsid w:val="00D86898"/>
    <w:rsid w:val="00D87011"/>
    <w:rsid w:val="00D8722F"/>
    <w:rsid w:val="00D87D8B"/>
    <w:rsid w:val="00D9331F"/>
    <w:rsid w:val="00D94C84"/>
    <w:rsid w:val="00D96802"/>
    <w:rsid w:val="00D96AC8"/>
    <w:rsid w:val="00D970A5"/>
    <w:rsid w:val="00DA02E5"/>
    <w:rsid w:val="00DA148F"/>
    <w:rsid w:val="00DA201D"/>
    <w:rsid w:val="00DA348A"/>
    <w:rsid w:val="00DA3A0F"/>
    <w:rsid w:val="00DA3EF0"/>
    <w:rsid w:val="00DA3EFA"/>
    <w:rsid w:val="00DA459C"/>
    <w:rsid w:val="00DA461E"/>
    <w:rsid w:val="00DA4807"/>
    <w:rsid w:val="00DA5116"/>
    <w:rsid w:val="00DA5950"/>
    <w:rsid w:val="00DA5E06"/>
    <w:rsid w:val="00DA6581"/>
    <w:rsid w:val="00DA6A5B"/>
    <w:rsid w:val="00DA6E11"/>
    <w:rsid w:val="00DA7F35"/>
    <w:rsid w:val="00DB116D"/>
    <w:rsid w:val="00DB20FD"/>
    <w:rsid w:val="00DB2CAB"/>
    <w:rsid w:val="00DB2D5A"/>
    <w:rsid w:val="00DB3920"/>
    <w:rsid w:val="00DB39B3"/>
    <w:rsid w:val="00DB402A"/>
    <w:rsid w:val="00DB5B26"/>
    <w:rsid w:val="00DB776B"/>
    <w:rsid w:val="00DC0203"/>
    <w:rsid w:val="00DC171D"/>
    <w:rsid w:val="00DC1A80"/>
    <w:rsid w:val="00DC2166"/>
    <w:rsid w:val="00DC2AEF"/>
    <w:rsid w:val="00DC34D1"/>
    <w:rsid w:val="00DC3A5F"/>
    <w:rsid w:val="00DC422F"/>
    <w:rsid w:val="00DC4C11"/>
    <w:rsid w:val="00DC4F0D"/>
    <w:rsid w:val="00DC5A84"/>
    <w:rsid w:val="00DC64C3"/>
    <w:rsid w:val="00DC6927"/>
    <w:rsid w:val="00DC7446"/>
    <w:rsid w:val="00DD1C26"/>
    <w:rsid w:val="00DD291B"/>
    <w:rsid w:val="00DD3621"/>
    <w:rsid w:val="00DD55E4"/>
    <w:rsid w:val="00DD6157"/>
    <w:rsid w:val="00DD78B6"/>
    <w:rsid w:val="00DD79A9"/>
    <w:rsid w:val="00DD7EE3"/>
    <w:rsid w:val="00DE01CF"/>
    <w:rsid w:val="00DE21D1"/>
    <w:rsid w:val="00DE2402"/>
    <w:rsid w:val="00DE2863"/>
    <w:rsid w:val="00DE2F9A"/>
    <w:rsid w:val="00DE35D5"/>
    <w:rsid w:val="00DE40DD"/>
    <w:rsid w:val="00DE4266"/>
    <w:rsid w:val="00DE519B"/>
    <w:rsid w:val="00DE5A3A"/>
    <w:rsid w:val="00DE5C40"/>
    <w:rsid w:val="00DE6473"/>
    <w:rsid w:val="00DE6770"/>
    <w:rsid w:val="00DE7E73"/>
    <w:rsid w:val="00DF0615"/>
    <w:rsid w:val="00DF06B9"/>
    <w:rsid w:val="00DF07CF"/>
    <w:rsid w:val="00DF0A10"/>
    <w:rsid w:val="00DF0A12"/>
    <w:rsid w:val="00DF0BAD"/>
    <w:rsid w:val="00DF0CD2"/>
    <w:rsid w:val="00DF1663"/>
    <w:rsid w:val="00DF278A"/>
    <w:rsid w:val="00DF43B0"/>
    <w:rsid w:val="00DF4525"/>
    <w:rsid w:val="00DF45BE"/>
    <w:rsid w:val="00DF4EA2"/>
    <w:rsid w:val="00DF5AB5"/>
    <w:rsid w:val="00DF6929"/>
    <w:rsid w:val="00DF7423"/>
    <w:rsid w:val="00E000A4"/>
    <w:rsid w:val="00E00288"/>
    <w:rsid w:val="00E00304"/>
    <w:rsid w:val="00E00EFC"/>
    <w:rsid w:val="00E02272"/>
    <w:rsid w:val="00E029B6"/>
    <w:rsid w:val="00E02FD8"/>
    <w:rsid w:val="00E0439F"/>
    <w:rsid w:val="00E05186"/>
    <w:rsid w:val="00E0572E"/>
    <w:rsid w:val="00E05B44"/>
    <w:rsid w:val="00E0716A"/>
    <w:rsid w:val="00E07419"/>
    <w:rsid w:val="00E07687"/>
    <w:rsid w:val="00E07C7B"/>
    <w:rsid w:val="00E10673"/>
    <w:rsid w:val="00E10D6A"/>
    <w:rsid w:val="00E11D77"/>
    <w:rsid w:val="00E12C50"/>
    <w:rsid w:val="00E130FC"/>
    <w:rsid w:val="00E13291"/>
    <w:rsid w:val="00E139D6"/>
    <w:rsid w:val="00E13B6B"/>
    <w:rsid w:val="00E1481B"/>
    <w:rsid w:val="00E15002"/>
    <w:rsid w:val="00E15026"/>
    <w:rsid w:val="00E169E3"/>
    <w:rsid w:val="00E16F1D"/>
    <w:rsid w:val="00E17CDE"/>
    <w:rsid w:val="00E20D46"/>
    <w:rsid w:val="00E20FBD"/>
    <w:rsid w:val="00E21019"/>
    <w:rsid w:val="00E21031"/>
    <w:rsid w:val="00E2171B"/>
    <w:rsid w:val="00E21A01"/>
    <w:rsid w:val="00E22C15"/>
    <w:rsid w:val="00E23FF7"/>
    <w:rsid w:val="00E24BAB"/>
    <w:rsid w:val="00E25AF5"/>
    <w:rsid w:val="00E26327"/>
    <w:rsid w:val="00E26395"/>
    <w:rsid w:val="00E26429"/>
    <w:rsid w:val="00E266B8"/>
    <w:rsid w:val="00E26933"/>
    <w:rsid w:val="00E26F41"/>
    <w:rsid w:val="00E27254"/>
    <w:rsid w:val="00E2753E"/>
    <w:rsid w:val="00E2794E"/>
    <w:rsid w:val="00E3079A"/>
    <w:rsid w:val="00E30914"/>
    <w:rsid w:val="00E30A27"/>
    <w:rsid w:val="00E30AED"/>
    <w:rsid w:val="00E3175A"/>
    <w:rsid w:val="00E31869"/>
    <w:rsid w:val="00E31F43"/>
    <w:rsid w:val="00E346F2"/>
    <w:rsid w:val="00E34850"/>
    <w:rsid w:val="00E35FE9"/>
    <w:rsid w:val="00E363F8"/>
    <w:rsid w:val="00E3696B"/>
    <w:rsid w:val="00E36DA9"/>
    <w:rsid w:val="00E3714C"/>
    <w:rsid w:val="00E407D1"/>
    <w:rsid w:val="00E421F7"/>
    <w:rsid w:val="00E42AE6"/>
    <w:rsid w:val="00E430B4"/>
    <w:rsid w:val="00E43E51"/>
    <w:rsid w:val="00E44202"/>
    <w:rsid w:val="00E459DE"/>
    <w:rsid w:val="00E45D4E"/>
    <w:rsid w:val="00E4668A"/>
    <w:rsid w:val="00E4684D"/>
    <w:rsid w:val="00E47791"/>
    <w:rsid w:val="00E50D2B"/>
    <w:rsid w:val="00E51367"/>
    <w:rsid w:val="00E52771"/>
    <w:rsid w:val="00E54CE3"/>
    <w:rsid w:val="00E558BB"/>
    <w:rsid w:val="00E55B88"/>
    <w:rsid w:val="00E55E4A"/>
    <w:rsid w:val="00E5616B"/>
    <w:rsid w:val="00E5675F"/>
    <w:rsid w:val="00E56FEC"/>
    <w:rsid w:val="00E57046"/>
    <w:rsid w:val="00E57528"/>
    <w:rsid w:val="00E577EB"/>
    <w:rsid w:val="00E5789F"/>
    <w:rsid w:val="00E57A98"/>
    <w:rsid w:val="00E61551"/>
    <w:rsid w:val="00E620A8"/>
    <w:rsid w:val="00E62B9D"/>
    <w:rsid w:val="00E62F7A"/>
    <w:rsid w:val="00E6391B"/>
    <w:rsid w:val="00E6412E"/>
    <w:rsid w:val="00E646B1"/>
    <w:rsid w:val="00E66F55"/>
    <w:rsid w:val="00E6746E"/>
    <w:rsid w:val="00E678E9"/>
    <w:rsid w:val="00E67DD6"/>
    <w:rsid w:val="00E71171"/>
    <w:rsid w:val="00E71318"/>
    <w:rsid w:val="00E71AEE"/>
    <w:rsid w:val="00E71FD5"/>
    <w:rsid w:val="00E726DF"/>
    <w:rsid w:val="00E72CA4"/>
    <w:rsid w:val="00E7311B"/>
    <w:rsid w:val="00E73387"/>
    <w:rsid w:val="00E7341F"/>
    <w:rsid w:val="00E736E6"/>
    <w:rsid w:val="00E73AF7"/>
    <w:rsid w:val="00E73EF6"/>
    <w:rsid w:val="00E73FB7"/>
    <w:rsid w:val="00E7457E"/>
    <w:rsid w:val="00E74EB5"/>
    <w:rsid w:val="00E75048"/>
    <w:rsid w:val="00E75083"/>
    <w:rsid w:val="00E77430"/>
    <w:rsid w:val="00E77E36"/>
    <w:rsid w:val="00E804B6"/>
    <w:rsid w:val="00E80758"/>
    <w:rsid w:val="00E81BE1"/>
    <w:rsid w:val="00E81EFD"/>
    <w:rsid w:val="00E8247A"/>
    <w:rsid w:val="00E82C0F"/>
    <w:rsid w:val="00E83F6E"/>
    <w:rsid w:val="00E84B16"/>
    <w:rsid w:val="00E85758"/>
    <w:rsid w:val="00E85F3D"/>
    <w:rsid w:val="00E872F7"/>
    <w:rsid w:val="00E875EB"/>
    <w:rsid w:val="00E90613"/>
    <w:rsid w:val="00E90F8F"/>
    <w:rsid w:val="00E917C3"/>
    <w:rsid w:val="00E91815"/>
    <w:rsid w:val="00E91931"/>
    <w:rsid w:val="00E92C44"/>
    <w:rsid w:val="00E92F92"/>
    <w:rsid w:val="00E93078"/>
    <w:rsid w:val="00E93492"/>
    <w:rsid w:val="00E9428D"/>
    <w:rsid w:val="00E94448"/>
    <w:rsid w:val="00E95286"/>
    <w:rsid w:val="00E95A64"/>
    <w:rsid w:val="00E968BE"/>
    <w:rsid w:val="00E9708F"/>
    <w:rsid w:val="00E972AC"/>
    <w:rsid w:val="00EA00A4"/>
    <w:rsid w:val="00EA0289"/>
    <w:rsid w:val="00EA05DA"/>
    <w:rsid w:val="00EA1035"/>
    <w:rsid w:val="00EA138D"/>
    <w:rsid w:val="00EA1E01"/>
    <w:rsid w:val="00EA21BC"/>
    <w:rsid w:val="00EA3785"/>
    <w:rsid w:val="00EA3CF7"/>
    <w:rsid w:val="00EA40E3"/>
    <w:rsid w:val="00EA4466"/>
    <w:rsid w:val="00EA448E"/>
    <w:rsid w:val="00EA4A72"/>
    <w:rsid w:val="00EA4DCA"/>
    <w:rsid w:val="00EA4FDB"/>
    <w:rsid w:val="00EA5002"/>
    <w:rsid w:val="00EA5B8E"/>
    <w:rsid w:val="00EA6115"/>
    <w:rsid w:val="00EA6899"/>
    <w:rsid w:val="00EA720E"/>
    <w:rsid w:val="00EA79B8"/>
    <w:rsid w:val="00EA7ED2"/>
    <w:rsid w:val="00EB084B"/>
    <w:rsid w:val="00EB0AB8"/>
    <w:rsid w:val="00EB190E"/>
    <w:rsid w:val="00EB2EA9"/>
    <w:rsid w:val="00EB326B"/>
    <w:rsid w:val="00EB3F0D"/>
    <w:rsid w:val="00EB4ACA"/>
    <w:rsid w:val="00EB5B00"/>
    <w:rsid w:val="00EB5C1F"/>
    <w:rsid w:val="00EB5C7E"/>
    <w:rsid w:val="00EB6529"/>
    <w:rsid w:val="00EB726F"/>
    <w:rsid w:val="00EB7312"/>
    <w:rsid w:val="00EB7FF6"/>
    <w:rsid w:val="00EC1AC2"/>
    <w:rsid w:val="00EC1C67"/>
    <w:rsid w:val="00EC2823"/>
    <w:rsid w:val="00EC311B"/>
    <w:rsid w:val="00EC58E9"/>
    <w:rsid w:val="00EC5A9B"/>
    <w:rsid w:val="00EC61F1"/>
    <w:rsid w:val="00EC6646"/>
    <w:rsid w:val="00EC67E7"/>
    <w:rsid w:val="00EC7364"/>
    <w:rsid w:val="00EC762E"/>
    <w:rsid w:val="00ED07F9"/>
    <w:rsid w:val="00ED0C13"/>
    <w:rsid w:val="00ED1FD0"/>
    <w:rsid w:val="00ED2D3E"/>
    <w:rsid w:val="00ED2F96"/>
    <w:rsid w:val="00ED3383"/>
    <w:rsid w:val="00ED3BC7"/>
    <w:rsid w:val="00ED4FCE"/>
    <w:rsid w:val="00ED59DD"/>
    <w:rsid w:val="00ED5E28"/>
    <w:rsid w:val="00ED5F0A"/>
    <w:rsid w:val="00ED60EF"/>
    <w:rsid w:val="00ED6D8E"/>
    <w:rsid w:val="00ED7524"/>
    <w:rsid w:val="00EE0589"/>
    <w:rsid w:val="00EE0B51"/>
    <w:rsid w:val="00EE1A68"/>
    <w:rsid w:val="00EE243A"/>
    <w:rsid w:val="00EE289B"/>
    <w:rsid w:val="00EE31C9"/>
    <w:rsid w:val="00EE32A0"/>
    <w:rsid w:val="00EE3520"/>
    <w:rsid w:val="00EE3E3A"/>
    <w:rsid w:val="00EE4964"/>
    <w:rsid w:val="00EE4BC5"/>
    <w:rsid w:val="00EE4D17"/>
    <w:rsid w:val="00EE5351"/>
    <w:rsid w:val="00EE678E"/>
    <w:rsid w:val="00EE7601"/>
    <w:rsid w:val="00EE78CB"/>
    <w:rsid w:val="00EE7C4F"/>
    <w:rsid w:val="00EF05C1"/>
    <w:rsid w:val="00EF1588"/>
    <w:rsid w:val="00EF42F8"/>
    <w:rsid w:val="00EF58DA"/>
    <w:rsid w:val="00EF6A8A"/>
    <w:rsid w:val="00EF7A98"/>
    <w:rsid w:val="00F00D16"/>
    <w:rsid w:val="00F02FA8"/>
    <w:rsid w:val="00F03953"/>
    <w:rsid w:val="00F03990"/>
    <w:rsid w:val="00F039BD"/>
    <w:rsid w:val="00F04495"/>
    <w:rsid w:val="00F0500B"/>
    <w:rsid w:val="00F05023"/>
    <w:rsid w:val="00F05380"/>
    <w:rsid w:val="00F062C4"/>
    <w:rsid w:val="00F06545"/>
    <w:rsid w:val="00F07676"/>
    <w:rsid w:val="00F07B8C"/>
    <w:rsid w:val="00F106FA"/>
    <w:rsid w:val="00F107A0"/>
    <w:rsid w:val="00F1135E"/>
    <w:rsid w:val="00F11D99"/>
    <w:rsid w:val="00F12180"/>
    <w:rsid w:val="00F12774"/>
    <w:rsid w:val="00F128EC"/>
    <w:rsid w:val="00F12AF3"/>
    <w:rsid w:val="00F12C3D"/>
    <w:rsid w:val="00F13A46"/>
    <w:rsid w:val="00F1424C"/>
    <w:rsid w:val="00F146D6"/>
    <w:rsid w:val="00F15726"/>
    <w:rsid w:val="00F15D41"/>
    <w:rsid w:val="00F17917"/>
    <w:rsid w:val="00F17C51"/>
    <w:rsid w:val="00F20F82"/>
    <w:rsid w:val="00F2206E"/>
    <w:rsid w:val="00F22BB9"/>
    <w:rsid w:val="00F23BE9"/>
    <w:rsid w:val="00F24455"/>
    <w:rsid w:val="00F24635"/>
    <w:rsid w:val="00F25902"/>
    <w:rsid w:val="00F25C89"/>
    <w:rsid w:val="00F265C0"/>
    <w:rsid w:val="00F277AC"/>
    <w:rsid w:val="00F27D14"/>
    <w:rsid w:val="00F304BA"/>
    <w:rsid w:val="00F30E40"/>
    <w:rsid w:val="00F31508"/>
    <w:rsid w:val="00F31C1C"/>
    <w:rsid w:val="00F31DDF"/>
    <w:rsid w:val="00F31E61"/>
    <w:rsid w:val="00F32282"/>
    <w:rsid w:val="00F3242D"/>
    <w:rsid w:val="00F32960"/>
    <w:rsid w:val="00F32D30"/>
    <w:rsid w:val="00F3331F"/>
    <w:rsid w:val="00F33BE5"/>
    <w:rsid w:val="00F34E62"/>
    <w:rsid w:val="00F353BC"/>
    <w:rsid w:val="00F35453"/>
    <w:rsid w:val="00F365B4"/>
    <w:rsid w:val="00F36B1A"/>
    <w:rsid w:val="00F37249"/>
    <w:rsid w:val="00F402C7"/>
    <w:rsid w:val="00F40A90"/>
    <w:rsid w:val="00F40D4D"/>
    <w:rsid w:val="00F4146B"/>
    <w:rsid w:val="00F4181D"/>
    <w:rsid w:val="00F432D4"/>
    <w:rsid w:val="00F4334C"/>
    <w:rsid w:val="00F43CC0"/>
    <w:rsid w:val="00F43E82"/>
    <w:rsid w:val="00F44C84"/>
    <w:rsid w:val="00F45036"/>
    <w:rsid w:val="00F47BA9"/>
    <w:rsid w:val="00F503F3"/>
    <w:rsid w:val="00F50BF6"/>
    <w:rsid w:val="00F515D4"/>
    <w:rsid w:val="00F52034"/>
    <w:rsid w:val="00F5319D"/>
    <w:rsid w:val="00F54807"/>
    <w:rsid w:val="00F552C7"/>
    <w:rsid w:val="00F561D0"/>
    <w:rsid w:val="00F5636B"/>
    <w:rsid w:val="00F569CE"/>
    <w:rsid w:val="00F56E5F"/>
    <w:rsid w:val="00F5787E"/>
    <w:rsid w:val="00F57924"/>
    <w:rsid w:val="00F57A81"/>
    <w:rsid w:val="00F57F66"/>
    <w:rsid w:val="00F60971"/>
    <w:rsid w:val="00F61FCD"/>
    <w:rsid w:val="00F63B6A"/>
    <w:rsid w:val="00F6416F"/>
    <w:rsid w:val="00F64813"/>
    <w:rsid w:val="00F6574D"/>
    <w:rsid w:val="00F66379"/>
    <w:rsid w:val="00F6680A"/>
    <w:rsid w:val="00F6725E"/>
    <w:rsid w:val="00F672D0"/>
    <w:rsid w:val="00F67D77"/>
    <w:rsid w:val="00F70035"/>
    <w:rsid w:val="00F701CC"/>
    <w:rsid w:val="00F70544"/>
    <w:rsid w:val="00F70A96"/>
    <w:rsid w:val="00F71335"/>
    <w:rsid w:val="00F7159A"/>
    <w:rsid w:val="00F72244"/>
    <w:rsid w:val="00F7351C"/>
    <w:rsid w:val="00F73542"/>
    <w:rsid w:val="00F73604"/>
    <w:rsid w:val="00F75F01"/>
    <w:rsid w:val="00F75F09"/>
    <w:rsid w:val="00F7602D"/>
    <w:rsid w:val="00F76340"/>
    <w:rsid w:val="00F763B6"/>
    <w:rsid w:val="00F76740"/>
    <w:rsid w:val="00F802C8"/>
    <w:rsid w:val="00F80B67"/>
    <w:rsid w:val="00F81ED5"/>
    <w:rsid w:val="00F82850"/>
    <w:rsid w:val="00F82F9B"/>
    <w:rsid w:val="00F835E1"/>
    <w:rsid w:val="00F8430E"/>
    <w:rsid w:val="00F86323"/>
    <w:rsid w:val="00F86A44"/>
    <w:rsid w:val="00F86BA3"/>
    <w:rsid w:val="00F9040D"/>
    <w:rsid w:val="00F90A3A"/>
    <w:rsid w:val="00F90B11"/>
    <w:rsid w:val="00F9152A"/>
    <w:rsid w:val="00F915F6"/>
    <w:rsid w:val="00F922A0"/>
    <w:rsid w:val="00F92C6F"/>
    <w:rsid w:val="00F930EB"/>
    <w:rsid w:val="00F94E1D"/>
    <w:rsid w:val="00F963CB"/>
    <w:rsid w:val="00F9767D"/>
    <w:rsid w:val="00FA0852"/>
    <w:rsid w:val="00FA1C26"/>
    <w:rsid w:val="00FA2873"/>
    <w:rsid w:val="00FA3D79"/>
    <w:rsid w:val="00FA43B6"/>
    <w:rsid w:val="00FA47B4"/>
    <w:rsid w:val="00FA5852"/>
    <w:rsid w:val="00FA5CFC"/>
    <w:rsid w:val="00FA6C20"/>
    <w:rsid w:val="00FA7B92"/>
    <w:rsid w:val="00FA7F85"/>
    <w:rsid w:val="00FB0171"/>
    <w:rsid w:val="00FB054E"/>
    <w:rsid w:val="00FB1E31"/>
    <w:rsid w:val="00FB30C5"/>
    <w:rsid w:val="00FB36A8"/>
    <w:rsid w:val="00FB3704"/>
    <w:rsid w:val="00FB3C14"/>
    <w:rsid w:val="00FB447E"/>
    <w:rsid w:val="00FB475C"/>
    <w:rsid w:val="00FB4CBE"/>
    <w:rsid w:val="00FB58F0"/>
    <w:rsid w:val="00FB5CC8"/>
    <w:rsid w:val="00FB6E11"/>
    <w:rsid w:val="00FB6F6E"/>
    <w:rsid w:val="00FB7AD6"/>
    <w:rsid w:val="00FC2196"/>
    <w:rsid w:val="00FC2278"/>
    <w:rsid w:val="00FC323B"/>
    <w:rsid w:val="00FC4F07"/>
    <w:rsid w:val="00FC5D48"/>
    <w:rsid w:val="00FC64E0"/>
    <w:rsid w:val="00FC65AF"/>
    <w:rsid w:val="00FC7546"/>
    <w:rsid w:val="00FC7785"/>
    <w:rsid w:val="00FC79FD"/>
    <w:rsid w:val="00FD03E0"/>
    <w:rsid w:val="00FD0E5C"/>
    <w:rsid w:val="00FD1D54"/>
    <w:rsid w:val="00FD3009"/>
    <w:rsid w:val="00FD3E2E"/>
    <w:rsid w:val="00FD47AD"/>
    <w:rsid w:val="00FD4BAB"/>
    <w:rsid w:val="00FD6304"/>
    <w:rsid w:val="00FD6AB6"/>
    <w:rsid w:val="00FD6DA4"/>
    <w:rsid w:val="00FD6DF7"/>
    <w:rsid w:val="00FD7350"/>
    <w:rsid w:val="00FD7C3E"/>
    <w:rsid w:val="00FE0491"/>
    <w:rsid w:val="00FE1EA0"/>
    <w:rsid w:val="00FE2846"/>
    <w:rsid w:val="00FE28CB"/>
    <w:rsid w:val="00FE314A"/>
    <w:rsid w:val="00FE32BB"/>
    <w:rsid w:val="00FE3334"/>
    <w:rsid w:val="00FE3817"/>
    <w:rsid w:val="00FE3D82"/>
    <w:rsid w:val="00FE3E5D"/>
    <w:rsid w:val="00FE418D"/>
    <w:rsid w:val="00FE5A60"/>
    <w:rsid w:val="00FE5DDA"/>
    <w:rsid w:val="00FE5F69"/>
    <w:rsid w:val="00FE6105"/>
    <w:rsid w:val="00FE6FC4"/>
    <w:rsid w:val="00FE7AD4"/>
    <w:rsid w:val="00FF0A91"/>
    <w:rsid w:val="00FF1573"/>
    <w:rsid w:val="00FF17B2"/>
    <w:rsid w:val="00FF194C"/>
    <w:rsid w:val="00FF1AC2"/>
    <w:rsid w:val="00FF1DAD"/>
    <w:rsid w:val="00FF29F1"/>
    <w:rsid w:val="00FF302D"/>
    <w:rsid w:val="00FF353D"/>
    <w:rsid w:val="00FF4B86"/>
    <w:rsid w:val="00FF4DD5"/>
    <w:rsid w:val="00FF4E31"/>
    <w:rsid w:val="00FF5669"/>
    <w:rsid w:val="00FF6FF3"/>
    <w:rsid w:val="00FF703E"/>
    <w:rsid w:val="00FF7B3E"/>
    <w:rsid w:val="01065852"/>
    <w:rsid w:val="011C5211"/>
    <w:rsid w:val="0152776C"/>
    <w:rsid w:val="016B1743"/>
    <w:rsid w:val="01DA06FA"/>
    <w:rsid w:val="022C6982"/>
    <w:rsid w:val="02355837"/>
    <w:rsid w:val="023E1E47"/>
    <w:rsid w:val="03C9570B"/>
    <w:rsid w:val="043E6852"/>
    <w:rsid w:val="049E6389"/>
    <w:rsid w:val="04DF5F2E"/>
    <w:rsid w:val="05212FF1"/>
    <w:rsid w:val="052E77F7"/>
    <w:rsid w:val="054A784B"/>
    <w:rsid w:val="058F5FCD"/>
    <w:rsid w:val="065A1D23"/>
    <w:rsid w:val="06750001"/>
    <w:rsid w:val="06A905A2"/>
    <w:rsid w:val="07614774"/>
    <w:rsid w:val="07844A8B"/>
    <w:rsid w:val="079F32D1"/>
    <w:rsid w:val="07E255D1"/>
    <w:rsid w:val="083C3D2C"/>
    <w:rsid w:val="0850403A"/>
    <w:rsid w:val="09011E77"/>
    <w:rsid w:val="0923315B"/>
    <w:rsid w:val="09645A80"/>
    <w:rsid w:val="097219CC"/>
    <w:rsid w:val="09732517"/>
    <w:rsid w:val="098B5ECD"/>
    <w:rsid w:val="098C31E1"/>
    <w:rsid w:val="09F61C94"/>
    <w:rsid w:val="0A3E0368"/>
    <w:rsid w:val="0A5F5B47"/>
    <w:rsid w:val="0A7A2B98"/>
    <w:rsid w:val="0A815F46"/>
    <w:rsid w:val="0BB538AF"/>
    <w:rsid w:val="0BC02EFE"/>
    <w:rsid w:val="0BFD26E8"/>
    <w:rsid w:val="0C71390F"/>
    <w:rsid w:val="0C7622D6"/>
    <w:rsid w:val="0CF276C0"/>
    <w:rsid w:val="0D49488C"/>
    <w:rsid w:val="0D556D8D"/>
    <w:rsid w:val="0D9759E8"/>
    <w:rsid w:val="0E5B163F"/>
    <w:rsid w:val="0ECE5049"/>
    <w:rsid w:val="0EDE2DB2"/>
    <w:rsid w:val="0FA43FFC"/>
    <w:rsid w:val="0FB77487"/>
    <w:rsid w:val="10354C54"/>
    <w:rsid w:val="11082369"/>
    <w:rsid w:val="11535CDA"/>
    <w:rsid w:val="116021A5"/>
    <w:rsid w:val="1191235E"/>
    <w:rsid w:val="11B76F1E"/>
    <w:rsid w:val="11CC5193"/>
    <w:rsid w:val="121127EE"/>
    <w:rsid w:val="1292638E"/>
    <w:rsid w:val="12DE5A77"/>
    <w:rsid w:val="12F36300"/>
    <w:rsid w:val="13620456"/>
    <w:rsid w:val="14BD6450"/>
    <w:rsid w:val="15115C90"/>
    <w:rsid w:val="15855B9A"/>
    <w:rsid w:val="15887F30"/>
    <w:rsid w:val="15F80BFE"/>
    <w:rsid w:val="161D5364"/>
    <w:rsid w:val="16211A94"/>
    <w:rsid w:val="166D15EC"/>
    <w:rsid w:val="16F27F7B"/>
    <w:rsid w:val="171A6823"/>
    <w:rsid w:val="171C6B6E"/>
    <w:rsid w:val="177E3384"/>
    <w:rsid w:val="17BE24D9"/>
    <w:rsid w:val="17C2316D"/>
    <w:rsid w:val="17C23271"/>
    <w:rsid w:val="1841540D"/>
    <w:rsid w:val="18694F67"/>
    <w:rsid w:val="186D1006"/>
    <w:rsid w:val="189C5E33"/>
    <w:rsid w:val="18E92A80"/>
    <w:rsid w:val="193725BE"/>
    <w:rsid w:val="19590DAC"/>
    <w:rsid w:val="19AC0CB4"/>
    <w:rsid w:val="1A9A6727"/>
    <w:rsid w:val="1B377206"/>
    <w:rsid w:val="1BEB331B"/>
    <w:rsid w:val="1C3B3861"/>
    <w:rsid w:val="1D2E6BAD"/>
    <w:rsid w:val="1DC65F93"/>
    <w:rsid w:val="1E65493E"/>
    <w:rsid w:val="1E8370BB"/>
    <w:rsid w:val="1E86136A"/>
    <w:rsid w:val="1F5350F7"/>
    <w:rsid w:val="1FA47F4E"/>
    <w:rsid w:val="1FAC6C85"/>
    <w:rsid w:val="1FEB4C5A"/>
    <w:rsid w:val="20A200E4"/>
    <w:rsid w:val="21B03E34"/>
    <w:rsid w:val="21E00964"/>
    <w:rsid w:val="21F52068"/>
    <w:rsid w:val="226513C9"/>
    <w:rsid w:val="2299719F"/>
    <w:rsid w:val="23AF2F67"/>
    <w:rsid w:val="246F00E2"/>
    <w:rsid w:val="24C139B9"/>
    <w:rsid w:val="25812531"/>
    <w:rsid w:val="267A68ED"/>
    <w:rsid w:val="27264162"/>
    <w:rsid w:val="27A97FAA"/>
    <w:rsid w:val="28436997"/>
    <w:rsid w:val="28771E56"/>
    <w:rsid w:val="28DA4460"/>
    <w:rsid w:val="28F26DAC"/>
    <w:rsid w:val="298874A0"/>
    <w:rsid w:val="29C91DA0"/>
    <w:rsid w:val="2A3E138A"/>
    <w:rsid w:val="2A4D4C35"/>
    <w:rsid w:val="2A554419"/>
    <w:rsid w:val="2A7C7BF7"/>
    <w:rsid w:val="2A9D2A82"/>
    <w:rsid w:val="2A9E7B6E"/>
    <w:rsid w:val="2ACD2102"/>
    <w:rsid w:val="2B011EAB"/>
    <w:rsid w:val="2C1A5F63"/>
    <w:rsid w:val="2CA86A82"/>
    <w:rsid w:val="2D447781"/>
    <w:rsid w:val="2D60068C"/>
    <w:rsid w:val="2E244789"/>
    <w:rsid w:val="2E2A34C6"/>
    <w:rsid w:val="2F0401BB"/>
    <w:rsid w:val="2F335C8E"/>
    <w:rsid w:val="2F754BC2"/>
    <w:rsid w:val="30184A89"/>
    <w:rsid w:val="30353483"/>
    <w:rsid w:val="30444A17"/>
    <w:rsid w:val="308C2216"/>
    <w:rsid w:val="30B25A85"/>
    <w:rsid w:val="3126266B"/>
    <w:rsid w:val="31A11CF2"/>
    <w:rsid w:val="31BE12BE"/>
    <w:rsid w:val="31F363B5"/>
    <w:rsid w:val="32D16518"/>
    <w:rsid w:val="3304005B"/>
    <w:rsid w:val="3312384B"/>
    <w:rsid w:val="336B0809"/>
    <w:rsid w:val="336D4581"/>
    <w:rsid w:val="33716531"/>
    <w:rsid w:val="34337579"/>
    <w:rsid w:val="34FB5BBD"/>
    <w:rsid w:val="354D1EF7"/>
    <w:rsid w:val="35A63D7A"/>
    <w:rsid w:val="35A973C7"/>
    <w:rsid w:val="35BD2BFC"/>
    <w:rsid w:val="36020F44"/>
    <w:rsid w:val="36070730"/>
    <w:rsid w:val="36410050"/>
    <w:rsid w:val="36581519"/>
    <w:rsid w:val="36AB6B2B"/>
    <w:rsid w:val="376B2A93"/>
    <w:rsid w:val="37B502A5"/>
    <w:rsid w:val="385F223A"/>
    <w:rsid w:val="39294C83"/>
    <w:rsid w:val="39FE23D7"/>
    <w:rsid w:val="3A683CF4"/>
    <w:rsid w:val="3A6A6054"/>
    <w:rsid w:val="3AAD634A"/>
    <w:rsid w:val="3B47390A"/>
    <w:rsid w:val="3B860306"/>
    <w:rsid w:val="3BC27434"/>
    <w:rsid w:val="3C502593"/>
    <w:rsid w:val="3C5E2CF0"/>
    <w:rsid w:val="3C812E4B"/>
    <w:rsid w:val="3CF7388A"/>
    <w:rsid w:val="3D7C2FD8"/>
    <w:rsid w:val="3D8175A7"/>
    <w:rsid w:val="3DBE37C3"/>
    <w:rsid w:val="3E5C76CC"/>
    <w:rsid w:val="3E717B12"/>
    <w:rsid w:val="3E94535D"/>
    <w:rsid w:val="3EA00259"/>
    <w:rsid w:val="3ED14528"/>
    <w:rsid w:val="3F786788"/>
    <w:rsid w:val="3F8658C8"/>
    <w:rsid w:val="3F9B07CE"/>
    <w:rsid w:val="40237B27"/>
    <w:rsid w:val="4059569B"/>
    <w:rsid w:val="40BC4452"/>
    <w:rsid w:val="41411C09"/>
    <w:rsid w:val="41563185"/>
    <w:rsid w:val="41B925A2"/>
    <w:rsid w:val="41F92FE7"/>
    <w:rsid w:val="42D77C69"/>
    <w:rsid w:val="42DF1732"/>
    <w:rsid w:val="43413BFB"/>
    <w:rsid w:val="43DE5EB0"/>
    <w:rsid w:val="44B07D93"/>
    <w:rsid w:val="44EE129A"/>
    <w:rsid w:val="44FE772F"/>
    <w:rsid w:val="45C95001"/>
    <w:rsid w:val="45F66658"/>
    <w:rsid w:val="460A2104"/>
    <w:rsid w:val="47502656"/>
    <w:rsid w:val="47887784"/>
    <w:rsid w:val="479D3CDB"/>
    <w:rsid w:val="47CB7C60"/>
    <w:rsid w:val="47D039DF"/>
    <w:rsid w:val="47D420CB"/>
    <w:rsid w:val="482A083B"/>
    <w:rsid w:val="48750C55"/>
    <w:rsid w:val="48A70C0E"/>
    <w:rsid w:val="491F6264"/>
    <w:rsid w:val="49530F7A"/>
    <w:rsid w:val="496A370C"/>
    <w:rsid w:val="498A77E3"/>
    <w:rsid w:val="498E1F2E"/>
    <w:rsid w:val="49995C78"/>
    <w:rsid w:val="49D40A5E"/>
    <w:rsid w:val="4A2469FF"/>
    <w:rsid w:val="4AB8212E"/>
    <w:rsid w:val="4B094738"/>
    <w:rsid w:val="4B0A7451"/>
    <w:rsid w:val="4B1650A7"/>
    <w:rsid w:val="4C2A3E4A"/>
    <w:rsid w:val="4C3363A1"/>
    <w:rsid w:val="4D3C7046"/>
    <w:rsid w:val="4DBA226C"/>
    <w:rsid w:val="4E4E1B8A"/>
    <w:rsid w:val="4E517BAC"/>
    <w:rsid w:val="4EB6729D"/>
    <w:rsid w:val="4EE2777A"/>
    <w:rsid w:val="4F2C13DD"/>
    <w:rsid w:val="4F6939F7"/>
    <w:rsid w:val="4FBD0A08"/>
    <w:rsid w:val="4FE14544"/>
    <w:rsid w:val="50854860"/>
    <w:rsid w:val="50CE26AB"/>
    <w:rsid w:val="5128422A"/>
    <w:rsid w:val="514B40BC"/>
    <w:rsid w:val="515D758B"/>
    <w:rsid w:val="521652CA"/>
    <w:rsid w:val="52AB07CA"/>
    <w:rsid w:val="52C33D66"/>
    <w:rsid w:val="52F715A0"/>
    <w:rsid w:val="533D7674"/>
    <w:rsid w:val="5394125E"/>
    <w:rsid w:val="53B50713"/>
    <w:rsid w:val="53C61A0F"/>
    <w:rsid w:val="53D55AFF"/>
    <w:rsid w:val="53DB1625"/>
    <w:rsid w:val="550541C2"/>
    <w:rsid w:val="55B158D8"/>
    <w:rsid w:val="55B94FDF"/>
    <w:rsid w:val="56505911"/>
    <w:rsid w:val="579321BC"/>
    <w:rsid w:val="5839655C"/>
    <w:rsid w:val="588347C4"/>
    <w:rsid w:val="58966556"/>
    <w:rsid w:val="589A2E73"/>
    <w:rsid w:val="5966335F"/>
    <w:rsid w:val="59F2732D"/>
    <w:rsid w:val="59FE7AEB"/>
    <w:rsid w:val="5A054C64"/>
    <w:rsid w:val="5A1202A6"/>
    <w:rsid w:val="5A3D28A9"/>
    <w:rsid w:val="5ABF3065"/>
    <w:rsid w:val="5AF30E5F"/>
    <w:rsid w:val="5BF16AA8"/>
    <w:rsid w:val="5BF95104"/>
    <w:rsid w:val="5CB36BF9"/>
    <w:rsid w:val="5CDC790F"/>
    <w:rsid w:val="5DE87DB5"/>
    <w:rsid w:val="5DFC012C"/>
    <w:rsid w:val="5E133E89"/>
    <w:rsid w:val="5E2E0E2B"/>
    <w:rsid w:val="5E8A1753"/>
    <w:rsid w:val="5EE07E5C"/>
    <w:rsid w:val="5F3F3603"/>
    <w:rsid w:val="5F48187B"/>
    <w:rsid w:val="5FBF2C92"/>
    <w:rsid w:val="5FC253B0"/>
    <w:rsid w:val="60154CC7"/>
    <w:rsid w:val="60250735"/>
    <w:rsid w:val="6078593B"/>
    <w:rsid w:val="60D40EEC"/>
    <w:rsid w:val="61653E9B"/>
    <w:rsid w:val="617374B7"/>
    <w:rsid w:val="61EB2F50"/>
    <w:rsid w:val="61F21F72"/>
    <w:rsid w:val="623428D5"/>
    <w:rsid w:val="62DB47B4"/>
    <w:rsid w:val="62FB7408"/>
    <w:rsid w:val="63730E90"/>
    <w:rsid w:val="63DC4B70"/>
    <w:rsid w:val="64306D81"/>
    <w:rsid w:val="649D0B24"/>
    <w:rsid w:val="64B17EC2"/>
    <w:rsid w:val="64EC735B"/>
    <w:rsid w:val="6609574C"/>
    <w:rsid w:val="662B37DD"/>
    <w:rsid w:val="66860EDB"/>
    <w:rsid w:val="669E0497"/>
    <w:rsid w:val="66D25ECE"/>
    <w:rsid w:val="673B3A73"/>
    <w:rsid w:val="675F7AC4"/>
    <w:rsid w:val="67E11A64"/>
    <w:rsid w:val="67E601D3"/>
    <w:rsid w:val="67E87584"/>
    <w:rsid w:val="682D0318"/>
    <w:rsid w:val="683E5A1D"/>
    <w:rsid w:val="68656A10"/>
    <w:rsid w:val="68AA23BF"/>
    <w:rsid w:val="695A115D"/>
    <w:rsid w:val="695A3D0D"/>
    <w:rsid w:val="69CF740E"/>
    <w:rsid w:val="69E5416A"/>
    <w:rsid w:val="69F30635"/>
    <w:rsid w:val="6A731808"/>
    <w:rsid w:val="6A786D8C"/>
    <w:rsid w:val="6A866B48"/>
    <w:rsid w:val="6AE663EC"/>
    <w:rsid w:val="6B655563"/>
    <w:rsid w:val="6BAA3FF1"/>
    <w:rsid w:val="6BB04B70"/>
    <w:rsid w:val="6C0B610A"/>
    <w:rsid w:val="6CA85897"/>
    <w:rsid w:val="6D057B83"/>
    <w:rsid w:val="6D374CDD"/>
    <w:rsid w:val="6D9450E8"/>
    <w:rsid w:val="6E1547E7"/>
    <w:rsid w:val="6E7D7067"/>
    <w:rsid w:val="6E867CCA"/>
    <w:rsid w:val="6E9879FD"/>
    <w:rsid w:val="6FC33088"/>
    <w:rsid w:val="701658F3"/>
    <w:rsid w:val="706D112E"/>
    <w:rsid w:val="709D2B20"/>
    <w:rsid w:val="709D6DD2"/>
    <w:rsid w:val="70BD7BEF"/>
    <w:rsid w:val="70C232D6"/>
    <w:rsid w:val="70CC398E"/>
    <w:rsid w:val="711710AD"/>
    <w:rsid w:val="71C836D8"/>
    <w:rsid w:val="72A1574A"/>
    <w:rsid w:val="72AD4F69"/>
    <w:rsid w:val="736D3206"/>
    <w:rsid w:val="73AD6E0E"/>
    <w:rsid w:val="73D414D7"/>
    <w:rsid w:val="742B4C2C"/>
    <w:rsid w:val="747C57BF"/>
    <w:rsid w:val="749F7E54"/>
    <w:rsid w:val="75335D92"/>
    <w:rsid w:val="76540F4C"/>
    <w:rsid w:val="76856AB9"/>
    <w:rsid w:val="76AD7DBE"/>
    <w:rsid w:val="771728F5"/>
    <w:rsid w:val="775841CD"/>
    <w:rsid w:val="77FA34D6"/>
    <w:rsid w:val="78750C4D"/>
    <w:rsid w:val="78C74B8A"/>
    <w:rsid w:val="78D8159F"/>
    <w:rsid w:val="78F74EDC"/>
    <w:rsid w:val="79B533E1"/>
    <w:rsid w:val="79BC0A44"/>
    <w:rsid w:val="79D12015"/>
    <w:rsid w:val="7A0B19CB"/>
    <w:rsid w:val="7A450F4C"/>
    <w:rsid w:val="7A4647B1"/>
    <w:rsid w:val="7A815DB8"/>
    <w:rsid w:val="7ADC48DF"/>
    <w:rsid w:val="7AEE22CF"/>
    <w:rsid w:val="7AF16E13"/>
    <w:rsid w:val="7AF942B6"/>
    <w:rsid w:val="7B0209A9"/>
    <w:rsid w:val="7B1A0118"/>
    <w:rsid w:val="7B8C08E9"/>
    <w:rsid w:val="7BAE2FAC"/>
    <w:rsid w:val="7BBD6CF5"/>
    <w:rsid w:val="7BF32717"/>
    <w:rsid w:val="7C0573B0"/>
    <w:rsid w:val="7C331F9E"/>
    <w:rsid w:val="7C4B60B7"/>
    <w:rsid w:val="7C5A3742"/>
    <w:rsid w:val="7C9E5492"/>
    <w:rsid w:val="7D6F401F"/>
    <w:rsid w:val="7DCF5B65"/>
    <w:rsid w:val="7FC54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AF31E"/>
  <w15:docId w15:val="{8C79B35C-2585-4ED8-8424-9571D8824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semiHidden="1" w:unhideWhenUsed="1"/>
    <w:lsdException w:name="annotation text" w:unhideWhenUsed="1"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99" w:unhideWhenUsed="1" w:qFormat="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nhideWhenUsed="1" w:qFormat="1"/>
    <w:lsdException w:name="Strong" w:uiPriority="22"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60" w:lineRule="exact"/>
      <w:ind w:firstLineChars="200" w:firstLine="200"/>
      <w:jc w:val="both"/>
    </w:pPr>
    <w:rPr>
      <w:rFonts w:eastAsia="仿宋_GB2312"/>
      <w:kern w:val="2"/>
      <w:sz w:val="32"/>
      <w:szCs w:val="32"/>
    </w:rPr>
  </w:style>
  <w:style w:type="paragraph" w:styleId="1">
    <w:name w:val="heading 1"/>
    <w:basedOn w:val="a"/>
    <w:next w:val="a"/>
    <w:link w:val="10"/>
    <w:uiPriority w:val="99"/>
    <w:qFormat/>
    <w:pPr>
      <w:keepNext/>
      <w:keepLines/>
      <w:spacing w:beforeLines="50" w:before="280" w:afterLines="50" w:after="280"/>
      <w:ind w:firstLineChars="0" w:firstLine="0"/>
      <w:jc w:val="center"/>
      <w:textAlignment w:val="baseline"/>
      <w:outlineLvl w:val="0"/>
    </w:pPr>
    <w:rPr>
      <w:rFonts w:ascii="宋体" w:eastAsia="宋体" w:hAnsi="宋体"/>
      <w:b/>
      <w:kern w:val="32"/>
      <w:sz w:val="36"/>
      <w:szCs w:val="36"/>
    </w:rPr>
  </w:style>
  <w:style w:type="paragraph" w:styleId="2">
    <w:name w:val="heading 2"/>
    <w:basedOn w:val="a"/>
    <w:next w:val="a"/>
    <w:link w:val="20"/>
    <w:uiPriority w:val="99"/>
    <w:qFormat/>
    <w:pPr>
      <w:keepNext/>
      <w:keepLines/>
      <w:spacing w:beforeLines="30" w:before="168" w:afterLines="30" w:after="168"/>
      <w:ind w:firstLineChars="0" w:firstLine="562"/>
      <w:jc w:val="center"/>
      <w:outlineLvl w:val="1"/>
    </w:pPr>
    <w:rPr>
      <w:rFonts w:ascii="宋体" w:eastAsia="宋体" w:hAnsi="宋体" w:cs="宋体"/>
      <w:b/>
      <w:kern w:val="32"/>
      <w:sz w:val="30"/>
      <w:szCs w:val="30"/>
    </w:rPr>
  </w:style>
  <w:style w:type="paragraph" w:styleId="3">
    <w:name w:val="heading 3"/>
    <w:basedOn w:val="a"/>
    <w:next w:val="a"/>
    <w:link w:val="30"/>
    <w:qFormat/>
    <w:pPr>
      <w:keepNext/>
      <w:keepLines/>
      <w:spacing w:before="260" w:after="260" w:line="416" w:lineRule="atLeast"/>
      <w:outlineLvl w:val="2"/>
    </w:pPr>
    <w:rPr>
      <w:b/>
      <w:bCs/>
    </w:rPr>
  </w:style>
  <w:style w:type="paragraph" w:styleId="4">
    <w:name w:val="heading 4"/>
    <w:basedOn w:val="a"/>
    <w:next w:val="a"/>
    <w:link w:val="40"/>
    <w:semiHidden/>
    <w:unhideWhenUsed/>
    <w:qFormat/>
    <w:pPr>
      <w:keepNext/>
      <w:keepLines/>
      <w:spacing w:before="280" w:after="290" w:line="376" w:lineRule="atLeast"/>
      <w:outlineLvl w:val="3"/>
    </w:pPr>
    <w:rPr>
      <w:rFonts w:asciiTheme="majorHAnsi" w:eastAsiaTheme="majorEastAsia" w:hAnsiTheme="majorHAnsi" w:cstheme="majorBidi"/>
      <w:b/>
      <w:bCs/>
      <w:sz w:val="28"/>
      <w:szCs w:val="28"/>
    </w:rPr>
  </w:style>
  <w:style w:type="paragraph" w:styleId="6">
    <w:name w:val="heading 6"/>
    <w:basedOn w:val="a"/>
    <w:next w:val="a"/>
    <w:link w:val="60"/>
    <w:qFormat/>
    <w:pPr>
      <w:keepNext/>
      <w:keepLines/>
      <w:spacing w:before="240" w:after="64" w:line="320" w:lineRule="atLeast"/>
      <w:outlineLvl w:val="5"/>
    </w:pPr>
    <w:rPr>
      <w:rFonts w:ascii="Cambria" w:eastAsia="宋体" w:hAnsi="Cambria"/>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qFormat/>
    <w:pPr>
      <w:ind w:left="1920"/>
      <w:jc w:val="left"/>
    </w:pPr>
    <w:rPr>
      <w:rFonts w:ascii="Calibri" w:hAnsi="Calibri"/>
      <w:sz w:val="18"/>
      <w:szCs w:val="18"/>
    </w:rPr>
  </w:style>
  <w:style w:type="paragraph" w:styleId="a3">
    <w:name w:val="Document Map"/>
    <w:basedOn w:val="a"/>
    <w:link w:val="a4"/>
    <w:qFormat/>
    <w:rPr>
      <w:rFonts w:ascii="宋体" w:eastAsia="宋体"/>
      <w:sz w:val="18"/>
      <w:szCs w:val="18"/>
    </w:rPr>
  </w:style>
  <w:style w:type="paragraph" w:styleId="a5">
    <w:name w:val="toa heading"/>
    <w:basedOn w:val="a"/>
    <w:next w:val="a"/>
    <w:uiPriority w:val="99"/>
    <w:unhideWhenUsed/>
    <w:qFormat/>
    <w:pPr>
      <w:spacing w:before="120"/>
    </w:pPr>
    <w:rPr>
      <w:rFonts w:ascii="Arial" w:hAnsi="Arial"/>
      <w:sz w:val="24"/>
    </w:rPr>
  </w:style>
  <w:style w:type="paragraph" w:styleId="a6">
    <w:name w:val="annotation text"/>
    <w:basedOn w:val="a"/>
    <w:link w:val="a7"/>
    <w:unhideWhenUsed/>
    <w:qFormat/>
    <w:pPr>
      <w:jc w:val="left"/>
    </w:pPr>
  </w:style>
  <w:style w:type="paragraph" w:styleId="a8">
    <w:name w:val="Body Text"/>
    <w:basedOn w:val="a"/>
    <w:link w:val="a9"/>
    <w:semiHidden/>
    <w:unhideWhenUsed/>
    <w:qFormat/>
    <w:pPr>
      <w:spacing w:after="120"/>
    </w:pPr>
  </w:style>
  <w:style w:type="paragraph" w:styleId="TOC5">
    <w:name w:val="toc 5"/>
    <w:basedOn w:val="a"/>
    <w:next w:val="a"/>
    <w:uiPriority w:val="39"/>
    <w:qFormat/>
    <w:pPr>
      <w:ind w:left="1280"/>
      <w:jc w:val="left"/>
    </w:pPr>
    <w:rPr>
      <w:rFonts w:ascii="Calibri" w:hAnsi="Calibri"/>
      <w:sz w:val="18"/>
      <w:szCs w:val="18"/>
    </w:rPr>
  </w:style>
  <w:style w:type="paragraph" w:styleId="TOC3">
    <w:name w:val="toc 3"/>
    <w:basedOn w:val="a"/>
    <w:next w:val="a"/>
    <w:uiPriority w:val="39"/>
    <w:qFormat/>
    <w:pPr>
      <w:ind w:left="640"/>
      <w:jc w:val="left"/>
    </w:pPr>
    <w:rPr>
      <w:rFonts w:ascii="Calibri" w:hAnsi="Calibri"/>
      <w:i/>
      <w:iCs/>
      <w:sz w:val="20"/>
      <w:szCs w:val="20"/>
    </w:rPr>
  </w:style>
  <w:style w:type="paragraph" w:styleId="TOC8">
    <w:name w:val="toc 8"/>
    <w:basedOn w:val="a"/>
    <w:next w:val="a"/>
    <w:uiPriority w:val="39"/>
    <w:qFormat/>
    <w:pPr>
      <w:ind w:left="2240"/>
      <w:jc w:val="left"/>
    </w:pPr>
    <w:rPr>
      <w:rFonts w:ascii="Calibri" w:hAnsi="Calibri"/>
      <w:sz w:val="18"/>
      <w:szCs w:val="18"/>
    </w:rPr>
  </w:style>
  <w:style w:type="paragraph" w:styleId="21">
    <w:name w:val="Body Text Indent 2"/>
    <w:basedOn w:val="a"/>
    <w:link w:val="22"/>
    <w:qFormat/>
    <w:pPr>
      <w:spacing w:after="120" w:line="480" w:lineRule="auto"/>
      <w:ind w:leftChars="200" w:left="420" w:firstLineChars="0" w:firstLine="0"/>
    </w:pPr>
    <w:rPr>
      <w:rFonts w:eastAsia="宋体"/>
      <w:sz w:val="21"/>
      <w:szCs w:val="24"/>
    </w:rPr>
  </w:style>
  <w:style w:type="paragraph" w:styleId="aa">
    <w:name w:val="Balloon Text"/>
    <w:basedOn w:val="a"/>
    <w:link w:val="ab"/>
    <w:qFormat/>
    <w:pPr>
      <w:spacing w:line="240" w:lineRule="auto"/>
    </w:pPr>
    <w:rPr>
      <w:sz w:val="18"/>
      <w:szCs w:val="18"/>
    </w:rPr>
  </w:style>
  <w:style w:type="paragraph" w:styleId="ac">
    <w:name w:val="footer"/>
    <w:basedOn w:val="a"/>
    <w:link w:val="ad"/>
    <w:uiPriority w:val="99"/>
    <w:qFormat/>
    <w:pPr>
      <w:tabs>
        <w:tab w:val="center" w:pos="4153"/>
        <w:tab w:val="right" w:pos="8306"/>
      </w:tabs>
      <w:snapToGrid w:val="0"/>
      <w:spacing w:line="240" w:lineRule="atLeast"/>
      <w:jc w:val="left"/>
    </w:pPr>
    <w:rPr>
      <w:sz w:val="18"/>
      <w:szCs w:val="18"/>
    </w:rPr>
  </w:style>
  <w:style w:type="paragraph" w:styleId="ae">
    <w:name w:val="header"/>
    <w:basedOn w:val="a"/>
    <w:link w:val="af"/>
    <w:uiPriority w:val="99"/>
    <w:qFormat/>
    <w:pPr>
      <w:pBdr>
        <w:bottom w:val="single" w:sz="6" w:space="1" w:color="auto"/>
      </w:pBdr>
      <w:tabs>
        <w:tab w:val="center" w:pos="4153"/>
        <w:tab w:val="right" w:pos="8306"/>
      </w:tabs>
      <w:snapToGrid w:val="0"/>
      <w:spacing w:line="240" w:lineRule="atLeast"/>
      <w:jc w:val="center"/>
    </w:pPr>
    <w:rPr>
      <w:sz w:val="18"/>
      <w:szCs w:val="18"/>
    </w:rPr>
  </w:style>
  <w:style w:type="paragraph" w:styleId="TOC1">
    <w:name w:val="toc 1"/>
    <w:basedOn w:val="a"/>
    <w:next w:val="a"/>
    <w:uiPriority w:val="39"/>
    <w:qFormat/>
    <w:pPr>
      <w:tabs>
        <w:tab w:val="right" w:leader="dot" w:pos="8494"/>
      </w:tabs>
      <w:spacing w:before="120" w:after="120" w:line="400" w:lineRule="exact"/>
      <w:ind w:firstLineChars="0" w:firstLine="0"/>
      <w:jc w:val="left"/>
    </w:pPr>
    <w:rPr>
      <w:rFonts w:eastAsia="黑体"/>
      <w:bCs/>
      <w:caps/>
      <w:sz w:val="24"/>
      <w:szCs w:val="24"/>
    </w:rPr>
  </w:style>
  <w:style w:type="paragraph" w:styleId="TOC4">
    <w:name w:val="toc 4"/>
    <w:basedOn w:val="a"/>
    <w:next w:val="a"/>
    <w:uiPriority w:val="39"/>
    <w:qFormat/>
    <w:pPr>
      <w:ind w:left="960"/>
      <w:jc w:val="left"/>
    </w:pPr>
    <w:rPr>
      <w:rFonts w:ascii="Calibri" w:hAnsi="Calibri"/>
      <w:sz w:val="18"/>
      <w:szCs w:val="18"/>
    </w:rPr>
  </w:style>
  <w:style w:type="paragraph" w:styleId="TOC6">
    <w:name w:val="toc 6"/>
    <w:basedOn w:val="a"/>
    <w:next w:val="a"/>
    <w:uiPriority w:val="39"/>
    <w:qFormat/>
    <w:pPr>
      <w:ind w:left="1600"/>
      <w:jc w:val="left"/>
    </w:pPr>
    <w:rPr>
      <w:rFonts w:ascii="Calibri" w:hAnsi="Calibri"/>
      <w:sz w:val="18"/>
      <w:szCs w:val="18"/>
    </w:rPr>
  </w:style>
  <w:style w:type="paragraph" w:styleId="TOC2">
    <w:name w:val="toc 2"/>
    <w:basedOn w:val="a"/>
    <w:next w:val="a"/>
    <w:uiPriority w:val="39"/>
    <w:qFormat/>
    <w:pPr>
      <w:ind w:left="320"/>
      <w:jc w:val="left"/>
    </w:pPr>
    <w:rPr>
      <w:rFonts w:ascii="Calibri" w:hAnsi="Calibri"/>
      <w:smallCaps/>
      <w:sz w:val="20"/>
      <w:szCs w:val="20"/>
    </w:rPr>
  </w:style>
  <w:style w:type="paragraph" w:styleId="TOC9">
    <w:name w:val="toc 9"/>
    <w:basedOn w:val="a"/>
    <w:next w:val="a"/>
    <w:uiPriority w:val="39"/>
    <w:qFormat/>
    <w:pPr>
      <w:ind w:left="2560"/>
      <w:jc w:val="left"/>
    </w:pPr>
    <w:rPr>
      <w:rFonts w:ascii="Calibri" w:hAnsi="Calibri"/>
      <w:sz w:val="18"/>
      <w:szCs w:val="18"/>
    </w:rPr>
  </w:style>
  <w:style w:type="paragraph" w:styleId="23">
    <w:name w:val="Body Text 2"/>
    <w:basedOn w:val="a"/>
    <w:link w:val="24"/>
    <w:qFormat/>
    <w:pPr>
      <w:spacing w:after="120" w:line="480" w:lineRule="auto"/>
      <w:ind w:firstLineChars="0" w:firstLine="0"/>
    </w:pPr>
    <w:rPr>
      <w:rFonts w:eastAsia="宋体"/>
      <w:sz w:val="21"/>
      <w:szCs w:val="24"/>
    </w:rPr>
  </w:style>
  <w:style w:type="paragraph" w:styleId="af0">
    <w:name w:val="Normal (Web)"/>
    <w:basedOn w:val="a"/>
    <w:uiPriority w:val="99"/>
    <w:qFormat/>
    <w:pPr>
      <w:widowControl/>
      <w:spacing w:before="100" w:beforeAutospacing="1" w:after="100" w:afterAutospacing="1" w:line="480" w:lineRule="auto"/>
      <w:ind w:firstLineChars="0" w:firstLine="480"/>
      <w:jc w:val="left"/>
    </w:pPr>
    <w:rPr>
      <w:rFonts w:ascii="宋体" w:eastAsia="宋体" w:hAnsi="宋体" w:cs="宋体"/>
      <w:kern w:val="0"/>
      <w:sz w:val="24"/>
      <w:szCs w:val="24"/>
    </w:rPr>
  </w:style>
  <w:style w:type="paragraph" w:styleId="af1">
    <w:name w:val="annotation subject"/>
    <w:basedOn w:val="a6"/>
    <w:next w:val="a6"/>
    <w:link w:val="af2"/>
    <w:semiHidden/>
    <w:unhideWhenUsed/>
    <w:qFormat/>
    <w:rPr>
      <w:b/>
      <w:bCs/>
    </w:rPr>
  </w:style>
  <w:style w:type="paragraph" w:styleId="af3">
    <w:name w:val="Body Text First Indent"/>
    <w:basedOn w:val="a"/>
    <w:next w:val="a"/>
    <w:link w:val="af4"/>
    <w:qFormat/>
    <w:pPr>
      <w:spacing w:after="120" w:line="500" w:lineRule="exact"/>
      <w:ind w:firstLineChars="100" w:firstLine="420"/>
    </w:pPr>
    <w:rPr>
      <w:rFonts w:eastAsia="楷体_GB2312"/>
      <w:sz w:val="28"/>
      <w:szCs w:val="24"/>
    </w:rPr>
  </w:style>
  <w:style w:type="table" w:styleId="af5">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Strong"/>
    <w:uiPriority w:val="22"/>
    <w:qFormat/>
    <w:rPr>
      <w:b/>
      <w:bCs/>
    </w:rPr>
  </w:style>
  <w:style w:type="character" w:styleId="af7">
    <w:name w:val="FollowedHyperlink"/>
    <w:semiHidden/>
    <w:unhideWhenUsed/>
    <w:qFormat/>
    <w:rPr>
      <w:color w:val="954F72"/>
      <w:u w:val="single"/>
    </w:rPr>
  </w:style>
  <w:style w:type="character" w:styleId="af8">
    <w:name w:val="Hyperlink"/>
    <w:uiPriority w:val="99"/>
    <w:unhideWhenUsed/>
    <w:qFormat/>
    <w:rPr>
      <w:color w:val="0000FF"/>
      <w:u w:val="single"/>
    </w:rPr>
  </w:style>
  <w:style w:type="character" w:styleId="af9">
    <w:name w:val="annotation reference"/>
    <w:semiHidden/>
    <w:unhideWhenUsed/>
    <w:qFormat/>
    <w:rPr>
      <w:sz w:val="21"/>
      <w:szCs w:val="21"/>
    </w:rPr>
  </w:style>
  <w:style w:type="character" w:customStyle="1" w:styleId="10">
    <w:name w:val="标题 1 字符"/>
    <w:link w:val="1"/>
    <w:uiPriority w:val="99"/>
    <w:qFormat/>
    <w:locked/>
    <w:rPr>
      <w:rFonts w:ascii="宋体" w:hAnsi="宋体"/>
      <w:b/>
      <w:kern w:val="32"/>
      <w:sz w:val="36"/>
      <w:szCs w:val="36"/>
    </w:rPr>
  </w:style>
  <w:style w:type="character" w:customStyle="1" w:styleId="20">
    <w:name w:val="标题 2 字符"/>
    <w:link w:val="2"/>
    <w:uiPriority w:val="99"/>
    <w:qFormat/>
    <w:locked/>
    <w:rPr>
      <w:rFonts w:ascii="宋体" w:hAnsi="宋体" w:cs="宋体"/>
      <w:b/>
      <w:kern w:val="32"/>
      <w:sz w:val="30"/>
      <w:szCs w:val="30"/>
    </w:rPr>
  </w:style>
  <w:style w:type="character" w:customStyle="1" w:styleId="30">
    <w:name w:val="标题 3 字符"/>
    <w:link w:val="3"/>
    <w:qFormat/>
    <w:rPr>
      <w:rFonts w:eastAsia="仿宋_GB2312"/>
      <w:b/>
      <w:bCs/>
      <w:kern w:val="2"/>
      <w:sz w:val="32"/>
      <w:szCs w:val="32"/>
    </w:rPr>
  </w:style>
  <w:style w:type="character" w:customStyle="1" w:styleId="60">
    <w:name w:val="标题 6 字符"/>
    <w:link w:val="6"/>
    <w:semiHidden/>
    <w:qFormat/>
    <w:rPr>
      <w:rFonts w:ascii="Cambria" w:eastAsia="宋体" w:hAnsi="Cambria" w:cs="Times New Roman"/>
      <w:b/>
      <w:bCs/>
      <w:kern w:val="2"/>
      <w:sz w:val="24"/>
      <w:szCs w:val="24"/>
    </w:rPr>
  </w:style>
  <w:style w:type="paragraph" w:customStyle="1" w:styleId="28">
    <w:name w:val="样式 行距: 固定值 28 磅"/>
    <w:basedOn w:val="a"/>
    <w:qFormat/>
    <w:rPr>
      <w:rFonts w:cs="宋体"/>
      <w:szCs w:val="20"/>
    </w:rPr>
  </w:style>
  <w:style w:type="paragraph" w:customStyle="1" w:styleId="19898">
    <w:name w:val="样式 标题 1 + 小三 非小型大写字母 两端对齐 段前: 9.8 磅 段后: 9.8 磅"/>
    <w:basedOn w:val="1"/>
    <w:qFormat/>
    <w:rPr>
      <w:rFonts w:eastAsia="黑体" w:cs="宋体"/>
      <w:b w:val="0"/>
      <w:sz w:val="32"/>
      <w:szCs w:val="32"/>
    </w:rPr>
  </w:style>
  <w:style w:type="paragraph" w:customStyle="1" w:styleId="2200">
    <w:name w:val="样式 标题 2 + 四号 非小型大写字母 首行缩进:  2 字符 段前: 0 磅 段后: 0 磅"/>
    <w:basedOn w:val="2"/>
    <w:qFormat/>
    <w:rPr>
      <w:rFonts w:ascii="Times New Roman" w:eastAsia="楷体_GB2312" w:hAnsi="Times New Roman"/>
    </w:rPr>
  </w:style>
  <w:style w:type="paragraph" w:customStyle="1" w:styleId="10028">
    <w:name w:val="样式 目录 1 + 段前: 0 磅 段后: 0 磅 行距: 固定值 28 磅"/>
    <w:basedOn w:val="TOC1"/>
    <w:qFormat/>
    <w:rPr>
      <w:rFonts w:eastAsia="仿宋_GB2312" w:cs="宋体"/>
    </w:rPr>
  </w:style>
  <w:style w:type="paragraph" w:customStyle="1" w:styleId="100281">
    <w:name w:val="样式 目录 1 + 段前: 0 磅 段后: 0 磅 行距: 固定值 28 磅1"/>
    <w:basedOn w:val="TOC1"/>
    <w:qFormat/>
    <w:rPr>
      <w:rFonts w:eastAsia="仿宋_GB2312" w:cs="宋体"/>
    </w:rPr>
  </w:style>
  <w:style w:type="paragraph" w:customStyle="1" w:styleId="1GB23120028">
    <w:name w:val="样式 标题 1 + (中文) 仿宋_GB2312 三号 段前: 0 磅 段后: 0 磅 行距: 固定值 28 磅"/>
    <w:basedOn w:val="1"/>
    <w:qFormat/>
    <w:pPr>
      <w:textAlignment w:val="auto"/>
    </w:pPr>
    <w:rPr>
      <w:rFonts w:cs="宋体"/>
      <w:bCs/>
    </w:rPr>
  </w:style>
  <w:style w:type="paragraph" w:customStyle="1" w:styleId="2TimesNewRomanGB23120">
    <w:name w:val="样式 标题 2 + (西文) Times New Roman (中文) 仿宋_GB2312 三号 段前: 0 磅 段后:..."/>
    <w:basedOn w:val="2"/>
    <w:qFormat/>
  </w:style>
  <w:style w:type="paragraph" w:customStyle="1" w:styleId="afa">
    <w:name w:val="报告正文"/>
    <w:basedOn w:val="a"/>
    <w:qFormat/>
    <w:rPr>
      <w:kern w:val="32"/>
    </w:rPr>
  </w:style>
  <w:style w:type="paragraph" w:customStyle="1" w:styleId="afb">
    <w:name w:val="样式 报告正文 +"/>
    <w:basedOn w:val="afa"/>
    <w:qFormat/>
  </w:style>
  <w:style w:type="paragraph" w:customStyle="1" w:styleId="Default">
    <w:name w:val="Default"/>
    <w:qFormat/>
    <w:pPr>
      <w:widowControl w:val="0"/>
      <w:autoSpaceDE w:val="0"/>
      <w:autoSpaceDN w:val="0"/>
      <w:adjustRightInd w:val="0"/>
    </w:pPr>
    <w:rPr>
      <w:rFonts w:ascii="Calibri" w:hAnsi="Calibri" w:cs="Calibri"/>
      <w:color w:val="000000"/>
      <w:sz w:val="24"/>
      <w:szCs w:val="24"/>
    </w:rPr>
  </w:style>
  <w:style w:type="character" w:customStyle="1" w:styleId="af">
    <w:name w:val="页眉 字符"/>
    <w:link w:val="ae"/>
    <w:uiPriority w:val="99"/>
    <w:qFormat/>
    <w:rPr>
      <w:rFonts w:eastAsia="仿宋_GB2312"/>
      <w:kern w:val="2"/>
      <w:sz w:val="18"/>
      <w:szCs w:val="18"/>
    </w:rPr>
  </w:style>
  <w:style w:type="character" w:customStyle="1" w:styleId="ad">
    <w:name w:val="页脚 字符"/>
    <w:link w:val="ac"/>
    <w:uiPriority w:val="99"/>
    <w:qFormat/>
    <w:rPr>
      <w:rFonts w:eastAsia="仿宋_GB2312"/>
      <w:kern w:val="2"/>
      <w:sz w:val="18"/>
      <w:szCs w:val="18"/>
    </w:rPr>
  </w:style>
  <w:style w:type="character" w:customStyle="1" w:styleId="22">
    <w:name w:val="正文文本缩进 2 字符"/>
    <w:link w:val="21"/>
    <w:qFormat/>
    <w:rPr>
      <w:kern w:val="2"/>
      <w:sz w:val="21"/>
      <w:szCs w:val="24"/>
    </w:rPr>
  </w:style>
  <w:style w:type="paragraph" w:customStyle="1" w:styleId="afc">
    <w:name w:val="正"/>
    <w:basedOn w:val="a"/>
    <w:uiPriority w:val="99"/>
    <w:qFormat/>
    <w:pPr>
      <w:tabs>
        <w:tab w:val="left" w:pos="2880"/>
        <w:tab w:val="left" w:pos="9360"/>
        <w:tab w:val="left" w:pos="9540"/>
      </w:tabs>
      <w:adjustRightInd w:val="0"/>
      <w:snapToGrid w:val="0"/>
      <w:spacing w:line="400" w:lineRule="exact"/>
      <w:ind w:right="40" w:firstLineChars="0" w:firstLine="413"/>
    </w:pPr>
    <w:rPr>
      <w:rFonts w:ascii="楷体_GB2312" w:eastAsia="楷体_GB2312"/>
      <w:color w:val="000000"/>
      <w:spacing w:val="4"/>
      <w:kern w:val="0"/>
      <w:sz w:val="30"/>
      <w:szCs w:val="20"/>
    </w:rPr>
  </w:style>
  <w:style w:type="character" w:customStyle="1" w:styleId="24">
    <w:name w:val="正文文本 2 字符"/>
    <w:link w:val="23"/>
    <w:qFormat/>
    <w:rPr>
      <w:kern w:val="2"/>
      <w:sz w:val="21"/>
      <w:szCs w:val="24"/>
    </w:rPr>
  </w:style>
  <w:style w:type="paragraph" w:customStyle="1" w:styleId="TOC10">
    <w:name w:val="TOC 标题1"/>
    <w:basedOn w:val="1"/>
    <w:next w:val="a"/>
    <w:uiPriority w:val="39"/>
    <w:qFormat/>
    <w:pPr>
      <w:widowControl/>
      <w:spacing w:before="480" w:line="276" w:lineRule="auto"/>
      <w:textAlignment w:val="auto"/>
      <w:outlineLvl w:val="9"/>
    </w:pPr>
    <w:rPr>
      <w:rFonts w:ascii="Cambria" w:hAnsi="Cambria"/>
      <w:b w:val="0"/>
      <w:bCs/>
      <w:color w:val="365F91"/>
      <w:kern w:val="0"/>
      <w:sz w:val="28"/>
      <w:szCs w:val="28"/>
    </w:rPr>
  </w:style>
  <w:style w:type="character" w:customStyle="1" w:styleId="ab">
    <w:name w:val="批注框文本 字符"/>
    <w:link w:val="aa"/>
    <w:qFormat/>
    <w:rPr>
      <w:rFonts w:eastAsia="仿宋_GB2312"/>
      <w:kern w:val="2"/>
      <w:sz w:val="18"/>
      <w:szCs w:val="18"/>
    </w:rPr>
  </w:style>
  <w:style w:type="character" w:customStyle="1" w:styleId="a4">
    <w:name w:val="文档结构图 字符"/>
    <w:link w:val="a3"/>
    <w:qFormat/>
    <w:rPr>
      <w:rFonts w:ascii="宋体"/>
      <w:kern w:val="2"/>
      <w:sz w:val="18"/>
      <w:szCs w:val="18"/>
    </w:rPr>
  </w:style>
  <w:style w:type="paragraph" w:customStyle="1" w:styleId="reader-word-layer">
    <w:name w:val="reader-word-layer"/>
    <w:basedOn w:val="a"/>
    <w:uiPriority w:val="99"/>
    <w:qFormat/>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paragraph" w:customStyle="1" w:styleId="ParaChar">
    <w:name w:val="默认段落字体 Para Char"/>
    <w:basedOn w:val="6"/>
    <w:qFormat/>
    <w:pPr>
      <w:tabs>
        <w:tab w:val="left" w:pos="1440"/>
      </w:tabs>
      <w:spacing w:line="320" w:lineRule="auto"/>
      <w:ind w:firstLineChars="0" w:firstLine="0"/>
    </w:pPr>
    <w:rPr>
      <w:rFonts w:ascii="Arial" w:eastAsia="黑体" w:hAnsi="Arial"/>
    </w:rPr>
  </w:style>
  <w:style w:type="paragraph" w:customStyle="1" w:styleId="afd">
    <w:name w:val="表格内容"/>
    <w:uiPriority w:val="99"/>
    <w:qFormat/>
    <w:pPr>
      <w:overflowPunct w:val="0"/>
      <w:adjustRightInd w:val="0"/>
      <w:snapToGrid w:val="0"/>
      <w:spacing w:line="288" w:lineRule="auto"/>
    </w:pPr>
    <w:rPr>
      <w:rFonts w:ascii="宋体" w:hAnsi="Arial"/>
      <w:sz w:val="24"/>
    </w:rPr>
  </w:style>
  <w:style w:type="paragraph" w:customStyle="1" w:styleId="CharCharChar1CharCharChar1CharCharCharChar">
    <w:name w:val="Char Char Char1 Char Char Char1 Char Char Char Char"/>
    <w:basedOn w:val="a"/>
    <w:semiHidden/>
    <w:qFormat/>
    <w:pPr>
      <w:spacing w:line="240" w:lineRule="auto"/>
      <w:ind w:firstLineChars="0" w:firstLine="0"/>
    </w:pPr>
    <w:rPr>
      <w:rFonts w:eastAsia="宋体"/>
      <w:sz w:val="21"/>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
    <w:qFormat/>
    <w:pPr>
      <w:spacing w:line="240" w:lineRule="auto"/>
      <w:ind w:firstLineChars="0" w:firstLine="0"/>
    </w:pPr>
    <w:rPr>
      <w:szCs w:val="24"/>
    </w:rPr>
  </w:style>
  <w:style w:type="paragraph" w:customStyle="1" w:styleId="CharChar5CharCharCharCharCharCharCharCharCharCharCharCharCharCharChar1Char">
    <w:name w:val="Char Char5 Char Char Char Char Char Char Char Char Char Char Char Char Char Char Char1 Char"/>
    <w:basedOn w:val="a"/>
    <w:qFormat/>
    <w:pPr>
      <w:spacing w:line="240" w:lineRule="auto"/>
      <w:ind w:firstLineChars="0" w:firstLine="0"/>
    </w:pPr>
    <w:rPr>
      <w:szCs w:val="20"/>
    </w:rPr>
  </w:style>
  <w:style w:type="paragraph" w:customStyle="1" w:styleId="CharCharCharChar">
    <w:name w:val="Char Char Char Char"/>
    <w:basedOn w:val="a"/>
    <w:qFormat/>
    <w:pPr>
      <w:spacing w:line="240" w:lineRule="auto"/>
      <w:ind w:firstLineChars="0" w:firstLine="0"/>
    </w:pPr>
    <w:rPr>
      <w:rFonts w:eastAsia="宋体"/>
      <w:sz w:val="21"/>
      <w:szCs w:val="24"/>
    </w:rPr>
  </w:style>
  <w:style w:type="paragraph" w:customStyle="1" w:styleId="CharCharCharCharCharCharChar">
    <w:name w:val="Char Char Char Char Char Char Char"/>
    <w:basedOn w:val="a"/>
    <w:qFormat/>
    <w:pPr>
      <w:spacing w:line="240" w:lineRule="auto"/>
      <w:ind w:firstLineChars="0" w:firstLine="0"/>
    </w:pPr>
    <w:rPr>
      <w:rFonts w:eastAsia="宋体"/>
      <w:sz w:val="21"/>
      <w:szCs w:val="24"/>
    </w:rPr>
  </w:style>
  <w:style w:type="character" w:customStyle="1" w:styleId="doctitle">
    <w:name w:val="doc_title"/>
    <w:basedOn w:val="a0"/>
    <w:qFormat/>
  </w:style>
  <w:style w:type="paragraph" w:customStyle="1" w:styleId="Style161">
    <w:name w:val="_Style 161"/>
    <w:basedOn w:val="6"/>
    <w:qFormat/>
    <w:pPr>
      <w:widowControl/>
      <w:tabs>
        <w:tab w:val="left" w:pos="1440"/>
      </w:tabs>
      <w:spacing w:line="317" w:lineRule="auto"/>
      <w:ind w:firstLineChars="0" w:firstLine="0"/>
    </w:pPr>
    <w:rPr>
      <w:rFonts w:ascii="Times New Roman" w:hAnsi="Times New Roman"/>
      <w:b w:val="0"/>
      <w:szCs w:val="20"/>
    </w:rPr>
  </w:style>
  <w:style w:type="paragraph" w:customStyle="1" w:styleId="Char">
    <w:name w:val="Char"/>
    <w:basedOn w:val="a"/>
    <w:qFormat/>
    <w:pPr>
      <w:spacing w:line="240" w:lineRule="auto"/>
      <w:ind w:firstLineChars="0" w:firstLine="0"/>
    </w:pPr>
    <w:rPr>
      <w:rFonts w:eastAsia="宋体"/>
      <w:sz w:val="21"/>
      <w:szCs w:val="21"/>
    </w:rPr>
  </w:style>
  <w:style w:type="paragraph" w:customStyle="1" w:styleId="afe">
    <w:name w:val="图标标题"/>
    <w:basedOn w:val="a"/>
    <w:qFormat/>
    <w:pPr>
      <w:spacing w:line="240" w:lineRule="auto"/>
      <w:ind w:firstLineChars="0" w:firstLine="0"/>
      <w:jc w:val="center"/>
    </w:pPr>
    <w:rPr>
      <w:sz w:val="21"/>
      <w:szCs w:val="24"/>
    </w:rPr>
  </w:style>
  <w:style w:type="paragraph" w:styleId="aff">
    <w:name w:val="List Paragraph"/>
    <w:basedOn w:val="a"/>
    <w:uiPriority w:val="34"/>
    <w:qFormat/>
    <w:pPr>
      <w:ind w:firstLine="420"/>
    </w:pPr>
  </w:style>
  <w:style w:type="character" w:customStyle="1" w:styleId="a9">
    <w:name w:val="正文文本 字符"/>
    <w:link w:val="a8"/>
    <w:semiHidden/>
    <w:qFormat/>
    <w:rPr>
      <w:rFonts w:eastAsia="仿宋_GB2312"/>
      <w:kern w:val="2"/>
      <w:sz w:val="32"/>
      <w:szCs w:val="32"/>
    </w:rPr>
  </w:style>
  <w:style w:type="character" w:customStyle="1" w:styleId="af4">
    <w:name w:val="正文文本首行缩进 字符"/>
    <w:link w:val="af3"/>
    <w:qFormat/>
    <w:rPr>
      <w:rFonts w:eastAsia="楷体_GB2312"/>
      <w:kern w:val="2"/>
      <w:sz w:val="28"/>
      <w:szCs w:val="24"/>
    </w:rPr>
  </w:style>
  <w:style w:type="paragraph" w:customStyle="1" w:styleId="11">
    <w:name w:val="正文1"/>
    <w:qFormat/>
    <w:pPr>
      <w:ind w:firstLine="602"/>
    </w:pPr>
  </w:style>
  <w:style w:type="paragraph" w:customStyle="1" w:styleId="aff0">
    <w:name w:val="图表"/>
    <w:next w:val="a"/>
    <w:uiPriority w:val="99"/>
    <w:qFormat/>
    <w:pPr>
      <w:jc w:val="center"/>
    </w:pPr>
    <w:rPr>
      <w:rFonts w:ascii="Calibri" w:eastAsia="仿宋_GB2312" w:hAnsi="Calibri"/>
      <w:b/>
      <w:kern w:val="2"/>
      <w:sz w:val="24"/>
      <w:szCs w:val="24"/>
    </w:rPr>
  </w:style>
  <w:style w:type="character" w:customStyle="1" w:styleId="a7">
    <w:name w:val="批注文字 字符"/>
    <w:basedOn w:val="a0"/>
    <w:link w:val="a6"/>
    <w:qFormat/>
    <w:rPr>
      <w:rFonts w:eastAsia="仿宋_GB2312"/>
      <w:kern w:val="2"/>
      <w:sz w:val="32"/>
      <w:szCs w:val="32"/>
    </w:rPr>
  </w:style>
  <w:style w:type="character" w:customStyle="1" w:styleId="af2">
    <w:name w:val="批注主题 字符"/>
    <w:basedOn w:val="a7"/>
    <w:link w:val="af1"/>
    <w:semiHidden/>
    <w:qFormat/>
    <w:rPr>
      <w:rFonts w:eastAsia="仿宋_GB2312"/>
      <w:b/>
      <w:bCs/>
      <w:kern w:val="2"/>
      <w:sz w:val="32"/>
      <w:szCs w:val="32"/>
    </w:rPr>
  </w:style>
  <w:style w:type="character" w:customStyle="1" w:styleId="40">
    <w:name w:val="标题 4 字符"/>
    <w:basedOn w:val="a0"/>
    <w:link w:val="4"/>
    <w:semiHidden/>
    <w:qFormat/>
    <w:rPr>
      <w:rFonts w:asciiTheme="majorHAnsi" w:eastAsiaTheme="majorEastAsia" w:hAnsiTheme="majorHAnsi" w:cstheme="majorBidi"/>
      <w:b/>
      <w:bCs/>
      <w:kern w:val="2"/>
      <w:sz w:val="28"/>
      <w:szCs w:val="28"/>
    </w:rPr>
  </w:style>
  <w:style w:type="character" w:customStyle="1" w:styleId="font41">
    <w:name w:val="font41"/>
    <w:basedOn w:val="a0"/>
    <w:qFormat/>
    <w:rPr>
      <w:rFonts w:ascii="宋体" w:eastAsia="宋体" w:hAnsi="宋体" w:hint="eastAsia"/>
      <w:color w:val="000000"/>
      <w:sz w:val="20"/>
      <w:szCs w:val="20"/>
      <w:u w:val="none"/>
    </w:rPr>
  </w:style>
  <w:style w:type="character" w:customStyle="1" w:styleId="font51">
    <w:name w:val="font51"/>
    <w:basedOn w:val="a0"/>
    <w:qFormat/>
    <w:rPr>
      <w:rFonts w:ascii="宋体" w:eastAsia="宋体" w:hAnsi="宋体" w:hint="eastAsia"/>
      <w:color w:val="000000"/>
      <w:sz w:val="20"/>
      <w:szCs w:val="20"/>
      <w:u w:val="none"/>
    </w:rPr>
  </w:style>
  <w:style w:type="paragraph" w:customStyle="1" w:styleId="TOC20">
    <w:name w:val="TOC 标题2"/>
    <w:basedOn w:val="1"/>
    <w:next w:val="a"/>
    <w:uiPriority w:val="39"/>
    <w:unhideWhenUsed/>
    <w:qFormat/>
    <w:pPr>
      <w:widowControl/>
      <w:spacing w:beforeLines="0" w:before="240" w:afterLines="0" w:after="0" w:line="259" w:lineRule="auto"/>
      <w:jc w:val="left"/>
      <w:textAlignment w:val="auto"/>
      <w:outlineLvl w:val="9"/>
    </w:pPr>
    <w:rPr>
      <w:rFonts w:asciiTheme="majorHAnsi" w:eastAsiaTheme="majorEastAsia" w:hAnsiTheme="majorHAnsi" w:cstheme="majorBidi"/>
      <w:b w:val="0"/>
      <w:color w:val="2E74B5" w:themeColor="accent1" w:themeShade="BF"/>
      <w:kern w:val="0"/>
      <w:sz w:val="32"/>
      <w:szCs w:val="32"/>
    </w:rPr>
  </w:style>
  <w:style w:type="character" w:customStyle="1" w:styleId="font61">
    <w:name w:val="font61"/>
    <w:basedOn w:val="a0"/>
    <w:qFormat/>
    <w:rPr>
      <w:rFonts w:ascii="微软雅黑" w:eastAsia="微软雅黑" w:hAnsi="微软雅黑" w:hint="eastAsia"/>
      <w:b/>
      <w:bCs/>
      <w:color w:val="000000"/>
      <w:sz w:val="22"/>
      <w:szCs w:val="22"/>
      <w:u w:val="none"/>
    </w:rPr>
  </w:style>
  <w:style w:type="character" w:customStyle="1" w:styleId="font31">
    <w:name w:val="font31"/>
    <w:basedOn w:val="a0"/>
    <w:qFormat/>
    <w:rPr>
      <w:rFonts w:ascii="微软雅黑" w:eastAsia="微软雅黑" w:hAnsi="微软雅黑" w:hint="eastAsia"/>
      <w:b/>
      <w:bCs/>
      <w:color w:val="000000"/>
      <w:sz w:val="22"/>
      <w:szCs w:val="22"/>
      <w:u w:val="none"/>
    </w:rPr>
  </w:style>
  <w:style w:type="character" w:customStyle="1" w:styleId="12">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1d2ab755-d851-46e5-a410-fdea0d428566</errorID>
      <errorWord>“十四五规划”</errorWord>
      <group>L1_Political</group>
      <groupName>政治性问题</groupName>
      <ability>L2_Keyword</ability>
      <abilityName>固定表述</abilityName>
      <candidateList>
        <item>“十四五”规划</item>
      </candidateList>
      <explain>注意检查当前固定表述标点是否使用规范。</explain>
      <paraID>1C96A1CD</paraID>
      <start>35</start>
      <end>42</end>
      <status>modified</status>
      <modifiedWord>“十四五”规划</modifiedWord>
      <trackRevisions>false</trackRevisions>
    </reviewItem>
    <reviewItem>
      <errorID>e1b5cb32-e261-493b-810b-e554adf82beb</errorID>
      <errorWord>亟需建立</errorWord>
      <group>L1_Word</group>
      <groupName>字词问题</groupName>
      <ability>L2_Typo</ability>
      <abilityName>字词错误</abilityName>
      <candidateList>
        <item>亟须建立</item>
      </candidateList>
      <explain/>
      <paraID>2D049BCD</paraID>
      <start>83</start>
      <end>87</end>
      <status>ignored</status>
      <modifiedWord/>
      <trackRevisions>false</trackRevisions>
    </reviewItem>
    <reviewItem>
      <errorID>50610105-07e9-409f-a194-fe9c7e070bab</errorID>
      <errorWord>阿拉尔市长</errorWord>
      <group>L1_Political</group>
      <groupName>政治性问题</groupName>
      <ability>L2_Unpolitical</ability>
      <abilityName>政治敏感错误</abilityName>
      <candidateList>
        <item>阿拉尔市市长</item>
      </candidateList>
      <explain/>
      <paraID>1990E1BD</paraID>
      <start>0</start>
      <end>5</end>
      <status>ignored</status>
      <modifiedWord/>
      <trackRevisions>false</trackRevisions>
    </reviewItem>
    <reviewItem>
      <errorID>95fa3aa5-1adf-45f0-91a8-9862d0fd3a25</errorID>
      <errorWord>国土空间规划一张图</errorWord>
      <group>L1_Political</group>
      <groupName>政治性问题</groupName>
      <ability>L2_Keyword</ability>
      <abilityName>固定表述</abilityName>
      <candidateList>
        <item>国土空间规划“一张图”</item>
      </candidateList>
      <explain>注意检查当前固定表述标点是否使用规范。</explain>
      <paraID>26E58143</paraID>
      <start>46</start>
      <end>57</end>
      <status>modified</status>
      <modifiedWord>国土空间规划“一张图”</modifiedWord>
      <trackRevisions>false</trackRevisions>
    </reviewItem>
    <reviewItem>
      <errorID>8cb38a88-cc7d-4dd4-a6d3-d9bfc70221b6</errorID>
      <errorWord>矿区生态修复</errorWord>
      <group>L1_Political</group>
      <groupName>政治性问题</groupName>
      <ability>L2_Keyword</ability>
      <abilityName>固定表述</abilityName>
      <candidateList>
        <item>矿山生态修复</item>
      </candidateList>
      <explain>词汇“矿山生态修复”在特定场景下为固定表述形式，请确认此处的“矿区生态修复”是否存在不当。</explain>
      <paraID>5BB6A834</paraID>
      <start>60</start>
      <end>66</end>
      <status>modified</status>
      <modifiedWord>矿山生态修复</modifiedWord>
      <trackRevisions>false</trackRevisions>
    </reviewItem>
    <reviewItem>
      <errorID>3df24bc2-a989-4a35-882d-46e56549d68c</errorID>
      <errorWord>&lt;</errorWord>
      <group>L1_Format</group>
      <groupName>格式问题</groupName>
      <ability>L2_HalfPunc_CN</ability>
      <abilityName>全半角问题</abilityName>
      <candidateList>
        <item>〈</item>
      </candidateList>
      <explain>文本全半角错误。</explain>
      <paraID>39469EB0</paraID>
      <start>54</start>
      <end>55</end>
      <status>modified</status>
      <modifiedWord>〈</modifiedWord>
      <trackRevisions>false</trackRevisions>
    </reviewItem>
    <reviewItem>
      <errorID>0563eb6f-dd43-46aa-8b23-75c987227448</errorID>
      <errorWord>&gt;的通知》</errorWord>
      <group>L1_Punc</group>
      <groupName>标点问题</groupName>
      <ability>L2_Punc_CN</ability>
      <abilityName>标点符号问题</abilityName>
      <candidateList>
        <item>〉的通知》</item>
      </candidateList>
      <explain/>
      <paraID>39469EB0</paraID>
      <start>83</start>
      <end>88</end>
      <status>modified</status>
      <modifiedWord>〉的通知》</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46A16-B949-405C-B7B9-2DAC08493F32}">
  <ds:schemaRefs>
    <ds:schemaRef ds:uri="http://schemas.wps.cn/vas-ai-hub/contract-review"/>
  </ds:schemaRefs>
</ds:datastoreItem>
</file>

<file path=customXml/itemProps2.xml><?xml version="1.0" encoding="utf-8"?>
<ds:datastoreItem xmlns:ds="http://schemas.openxmlformats.org/officeDocument/2006/customXml" ds:itemID="{8DCB6C57-BB8E-45DB-8957-308072A9E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3596</TotalTime>
  <Pages>66</Pages>
  <Words>18565</Words>
  <Characters>19123</Characters>
  <Application>Microsoft Office Word</Application>
  <DocSecurity>0</DocSecurity>
  <Lines>1124</Lines>
  <Paragraphs>711</Paragraphs>
  <ScaleCrop>false</ScaleCrop>
  <Company>Microsoft</Company>
  <LinksUpToDate>false</LinksUpToDate>
  <CharactersWithSpaces>36977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dc:creator>
  <cp:lastModifiedBy>焱松 韩</cp:lastModifiedBy>
  <cp:revision>1054</cp:revision>
  <cp:lastPrinted>2017-04-28T00:40:00Z</cp:lastPrinted>
  <dcterms:created xsi:type="dcterms:W3CDTF">2026-04-01T12:23:00Z</dcterms:created>
  <dcterms:modified xsi:type="dcterms:W3CDTF">2026-08-20T09:03:00Z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BDC8DE49EC2D45A29748A8656C4C38E3_13</vt:lpwstr>
  </property>
  <property fmtid="{D5CDD505-2E9C-101B-9397-08002B2CF9AE}" pid="4" name="KSOTemplateDocerSaveRecord">
    <vt:lpwstr>eyJoZGlkIjoiNDJkYTY5MDU4MmFlOTFkMGY3MzIzNmEzNWYwMWI2NTIiLCJ1c2VySWQiOiI2Njc0MzY3NDUifQ==</vt:lpwstr>
  </property>
</Properties>
</file>