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914013">
      <w:pPr>
        <w:widowControl w:val="0"/>
        <w:spacing w:line="240" w:lineRule="auto"/>
        <w:rPr>
          <w:rFonts w:hint="eastAsia" w:ascii="Times New Roman" w:hAnsi="Times New Roman" w:eastAsia="黑体" w:cs="黑体"/>
          <w:caps w:val="0"/>
          <w:color w:val="000000" w:themeColor="text1"/>
          <w:sz w:val="32"/>
          <w:szCs w:val="32"/>
          <w:highlight w:val="none"/>
          <w:lang w:val="en-US" w:eastAsia="zh-CN"/>
          <w14:textFill>
            <w14:solidFill>
              <w14:schemeClr w14:val="tx1"/>
            </w14:solidFill>
          </w14:textFill>
        </w:rPr>
      </w:pPr>
      <w:bookmarkStart w:id="7590" w:name="_GoBack"/>
      <w:bookmarkEnd w:id="7590"/>
      <w:r>
        <w:rPr>
          <w:rFonts w:hint="eastAsia" w:ascii="Times New Roman" w:hAnsi="Times New Roman" w:eastAsia="黑体" w:cs="黑体"/>
          <w:caps w:val="0"/>
          <w:color w:val="000000" w:themeColor="text1"/>
          <w:sz w:val="32"/>
          <w:szCs w:val="32"/>
          <w:highlight w:val="none"/>
          <w:lang w:val="en-US" w:eastAsia="zh-CN"/>
          <w14:textFill>
            <w14:solidFill>
              <w14:schemeClr w14:val="tx1"/>
            </w14:solidFill>
          </w14:textFill>
        </w:rPr>
        <w:t>附件2</w:t>
      </w:r>
    </w:p>
    <w:p w14:paraId="57992242">
      <w:pPr>
        <w:widowControl w:val="0"/>
        <w:spacing w:line="240" w:lineRule="auto"/>
        <w:rPr>
          <w:rFonts w:hint="eastAsia" w:ascii="Times New Roman" w:hAnsi="Times New Roman" w:eastAsia="黑体" w:cs="黑体"/>
          <w:caps w:val="0"/>
          <w:color w:val="000000" w:themeColor="text1"/>
          <w:sz w:val="32"/>
          <w:szCs w:val="32"/>
          <w:highlight w:val="none"/>
          <w:lang w:val="en-US" w:eastAsia="zh-CN"/>
          <w14:textFill>
            <w14:solidFill>
              <w14:schemeClr w14:val="tx1"/>
            </w14:solidFill>
          </w14:textFill>
        </w:rPr>
      </w:pPr>
    </w:p>
    <w:p w14:paraId="0654C3F8">
      <w:pPr>
        <w:widowControl w:val="0"/>
        <w:spacing w:line="240" w:lineRule="auto"/>
        <w:rPr>
          <w:rFonts w:hint="eastAsia" w:ascii="Times New Roman" w:hAnsi="Times New Roman" w:eastAsia="黑体" w:cs="黑体"/>
          <w:caps w:val="0"/>
          <w:color w:val="000000" w:themeColor="text1"/>
          <w:sz w:val="32"/>
          <w:szCs w:val="32"/>
          <w:highlight w:val="none"/>
          <w:lang w:val="en-US" w:eastAsia="zh-CN"/>
          <w14:textFill>
            <w14:solidFill>
              <w14:schemeClr w14:val="tx1"/>
            </w14:solidFill>
          </w14:textFill>
        </w:rPr>
      </w:pPr>
    </w:p>
    <w:p w14:paraId="3326D92A">
      <w:pPr>
        <w:widowControl w:val="0"/>
        <w:spacing w:line="240" w:lineRule="auto"/>
        <w:rPr>
          <w:rFonts w:hint="eastAsia" w:ascii="Times New Roman" w:hAnsi="Times New Roman" w:eastAsia="黑体" w:cs="黑体"/>
          <w:caps w:val="0"/>
          <w:color w:val="000000" w:themeColor="text1"/>
          <w:sz w:val="32"/>
          <w:szCs w:val="32"/>
          <w:highlight w:val="none"/>
          <w:lang w:val="en-US" w:eastAsia="zh-CN"/>
          <w14:textFill>
            <w14:solidFill>
              <w14:schemeClr w14:val="tx1"/>
            </w14:solidFill>
          </w14:textFill>
        </w:rPr>
      </w:pPr>
    </w:p>
    <w:p w14:paraId="7A0CCB47">
      <w:pPr>
        <w:widowControl w:val="0"/>
        <w:spacing w:line="240" w:lineRule="auto"/>
        <w:jc w:val="center"/>
        <w:rPr>
          <w:rFonts w:hint="eastAsia" w:ascii="Times New Roman" w:hAnsi="Times New Roman" w:eastAsia="方正小标宋简体" w:cs="方正小标宋简体"/>
          <w:b w:val="0"/>
          <w:bCs w:val="0"/>
          <w:caps w:val="0"/>
          <w:color w:val="000000" w:themeColor="text1"/>
          <w:sz w:val="72"/>
          <w:szCs w:val="72"/>
          <w:highlight w:val="none"/>
          <w:lang w:val="en-US" w:eastAsia="zh-CN"/>
          <w14:textFill>
            <w14:solidFill>
              <w14:schemeClr w14:val="tx1"/>
            </w14:solidFill>
          </w14:textFill>
        </w:rPr>
      </w:pPr>
      <w:r>
        <w:rPr>
          <w:rFonts w:hint="eastAsia" w:ascii="Times New Roman" w:hAnsi="Times New Roman" w:eastAsia="方正小标宋简体" w:cs="方正小标宋简体"/>
          <w:b w:val="0"/>
          <w:bCs w:val="0"/>
          <w:caps w:val="0"/>
          <w:color w:val="000000" w:themeColor="text1"/>
          <w:sz w:val="72"/>
          <w:szCs w:val="72"/>
          <w:highlight w:val="none"/>
          <w:lang w:val="en-US" w:eastAsia="zh-CN"/>
          <w14:textFill>
            <w14:solidFill>
              <w14:schemeClr w14:val="tx1"/>
            </w14:solidFill>
          </w14:textFill>
        </w:rPr>
        <w:t>新疆维吾尔自治区 新疆生产建设兵团</w:t>
      </w:r>
    </w:p>
    <w:p w14:paraId="106C815F">
      <w:pPr>
        <w:widowControl w:val="0"/>
        <w:spacing w:line="240" w:lineRule="auto"/>
        <w:jc w:val="center"/>
        <w:rPr>
          <w:rFonts w:hint="eastAsia" w:ascii="Times New Roman" w:hAnsi="Times New Roman" w:eastAsia="方正小标宋简体" w:cs="方正小标宋简体"/>
          <w:b w:val="0"/>
          <w:bCs w:val="0"/>
          <w:caps w:val="0"/>
          <w:color w:val="000000" w:themeColor="text1"/>
          <w:sz w:val="72"/>
          <w:szCs w:val="72"/>
          <w:highlight w:val="none"/>
          <w:lang w:val="en-US" w:eastAsia="zh-CN"/>
          <w14:textFill>
            <w14:solidFill>
              <w14:schemeClr w14:val="tx1"/>
            </w14:solidFill>
          </w14:textFill>
        </w:rPr>
      </w:pPr>
      <w:r>
        <w:rPr>
          <w:rFonts w:hint="eastAsia" w:ascii="Times New Roman" w:hAnsi="Times New Roman" w:eastAsia="方正小标宋简体" w:cs="方正小标宋简体"/>
          <w:b w:val="0"/>
          <w:bCs w:val="0"/>
          <w:caps w:val="0"/>
          <w:color w:val="000000" w:themeColor="text1"/>
          <w:sz w:val="72"/>
          <w:szCs w:val="72"/>
          <w:highlight w:val="none"/>
          <w:lang w:val="en-US" w:eastAsia="zh-CN"/>
          <w14:textFill>
            <w14:solidFill>
              <w14:schemeClr w14:val="tx1"/>
            </w14:solidFill>
          </w14:textFill>
        </w:rPr>
        <w:t>卫生健康行政处罚裁量基准</w:t>
      </w:r>
    </w:p>
    <w:p w14:paraId="1A01C409">
      <w:pPr>
        <w:widowControl w:val="0"/>
        <w:spacing w:line="240" w:lineRule="auto"/>
        <w:jc w:val="center"/>
        <w:rPr>
          <w:rFonts w:hint="eastAsia" w:ascii="Times New Roman" w:hAnsi="Times New Roman" w:eastAsia="方正小标宋简体" w:cs="方正小标宋简体"/>
          <w:b w:val="0"/>
          <w:bCs w:val="0"/>
          <w:caps w:val="0"/>
          <w:color w:val="000000" w:themeColor="text1"/>
          <w:sz w:val="72"/>
          <w:szCs w:val="72"/>
          <w:highlight w:val="none"/>
          <w:lang w:val="en-US" w:eastAsia="zh-CN"/>
          <w14:textFill>
            <w14:solidFill>
              <w14:schemeClr w14:val="tx1"/>
            </w14:solidFill>
          </w14:textFill>
        </w:rPr>
      </w:pPr>
    </w:p>
    <w:p w14:paraId="3C864AAA">
      <w:pPr>
        <w:widowControl w:val="0"/>
        <w:spacing w:line="240" w:lineRule="auto"/>
        <w:jc w:val="center"/>
        <w:rPr>
          <w:rFonts w:hint="eastAsia" w:ascii="Times New Roman" w:hAnsi="Times New Roman" w:eastAsia="方正小标宋简体" w:cs="方正小标宋简体"/>
          <w:b w:val="0"/>
          <w:bCs w:val="0"/>
          <w:caps w:val="0"/>
          <w:color w:val="000000" w:themeColor="text1"/>
          <w:sz w:val="72"/>
          <w:szCs w:val="72"/>
          <w:highlight w:val="none"/>
          <w:lang w:val="en-US" w:eastAsia="zh-CN"/>
          <w14:textFill>
            <w14:solidFill>
              <w14:schemeClr w14:val="tx1"/>
            </w14:solidFill>
          </w14:textFill>
        </w:rPr>
      </w:pPr>
    </w:p>
    <w:p w14:paraId="46D030C3">
      <w:pPr>
        <w:rPr>
          <w:rFonts w:ascii="Times New Roman" w:hAnsi="Times New Roman"/>
        </w:rPr>
      </w:pPr>
    </w:p>
    <w:p w14:paraId="440D52FB">
      <w:pPr>
        <w:pStyle w:val="53"/>
        <w:widowControl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eastAsia="楷体" w:cs="楷体"/>
          <w:b w:val="0"/>
          <w:bCs w:val="0"/>
          <w:caps w:val="0"/>
          <w:color w:val="000000" w:themeColor="text1"/>
          <w:sz w:val="32"/>
          <w:szCs w:val="32"/>
          <w:highlight w:val="none"/>
          <w:lang w:val="en-US" w:eastAsia="zh-CN"/>
          <w14:textFill>
            <w14:solidFill>
              <w14:schemeClr w14:val="tx1"/>
            </w14:solidFill>
          </w14:textFill>
        </w:rPr>
        <w:t>2025年9月</w:t>
      </w:r>
      <w:r>
        <w:rPr>
          <w:rFonts w:ascii="Times New Roman" w:hAnsi="Times New Roman"/>
          <w:b/>
          <w:bCs/>
          <w:color w:val="000000" w:themeColor="text1"/>
          <w14:textFill>
            <w14:solidFill>
              <w14:schemeClr w14:val="tx1"/>
            </w14:solidFill>
          </w14:textFill>
        </w:rPr>
        <w:br w:type="page"/>
      </w:r>
    </w:p>
    <w:p w14:paraId="147B62CE">
      <w:pPr>
        <w:jc w:val="center"/>
        <w:rPr>
          <w:rFonts w:hint="eastAsia" w:ascii="Times New Roman" w:hAnsi="Times New Roman" w:eastAsia="方正小标宋简体" w:cs="方正小标宋简体"/>
          <w:caps w:val="0"/>
          <w:color w:val="000000" w:themeColor="text1"/>
          <w:sz w:val="40"/>
          <w:szCs w:val="40"/>
          <w:highlight w:val="none"/>
          <w:lang w:val="en-US" w:eastAsia="zh-CN"/>
          <w14:textFill>
            <w14:solidFill>
              <w14:schemeClr w14:val="tx1"/>
            </w14:solidFill>
          </w14:textFill>
        </w:rPr>
      </w:pPr>
      <w:bookmarkStart w:id="0" w:name="_Toc105976143"/>
      <w:bookmarkStart w:id="1" w:name="_Toc328729490"/>
      <w:bookmarkStart w:id="2" w:name="_Toc6191"/>
      <w:bookmarkStart w:id="3" w:name="_Toc298233241"/>
      <w:r>
        <w:rPr>
          <w:rFonts w:hint="eastAsia" w:ascii="Times New Roman" w:hAnsi="Times New Roman" w:eastAsia="方正小标宋简体" w:cs="方正小标宋简体"/>
          <w:caps w:val="0"/>
          <w:color w:val="000000" w:themeColor="text1"/>
          <w:sz w:val="40"/>
          <w:szCs w:val="40"/>
          <w:highlight w:val="none"/>
          <w:lang w:val="en-US" w:eastAsia="zh-CN"/>
          <w14:textFill>
            <w14:solidFill>
              <w14:schemeClr w14:val="tx1"/>
            </w14:solidFill>
          </w14:textFill>
        </w:rPr>
        <w:t>目 录</w:t>
      </w:r>
    </w:p>
    <w:p w14:paraId="4D606E0A">
      <w:pPr>
        <w:jc w:val="left"/>
        <w:rPr>
          <w:rFonts w:hint="eastAsia" w:ascii="Times New Roman" w:hAnsi="Times New Roman" w:eastAsia="方正小标宋简体" w:cs="方正小标宋简体"/>
          <w:b w:val="0"/>
          <w:bCs w:val="0"/>
          <w:caps w:val="0"/>
          <w:color w:val="000000" w:themeColor="text1"/>
          <w:sz w:val="40"/>
          <w:szCs w:val="40"/>
          <w:highlight w:val="none"/>
          <w:lang w:val="en-US" w:eastAsia="zh-CN"/>
          <w14:textFill>
            <w14:solidFill>
              <w14:schemeClr w14:val="tx1"/>
            </w14:solidFill>
          </w14:textFill>
        </w:rPr>
      </w:pPr>
    </w:p>
    <w:p w14:paraId="1A86469C">
      <w:pPr>
        <w:pStyle w:val="18"/>
        <w:tabs>
          <w:tab w:val="right" w:leader="dot" w:pos="13958"/>
        </w:tabs>
        <w:spacing w:line="316" w:lineRule="exact"/>
        <w:jc w:val="both"/>
        <w:rPr>
          <w:rFonts w:hint="eastAsia" w:eastAsia="仿宋_GB2312" w:cs="仿宋_GB2312"/>
          <w:b w:val="0"/>
          <w:caps w:val="0"/>
          <w:sz w:val="24"/>
          <w:szCs w:val="24"/>
        </w:rPr>
      </w:pPr>
      <w:r>
        <w:rPr>
          <w:rFonts w:hint="eastAsia" w:ascii="Times New Roman" w:hAnsi="Times New Roman" w:eastAsia="仿宋_GB2312" w:cs="仿宋_GB2312"/>
          <w:b w:val="0"/>
          <w:bCs w:val="0"/>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 w:val="0"/>
          <w:bCs w:val="0"/>
          <w:caps w:val="0"/>
          <w:color w:val="000000" w:themeColor="text1"/>
          <w:sz w:val="24"/>
          <w:szCs w:val="24"/>
          <w:highlight w:val="none"/>
          <w:lang w:val="en-US" w:eastAsia="zh-CN"/>
          <w14:textFill>
            <w14:solidFill>
              <w14:schemeClr w14:val="tx1"/>
            </w14:solidFill>
          </w14:textFill>
        </w:rPr>
        <w:instrText xml:space="preserve">TOC \o "1-3" \h \u </w:instrText>
      </w:r>
      <w:r>
        <w:rPr>
          <w:rFonts w:hint="eastAsia" w:ascii="Times New Roman" w:hAnsi="Times New Roman" w:eastAsia="仿宋_GB2312" w:cs="仿宋_GB2312"/>
          <w:b w:val="0"/>
          <w:bCs w:val="0"/>
          <w:caps w:val="0"/>
          <w:color w:val="000000" w:themeColor="text1"/>
          <w:sz w:val="24"/>
          <w:szCs w:val="24"/>
          <w:highlight w:val="none"/>
          <w:lang w:val="en-US" w:eastAsia="zh-CN"/>
          <w14:textFill>
            <w14:solidFill>
              <w14:schemeClr w14:val="tx1"/>
            </w14:solidFill>
          </w14:textFill>
        </w:rPr>
        <w:fldChar w:fldCharType="separate"/>
      </w: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黑体" w:cs="黑体"/>
          <w:b w:val="0"/>
          <w:bCs/>
          <w:caps w:val="0"/>
          <w:sz w:val="24"/>
          <w:szCs w:val="24"/>
          <w:highlight w:val="none"/>
          <w:lang w:val="en-US" w:eastAsia="zh-CN"/>
        </w:rPr>
        <w:instrText xml:space="preserve"> HYPERLINK \l _Toc3694 </w:instrText>
      </w:r>
      <w:r>
        <w:rPr>
          <w:rFonts w:hint="eastAsia" w:ascii="Times New Roman" w:hAnsi="Times New Roman" w:eastAsia="黑体" w:cs="黑体"/>
          <w:b w:val="0"/>
          <w:bCs/>
          <w:caps w:val="0"/>
          <w:sz w:val="24"/>
          <w:szCs w:val="24"/>
          <w:highlight w:val="none"/>
          <w:lang w:val="en-US" w:eastAsia="zh-CN"/>
        </w:rPr>
        <w:fldChar w:fldCharType="separate"/>
      </w:r>
      <w:r>
        <w:rPr>
          <w:rFonts w:hint="eastAsia" w:ascii="Times New Roman" w:hAnsi="Times New Roman" w:eastAsia="黑体" w:cs="黑体"/>
          <w:b w:val="0"/>
          <w:caps w:val="0"/>
          <w:sz w:val="24"/>
          <w:szCs w:val="24"/>
        </w:rPr>
        <w:t>一、传染病防治类</w:t>
      </w:r>
      <w:r>
        <w:rPr>
          <w:rFonts w:hint="eastAsia" w:eastAsia="黑体" w:cs="黑体"/>
          <w:b w:val="0"/>
          <w:caps w:val="0"/>
          <w:sz w:val="24"/>
          <w:szCs w:val="24"/>
        </w:rPr>
        <w:tab/>
      </w:r>
      <w:r>
        <w:rPr>
          <w:rFonts w:hint="eastAsia" w:eastAsia="黑体" w:cs="黑体"/>
          <w:b w:val="0"/>
          <w:caps w:val="0"/>
          <w:sz w:val="24"/>
          <w:szCs w:val="24"/>
        </w:rPr>
        <w:fldChar w:fldCharType="begin"/>
      </w:r>
      <w:r>
        <w:rPr>
          <w:rFonts w:hint="eastAsia" w:eastAsia="黑体" w:cs="黑体"/>
          <w:b w:val="0"/>
          <w:caps w:val="0"/>
          <w:sz w:val="24"/>
          <w:szCs w:val="24"/>
        </w:rPr>
        <w:instrText xml:space="preserve"> PAGEREF _Toc3694 \h </w:instrText>
      </w:r>
      <w:r>
        <w:rPr>
          <w:rFonts w:hint="eastAsia" w:eastAsia="黑体" w:cs="黑体"/>
          <w:b w:val="0"/>
          <w:caps w:val="0"/>
          <w:sz w:val="24"/>
          <w:szCs w:val="24"/>
        </w:rPr>
        <w:fldChar w:fldCharType="separate"/>
      </w:r>
      <w:r>
        <w:rPr>
          <w:rFonts w:hint="eastAsia" w:eastAsia="黑体" w:cs="黑体"/>
          <w:b w:val="0"/>
          <w:caps w:val="0"/>
          <w:sz w:val="24"/>
          <w:szCs w:val="24"/>
        </w:rPr>
        <w:t>58</w:t>
      </w:r>
      <w:r>
        <w:rPr>
          <w:rFonts w:hint="eastAsia" w:eastAsia="黑体" w:cs="黑体"/>
          <w:b w:val="0"/>
          <w:caps w:val="0"/>
          <w:sz w:val="24"/>
          <w:szCs w:val="24"/>
        </w:rPr>
        <w:fldChar w:fldCharType="end"/>
      </w: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end"/>
      </w:r>
    </w:p>
    <w:p w14:paraId="371A69F7">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_Toc26459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（一）《中华人民共和国食品安全法》、《中华人民共和国食品安全法实施条例》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_Toc26459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D94B92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_Toc24613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餐具、饮具集中消毒服务单位违反本法规定用水，使用洗涤剂、消毒剂，或者出厂的餐具、饮具未按规定检验合格并随附消毒合格证明，或者未按规定在独立包装上标注相关内容的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_Toc24613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155E0D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_Toc6343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第二条 餐具、饮具集中消毒服务单位拒绝、阻挠、干涉卫生健康行政部门及其工作人员依法开 展监督检查的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_Toc6343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5E5883">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_Toc15567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（二）《医疗器械监督管理条例》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_Toc15567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F831E2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_Toc543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第三条 对重复使用的医疗器械，医疗器械使用单位未按照消毒和管理的规定进行处理的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_Toc543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9801CC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_Toc3172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第四条 医疗器械使用单位重复使用一次性使用的医疗器械，或者未按照规定销毁使用过的一次性使用的医疗器械的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_Toc3172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EA0B09A">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_Toc21414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（三）《中华人民共和国传染病防治法》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_Toc21414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63A308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_Toc10913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第五条 疾病预防控制机构未依法履行传染病监测、疫情风险评估职责的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_Toc10913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CABF28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_Toc28952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第六条 </w:t>
      </w:r>
      <w:r>
        <w:rPr>
          <w:rFonts w:hint="eastAsia" w:ascii="Times New Roman" w:hAnsi="Times New Roman" w:eastAsia="仿宋_GB2312" w:cs="仿宋_GB2312"/>
          <w:bCs/>
          <w:spacing w:val="-11"/>
          <w:sz w:val="24"/>
          <w:szCs w:val="24"/>
        </w:rPr>
        <w:t>疾病预防控制机构未依法履行传染病疫情报告职责，隐瞒、谎报、缓报、漏报传染病疫情，或者干预传染病疫情报告的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_Toc28952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BD1407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_Toc21675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第七条 疾病预防控制机构未主动收集传染病疫情信息，或者对传染病疫情信息和疫情报告未及时进行分析、调查、核实的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_Toc21675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612F10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_Toc3829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第八条 疾病预防控制机构发现传染病疫情或者接到传染病疫情报告时，未依据职责及时采取本法规定的措施的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_Toc3829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3E3EC2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_Toc31685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第九条 疾病预防控制机构未遵守国家有关规定，导致因使用血液制品引起经血液传播疾病的发生的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_Toc31685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34779C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_Toc2689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第十条 </w:t>
      </w:r>
      <w:r>
        <w:rPr>
          <w:rFonts w:hint="eastAsia" w:ascii="Times New Roman" w:hAnsi="Times New Roman" w:eastAsia="仿宋_GB2312" w:cs="仿宋_GB2312"/>
          <w:bCs/>
          <w:spacing w:val="-11"/>
          <w:sz w:val="24"/>
          <w:szCs w:val="24"/>
        </w:rPr>
        <w:t>医疗机构未按照规定承担本机构的传染病预防、控制工作，医疗机构感染控制任务或者责任区域内的传染病预防工作</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_Toc2689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7A0460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_Toc9787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第十一条 医疗机构未按照规定报告传染病疫情，隐瞒、谎报、缓报、漏报传染病疫情，或者干预传染病疫情报告的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_Toc9787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71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6729ED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_Toc25839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第十二条 医疗机构未按照规定对本机构内被传染病病原体污染的场所、物品以及医疗废物、医疗污水实施消毒或者无害化处置的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_Toc25839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74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63F983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_Toc30232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第十三条 医疗机构发现传染病疫情时，未按照规定对传染病患者、疑似患者提供医疗救护、现场救援、接诊治疗、转诊，或者拒绝接受转诊的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_Toc30232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E923A9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_Toc4608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第十四条 医疗机构未遵守国家有关规定，导致因输入血液、使用血液制品引起经血液传播疾病的发生的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_Toc4608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78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231DAC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_Toc19655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第十五条 采供血机构未按照规定报告传染病疫情，隐瞒、谎报、缓报、漏报传染病疫情，或者干预传染病疫情报告的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_Toc19655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79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BF4FE9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_Toc20578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第十六条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采供血机构未执行国家有关规定，导致因输入血液引起经血液传播疾病发生的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_Toc20578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81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ADB4F7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_Toc15593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第十七条 非法采集血液或者组织他人出卖血液的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_Toc15593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82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60C8EC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_Toc28348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第十八条 未取得卫生许可生产用于传染病防治的消毒产品，或者生产、销售的用于传染病防治的消毒产品不符合国家卫生标准和卫生规范的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_Toc28348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83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8759EC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_Toc29111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第十九条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生产、销售未取得卫生许可的利用新材料、新工艺技术和新杀菌原理生产的消毒剂和消毒器械的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_Toc29111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85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626970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_Toc30499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第二十条 出售、运输本法第六十六条规定的受影响的相关区域中被传染病病原体污染或者可能被传染病病原体污染的物品，未进行消毒处理的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_Toc30499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3C3F0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_Toc23125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第二十一条 疾病预防控制机构、医疗机构的实验室和从事病原微生物实验的单位，不符合国家规定的条件和技术标准，对传染病病原体和样本未按照规定的措施实行严格管理的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_Toc23125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88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54CA4D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_Toc27218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第二十二条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违反国家有关规定，采集、保藏、提供、携带、运输、使用病原微生物菌（毒）种和传染病检测样本的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_Toc27218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63CD87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_Toc4559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第二十三条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医疗机构、疾病预防控制机构、检验检测机构未按照传染病检验检测技术规范和标准开展检验检测活动，或者出具虚假检验检测报告的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_Toc4559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91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BBE276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_Toc17191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第二十四条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生产、销售应当备案而未备案的消毒剂、消毒器械以及抗（抑）菌剂的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_Toc17191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92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34B0FC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_Toc17986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第二十五条 在国家确认的自然疫源地兴建水利、交通、旅游、能源等大型建设项目，未经卫生调查进行施工，或者未按照疾病预防控制机构的意见采取必要的传染病预防、控制措施的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_Toc17986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93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06FE80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_Toc13840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第二十六条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医疗机构、疾病预防控制机构泄露传染病患者、病原携带者、疑似患者或者上述人员的密切接触者的个人隐私或者个人信息的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_Toc13840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95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CADE22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_Toc16823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第二十七条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拒不执行人民政府及其有关部门依法采取的传染病疫情防控措施的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_Toc16823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96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719D39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_Toc31289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第二十八条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拒不接受和配合疾病预防控制机构依法采取的传染病疫情防控措施的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_Toc31289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97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3784C1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_Toc14402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第二十九条 拒不接受和配合疾病预防控制机构开展的流行病学调查，或者在流行病学调查中故意隐瞒传染病病情、传染病接触史或者传染病暴发、流行地区旅行史的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_Toc14402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98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13ACC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_Toc6572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甲类传染病患者、病原携带者、疑似患者或者上述人员的密切接触者拒绝接受和配合依法采取的隔离治疗、医学观察措施，或者隔离治疗、医学观察的期限未满擅自脱离的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_Toc6572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99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2FA442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_Toc29535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第三十一条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故意传播传染病的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_Toc29535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5A4CB4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_Toc30246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第三十二条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故意编造、散布虚假传染病疫情信息的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_Toc30246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E06DF5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_Toc10038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第三十三条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其他妨害依法采取的传染病疫情防控措施的行为的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_Toc10038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445CF8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_Toc9290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第三十四条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安排传染病患者、病原携带者、疑似患者从事法律、行政法规和国务院疾病预防控制部门规定禁止从事的易使该传染病扩散的工作的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_Toc9290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E84478E">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_Toc1780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（四）《中华人民共和国传染病防治法实施办法》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_Toc1780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AFE66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_Toc28977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第三十五条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单位自备水源未经批准与城镇供水系统连接的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_Toc28977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756AC0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_Toc23548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第三十六条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未按城市环境卫生设施标准修建公共卫生设施致使垃圾、粪便、污水不能进行无害化处理的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_Toc23548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32106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_Toc16008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第三十七条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对被传染病病原体污染的污水、污物、粪便不按规定进行消毒处理的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_Toc16008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8F4A71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_Toc4044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第三十八条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对被甲类和乙类传染病病人、病原携带者、疑似传染病病人污染的场所、物品未按照卫生防疫机构的要求实施必要的卫生处理的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_Toc4044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4B6755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_Toc19508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第三十九条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造成传染病的医源性感染、医院内感染、实验室感染和致病性微生物扩散的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_Toc19508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2CF9D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_Toc9577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第四十条 使用消毒药剂和消毒器械不符合国家卫生标准，可能造成传染病的传播、扩散或者造成传染病的传播、扩散；或者生产、经营、使用卫生用品、卫生材料、一次性医疗器材、隐形眼镜、人造器官等不符合国家卫生标准，可能造成传染病的传播、扩散或者造成传染病的传播、扩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_Toc9577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AD073B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_Toc31990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第四十一条 乙类传染病中艾滋病、肺炭疽病人拒绝进行隔离治疗的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_Toc31990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D0317B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_Toc7615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第四十二条 招用流动人员的用工单位，未向卫生防疫机构报告并未采取卫生措施，造成传染病传播、流行的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_Toc7615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C64ECC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_Toc31368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第四十三条 违章养犬或者拒绝、阻挠捕杀违章犬，造成咬伤他人或者导致人群中发生狂犬病的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_Toc31368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0C3D64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_Toc18034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第四十四条 单位和个人非法经营、出售用于预防传染病菌苗、疫苗等生物制品的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_Toc18034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1743FD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第四十五条 个体行医人员在执行职务时，不报、漏报、迟报传染病疫情的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8867582">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_Toc1888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lang w:val="en-US" w:eastAsia="zh-CN" w:bidi="ar-SA"/>
        </w:rPr>
        <w:t>（五）</w:t>
      </w:r>
      <w:r>
        <w:rPr>
          <w:rFonts w:hint="eastAsia" w:ascii="Times New Roman" w:hAnsi="Times New Roman" w:eastAsia="楷体_GB2312" w:cs="楷体_GB2312"/>
          <w:bCs/>
          <w:sz w:val="24"/>
          <w:szCs w:val="24"/>
        </w:rPr>
        <w:t>《中华人民共和国疫苗管理法》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_Toc1888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138D1B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_Toc11449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第四十六条 疾病预防控制机构、接种单位违反疫苗储存、运输管理规范有关冷链储存、运输要求的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_Toc11449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BD916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_Toc14331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第四十七条 疾病预防控制机构、接种单位有本法第八十五条规定以外的违反疫苗储存、运输管理规范行为的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_Toc14331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119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D49730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_Toc20504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第四十八条 疾病预防控制机构、接种单位未按照规定供应、接收、采购疫苗</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_Toc20504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983BDD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_Toc23574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第四十九条 疾病预防控制机构、接种单位接种疫苗未遵守预防接种工作规范、免疫程序、疫苗使用指导原则、接种方案的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_Toc23574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D4C68D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_Toc18189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第五十条 疾病预防控制机构、接种单位擅自进行群体性预防接种</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_Toc18189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7ABE78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_Toc15877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第五十一条 疾病预防控制机构、接种单位未按照规定提供追溯信息的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_Toc15877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480FB0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_Toc17272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第五十二条 疾病预防控制机构、接种单位接收或者购进疫苗时未按照规定索取并保存相关证明文件、温度监测记录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_Toc17272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D77BF8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_Toc32312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第五十三条 未按照规定建立并保存疫苗接收、购进、储存、配送、供应、接种、处置记录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_Toc32312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EF3EBF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_Toc3613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第五十四条 未按照规定告知、询问受种者或者其监护人有关情况</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_Toc3613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EE425E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_Toc4617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第五十五条 疾病预防控制机构、接种单位、医疗机构未按照规定报告疑似预防接种异常反应、疫苗安全事件等，或者未按照规定对疑似预防接种异常反应组织调查、诊断等的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_Toc4617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3F55A8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_Toc28903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第五十六条 未经县级以上地方人民政府卫生健康主管部门指定擅自从事免疫规划疫苗接种工作、从事非免疫规划疫苗接种工作不符合条件或者未备案的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_Toc28903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9942F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_Toc28974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第五十七条 疾病预防控制机构、接种单位以外的单位或者个人擅自进行群体性预防接种的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_Toc28974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129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046738">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_Toc20100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（六）《艾滋病防治条例》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_Toc20100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58D95D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_Toc13570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第五十八条 医疗卫生机构未履行艾滋病监测职责的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_Toc13570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3E85CD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_Toc28945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第五十九条 医疗卫生机构未按照规定免费提供咨询和初筛检测的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_Toc28945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B9BE8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_Toc18773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第六十条 医疗卫生机构对临时应急采集的血液未进行艾滋病检测，对临床用血艾滋病检测结果未进行核查，或者将艾滋病检测阳性的血液用于临床的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_Toc18773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973114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_Toc10745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第六十一条 </w:t>
      </w:r>
      <w:r>
        <w:rPr>
          <w:rFonts w:hint="eastAsia" w:ascii="Times New Roman" w:hAnsi="Times New Roman" w:eastAsia="仿宋_GB2312" w:cs="仿宋_GB2312"/>
          <w:bCs/>
          <w:spacing w:val="-11"/>
          <w:sz w:val="24"/>
          <w:szCs w:val="24"/>
        </w:rPr>
        <w:t>医疗卫生机构未遵守标准防护原则，或者未执行操作规程和消毒管理制度，发生艾滋病医院感染或者医源性感染的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_Toc10745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FCD454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_Toc19970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第六十二条 医疗卫生机构未采取有效的卫生防护措施和医疗保健措施的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_Toc19970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4377FB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_Toc6251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第六十三条 医疗卫生机构推诿、拒绝治疗艾滋病病毒感染者或者艾滋病病人的其他疾病，或者对艾滋病病毒感染者、艾滋病病人未提供咨询、诊断和治疗服务的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_Toc6251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3042E2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_Toc8979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第六十四条 医疗卫生机构未对艾滋病病毒感染者或者艾滋病病人进行医学随访的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_Toc8979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76FB6A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_Toc23845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第六十五条 医疗卫生机构未按照规定对感染艾滋病病毒的孕产妇及其婴儿提供预防艾滋病母婴传播技术指导的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_Toc23845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0A3332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_Toc30883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第六十六条 血站、单采血浆站对采集的人体血液、血浆未进行艾滋病检测，或者发现艾滋病检测阳性的人体血液、血浆仍然采集的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_Toc30883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46BD4E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_Toc24140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第六十七条 血站、单采血浆站将未经艾滋病检测的人体血液、血浆，或者艾滋病检测阳性的人体血液、血浆供应给医疗机构和血液制品生产单位的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_Toc24140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A4C957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_Toc9491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第六十八条 采集或者使用人体组织、器官、细胞、骨髓等未进行艾滋病检测或检测阳性仍采集或者使用的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_Toc9491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A3C9E4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_Toc11627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第六十九条 医疗卫生机构、计划生育技术服务机构或者其他单位、个人违反本条例第三十九条第二款规定，公开艾滋病病毒感染者、艾滋病病人或者其家属的信息的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_Toc11627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139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826841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_Toc29318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第七十条 提供、使用未经出入境检验检疫机构检疫的进口人体血液、血浆、组织、器官、细胞、骨髓等的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_Toc29318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52D261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_Toc14763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第七十一条 公共场所的经营者未查验服务人员的健康合格证明或者允许未取得健康合格证明的人员从事服务工作，省、自治区、直辖市人民政府确定的公共场所的经营者未在公共场所内放置安全套或者设置安全套发售设施</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_Toc14763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052099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_Toc16728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（七）《血吸虫病防治条例》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_Toc16728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50F756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_Toc5490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第七十二条 建设单位在血吸虫病防治地区兴建水利、交通、旅游、能源等大型建设项目，未事先提请省级以上疾病预防控制机构进行卫生调查，或者未根据疾病预防控制机构的意见，采取必要的血吸虫病预防、控制措施的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_Toc5490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33099D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_Toc3084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第七十三条 单位未依照本条例的规定对因生产、工作必须接触疫水的人员采取防护措施，或者未定期组织进行血吸虫病的专项体检的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_Toc3084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4DA7E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_Toc31488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第七十四条 对政府有关部门采取的预防、控制措施不予配合的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_Toc31488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582E82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_Toc18761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第七十五条 使用国家明令禁止使用的药物杀灭钉螺的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_Toc18761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7BE0EC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_Toc17343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第七十六条 未依照本条例规定开展血吸虫病防治工作的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_Toc17343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97AD4A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_Toc4317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第七十七条 未定期对其工作人员进行血吸虫病防治知识、技能培训和考核</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_Toc4317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475826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_Toc28340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第七十八条 发现急性血吸虫病疫情或者接到急性血吸虫病暴发、流行报告时，未及时采取措施</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_Toc28340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149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C1728CD">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_Toc21894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（八）《医疗废物管理条例》、《医疗卫生机构医疗废物管理办法》及《医疗废物管理行政处罚办法》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_Toc21894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28552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_Toc28733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第七十九条 医疗卫生机构未建立、健全医疗废物管理制度，或者未设置监控部门或者专（兼）职人员的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_Toc28733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2BDF5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第八十条 医疗卫生机构未对有关人员进行相关法律和专业技术、安全防护以及紧急处理等知识的培训的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152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44911E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_Toc30886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第八十一条 医疗卫生机构、医疗废物集中处置单位未对从事医疗废物收集、运送、贮存、处置等工作的人员和管理人员采取职业卫生防护措施的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_Toc30886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153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EB9ABF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_Toc23498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第八十二条 医疗卫生机构未对医疗废物进行登记或者未保存登记资料的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_Toc23498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154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A19A5A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_Toc7923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第八十三条 医疗卫生机构对使用后的医疗废物运送工具或者运送车辆未在指定地点及时进行消毒和清洁的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_Toc7923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156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DB4AD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_Toc10831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第八十四条 自行建有医疗废物处置设施的医疗卫生机构未定期对医疗废物处置设施的卫生学效果进行检测、评价，或者未将检测、评价效果存档、报告的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_Toc10831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157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25C54F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_Toc6292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第八十五条 医疗卫生机构医疗废物暂时贮存地点、设施或者设备不符合卫生要求的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_Toc6292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158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DB367C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_Toc17765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第八十六条 医疗卫生机构未将医疗废物按照类别分置于专用包装物或者容器的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_Toc17765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160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BD8EB3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_Toc26563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第八十七条 医疗卫生机构未使用符合标准的专用车辆运送医疗废物的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_Toc26563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163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38963D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_Toc5931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第八十八条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在医疗卫生机构内运送过程中丢弃医疗废物，在非暂时贮存地点倾倒、堆放医疗废物或者将医疗废物混入其他废物和生活垃圾的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_Toc5931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164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03D7A0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_Toc21149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第八十九条 医疗卫生机构未按照医疗废物管理条例的规定对污水、传染病病人或者疑似传染病病人的排泄物，进行严格消毒，或者未达到国家规定的排放标准，排入医疗卫生机构内的污水处理系统的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_Toc21149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166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3A1A86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_Toc23476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第九十条 医疗卫生机构对收治的传染病病人或者疑似传染病病人产生的生活垃圾，未按照医疗废物进行管理和处置的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_Toc23476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168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A1B34F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_Toc1237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第九十一条 </w:t>
      </w:r>
      <w:r>
        <w:rPr>
          <w:rFonts w:hint="eastAsia" w:ascii="Times New Roman" w:hAnsi="Times New Roman" w:eastAsia="仿宋_GB2312" w:cs="仿宋_GB2312"/>
          <w:bCs/>
          <w:spacing w:val="-6"/>
          <w:sz w:val="24"/>
          <w:szCs w:val="24"/>
        </w:rPr>
        <w:t>医疗卫生机构发生医疗废物流失、泄漏、扩散时，未采取紧急处理措施，或者未及时向卫生行政主管部门报告的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_Toc1237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169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AD3E3B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_Toc18403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第九十二条 对医疗卫生机构，无正当理由，阻碍卫生行政主管部门或者环境保护行政主管部门执法人员执行职务，拒绝执法人员进入现场，或者不配合执法部门的检查、监测、调查取证的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_Toc18403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B73E59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_Toc26015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第九十三条 </w:t>
      </w:r>
      <w:r>
        <w:rPr>
          <w:rFonts w:hint="eastAsia" w:ascii="Times New Roman" w:hAnsi="Times New Roman" w:eastAsia="仿宋_GB2312" w:cs="仿宋_GB2312"/>
          <w:bCs/>
          <w:spacing w:val="-6"/>
          <w:sz w:val="24"/>
          <w:szCs w:val="24"/>
        </w:rPr>
        <w:t>不具备集中处置医疗废物条件的农村，医疗卫生机构未按照规定要求处置医疗废物的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_Toc26015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AC86473">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_Toc30463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（九）《消毒管理办法》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_Toc30463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C0EDF7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_Toc22495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第九十四条 医疗卫生机构未建立消毒管理组织、制定消毒管理制度、执行国家有关规范、标准和规定，未定期开展消毒与灭菌效果检测工作的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_Toc22495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FB7025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_Toc23272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第九十五条 医疗卫生机构工作人员未接受消毒技术培训、掌握消毒知识，并且未按规定严格执行消毒隔离制度的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_Toc23272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B8DCAE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_Toc8900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第九十六条 医疗卫生机构使用的进入人体组织或无菌器官的医疗用品未达到灭菌要求，各种注射、穿刺、采血器具未一人一用一灭菌的，或接触皮肤、粘膜的器械和用品未达到消毒要求的，或医疗卫生机构使用的一次性使用医疗用品用后未及时进行无害化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_Toc8900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3A52E3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_Toc21109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第九十七条 医疗卫生机构购进消毒产品未建立并执行进货检查验收制度</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_Toc21109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184D0E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_Toc32515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第九十八条 医疗卫生机构的环境、物品不符合国家有关规范、标准和规定；排放废弃的污水、污物未按照国家有关规定进行无害化处理；运送传染病病人及其污染物品的车辆、工具未随时进行消毒处理的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_Toc32515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2747F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_Toc4650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第九十九条 医疗卫生机构发生感染性疾病暴发、流行时，未及时报告当地卫生计生行政部门，并采取有效消毒措施的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_Toc4650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179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6A9BC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_Toc27439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第一百条 消毒产品的命名、标签（含说明书）不符合卫生部的有关规定的，或消毒产品的标签（含说明书）和宣传内容不真实，出现或暗示对疾病的治疗效果的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_Toc27439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7364AE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_Toc20965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第一百零一条 生产经营禁止生产经营的消毒产品的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_Toc20965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C45C97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第一百零二条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消毒后的物品未达到卫生标准和要求的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017FAEE">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_Toc16704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（十）《突发公共卫生事件应急条例》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_Toc16704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284412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_Toc14963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第一百零三条 医疗卫生机构未依照本条例的规定履行报告职责，隐瞒、缓报或者谎报的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_Toc14963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560010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_Toc18901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第一百零四条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医疗卫生机构未依照本条例的规定及时采取控制措施的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_Toc18901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B3C19E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_Toc24929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第一百零五条 医疗卫生机构未依照本条例的规定履行突发事件监测职责的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_Toc24929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9515A7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_Toc19621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第一百零六条 医疗卫生机构拒绝接诊病人的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_Toc19621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94A953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_Toc3555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第一百零七条 医疗卫生机构拒不服从突发事件应急处理指挥部调度的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_Toc3555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38BE3D7">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_Toc12935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（十一）《突发公共卫生事件与传染病疫情监测信息报告管理办法》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_Toc12935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6642EE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_Toc4914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第一百零八条 执行职务的医疗卫生人员瞒报、缓报、谎报传染病疫情的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_Toc4914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E8768F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_Toc11871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第一百零九条 个体或私营医疗保健机构瞒报、缓报、谎报传染病疫情或突发公共卫生事件的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_Toc11871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EBA9CF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_Toc27258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第一百一十条 医疗机构未建立传染病疫情报告制度</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_Toc27258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FB03DB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_Toc32181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第一百一十一条 医疗机构未指定相关部门和人员负责传染病疫情报告管理工作</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_Toc32181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4DFBB0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_Toc23567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第一百一十二条 医疗机构瞒报、缓报、谎报发现的传染病病人、病原携带者、疑似病人的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_Toc23567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912F8A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_Toc7004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第一百一十三条 疾病预防控制机构瞒报、缓报、谎报发现的传染病病人、病原携带者、疑似病人的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_Toc7004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5BD0E6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第一百一十四条 疾病预防控制机构未按规定建立专门的流行病学调查队伍，进行传染病疫情的流行病学调查工作</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98883B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第一百一十五条 疾病预防控制机构在接到传染病疫情报告后，未按规定派人进行现场调查的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642F1B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_Toc4802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第一百一十六条 疾病预防控制机构未按规定上报疫情或报告突发公共卫生事件的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_Toc4802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5D0E0A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_Toc21042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第一百一十七条 执行职务的医疗卫生人员瞒报、缓报、谎报传染病疫情的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_Toc21042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41881B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_Toc28779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第一百一十八条 个体或私营医疗保健机构瞒报、缓报、谎报传染病疫情或突发公共卫生事件的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_Toc28779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A5BF1DC">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_Toc19663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（十二）《病原微生物实验室生物安全管理条例》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_Toc19663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199E4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_Toc27754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第一百一十九条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lang w:val="zh-CN"/>
        </w:rPr>
        <w:t>三级、四级实验室未经批准从事病原微生物目录规定的应当在三级、四级实验室进行的高致病性病原微生物实验活动或者疑似高致病性病原微生物实验活动的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_Toc27754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504EA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_Toc8565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第一百二十条 在不符合相应生物安全要求的实验室从事病原微生物相关实验活动的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_Toc8565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24CE73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_Toc28720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第一百二十一条 未依照规定在明显位置标示国务院卫生主管部门和兽医主管部门规定的生物危险标识和生物安全实验室级别标志的；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_Toc28720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C3703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_Toc32281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第一百二十二条 未向原批准部门报告实验活动结果以及工作情况的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_Toc32281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9B42D4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_Toc23299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第一百二十三条 未依照规定采集病原微生物样本，或者对所采集样本的来源、采集过程和方法等未作详细记录的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_Toc23299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0AA8DF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_Toc4481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第一百二十四条 新建、改建或者扩建一级、二级实验室未向设区的市级人民政府卫生主管部门或者兽医主管部门备案的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_Toc4481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1F9751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_Toc8898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第一百二十五条 未依照规定定期对工作人员进行培训，或者工作人员考核不合格允许其上岗，或者批准未采取防护措施的人员进入实验室的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_Toc8898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CD352D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_Toc15232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第一百二十六条 实验室工作人员未遵守实验室生物安全技术规范和操作规程的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_Toc15232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313651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_Toc2999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第一百二十七条 未依照规定建立或者保存实验档案的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_Toc2999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199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FCEB6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_Toc3052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第一百二十八条 未依照规定制定实验室感染应急处置预案并备案的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_Toc3052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B7D508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_Toc14386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第一百二十九条 从事高致病性病原微生物相关实验活动的实验室的设立单位未建立健全安全保卫制度，或者未采取安全保卫措施的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_Toc14386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CFF882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_Toc28257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第一百三十条 未经批准运输高致病性病原微生物菌（毒）种或者样本，或者承运单位经批准运输高致病性病原微生物菌（毒）种或者样本未履行保护义务，导致高致病性病原微生物菌（毒）种或者样本被盗、被抢、丢失、泄漏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_Toc28257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C6D76D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_Toc5567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第一百三十一条 实验室在相关实验活动结束后，未依照规定及时将病原微生物菌（毒）种和样本就地销毁或者送交保藏机构保管的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_Toc5567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A1B566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_Toc18246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第一百三十二条 实验室使用新技术、新方法从事高致病性病原微生物相关实验活动未经国家病原微生物实验室生物安全专家委员会论证的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_Toc18246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43444F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_Toc17356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第一百三十三条 未经批准擅自从事在我国尚未发现或者已经宣布消灭的病原微生物相关实验活动的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_Toc17356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56AFD7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_Toc12160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第一百三十四条 在未经指定的专业实验室从事在我国尚未发现或者已经宣布消灭的病原微生物相关实验活动的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_Toc12160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82F352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_Toc22625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第一百三十五条 </w:t>
      </w:r>
      <w:r>
        <w:rPr>
          <w:rFonts w:hint="eastAsia" w:ascii="Times New Roman" w:hAnsi="Times New Roman" w:eastAsia="仿宋_GB2312" w:cs="仿宋_GB2312"/>
          <w:bCs/>
          <w:spacing w:val="-6"/>
          <w:sz w:val="24"/>
          <w:szCs w:val="24"/>
        </w:rPr>
        <w:t>在同一个实验室的同一个独立安全区域内同时从事两种或者两种以上高致病性病原微生物的相关实验活动的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_Toc22625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4C9C46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_Toc7127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第一百三十六条 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的，或者未依照规定采取控制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_Toc7127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1AFB5F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_Toc17447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第一百三十七条 拒绝接受卫生主管部门依法开展有关高致病性病原微生物扩散的调查取证、采集样品等活动或者依照本条例规定采取有关预防、控制措施的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_Toc17447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DF3F5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_Toc32529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第一百三十八条 发生病原微生物被盗、被抢、丢失、泄露，承运单位、护送人、保藏机构和实验室的设立单位未依照本条例规定报告的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_Toc32529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132E8D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_Toc20214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第一百三十九条 保藏机构未依照规定储存实验室送交的菌（毒）种和样本，或者未依照规定提供菌（毒）种和样本的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_Toc20214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F84E401">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_Toc18634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（十三）《性病防治管理办法》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_Toc18634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71BB24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_Toc7284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第一百四十条 医疗机构提供性病诊疗服务时违反诊疗规范的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_Toc7284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5434C78">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_Toc9463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（十四）《结核病防治管理办法》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_Toc9463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EC235F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_Toc27674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第一百四十一条 疾病预防控制机构未依法履行肺结核疫情监测、报告职责，或者隐瞒、谎报、缓报肺结核疫情的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_Toc27674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AF2F36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_Toc29466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第一百四十二条 疾病预防控制机构发现肺结核疫情时，未依据职责及时采取措施的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_Toc29466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4DD9D8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_Toc3471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第一百四十三条 疾病预防控制机构故意泄露涉及肺结核患者、疑似肺结核患者、密切接触者个人隐私的有关信息、资料</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_Toc3471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60167F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_Toc8644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第一百四十四条 疾病预防控制机构未履行对辖区实验室质量控制、培训等防治职责的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_Toc8644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0C165B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_Toc9368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第一百四十五条 未按照规定报告肺结核疫情，或者隐瞒、谎报、缓报肺结核疫情的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_Toc9368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C48053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_Toc24375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第一百四十六条 非结核病定点医疗机构发现确诊或者疑似肺结核患者，未按照规定进行转诊的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_Toc24375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7E63D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_Toc8631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第一百四十七条 结核病定点医疗机构未按照规定对肺结核患者或者疑似肺结核患者诊断治疗的，或者拒绝接诊的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_Toc8631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21BF53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_Toc15549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第一百四十八条 医疗机构未按照有关规定严格执行隔离消毒制度，对结核菌污染的痰液、污物和污水未进行卫生处理的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_Toc15549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3C07A8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_Toc17414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第一百四十九条 医疗机构故意泄露涉及肺结核患者、疑似肺结核患者、密切接触者个人隐私的有关信息和资料的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_Toc17414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28B822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_Toc26831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第一百五十条 基层医疗卫生机构未履行对辖区内肺结核患者居家治疗期间的督导管理职责的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_Toc26831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5782D5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_Toc25206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第一百五十一条 基层医疗卫生机构未按照规定转诊、追踪肺结核患者或者疑似肺结核患者及有可疑症状的密切接触者的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_Toc25206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BCC448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_Toc13745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（十五）《医院感染管理办法》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_Toc13745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990718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_Toc28758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第一百五十二条 医疗机构未建立或者未落实医院感染管理的规章制度、工作规范的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_Toc28758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A2799C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_Toc9479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第一百五十三条 医疗机构未设立医院感染管理部门、分管部门以及指定专（兼）职人员负责医院感染预防与控制工作</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_Toc9479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219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1FF29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第一百五十四条 医疗机构违反医疗器械、器具的消毒工作技术规范</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994948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_Toc29323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第一百五十五条 医疗机构违反无菌操作技术规范和隔离技术规范</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_Toc29323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203A5B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_Toc10898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第一百五十六条 医疗机构未对消毒药械和一次性医疗器械、器具的相关证明进行审核</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_Toc10898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8B30BD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_Toc30040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第一百五十七条 医疗机构未对医务人员职业暴露提供职业卫生防护</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_Toc30040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F52273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_Toc13351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第一百五十八条 未采取预防和控制措施或者发生医院感染未及时采取控制措施，造成医院感染暴发、传染病传播或者其他严重后果的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_Toc13351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A61332A">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_Toc29508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（十六）《传染性非典型肺炎防治管理办法》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_Toc29508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1FCB60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_Toc30842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第一百五十九条 未依法履行疫情报告职责，隐瞒、缓报或者谎报的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_Toc30842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F00F8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_Toc16801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第一百六十条 拒绝服从卫生行政部门调遣的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_Toc16801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DC2610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_Toc14982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第一百六十一条 未按照规定及时采取预防控制措施的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_Toc14982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361976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_Toc30398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第一百六十二条 拒绝接诊病人或者疑似病人的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_Toc30398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126D7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_Toc17947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第一百六十三条 未按照规定履行监测职责的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_Toc17947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80A867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_Toc24356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第一百六十四条 对传染性非典型肺炎病原体污染的污水、污物、粪便不按规定进行消毒处理的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_Toc24356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B9AC89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_Toc24312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第一百六十五条 造成传染性非典型肺炎的医源性感染、医院内感染、实验室感染或者致病性微生物扩散的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_Toc24312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4696C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_Toc8671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第一百六十六条 生产、经营、使用消毒产品、隔离防护用品等不符合规定与标准，可能造成传染病的传播、扩散或者造成传染病的传播、扩散的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_Toc8671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229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DAB987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_Toc26739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第一百六十七条 拒绝、阻碍或者不配合现场调查、资料收集、采样检验以及监督检查的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_Toc26739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598CAC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_Toc9104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第一百六十八条 拒绝执行疾病预防控制机构提出的预防、控制措施的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_Toc9104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EC242D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_Toc20379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第一百六十九条 病人或者疑似病人故意传播传染性非典型肺炎，造成他人感染的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_Toc20379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D4A30AF">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_Toc21891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（十七）《中华人民共和国生物安全法》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_Toc21891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360B9E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_Toc1002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第一百七十条 医疗机构、专业机构或者其工作人员瞒报、谎报、缓报、漏报，授意他人瞒报、谎报、缓报，或者阻碍他人报告传染病或者不明原因的聚集性疾病的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_Toc1002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974D87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_Toc5524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第一百七十一条 从事国家禁止的生物技术研究、开发与应用活动的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_Toc5524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B98F77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_Toc20927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第一百七十二条 从事生物技术研究、开发活动未遵守国家生物技术研究开发安全管理规范的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_Toc20927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2B59C1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_Toc5687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第一百七十三条 从事病原微生物实验活动未在相应等级的实验室进行，或者高等级病原微生物实验室未经批准从事高致病性、疑似高致病性病原微生物实验活动的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_Toc5687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DDFEE1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_Toc14489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第一百七十四条 个人设立病原微生物实验室或者从事病原微生物实验活动的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_Toc14489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B27554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_Toc12803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第一百七十五条 未经实验室负责人批准进入高等级病原微生物实验室的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_Toc12803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E016220">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_Toc29015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（十</w:t>
      </w:r>
      <w:r>
        <w:rPr>
          <w:rFonts w:hint="eastAsia" w:ascii="Times New Roman" w:hAnsi="Times New Roman" w:eastAsia="楷体_GB2312" w:cs="楷体_GB2312"/>
          <w:bCs/>
          <w:sz w:val="24"/>
          <w:szCs w:val="24"/>
          <w:lang w:eastAsia="zh-CN"/>
        </w:rPr>
        <w:t>八</w:t>
      </w:r>
      <w:r>
        <w:rPr>
          <w:rFonts w:hint="eastAsia" w:ascii="Times New Roman" w:hAnsi="Times New Roman" w:eastAsia="楷体_GB2312" w:cs="楷体_GB2312"/>
          <w:bCs/>
          <w:sz w:val="24"/>
          <w:szCs w:val="24"/>
        </w:rPr>
        <w:t>）《国内交通卫生检疫条例》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_Toc29015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8D3172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_Toc16443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第一百七十六条 检疫传染病病人、病原携带者、疑似检疫传染病病人和与其密切接触者隐瞒真实情况、逃避交通卫生检疫的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_Toc16443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6126B3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_Toc3156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第一百七十七条 在非检疫传染病疫区的交通工具上发现检疫传染病病人、病原携带者、疑似检疫传染病病人时，交通工具负责人未依照本条例规定采取措施的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_Toc3156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67AC021">
      <w:pPr>
        <w:pStyle w:val="18"/>
        <w:tabs>
          <w:tab w:val="right" w:leader="dot" w:pos="13958"/>
        </w:tabs>
        <w:spacing w:line="316" w:lineRule="exact"/>
        <w:jc w:val="both"/>
        <w:rPr>
          <w:rFonts w:hint="eastAsia" w:eastAsia="黑体" w:cs="黑体"/>
          <w:b w:val="0"/>
          <w:caps w:val="0"/>
          <w:sz w:val="24"/>
          <w:szCs w:val="24"/>
        </w:rPr>
      </w:pP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黑体" w:cs="黑体"/>
          <w:b w:val="0"/>
          <w:bCs/>
          <w:caps w:val="0"/>
          <w:sz w:val="24"/>
          <w:szCs w:val="24"/>
          <w:highlight w:val="none"/>
          <w:lang w:val="en-US" w:eastAsia="zh-CN"/>
        </w:rPr>
        <w:instrText xml:space="preserve"> HYPERLINK \l _Toc15592 </w:instrText>
      </w:r>
      <w:r>
        <w:rPr>
          <w:rFonts w:hint="eastAsia" w:ascii="Times New Roman" w:hAnsi="Times New Roman" w:eastAsia="黑体" w:cs="黑体"/>
          <w:b w:val="0"/>
          <w:bCs/>
          <w:caps w:val="0"/>
          <w:sz w:val="24"/>
          <w:szCs w:val="24"/>
          <w:highlight w:val="none"/>
          <w:lang w:val="en-US" w:eastAsia="zh-CN"/>
        </w:rPr>
        <w:fldChar w:fldCharType="separate"/>
      </w:r>
      <w:r>
        <w:rPr>
          <w:rFonts w:hint="eastAsia" w:ascii="Times New Roman" w:hAnsi="Times New Roman" w:eastAsia="黑体" w:cs="黑体"/>
          <w:b w:val="0"/>
          <w:caps w:val="0"/>
          <w:kern w:val="2"/>
          <w:sz w:val="24"/>
          <w:szCs w:val="24"/>
        </w:rPr>
        <w:t>二、医疗卫生</w:t>
      </w:r>
      <w:r>
        <w:rPr>
          <w:rFonts w:hint="eastAsia" w:eastAsia="黑体" w:cs="黑体"/>
          <w:b w:val="0"/>
          <w:caps w:val="0"/>
          <w:sz w:val="24"/>
          <w:szCs w:val="24"/>
        </w:rPr>
        <w:tab/>
      </w:r>
      <w:r>
        <w:rPr>
          <w:rFonts w:hint="eastAsia" w:eastAsia="黑体" w:cs="黑体"/>
          <w:b w:val="0"/>
          <w:caps w:val="0"/>
          <w:sz w:val="24"/>
          <w:szCs w:val="24"/>
        </w:rPr>
        <w:fldChar w:fldCharType="begin"/>
      </w:r>
      <w:r>
        <w:rPr>
          <w:rFonts w:hint="eastAsia" w:eastAsia="黑体" w:cs="黑体"/>
          <w:b w:val="0"/>
          <w:caps w:val="0"/>
          <w:sz w:val="24"/>
          <w:szCs w:val="24"/>
        </w:rPr>
        <w:instrText xml:space="preserve"> PAGEREF _Toc15592 \h </w:instrText>
      </w:r>
      <w:r>
        <w:rPr>
          <w:rFonts w:hint="eastAsia" w:eastAsia="黑体" w:cs="黑体"/>
          <w:b w:val="0"/>
          <w:caps w:val="0"/>
          <w:sz w:val="24"/>
          <w:szCs w:val="24"/>
        </w:rPr>
        <w:fldChar w:fldCharType="separate"/>
      </w:r>
      <w:r>
        <w:rPr>
          <w:rFonts w:hint="eastAsia" w:eastAsia="黑体" w:cs="黑体"/>
          <w:b w:val="0"/>
          <w:caps w:val="0"/>
          <w:sz w:val="24"/>
          <w:szCs w:val="24"/>
        </w:rPr>
        <w:t>239</w:t>
      </w:r>
      <w:r>
        <w:rPr>
          <w:rFonts w:hint="eastAsia" w:eastAsia="黑体" w:cs="黑体"/>
          <w:b w:val="0"/>
          <w:caps w:val="0"/>
          <w:sz w:val="24"/>
          <w:szCs w:val="24"/>
        </w:rPr>
        <w:fldChar w:fldCharType="end"/>
      </w: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end"/>
      </w:r>
    </w:p>
    <w:p w14:paraId="458CF532">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_Toc17890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（一）《中华人民共和国基本医疗卫生与健康促进法》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_Toc17890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C6EB7B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_Toc4011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第一百七十八条 未取得医疗机构执业许可证擅自执业的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_Toc4011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239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D95859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_Toc17729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第一百七十九条 伪造、变造、买卖、出租、出借医疗机构执业许可证的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_Toc17729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7C257C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_Toc12567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第一百八十条 </w:t>
      </w:r>
      <w:r>
        <w:rPr>
          <w:rFonts w:hint="eastAsia" w:ascii="Times New Roman" w:hAnsi="Times New Roman" w:eastAsia="仿宋_GB2312" w:cs="仿宋_GB2312"/>
          <w:bCs/>
          <w:spacing w:val="-6"/>
          <w:sz w:val="24"/>
          <w:szCs w:val="24"/>
        </w:rPr>
        <w:t>政府举办的医疗卫生机构与其他组织投资设立非独立法人资格的医疗卫生机构的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_Toc12567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C7F6EA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_Toc14214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第一百八十一条 医疗卫生机构对外出租、承包医疗科室的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_Toc14214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62C9F0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_Toc27374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第一百八十二条</w:t>
      </w:r>
      <w:r>
        <w:rPr>
          <w:rFonts w:hint="eastAsia" w:ascii="Times New Roman" w:hAnsi="Times New Roman" w:eastAsia="仿宋_GB2312" w:cs="仿宋_GB2312"/>
          <w:bCs/>
          <w:kern w:val="0"/>
          <w:sz w:val="24"/>
          <w:szCs w:val="24"/>
        </w:rPr>
        <w:t xml:space="preserve"> 非营利性医疗卫生机构向出资人、举办者分配或者变相分配收益的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_Toc27374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3F794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_Toc11931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第一百八十三条</w:t>
      </w:r>
      <w:r>
        <w:rPr>
          <w:rFonts w:hint="eastAsia" w:ascii="Times New Roman" w:hAnsi="Times New Roman" w:eastAsia="仿宋_GB2312" w:cs="仿宋_GB2312"/>
          <w:bCs/>
          <w:kern w:val="0"/>
          <w:sz w:val="24"/>
          <w:szCs w:val="24"/>
        </w:rPr>
        <w:t xml:space="preserve"> 医疗卫生机构等的医疗信息安全制度、保障措施不健全，导致医疗信息泄露，或者医疗质量管理和医疗技术管理制度、安全措施不健全的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_Toc11931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DF29C5C">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_Toc8340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（二）《医疗机构管理条例》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_Toc8340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F1FC6E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_Toc20382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第一百八十四条</w:t>
      </w:r>
      <w:r>
        <w:rPr>
          <w:rFonts w:hint="eastAsia" w:ascii="Times New Roman" w:hAnsi="Times New Roman" w:eastAsia="仿宋_GB2312" w:cs="仿宋_GB2312"/>
          <w:bCs/>
          <w:kern w:val="0"/>
          <w:sz w:val="24"/>
          <w:szCs w:val="24"/>
        </w:rPr>
        <w:t xml:space="preserve"> 诊所未经备案执业的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_Toc20382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A24FC0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_Toc16337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第一百八十五条</w:t>
      </w:r>
      <w:r>
        <w:rPr>
          <w:rFonts w:hint="eastAsia" w:ascii="Times New Roman" w:hAnsi="Times New Roman" w:eastAsia="仿宋_GB2312" w:cs="仿宋_GB2312"/>
          <w:bCs/>
          <w:kern w:val="0"/>
          <w:sz w:val="24"/>
          <w:szCs w:val="24"/>
        </w:rPr>
        <w:t xml:space="preserve"> 逾期不校验《医疗机构执业许可证》仍从事诊疗活动的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_Toc16337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014FC6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_Toc4790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第一百八十六条</w:t>
      </w:r>
      <w:r>
        <w:rPr>
          <w:rFonts w:hint="eastAsia" w:ascii="Times New Roman" w:hAnsi="Times New Roman" w:eastAsia="仿宋_GB2312" w:cs="仿宋_GB2312"/>
          <w:bCs/>
          <w:kern w:val="0"/>
          <w:sz w:val="24"/>
          <w:szCs w:val="24"/>
        </w:rPr>
        <w:t xml:space="preserve"> 医疗机构诊疗活动超出登记的诊疗科目范围的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_Toc4790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7ABA55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_Toc27406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第一百八十七条</w:t>
      </w:r>
      <w:r>
        <w:rPr>
          <w:rFonts w:hint="eastAsia" w:ascii="Times New Roman" w:hAnsi="Times New Roman" w:eastAsia="仿宋_GB2312" w:cs="仿宋_GB2312"/>
          <w:bCs/>
          <w:kern w:val="0"/>
          <w:sz w:val="24"/>
          <w:szCs w:val="24"/>
        </w:rPr>
        <w:t xml:space="preserve"> 医疗机构诊疗科目或者范围超出登记范围的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_Toc27406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B355BC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_Toc5288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第一百八十八条</w:t>
      </w:r>
      <w:r>
        <w:rPr>
          <w:rFonts w:hint="eastAsia" w:ascii="Times New Roman" w:hAnsi="Times New Roman" w:eastAsia="仿宋_GB2312" w:cs="仿宋_GB2312"/>
          <w:bCs/>
          <w:kern w:val="0"/>
          <w:sz w:val="24"/>
          <w:szCs w:val="24"/>
        </w:rPr>
        <w:t xml:space="preserve"> 使用非卫生技术人员从事医疗卫生技术工作的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_Toc5288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E7A8D9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_Toc31035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第一百八十九条</w:t>
      </w:r>
      <w:r>
        <w:rPr>
          <w:rFonts w:hint="eastAsia" w:ascii="Times New Roman" w:hAnsi="Times New Roman" w:eastAsia="仿宋_GB2312" w:cs="仿宋_GB2312"/>
          <w:bCs/>
          <w:kern w:val="0"/>
          <w:sz w:val="24"/>
          <w:szCs w:val="24"/>
        </w:rPr>
        <w:t xml:space="preserve"> 出具虚假证明文件的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_Toc31035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8532EE9">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_Toc22198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（三）《中华人民共和国医师法》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_Toc22198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ED379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_Toc12769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第一百九十条</w:t>
      </w:r>
      <w:r>
        <w:rPr>
          <w:rFonts w:hint="eastAsia" w:ascii="Times New Roman" w:hAnsi="Times New Roman" w:eastAsia="仿宋_GB2312" w:cs="仿宋_GB2312"/>
          <w:bCs/>
          <w:kern w:val="0"/>
          <w:sz w:val="24"/>
          <w:szCs w:val="24"/>
        </w:rPr>
        <w:t xml:space="preserve"> 伪造、变造、买卖、出租、出借医师执业证书的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_Toc12769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249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A92A5D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_Toc30457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第一百九十一条</w:t>
      </w:r>
      <w:r>
        <w:rPr>
          <w:rFonts w:hint="eastAsia" w:ascii="Times New Roman" w:hAnsi="Times New Roman" w:eastAsia="仿宋_GB2312" w:cs="仿宋_GB2312"/>
          <w:bCs/>
          <w:kern w:val="0"/>
          <w:sz w:val="24"/>
          <w:szCs w:val="24"/>
        </w:rPr>
        <w:t xml:space="preserve"> 医师在提供医疗卫生服务或者开展医学临床研究中，未按照规定履行告知义务或者取得知情同意</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_Toc30457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86EF8B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_Toc20380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第一百九十二条</w:t>
      </w:r>
      <w:r>
        <w:rPr>
          <w:rFonts w:hint="eastAsia" w:ascii="Times New Roman" w:hAnsi="Times New Roman" w:eastAsia="仿宋_GB2312" w:cs="仿宋_GB2312"/>
          <w:bCs/>
          <w:kern w:val="0"/>
          <w:sz w:val="24"/>
          <w:szCs w:val="24"/>
        </w:rPr>
        <w:t xml:space="preserve"> 医师对需要紧急救治的患者，拒绝急救处置，或者由于不负责任延误诊治</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_Toc20380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BCA6FB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第一百九十三条</w:t>
      </w:r>
      <w:r>
        <w:rPr>
          <w:rFonts w:hint="eastAsia" w:ascii="Times New Roman" w:hAnsi="Times New Roman" w:eastAsia="仿宋_GB2312" w:cs="仿宋_GB2312"/>
          <w:bCs/>
          <w:kern w:val="0"/>
          <w:sz w:val="24"/>
          <w:szCs w:val="24"/>
        </w:rPr>
        <w:t xml:space="preserve"> 医师在遇有自然灾害、事故灾难、公共卫生事件和社会安全事件等严重威胁人民生命健康的突发事件时，不服从卫生健康主管部门调遣</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1E21D7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_Toc4783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第一百九十四条</w:t>
      </w:r>
      <w:r>
        <w:rPr>
          <w:rFonts w:hint="eastAsia" w:ascii="Times New Roman" w:hAnsi="Times New Roman" w:eastAsia="仿宋_GB2312" w:cs="仿宋_GB2312"/>
          <w:bCs/>
          <w:kern w:val="0"/>
          <w:sz w:val="24"/>
          <w:szCs w:val="24"/>
        </w:rPr>
        <w:t xml:space="preserve"> 医师未按照规定报告有关情形</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_Toc4783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AA38AD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_Toc29404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第一百九十五条</w:t>
      </w:r>
      <w:r>
        <w:rPr>
          <w:rFonts w:hint="eastAsia" w:ascii="Times New Roman" w:hAnsi="Times New Roman" w:eastAsia="仿宋_GB2312" w:cs="仿宋_GB2312"/>
          <w:bCs/>
          <w:kern w:val="0"/>
          <w:sz w:val="24"/>
          <w:szCs w:val="24"/>
        </w:rPr>
        <w:t xml:space="preserve"> 医师违反法律、法规、规章或者执业规范，造成医疗事故或者其他严重后果</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_Toc29404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E98FBC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_Toc15941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第一百九十六条</w:t>
      </w:r>
      <w:r>
        <w:rPr>
          <w:rFonts w:hint="eastAsia" w:ascii="Times New Roman" w:hAnsi="Times New Roman" w:eastAsia="仿宋_GB2312" w:cs="仿宋_GB2312"/>
          <w:bCs/>
          <w:kern w:val="0"/>
          <w:sz w:val="24"/>
          <w:szCs w:val="24"/>
        </w:rPr>
        <w:t xml:space="preserve"> 医师泄露患者隐私或者个人信息</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_Toc15941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71CA64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_Toc24615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第一百九十七条</w:t>
      </w:r>
      <w:r>
        <w:rPr>
          <w:rFonts w:hint="eastAsia" w:ascii="Times New Roman" w:hAnsi="Times New Roman" w:eastAsia="仿宋_GB2312" w:cs="仿宋_GB2312"/>
          <w:bCs/>
          <w:kern w:val="0"/>
          <w:sz w:val="24"/>
          <w:szCs w:val="24"/>
        </w:rPr>
        <w:t xml:space="preserve"> 医师出具虚假医学证明文件，或者未经亲自诊查、调查，签署诊断、治疗、流行病学等证明文件或者有关出生、死亡等证明文件</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_Toc24615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68DE11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_Toc22109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第一百九十八条</w:t>
      </w:r>
      <w:r>
        <w:rPr>
          <w:rFonts w:hint="eastAsia" w:ascii="Times New Roman" w:hAnsi="Times New Roman" w:eastAsia="仿宋_GB2312" w:cs="仿宋_GB2312"/>
          <w:bCs/>
          <w:kern w:val="0"/>
          <w:sz w:val="24"/>
          <w:szCs w:val="24"/>
        </w:rPr>
        <w:t xml:space="preserve"> 医师在执业活动中隐匿、伪造、篡改或者擅自销毁病历等医学文书及有关资料</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_Toc22109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079A21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_Toc26521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第一百九十九条</w:t>
      </w:r>
      <w:r>
        <w:rPr>
          <w:rFonts w:hint="eastAsia" w:ascii="Times New Roman" w:hAnsi="Times New Roman" w:eastAsia="仿宋_GB2312" w:cs="仿宋_GB2312"/>
          <w:bCs/>
          <w:kern w:val="0"/>
          <w:sz w:val="24"/>
          <w:szCs w:val="24"/>
        </w:rPr>
        <w:t xml:space="preserve"> 医师在执业活动中未按照规定使用麻醉药品、医疗用毒性药品、精神药品、放射性药品等</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_Toc26521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685A2A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_Toc23523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第二百条</w:t>
      </w:r>
      <w:r>
        <w:rPr>
          <w:rFonts w:hint="eastAsia" w:ascii="Times New Roman" w:hAnsi="Times New Roman" w:eastAsia="仿宋_GB2312" w:cs="仿宋_GB2312"/>
          <w:bCs/>
          <w:kern w:val="0"/>
          <w:sz w:val="24"/>
          <w:szCs w:val="24"/>
        </w:rPr>
        <w:t xml:space="preserve"> 医师在执业活动中利用职务之便，索要、非法收受财物或者牟取其他不正当利益，或者违反诊疗规范，对患者实施不必要的检查、治疗造成不良后果</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_Toc23523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3E780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_Toc3720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第二百零一条</w:t>
      </w:r>
      <w:r>
        <w:rPr>
          <w:rFonts w:hint="eastAsia" w:ascii="Times New Roman" w:hAnsi="Times New Roman" w:eastAsia="仿宋_GB2312" w:cs="仿宋_GB2312"/>
          <w:bCs/>
          <w:kern w:val="0"/>
          <w:sz w:val="24"/>
          <w:szCs w:val="24"/>
        </w:rPr>
        <w:t xml:space="preserve"> 医师在执业活动中开展禁止类医疗技术临床应用</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_Toc3720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259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E03A9A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_Toc9717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第二百零二条</w:t>
      </w:r>
      <w:r>
        <w:rPr>
          <w:rFonts w:hint="eastAsia" w:ascii="Times New Roman" w:hAnsi="Times New Roman" w:eastAsia="仿宋_GB2312" w:cs="仿宋_GB2312"/>
          <w:bCs/>
          <w:kern w:val="0"/>
          <w:sz w:val="24"/>
          <w:szCs w:val="24"/>
        </w:rPr>
        <w:t xml:space="preserve"> 医师未按照注册的执业地点、执业类别、执业范围执业的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_Toc9717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07484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_Toc15287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第二百零三条</w:t>
      </w:r>
      <w:r>
        <w:rPr>
          <w:rFonts w:hint="eastAsia" w:ascii="Times New Roman" w:hAnsi="Times New Roman" w:eastAsia="仿宋_GB2312" w:cs="仿宋_GB2312"/>
          <w:bCs/>
          <w:kern w:val="0"/>
          <w:sz w:val="24"/>
          <w:szCs w:val="24"/>
        </w:rPr>
        <w:t xml:space="preserve"> 医师在执业活动中严重违反医师职业道德、医学伦理规范，造成恶劣社会影响的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_Toc15287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2D9DEA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_Toc966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第二百零四条</w:t>
      </w:r>
      <w:r>
        <w:rPr>
          <w:rFonts w:hint="eastAsia" w:ascii="Times New Roman" w:hAnsi="Times New Roman" w:eastAsia="仿宋_GB2312" w:cs="仿宋_GB2312"/>
          <w:bCs/>
          <w:kern w:val="0"/>
          <w:sz w:val="24"/>
          <w:szCs w:val="24"/>
        </w:rPr>
        <w:t xml:space="preserve"> 非医师行医</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_Toc966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21A61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_Toc17073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第二百零五条</w:t>
      </w:r>
      <w:r>
        <w:rPr>
          <w:rFonts w:hint="eastAsia" w:ascii="Times New Roman" w:hAnsi="Times New Roman" w:eastAsia="仿宋_GB2312" w:cs="仿宋_GB2312"/>
          <w:bCs/>
          <w:kern w:val="0"/>
          <w:sz w:val="24"/>
          <w:szCs w:val="24"/>
        </w:rPr>
        <w:t xml:space="preserve"> 医疗卫生机构未履行报告职责，造成严重后果的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_Toc17073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5AF70A1">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_Toc5093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（四）《护士条例》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_Toc5093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3AC786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_Toc22093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第二百零六条</w:t>
      </w:r>
      <w:r>
        <w:rPr>
          <w:rFonts w:hint="eastAsia" w:ascii="Times New Roman" w:hAnsi="Times New Roman" w:eastAsia="仿宋_GB2312" w:cs="仿宋_GB2312"/>
          <w:bCs/>
          <w:kern w:val="0"/>
          <w:sz w:val="24"/>
          <w:szCs w:val="24"/>
        </w:rPr>
        <w:t xml:space="preserve"> 护士的配备数量低于国务院卫生主管部门规定的护士配备标准的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_Toc22093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48C896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_Toc15522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第二百零七条</w:t>
      </w:r>
      <w:r>
        <w:rPr>
          <w:rFonts w:hint="eastAsia" w:ascii="Times New Roman" w:hAnsi="Times New Roman" w:eastAsia="仿宋_GB2312" w:cs="仿宋_GB2312"/>
          <w:bCs/>
          <w:kern w:val="0"/>
          <w:sz w:val="24"/>
          <w:szCs w:val="24"/>
        </w:rPr>
        <w:t xml:space="preserve"> 允许未取得护士执业证书的人员或者允许未依照《护士条例》规定办理执业地点变更手续、延续执业注册有效期的护士在本机构从事诊疗技术规范规定的护理活动的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_Toc15522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4F4D41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_Toc19609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第二百零八条</w:t>
      </w:r>
      <w:r>
        <w:rPr>
          <w:rFonts w:hint="eastAsia" w:ascii="Times New Roman" w:hAnsi="Times New Roman" w:eastAsia="仿宋_GB2312" w:cs="仿宋_GB2312"/>
          <w:bCs/>
          <w:kern w:val="0"/>
          <w:sz w:val="24"/>
          <w:szCs w:val="24"/>
        </w:rPr>
        <w:t xml:space="preserve"> 医疗卫生机构未制定、实施本机构护士在职培训计划或者未保证护士接受培训的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_Toc19609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278528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_Toc1919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第二百零九条</w:t>
      </w:r>
      <w:r>
        <w:rPr>
          <w:rFonts w:hint="eastAsia" w:ascii="Times New Roman" w:hAnsi="Times New Roman" w:eastAsia="仿宋_GB2312" w:cs="仿宋_GB2312"/>
          <w:bCs/>
          <w:kern w:val="0"/>
          <w:sz w:val="24"/>
          <w:szCs w:val="24"/>
        </w:rPr>
        <w:t xml:space="preserve"> 医疗卫生机构未依照本条例规定履行护士管理职责的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_Toc1919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C67E89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_Toc10653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第二百一十条</w:t>
      </w:r>
      <w:r>
        <w:rPr>
          <w:rFonts w:hint="eastAsia" w:ascii="Times New Roman" w:hAnsi="Times New Roman" w:eastAsia="仿宋_GB2312" w:cs="仿宋_GB2312"/>
          <w:bCs/>
          <w:kern w:val="0"/>
          <w:sz w:val="24"/>
          <w:szCs w:val="24"/>
        </w:rPr>
        <w:t xml:space="preserve"> 护士发现患者病情危急未立即通知医师的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_Toc10653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D5579C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_Toc20804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第二百一十一条</w:t>
      </w:r>
      <w:r>
        <w:rPr>
          <w:rFonts w:hint="eastAsia" w:ascii="Times New Roman" w:hAnsi="Times New Roman" w:eastAsia="仿宋_GB2312" w:cs="仿宋_GB2312"/>
          <w:bCs/>
          <w:kern w:val="0"/>
          <w:sz w:val="24"/>
          <w:szCs w:val="24"/>
        </w:rPr>
        <w:t xml:space="preserve"> </w:t>
      </w:r>
      <w:r>
        <w:rPr>
          <w:rFonts w:hint="eastAsia" w:ascii="Times New Roman" w:hAnsi="Times New Roman" w:eastAsia="仿宋_GB2312" w:cs="仿宋_GB2312"/>
          <w:bCs/>
          <w:spacing w:val="-11"/>
          <w:kern w:val="0"/>
          <w:sz w:val="24"/>
          <w:szCs w:val="24"/>
        </w:rPr>
        <w:t>护士发现医嘱违反法律、法规、规章或者诊疗技术规范的规定，未依照本条例第十七条的规定提出或者报告的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_Toc20804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4405F8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_Toc23798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第二百一十二条</w:t>
      </w:r>
      <w:r>
        <w:rPr>
          <w:rFonts w:hint="eastAsia" w:ascii="Times New Roman" w:hAnsi="Times New Roman" w:eastAsia="仿宋_GB2312" w:cs="仿宋_GB2312"/>
          <w:bCs/>
          <w:kern w:val="0"/>
          <w:sz w:val="24"/>
          <w:szCs w:val="24"/>
        </w:rPr>
        <w:t xml:space="preserve"> 护士泄露患者隐私的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_Toc23798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020129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_Toc27615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第二百一十三条</w:t>
      </w:r>
      <w:r>
        <w:rPr>
          <w:rFonts w:hint="eastAsia" w:ascii="Times New Roman" w:hAnsi="Times New Roman" w:eastAsia="仿宋_GB2312" w:cs="仿宋_GB2312"/>
          <w:bCs/>
          <w:kern w:val="0"/>
          <w:sz w:val="24"/>
          <w:szCs w:val="24"/>
        </w:rPr>
        <w:t xml:space="preserve"> 发生自然灾害、公共卫生事件等严重威胁公众生命健康的突发事件，护士不服从安排参加医疗救护的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_Toc27615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9C9CCF9">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_Toc15192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（五）《乡村医生从业管理条例》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_Toc15192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FB6711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_Toc25026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第二百一十四条</w:t>
      </w:r>
      <w:r>
        <w:rPr>
          <w:rFonts w:hint="eastAsia" w:ascii="Times New Roman" w:hAnsi="Times New Roman" w:eastAsia="仿宋_GB2312" w:cs="仿宋_GB2312"/>
          <w:bCs/>
          <w:kern w:val="0"/>
          <w:sz w:val="24"/>
          <w:szCs w:val="24"/>
        </w:rPr>
        <w:t xml:space="preserve"> 乡村医生执业活动超出规定的执业范围，或者未按照规定进行转诊的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_Toc25026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269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411463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_Toc21428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第二百一十五条</w:t>
      </w:r>
      <w:r>
        <w:rPr>
          <w:rFonts w:hint="eastAsia" w:ascii="Times New Roman" w:hAnsi="Times New Roman" w:eastAsia="仿宋_GB2312" w:cs="仿宋_GB2312"/>
          <w:bCs/>
          <w:kern w:val="0"/>
          <w:sz w:val="24"/>
          <w:szCs w:val="24"/>
        </w:rPr>
        <w:t xml:space="preserve"> 违反规定使用乡村医生基本用药目录以外的处方药品的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_Toc21428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9DCEB7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_Toc26494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第二百一十六条</w:t>
      </w:r>
      <w:r>
        <w:rPr>
          <w:rFonts w:hint="eastAsia" w:ascii="Times New Roman" w:hAnsi="Times New Roman" w:eastAsia="仿宋_GB2312" w:cs="仿宋_GB2312"/>
          <w:bCs/>
          <w:kern w:val="0"/>
          <w:sz w:val="24"/>
          <w:szCs w:val="24"/>
        </w:rPr>
        <w:t xml:space="preserve"> 乡村医生违反规定出具医学证明，或者伪造卫生统计资料的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_Toc26494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92A78F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_Toc28989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第二百一十七条</w:t>
      </w:r>
      <w:r>
        <w:rPr>
          <w:rFonts w:hint="eastAsia" w:ascii="Times New Roman" w:hAnsi="Times New Roman" w:eastAsia="仿宋_GB2312" w:cs="仿宋_GB2312"/>
          <w:bCs/>
          <w:kern w:val="0"/>
          <w:sz w:val="24"/>
          <w:szCs w:val="24"/>
        </w:rPr>
        <w:t xml:space="preserve"> 发现传染病疫情、中毒事件不按规定报告的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_Toc28989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AAEA4E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_Toc11925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第二百一十八条</w:t>
      </w:r>
      <w:r>
        <w:rPr>
          <w:rFonts w:hint="eastAsia" w:ascii="Times New Roman" w:hAnsi="Times New Roman" w:eastAsia="仿宋_GB2312" w:cs="仿宋_GB2312"/>
          <w:bCs/>
          <w:kern w:val="0"/>
          <w:sz w:val="24"/>
          <w:szCs w:val="24"/>
        </w:rPr>
        <w:t xml:space="preserve"> </w:t>
      </w:r>
      <w:r>
        <w:rPr>
          <w:rFonts w:hint="eastAsia" w:ascii="Times New Roman" w:hAnsi="Times New Roman" w:eastAsia="仿宋_GB2312" w:cs="仿宋_GB2312"/>
          <w:bCs/>
          <w:spacing w:val="-6"/>
          <w:kern w:val="0"/>
          <w:sz w:val="24"/>
          <w:szCs w:val="24"/>
        </w:rPr>
        <w:t>违反规定进行实验性临床医疗活动，或者重复使用一次性医疗器械和卫生材料的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_Toc11925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46554B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_Toc4552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第二百一十九条</w:t>
      </w:r>
      <w:r>
        <w:rPr>
          <w:rFonts w:hint="eastAsia" w:ascii="Times New Roman" w:hAnsi="Times New Roman" w:eastAsia="仿宋_GB2312" w:cs="仿宋_GB2312"/>
          <w:bCs/>
          <w:kern w:val="0"/>
          <w:sz w:val="24"/>
          <w:szCs w:val="24"/>
        </w:rPr>
        <w:t xml:space="preserve"> 未经注册在村医疗卫生机构从事医疗活动的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_Toc4552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1B6369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_Toc18717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第二百二十条</w:t>
      </w:r>
      <w:r>
        <w:rPr>
          <w:rFonts w:hint="eastAsia" w:ascii="Times New Roman" w:hAnsi="Times New Roman" w:eastAsia="仿宋_GB2312" w:cs="仿宋_GB2312"/>
          <w:bCs/>
          <w:kern w:val="0"/>
          <w:sz w:val="24"/>
          <w:szCs w:val="24"/>
        </w:rPr>
        <w:t xml:space="preserve"> 乡村医生变更执业的村医疗卫生机构，未办理变更执业注册手续的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_Toc18717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C076CB8">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_Toc30895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（六）《医师外出会诊管理暂行规定》</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_Toc30895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74AB7C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_Toc4595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第二百二十一条</w:t>
      </w:r>
      <w:r>
        <w:rPr>
          <w:rFonts w:hint="eastAsia" w:ascii="Times New Roman" w:hAnsi="Times New Roman" w:eastAsia="仿宋_GB2312" w:cs="仿宋_GB2312"/>
          <w:bCs/>
          <w:kern w:val="0"/>
          <w:sz w:val="24"/>
          <w:szCs w:val="24"/>
        </w:rPr>
        <w:t xml:space="preserve"> 会诊邀请超出医疗机构诊疗科目的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_Toc4595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CCE6B3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_Toc5166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第二百二十二条</w:t>
      </w:r>
      <w:r>
        <w:rPr>
          <w:rFonts w:hint="eastAsia" w:ascii="Times New Roman" w:hAnsi="Times New Roman" w:eastAsia="仿宋_GB2312" w:cs="仿宋_GB2312"/>
          <w:bCs/>
          <w:kern w:val="0"/>
          <w:sz w:val="24"/>
          <w:szCs w:val="24"/>
        </w:rPr>
        <w:t xml:space="preserve"> 医疗机构违反《医师外出会诊管理暂行规定》第六条、第八条、第十五条的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_Toc5166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E0AC340">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（七）《医疗气功管理暂行规定》</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A36B27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_Toc21607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第二百二十三条</w:t>
      </w:r>
      <w:r>
        <w:rPr>
          <w:rFonts w:hint="eastAsia" w:ascii="Times New Roman" w:hAnsi="Times New Roman" w:eastAsia="仿宋_GB2312" w:cs="仿宋_GB2312"/>
          <w:bCs/>
          <w:kern w:val="0"/>
          <w:sz w:val="24"/>
          <w:szCs w:val="24"/>
        </w:rPr>
        <w:t xml:space="preserve"> 开展医疗气功活动不符合相关管理规定的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_Toc21607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011032">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_Toc4622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（八）《香港、澳门特别行政区医师在内地短期行医管理规定》</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_Toc4622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279C52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_Toc7046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第二百二十四条</w:t>
      </w:r>
      <w:r>
        <w:rPr>
          <w:rFonts w:hint="eastAsia" w:ascii="Times New Roman" w:hAnsi="Times New Roman" w:eastAsia="仿宋_GB2312" w:cs="仿宋_GB2312"/>
          <w:bCs/>
          <w:kern w:val="0"/>
          <w:sz w:val="24"/>
          <w:szCs w:val="24"/>
        </w:rPr>
        <w:t xml:space="preserve"> 医疗机构聘用未经内地短期行医执业注册的港澳医师从事诊疗活动的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_Toc7046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246FF7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_Toc24640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第二百二十五条</w:t>
      </w:r>
      <w:r>
        <w:rPr>
          <w:rFonts w:hint="eastAsia" w:ascii="Times New Roman" w:hAnsi="Times New Roman" w:eastAsia="仿宋_GB2312" w:cs="仿宋_GB2312"/>
          <w:bCs/>
          <w:kern w:val="0"/>
          <w:sz w:val="24"/>
          <w:szCs w:val="24"/>
        </w:rPr>
        <w:t xml:space="preserve"> 港澳医师未取得《港澳医师短期行医执业证书》行医或者未按照注册的有效期从事诊疗活动的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_Toc24640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5C27ED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_Toc14357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第二百二十六条</w:t>
      </w:r>
      <w:r>
        <w:rPr>
          <w:rFonts w:hint="eastAsia" w:ascii="Times New Roman" w:hAnsi="Times New Roman" w:eastAsia="仿宋_GB2312" w:cs="仿宋_GB2312"/>
          <w:bCs/>
          <w:kern w:val="0"/>
          <w:sz w:val="24"/>
          <w:szCs w:val="24"/>
        </w:rPr>
        <w:t xml:space="preserve"> 医疗机构聘用未经大陆短期行医执业注册的台湾医师从事诊疗活动，视为聘用非卫生技术人员</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_Toc14357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279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B3555C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_Toc9706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第二百二十七条</w:t>
      </w:r>
      <w:r>
        <w:rPr>
          <w:rFonts w:hint="eastAsia" w:ascii="Times New Roman" w:hAnsi="Times New Roman" w:eastAsia="仿宋_GB2312" w:cs="仿宋_GB2312"/>
          <w:bCs/>
          <w:kern w:val="0"/>
          <w:sz w:val="24"/>
          <w:szCs w:val="24"/>
        </w:rPr>
        <w:t xml:space="preserve"> 台湾医师未取得《台湾医师短期行医执业证书》行医或者未按照注册的有效期从事诊疗活动的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_Toc9706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D5A9290">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_Toc17895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（九）《中华人民共和国精神卫生法》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_Toc17895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030E09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_Toc1838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第二百二十八条</w:t>
      </w:r>
      <w:r>
        <w:rPr>
          <w:rFonts w:hint="eastAsia" w:ascii="Times New Roman" w:hAnsi="Times New Roman" w:eastAsia="仿宋_GB2312" w:cs="仿宋_GB2312"/>
          <w:bCs/>
          <w:kern w:val="0"/>
          <w:sz w:val="24"/>
          <w:szCs w:val="24"/>
        </w:rPr>
        <w:t xml:space="preserve"> 不符合《中华人民共和国精神卫生法》规定条件的医疗机构擅自从事精神障碍诊断、治疗的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_Toc1838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7D9165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_Toc1683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第二百二十九条</w:t>
      </w:r>
      <w:r>
        <w:rPr>
          <w:rFonts w:hint="eastAsia" w:ascii="Times New Roman" w:hAnsi="Times New Roman" w:eastAsia="仿宋_GB2312" w:cs="仿宋_GB2312"/>
          <w:bCs/>
          <w:kern w:val="0"/>
          <w:sz w:val="24"/>
          <w:szCs w:val="24"/>
        </w:rPr>
        <w:t xml:space="preserve"> 医疗机构及其工作人员拒绝对送诊的疑似精神障碍患者作出诊断的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_Toc1683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DBC1A2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_Toc2536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第二百三十条</w:t>
      </w:r>
      <w:r>
        <w:rPr>
          <w:rFonts w:hint="eastAsia" w:ascii="Times New Roman" w:hAnsi="Times New Roman" w:eastAsia="仿宋_GB2312" w:cs="仿宋_GB2312"/>
          <w:bCs/>
          <w:kern w:val="0"/>
          <w:sz w:val="24"/>
          <w:szCs w:val="24"/>
        </w:rPr>
        <w:t xml:space="preserve"> 医疗机构及其工作人员实施住院治疗的患者未及时进行检查评估或者未根据评估结果作出处理的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_Toc2536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6A869B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_Toc22988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第二百三十一条</w:t>
      </w:r>
      <w:r>
        <w:rPr>
          <w:rFonts w:hint="eastAsia" w:ascii="Times New Roman" w:hAnsi="Times New Roman" w:eastAsia="仿宋_GB2312" w:cs="仿宋_GB2312"/>
          <w:bCs/>
          <w:kern w:val="0"/>
          <w:sz w:val="24"/>
          <w:szCs w:val="24"/>
        </w:rPr>
        <w:t xml:space="preserve"> 医疗机构及其工作人员违反《中华人民共和国精神卫生法》规定实施约束、隔离等保护性医疗措施的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_Toc22988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6522B9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第二百三十二条</w:t>
      </w:r>
      <w:r>
        <w:rPr>
          <w:rFonts w:hint="eastAsia" w:ascii="Times New Roman" w:hAnsi="Times New Roman" w:eastAsia="仿宋_GB2312" w:cs="仿宋_GB2312"/>
          <w:bCs/>
          <w:kern w:val="0"/>
          <w:sz w:val="24"/>
          <w:szCs w:val="24"/>
        </w:rPr>
        <w:t xml:space="preserve"> 违反《中华人民共和国精神卫生法》，强迫精神障碍患者劳动的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E86715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_Toc30608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第二百三十三条</w:t>
      </w:r>
      <w:r>
        <w:rPr>
          <w:rFonts w:hint="eastAsia" w:ascii="Times New Roman" w:hAnsi="Times New Roman" w:eastAsia="仿宋_GB2312" w:cs="仿宋_GB2312"/>
          <w:bCs/>
          <w:kern w:val="0"/>
          <w:sz w:val="24"/>
          <w:szCs w:val="24"/>
        </w:rPr>
        <w:t xml:space="preserve"> 违反《中华人民共和国精神卫生法》规定，对精神障碍患者实施外科手术或者实验性临床医疗的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_Toc30608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68EE44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_Toc20103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第二百三十四条</w:t>
      </w:r>
      <w:r>
        <w:rPr>
          <w:rFonts w:hint="eastAsia" w:ascii="Times New Roman" w:hAnsi="Times New Roman" w:eastAsia="仿宋_GB2312" w:cs="仿宋_GB2312"/>
          <w:bCs/>
          <w:kern w:val="0"/>
          <w:sz w:val="24"/>
          <w:szCs w:val="24"/>
        </w:rPr>
        <w:t xml:space="preserve"> 违反《中华人民共和国精神卫生法》规定，侵害精神障碍患者的通讯和会见探访者等权利的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_Toc20103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6B8D8E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_Toc794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第二百三十五条</w:t>
      </w:r>
      <w:r>
        <w:rPr>
          <w:rFonts w:hint="eastAsia" w:ascii="Times New Roman" w:hAnsi="Times New Roman" w:eastAsia="仿宋_GB2312" w:cs="仿宋_GB2312"/>
          <w:bCs/>
          <w:kern w:val="0"/>
          <w:sz w:val="24"/>
          <w:szCs w:val="24"/>
        </w:rPr>
        <w:t xml:space="preserve"> 违反精神障碍诊断标准，将非精神障碍患者诊断为精神障碍患者的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_Toc794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C7B9E2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_Toc29948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第二百三十六条</w:t>
      </w:r>
      <w:r>
        <w:rPr>
          <w:rFonts w:hint="eastAsia" w:ascii="Times New Roman" w:hAnsi="Times New Roman" w:eastAsia="仿宋_GB2312" w:cs="仿宋_GB2312"/>
          <w:bCs/>
          <w:kern w:val="0"/>
          <w:sz w:val="24"/>
          <w:szCs w:val="24"/>
        </w:rPr>
        <w:t xml:space="preserve"> 心理咨询人员从事心理治疗或者精神障碍的诊断、治疗的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_Toc29948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B295CF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_Toc13732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第二百三十七条</w:t>
      </w:r>
      <w:r>
        <w:rPr>
          <w:rFonts w:hint="eastAsia" w:ascii="Times New Roman" w:hAnsi="Times New Roman" w:eastAsia="仿宋_GB2312" w:cs="仿宋_GB2312"/>
          <w:bCs/>
          <w:kern w:val="0"/>
          <w:sz w:val="24"/>
          <w:szCs w:val="24"/>
        </w:rPr>
        <w:t xml:space="preserve"> 从事心理治疗的人员在医疗机构以外开展心理治疗活动的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_Toc13732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C8A485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_Toc11496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第二百三十八条</w:t>
      </w:r>
      <w:r>
        <w:rPr>
          <w:rFonts w:hint="eastAsia" w:ascii="Times New Roman" w:hAnsi="Times New Roman" w:eastAsia="仿宋_GB2312" w:cs="仿宋_GB2312"/>
          <w:bCs/>
          <w:kern w:val="0"/>
          <w:sz w:val="24"/>
          <w:szCs w:val="24"/>
        </w:rPr>
        <w:t xml:space="preserve"> 专门从事心理治疗的人员从事精神障碍的诊断的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_Toc11496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7C53EE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_Toc4948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第二百三十九条</w:t>
      </w:r>
      <w:r>
        <w:rPr>
          <w:rFonts w:hint="eastAsia" w:ascii="Times New Roman" w:hAnsi="Times New Roman" w:eastAsia="仿宋_GB2312" w:cs="仿宋_GB2312"/>
          <w:bCs/>
          <w:kern w:val="0"/>
          <w:sz w:val="24"/>
          <w:szCs w:val="24"/>
        </w:rPr>
        <w:t xml:space="preserve"> 专门从事心理治疗的人员为精神障碍患者开具处方或者提供外科治疗的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_Toc4948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0B47AA6">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_Toc21400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（十）《健康体检管理暂行规定》</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_Toc21400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311E6B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_Toc28582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第二百四十条</w:t>
      </w:r>
      <w:r>
        <w:rPr>
          <w:rFonts w:hint="eastAsia" w:ascii="Times New Roman" w:hAnsi="Times New Roman" w:eastAsia="仿宋_GB2312" w:cs="仿宋_GB2312"/>
          <w:bCs/>
          <w:kern w:val="0"/>
          <w:sz w:val="24"/>
          <w:szCs w:val="24"/>
        </w:rPr>
        <w:t xml:space="preserve"> 医疗机构未经许可开展健康体检的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_Toc28582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18FBAAA">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_Toc7836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（十一）《中华人民共和国中医药法》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_Toc7836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4DB61D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_Toc4033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第二百四十一条</w:t>
      </w:r>
      <w:r>
        <w:rPr>
          <w:rFonts w:hint="eastAsia" w:ascii="Times New Roman" w:hAnsi="Times New Roman" w:eastAsia="仿宋_GB2312" w:cs="仿宋_GB2312"/>
          <w:bCs/>
          <w:kern w:val="0"/>
          <w:sz w:val="24"/>
          <w:szCs w:val="24"/>
        </w:rPr>
        <w:t xml:space="preserve"> 中医诊所超出备案范围开展医疗活动的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_Toc4033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993A3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_Toc23883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第二百四十二条</w:t>
      </w:r>
      <w:r>
        <w:rPr>
          <w:rFonts w:hint="eastAsia" w:ascii="Times New Roman" w:hAnsi="Times New Roman" w:eastAsia="仿宋_GB2312" w:cs="仿宋_GB2312"/>
          <w:bCs/>
          <w:kern w:val="0"/>
          <w:sz w:val="24"/>
          <w:szCs w:val="24"/>
          <w:lang w:eastAsia="zh-CN"/>
        </w:rPr>
        <w:t xml:space="preserve"> </w:t>
      </w:r>
      <w:r>
        <w:rPr>
          <w:rFonts w:hint="eastAsia" w:ascii="Times New Roman" w:hAnsi="Times New Roman" w:eastAsia="仿宋_GB2312" w:cs="仿宋_GB2312"/>
          <w:bCs/>
          <w:kern w:val="0"/>
          <w:sz w:val="24"/>
          <w:szCs w:val="24"/>
        </w:rPr>
        <w:t>中医诊所被责令停止执业活动的，其直接负责的主管人员自处罚决定作出之日起五年内不得在医疗机构内从事管理工作，医疗机构聘用上述不得从事管理工作的人员从事管理工作的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_Toc23883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00F123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_Toc29834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第二百四十三条</w:t>
      </w:r>
      <w:r>
        <w:rPr>
          <w:rFonts w:hint="eastAsia" w:ascii="Times New Roman" w:hAnsi="Times New Roman" w:eastAsia="仿宋_GB2312" w:cs="仿宋_GB2312"/>
          <w:bCs/>
          <w:kern w:val="0"/>
          <w:sz w:val="24"/>
          <w:szCs w:val="24"/>
        </w:rPr>
        <w:t xml:space="preserve"> 中医（专长）医师在执业中超出注册的执业范围从事医疗活动的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_Toc29834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D29B8C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_Toc3361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第二百四十四条</w:t>
      </w:r>
      <w:r>
        <w:rPr>
          <w:rFonts w:hint="eastAsia" w:ascii="Times New Roman" w:hAnsi="Times New Roman" w:eastAsia="仿宋_GB2312" w:cs="仿宋_GB2312"/>
          <w:bCs/>
          <w:kern w:val="0"/>
          <w:sz w:val="24"/>
          <w:szCs w:val="24"/>
        </w:rPr>
        <w:t xml:space="preserve"> 举办中医诊所应当备案而未备案</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_Toc3361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B91AD7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_Toc20114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第二百四十五条</w:t>
      </w:r>
      <w:r>
        <w:rPr>
          <w:rFonts w:hint="eastAsia" w:ascii="Times New Roman" w:hAnsi="Times New Roman" w:eastAsia="仿宋_GB2312" w:cs="仿宋_GB2312"/>
          <w:bCs/>
          <w:kern w:val="0"/>
          <w:sz w:val="24"/>
          <w:szCs w:val="24"/>
        </w:rPr>
        <w:t xml:space="preserve"> 提交虚假备案材料取得《中医诊所备案证》的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_Toc20114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B8F65A7">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_Toc21450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（十二）《中医诊所备案管理暂行办法》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_Toc21450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CC55A6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_Toc14053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第二百四十六条</w:t>
      </w:r>
      <w:r>
        <w:rPr>
          <w:rFonts w:hint="eastAsia" w:ascii="Times New Roman" w:hAnsi="Times New Roman" w:eastAsia="仿宋_GB2312" w:cs="仿宋_GB2312"/>
          <w:bCs/>
          <w:kern w:val="0"/>
          <w:sz w:val="24"/>
          <w:szCs w:val="24"/>
        </w:rPr>
        <w:t xml:space="preserve"> 中医诊所擅自更改设置未经备案或者实际设置与取得的《中医诊所备案证》记载事项不一致的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_Toc14053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89652B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_Toc10235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第二百四十七条</w:t>
      </w:r>
      <w:r>
        <w:rPr>
          <w:rFonts w:hint="eastAsia" w:ascii="Times New Roman" w:hAnsi="Times New Roman" w:eastAsia="仿宋_GB2312" w:cs="仿宋_GB2312"/>
          <w:bCs/>
          <w:kern w:val="0"/>
          <w:sz w:val="24"/>
          <w:szCs w:val="24"/>
        </w:rPr>
        <w:t xml:space="preserve"> 出卖、转让、出借《中医诊所备案证》的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_Toc10235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7E5550">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_Toc6889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（十三）《中医医术确有专长人员医师资格考核注册管理暂行办法》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_Toc6889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7C1861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_Toc25406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第二百四十八条</w:t>
      </w:r>
      <w:r>
        <w:rPr>
          <w:rFonts w:hint="eastAsia" w:ascii="Times New Roman" w:hAnsi="Times New Roman" w:eastAsia="仿宋_GB2312" w:cs="仿宋_GB2312"/>
          <w:bCs/>
          <w:kern w:val="0"/>
          <w:sz w:val="24"/>
          <w:szCs w:val="24"/>
        </w:rPr>
        <w:t xml:space="preserve"> 推荐中医医术确有专长人员的中医医师、以师承方式学习中医的医术确有专长人员的指导老师，违反本办法有关规定，在推荐中弄虚作假、徇私舞弊的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_Toc25406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B81F6A9">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_Toc23314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（十四）《院前医疗急救管理办法》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_Toc23314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88032A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_Toc9358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第二百四十九条</w:t>
      </w:r>
      <w:r>
        <w:rPr>
          <w:rFonts w:hint="eastAsia" w:ascii="Times New Roman" w:hAnsi="Times New Roman" w:eastAsia="仿宋_GB2312" w:cs="仿宋_GB2312"/>
          <w:bCs/>
          <w:kern w:val="0"/>
          <w:sz w:val="24"/>
          <w:szCs w:val="24"/>
        </w:rPr>
        <w:t xml:space="preserve"> 未经批准擅自开展院前医疗急救服务的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_Toc9358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299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389CCB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_Toc2782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第二百五十条</w:t>
      </w:r>
      <w:r>
        <w:rPr>
          <w:rFonts w:hint="eastAsia" w:ascii="Times New Roman" w:hAnsi="Times New Roman" w:eastAsia="仿宋_GB2312" w:cs="仿宋_GB2312"/>
          <w:bCs/>
          <w:kern w:val="0"/>
          <w:sz w:val="24"/>
          <w:szCs w:val="24"/>
        </w:rPr>
        <w:t xml:space="preserve"> 急救中心（站）和急救网络医院使用非卫生专业技术人员的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_Toc2782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7D5D86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_Toc20116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第二百五十一条</w:t>
      </w:r>
      <w:r>
        <w:rPr>
          <w:rFonts w:hint="eastAsia" w:ascii="Times New Roman" w:hAnsi="Times New Roman" w:eastAsia="仿宋_GB2312" w:cs="仿宋_GB2312"/>
          <w:bCs/>
          <w:kern w:val="0"/>
          <w:sz w:val="24"/>
          <w:szCs w:val="24"/>
        </w:rPr>
        <w:t xml:space="preserve"> 未经批准擅自使用“120”院前医疗急救呼叫号码或者其他带有院前医疗急救呼叫性质号码的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_Toc20116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E339F1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_Toc8878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第二百五十二条</w:t>
      </w:r>
      <w:r>
        <w:rPr>
          <w:rFonts w:hint="eastAsia" w:ascii="Times New Roman" w:hAnsi="Times New Roman" w:eastAsia="仿宋_GB2312" w:cs="仿宋_GB2312"/>
          <w:bCs/>
          <w:kern w:val="0"/>
          <w:sz w:val="24"/>
          <w:szCs w:val="24"/>
        </w:rPr>
        <w:t xml:space="preserve"> 未经批准擅自使用救护车开展院前医疗急救服务的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_Toc8878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167F21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_Toc32542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第二百五十三条</w:t>
      </w:r>
      <w:r>
        <w:rPr>
          <w:rFonts w:hint="eastAsia" w:ascii="Times New Roman" w:hAnsi="Times New Roman" w:eastAsia="仿宋_GB2312" w:cs="仿宋_GB2312"/>
          <w:bCs/>
          <w:kern w:val="0"/>
          <w:sz w:val="24"/>
          <w:szCs w:val="24"/>
        </w:rPr>
        <w:t xml:space="preserve"> 急救中心（站）因指挥调度或者费用等因素拒绝、推诿或者延误院前医疗急救服务的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_Toc32542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D7141F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_Toc31808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第二百五十四条</w:t>
      </w:r>
      <w:r>
        <w:rPr>
          <w:rFonts w:hint="eastAsia" w:ascii="Times New Roman" w:hAnsi="Times New Roman" w:eastAsia="仿宋_GB2312" w:cs="仿宋_GB2312"/>
          <w:bCs/>
          <w:kern w:val="0"/>
          <w:sz w:val="24"/>
          <w:szCs w:val="24"/>
        </w:rPr>
        <w:t xml:space="preserve"> 违反《院前医疗急救管理办法》其他规定的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_Toc31808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FF5DD2E">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_Toc14198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（十五）《中华人民共和国广告法》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_Toc14198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9DFACA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_Toc28723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第二百五十五条</w:t>
      </w:r>
      <w:r>
        <w:rPr>
          <w:rFonts w:hint="eastAsia" w:ascii="Times New Roman" w:hAnsi="Times New Roman" w:eastAsia="仿宋_GB2312" w:cs="仿宋_GB2312"/>
          <w:bCs/>
          <w:kern w:val="2"/>
          <w:sz w:val="24"/>
          <w:szCs w:val="24"/>
        </w:rPr>
        <w:t xml:space="preserve"> 医疗机构发布虚假医疗广告的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_Toc28723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DF02E0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_Toc16463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第二百五十六条</w:t>
      </w:r>
      <w:r>
        <w:rPr>
          <w:rFonts w:hint="eastAsia" w:ascii="Times New Roman" w:hAnsi="Times New Roman" w:eastAsia="仿宋_GB2312" w:cs="仿宋_GB2312"/>
          <w:bCs/>
          <w:kern w:val="0"/>
          <w:sz w:val="24"/>
          <w:szCs w:val="24"/>
        </w:rPr>
        <w:t xml:space="preserve"> 医疗机构发布违反《中华人民共和国广告法》第十六条规定的医疗广告的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_Toc16463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2C9D58B">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_Toc29878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（十六）《性病防治管理办法》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_Toc29878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714A0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_Toc28221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第二百五十七条</w:t>
      </w:r>
      <w:r>
        <w:rPr>
          <w:rFonts w:hint="eastAsia" w:ascii="Times New Roman" w:hAnsi="Times New Roman" w:eastAsia="仿宋_GB2312" w:cs="仿宋_GB2312"/>
          <w:bCs/>
          <w:kern w:val="0"/>
          <w:sz w:val="24"/>
          <w:szCs w:val="24"/>
        </w:rPr>
        <w:t xml:space="preserve"> 医疗机构提供性病诊疗服务时违反诊疗规范的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_Toc28221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3C4FCE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_Toc28328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第二百五十八条</w:t>
      </w:r>
      <w:r>
        <w:rPr>
          <w:rFonts w:hint="eastAsia" w:ascii="Times New Roman" w:hAnsi="Times New Roman" w:eastAsia="仿宋_GB2312" w:cs="仿宋_GB2312"/>
          <w:bCs/>
          <w:kern w:val="0"/>
          <w:sz w:val="24"/>
          <w:szCs w:val="24"/>
        </w:rPr>
        <w:t xml:space="preserve"> 未取得医疗机构执业许可证擅自开展性病诊疗活动</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_Toc28328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F7C6F4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_Toc21206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第二百五十九条</w:t>
      </w:r>
      <w:r>
        <w:rPr>
          <w:rFonts w:hint="eastAsia" w:ascii="Times New Roman" w:hAnsi="Times New Roman" w:eastAsia="仿宋_GB2312" w:cs="仿宋_GB2312"/>
          <w:bCs/>
          <w:kern w:val="0"/>
          <w:sz w:val="24"/>
          <w:szCs w:val="24"/>
        </w:rPr>
        <w:t xml:space="preserve"> 医疗机构诊疗活动超出诊疗科目登记范围开展性病诊疗活动</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_Toc21206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51861FF">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_Toc12462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（十七）《人体器官捐献和移植条例》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_Toc12462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63073F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_Toc16399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第二百六十条</w:t>
      </w:r>
      <w:r>
        <w:rPr>
          <w:rFonts w:hint="eastAsia" w:ascii="Times New Roman" w:hAnsi="Times New Roman" w:eastAsia="仿宋_GB2312" w:cs="仿宋_GB2312"/>
          <w:bCs/>
          <w:kern w:val="0"/>
          <w:sz w:val="24"/>
          <w:szCs w:val="24"/>
        </w:rPr>
        <w:t xml:space="preserve"> 买卖人体器官或者从事与买卖人体器官有关活动的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_Toc16399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3984C7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_Toc28032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第二百六十一条</w:t>
      </w:r>
      <w:r>
        <w:rPr>
          <w:rFonts w:hint="eastAsia" w:ascii="Times New Roman" w:hAnsi="Times New Roman" w:eastAsia="仿宋_GB2312" w:cs="仿宋_GB2312"/>
          <w:bCs/>
          <w:kern w:val="0"/>
          <w:sz w:val="24"/>
          <w:szCs w:val="24"/>
        </w:rPr>
        <w:t xml:space="preserve"> 医疗机构未办理人体器官移植诊疗科目登记，擅自从事人体器官移植的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_Toc28032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310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E8FF9A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_Toc30034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第二百六十二条</w:t>
      </w:r>
      <w:r>
        <w:rPr>
          <w:rFonts w:hint="eastAsia" w:ascii="Times New Roman" w:hAnsi="Times New Roman" w:eastAsia="仿宋_GB2312" w:cs="仿宋_GB2312"/>
          <w:bCs/>
          <w:kern w:val="0"/>
          <w:sz w:val="24"/>
          <w:szCs w:val="24"/>
        </w:rPr>
        <w:t xml:space="preserve"> </w:t>
      </w:r>
      <w:r>
        <w:rPr>
          <w:rFonts w:hint="eastAsia" w:ascii="Times New Roman" w:hAnsi="Times New Roman" w:eastAsia="仿宋_GB2312" w:cs="仿宋_GB2312"/>
          <w:bCs/>
          <w:spacing w:val="-11"/>
          <w:kern w:val="0"/>
          <w:sz w:val="24"/>
          <w:szCs w:val="24"/>
        </w:rPr>
        <w:t>从事人体器官移植的医师、医疗机构泄露人体器官捐献人、接受人或者申请人体器官移植手术患者个人资料的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_Toc30034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311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5BC8B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_Toc14427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第二百六十三条</w:t>
      </w:r>
      <w:r>
        <w:rPr>
          <w:rFonts w:hint="eastAsia" w:ascii="Times New Roman" w:hAnsi="Times New Roman" w:eastAsia="仿宋_GB2312" w:cs="仿宋_GB2312"/>
          <w:bCs/>
          <w:kern w:val="0"/>
          <w:sz w:val="24"/>
          <w:szCs w:val="24"/>
        </w:rPr>
        <w:t xml:space="preserve"> 从事人体器官移植的护士泄露人体器官捐献人、接受人或者申请人体器官移植手术患者个人资料的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_Toc14427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314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70FB6A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_Toc32501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第二百六十四条</w:t>
      </w:r>
      <w:r>
        <w:rPr>
          <w:rFonts w:hint="eastAsia" w:ascii="Times New Roman" w:hAnsi="Times New Roman" w:eastAsia="仿宋_GB2312" w:cs="仿宋_GB2312"/>
          <w:bCs/>
          <w:kern w:val="0"/>
          <w:sz w:val="24"/>
          <w:szCs w:val="24"/>
        </w:rPr>
        <w:t xml:space="preserve"> 医疗机构未经人体器官移植伦理委员会审查同意获取人体器官的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_Toc32501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315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99D6CF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_Toc24182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第二百六十五条</w:t>
      </w:r>
      <w:r>
        <w:rPr>
          <w:rFonts w:hint="eastAsia" w:ascii="Times New Roman" w:hAnsi="Times New Roman" w:eastAsia="仿宋_GB2312" w:cs="仿宋_GB2312"/>
          <w:bCs/>
          <w:kern w:val="0"/>
          <w:sz w:val="24"/>
          <w:szCs w:val="24"/>
        </w:rPr>
        <w:t xml:space="preserve"> 获取活体器官前未依照本条例第二十九条第一款的规定履行说明、查验、确认义务</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_Toc24182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316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31D79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_Toc16055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第二百六十六条</w:t>
      </w:r>
      <w:r>
        <w:rPr>
          <w:rFonts w:hint="eastAsia" w:ascii="Times New Roman" w:hAnsi="Times New Roman" w:eastAsia="仿宋_GB2312" w:cs="仿宋_GB2312"/>
          <w:bCs/>
          <w:kern w:val="0"/>
          <w:sz w:val="24"/>
          <w:szCs w:val="24"/>
        </w:rPr>
        <w:t xml:space="preserve"> 对摘取器官完毕的尸体未进行符合伦理原则的医学处理，恢复尸体原貌的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_Toc16055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317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253B4F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_Toc6037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第二百六十七条</w:t>
      </w:r>
      <w:r>
        <w:rPr>
          <w:rFonts w:hint="eastAsia" w:ascii="Times New Roman" w:hAnsi="Times New Roman" w:eastAsia="仿宋_GB2312" w:cs="仿宋_GB2312"/>
          <w:bCs/>
          <w:kern w:val="0"/>
          <w:sz w:val="24"/>
          <w:szCs w:val="24"/>
        </w:rPr>
        <w:t xml:space="preserve"> 从事人体器官获取、移植的医务人员参与尸体器官捐献人的死亡判定的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_Toc6037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E3B7C11">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_Toc32328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（十八）《医疗事故处理条例》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_Toc32328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5CD27E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_Toc7103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第二百六十八条</w:t>
      </w:r>
      <w:r>
        <w:rPr>
          <w:rFonts w:hint="eastAsia" w:ascii="Times New Roman" w:hAnsi="Times New Roman" w:eastAsia="仿宋_GB2312" w:cs="仿宋_GB2312"/>
          <w:bCs/>
          <w:kern w:val="0"/>
          <w:sz w:val="24"/>
          <w:szCs w:val="24"/>
        </w:rPr>
        <w:t xml:space="preserve"> 医疗机构发生医疗事故的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_Toc7103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7190A4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_Toc7768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第二百六十九条</w:t>
      </w:r>
      <w:r>
        <w:rPr>
          <w:rFonts w:hint="eastAsia" w:ascii="Times New Roman" w:hAnsi="Times New Roman" w:eastAsia="仿宋_GB2312" w:cs="仿宋_GB2312"/>
          <w:bCs/>
          <w:kern w:val="0"/>
          <w:sz w:val="24"/>
          <w:szCs w:val="24"/>
        </w:rPr>
        <w:t xml:space="preserve"> 有关医务人员发生医疗事故的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_Toc7768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4C79EE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_Toc15209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第二百七十条</w:t>
      </w:r>
      <w:r>
        <w:rPr>
          <w:rFonts w:hint="eastAsia" w:ascii="Times New Roman" w:hAnsi="Times New Roman" w:eastAsia="仿宋_GB2312" w:cs="仿宋_GB2312"/>
          <w:bCs/>
          <w:kern w:val="0"/>
          <w:sz w:val="24"/>
          <w:szCs w:val="24"/>
        </w:rPr>
        <w:t xml:space="preserve"> 违反《医疗事故处理条例》的规定，承担尸检任务的机构没有正当理由，拒绝进行尸检的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_Toc15209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53A15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_Toc24004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第二百七十一条</w:t>
      </w:r>
      <w:r>
        <w:rPr>
          <w:rFonts w:hint="eastAsia" w:ascii="Times New Roman" w:hAnsi="Times New Roman" w:eastAsia="仿宋_GB2312" w:cs="仿宋_GB2312"/>
          <w:bCs/>
          <w:kern w:val="0"/>
          <w:sz w:val="24"/>
          <w:szCs w:val="24"/>
        </w:rPr>
        <w:t xml:space="preserve"> 医疗机构或者其他有关机构违反《医疗事故处理条例》的规定，涂改、伪造、隐匿、销毁病历资料的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_Toc24004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CF23500">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_Toc13954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（十九）《麻醉药品和精神药品管理条例》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_Toc13954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46C98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_Toc17054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第二百七十二条</w:t>
      </w:r>
      <w:r>
        <w:rPr>
          <w:rFonts w:hint="eastAsia" w:ascii="Times New Roman" w:hAnsi="Times New Roman" w:eastAsia="仿宋_GB2312" w:cs="仿宋_GB2312"/>
          <w:bCs/>
          <w:kern w:val="0"/>
          <w:sz w:val="24"/>
          <w:szCs w:val="24"/>
        </w:rPr>
        <w:t xml:space="preserve"> 取得印鉴卡的医疗机构未依照规定购买、储存麻醉药品和第一类精神药品的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_Toc17054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32BED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_Toc14739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第二百七十三条</w:t>
      </w:r>
      <w:r>
        <w:rPr>
          <w:rFonts w:hint="eastAsia" w:ascii="Times New Roman" w:hAnsi="Times New Roman" w:eastAsia="仿宋_GB2312" w:cs="仿宋_GB2312"/>
          <w:bCs/>
          <w:kern w:val="0"/>
          <w:sz w:val="24"/>
          <w:szCs w:val="24"/>
        </w:rPr>
        <w:t xml:space="preserve"> </w:t>
      </w:r>
      <w:r>
        <w:rPr>
          <w:rFonts w:hint="eastAsia" w:ascii="Times New Roman" w:hAnsi="Times New Roman" w:eastAsia="仿宋_GB2312" w:cs="仿宋_GB2312"/>
          <w:bCs/>
          <w:spacing w:val="-6"/>
          <w:kern w:val="0"/>
          <w:sz w:val="24"/>
          <w:szCs w:val="24"/>
        </w:rPr>
        <w:t>取得印鉴卡的医疗机构未依照规定保存麻醉药品和精神药品专用处方，或者未依照规定进行处方专册登记的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_Toc14739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42269B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_Toc22984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第二百七十四条</w:t>
      </w:r>
      <w:r>
        <w:rPr>
          <w:rFonts w:hint="eastAsia" w:ascii="Times New Roman" w:hAnsi="Times New Roman" w:eastAsia="仿宋_GB2312" w:cs="仿宋_GB2312"/>
          <w:bCs/>
          <w:kern w:val="0"/>
          <w:sz w:val="24"/>
          <w:szCs w:val="24"/>
        </w:rPr>
        <w:t xml:space="preserve"> 未依照规定报告麻醉药品和精神药品的进货、库存、使用数量的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_Toc22984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EFC08C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_Toc9498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第二百七十五条</w:t>
      </w:r>
      <w:r>
        <w:rPr>
          <w:rFonts w:hint="eastAsia" w:ascii="Times New Roman" w:hAnsi="Times New Roman" w:eastAsia="仿宋_GB2312" w:cs="仿宋_GB2312"/>
          <w:bCs/>
          <w:kern w:val="0"/>
          <w:sz w:val="24"/>
          <w:szCs w:val="24"/>
        </w:rPr>
        <w:t xml:space="preserve"> 取得印鉴卡的医疗机构紧急借用麻醉药品和第一类精神药品后未备案的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_Toc9498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A545C9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_Toc19907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第二百七十六条</w:t>
      </w:r>
      <w:r>
        <w:rPr>
          <w:rFonts w:hint="eastAsia" w:ascii="Times New Roman" w:hAnsi="Times New Roman" w:eastAsia="仿宋_GB2312" w:cs="仿宋_GB2312"/>
          <w:bCs/>
          <w:kern w:val="0"/>
          <w:sz w:val="24"/>
          <w:szCs w:val="24"/>
        </w:rPr>
        <w:t xml:space="preserve"> 取得印鉴卡的医疗机构未依照规定销毁麻醉药品和精神药品的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_Toc19907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33E308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_Toc18590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第二百七十七条</w:t>
      </w:r>
      <w:r>
        <w:rPr>
          <w:rFonts w:hint="eastAsia" w:ascii="Times New Roman" w:hAnsi="Times New Roman" w:eastAsia="仿宋_GB2312" w:cs="仿宋_GB2312"/>
          <w:bCs/>
          <w:kern w:val="0"/>
          <w:sz w:val="24"/>
          <w:szCs w:val="24"/>
        </w:rPr>
        <w:t xml:space="preserve"> 提供虚假材料、隐瞒有关情况，或者采取其他欺骗手段取得麻醉药品和精神药品的使用资格的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_Toc18590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3EF54A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_Toc13030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第二百七十八条</w:t>
      </w:r>
      <w:r>
        <w:rPr>
          <w:rFonts w:hint="eastAsia" w:ascii="Times New Roman" w:hAnsi="Times New Roman" w:eastAsia="仿宋_GB2312" w:cs="仿宋_GB2312"/>
          <w:bCs/>
          <w:kern w:val="0"/>
          <w:sz w:val="24"/>
          <w:szCs w:val="24"/>
        </w:rPr>
        <w:t xml:space="preserve"> 发生麻醉药品和精神药品被盗、被抢、丢失案件的单位，未采取必要的控制措施或者未依照规定报告的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_Toc13030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2779F2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_Toc11811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第二百七十九条</w:t>
      </w:r>
      <w:r>
        <w:rPr>
          <w:rFonts w:hint="eastAsia" w:ascii="Times New Roman" w:hAnsi="Times New Roman" w:eastAsia="仿宋_GB2312" w:cs="仿宋_GB2312"/>
          <w:bCs/>
          <w:kern w:val="0"/>
          <w:sz w:val="24"/>
          <w:szCs w:val="24"/>
        </w:rPr>
        <w:t xml:space="preserve"> 依法取得麻醉药品药用原植物种植或者麻醉药品和精神药品使用等资格的单位，倒卖、转让、出租、出借、涂改其麻醉药品和精神药品许可证明文件的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_Toc11811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329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8D0EE1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_Toc25456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（二十）《处方管理办法》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_Toc25456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9E7A4F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_Toc27505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第二百八十条</w:t>
      </w:r>
      <w:r>
        <w:rPr>
          <w:rFonts w:hint="eastAsia" w:ascii="Times New Roman" w:hAnsi="Times New Roman" w:eastAsia="仿宋_GB2312" w:cs="仿宋_GB2312"/>
          <w:bCs/>
          <w:kern w:val="0"/>
          <w:sz w:val="24"/>
          <w:szCs w:val="24"/>
        </w:rPr>
        <w:t xml:space="preserve"> 医疗机构未按照规定保管麻醉药品和精神药品处方，或者未依照规定进行专册登记的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_Toc27505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0FC5AC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_Toc17634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第二百八十一条</w:t>
      </w:r>
      <w:r>
        <w:rPr>
          <w:rFonts w:hint="eastAsia" w:ascii="Times New Roman" w:hAnsi="Times New Roman" w:eastAsia="仿宋_GB2312" w:cs="仿宋_GB2312"/>
          <w:bCs/>
          <w:kern w:val="0"/>
          <w:sz w:val="24"/>
          <w:szCs w:val="24"/>
        </w:rPr>
        <w:t xml:space="preserve"> 使用未取得处方权的人员、被取消处方权的医师开具处方的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_Toc17634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BC805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_Toc8183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第二百八十二条</w:t>
      </w:r>
      <w:r>
        <w:rPr>
          <w:rFonts w:hint="eastAsia" w:ascii="Times New Roman" w:hAnsi="Times New Roman" w:eastAsia="仿宋_GB2312" w:cs="仿宋_GB2312"/>
          <w:bCs/>
          <w:kern w:val="0"/>
          <w:sz w:val="24"/>
          <w:szCs w:val="24"/>
        </w:rPr>
        <w:t xml:space="preserve"> 使用未取得药学专业技术职务任职资格的人员从事处方调剂工作的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_Toc8183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1BBF1B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_Toc14908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第二百八十三条</w:t>
      </w:r>
      <w:r>
        <w:rPr>
          <w:rFonts w:hint="eastAsia" w:ascii="Times New Roman" w:hAnsi="Times New Roman" w:eastAsia="仿宋_GB2312" w:cs="仿宋_GB2312"/>
          <w:bCs/>
          <w:kern w:val="0"/>
          <w:sz w:val="24"/>
          <w:szCs w:val="24"/>
        </w:rPr>
        <w:t xml:space="preserve"> 未取得麻醉药品和第一类精神药品处方资格的医师擅自开具麻醉药品和第一类精神药品处方的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_Toc14908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0FF8A9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_Toc29345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第二百八十四条</w:t>
      </w:r>
      <w:r>
        <w:rPr>
          <w:rFonts w:hint="eastAsia" w:ascii="Times New Roman" w:hAnsi="Times New Roman" w:eastAsia="仿宋_GB2312" w:cs="仿宋_GB2312"/>
          <w:bCs/>
          <w:kern w:val="0"/>
          <w:sz w:val="24"/>
          <w:szCs w:val="24"/>
        </w:rPr>
        <w:t xml:space="preserve"> 使用未取得麻醉药品和第一类精神药品处方资格的医师开具麻醉药品和第一类精神药品处方的（机构）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_Toc29345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EFFE98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_Toc6984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第二百八十五条</w:t>
      </w:r>
      <w:r>
        <w:rPr>
          <w:rFonts w:hint="eastAsia" w:ascii="Times New Roman" w:hAnsi="Times New Roman" w:eastAsia="仿宋_GB2312" w:cs="仿宋_GB2312"/>
          <w:bCs/>
          <w:kern w:val="0"/>
          <w:sz w:val="24"/>
          <w:szCs w:val="24"/>
        </w:rPr>
        <w:t xml:space="preserve"> 具有麻醉药品和第一类精神药品处方医师未按照规定开具麻醉药品和第一类精神药品处方，或者未按照卫生部制定的麻醉药品和精神药品临床应用指导原则使用麻醉药品和第一类精神药品的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_Toc6984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8FEDF8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_Toc19780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第二百八十六条</w:t>
      </w:r>
      <w:r>
        <w:rPr>
          <w:rFonts w:hint="eastAsia" w:ascii="Times New Roman" w:hAnsi="Times New Roman" w:eastAsia="仿宋_GB2312" w:cs="仿宋_GB2312"/>
          <w:bCs/>
          <w:kern w:val="0"/>
          <w:sz w:val="24"/>
          <w:szCs w:val="24"/>
        </w:rPr>
        <w:t xml:space="preserve"> 药师未按照规定调剂麻醉药品、精神药品处方的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_Toc19780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F34A5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_Toc10721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第二百八十七条</w:t>
      </w:r>
      <w:r>
        <w:rPr>
          <w:rFonts w:hint="eastAsia" w:ascii="Times New Roman" w:hAnsi="Times New Roman" w:eastAsia="仿宋_GB2312" w:cs="仿宋_GB2312"/>
          <w:bCs/>
          <w:kern w:val="0"/>
          <w:sz w:val="24"/>
          <w:szCs w:val="24"/>
        </w:rPr>
        <w:t xml:space="preserve"> 药师未按照规定调剂处方药品</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_Toc10721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A5C00FB">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_Toc3665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（二十一）《抗菌药物临床应用管理办法》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_Toc3665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C36430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_Toc12387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第二百八十八条</w:t>
      </w:r>
      <w:r>
        <w:rPr>
          <w:rFonts w:hint="eastAsia" w:ascii="Times New Roman" w:hAnsi="Times New Roman" w:eastAsia="仿宋_GB2312" w:cs="仿宋_GB2312"/>
          <w:bCs/>
          <w:kern w:val="0"/>
          <w:sz w:val="24"/>
          <w:szCs w:val="24"/>
        </w:rPr>
        <w:t xml:space="preserve"> 医疗机构未建立抗菌药物管理组织机构或者未指定专（兼）职技术人员负责具体管理工作的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_Toc12387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B775A7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_Toc9339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第二百八十九条</w:t>
      </w:r>
      <w:r>
        <w:rPr>
          <w:rFonts w:hint="eastAsia" w:ascii="Times New Roman" w:hAnsi="Times New Roman" w:eastAsia="仿宋_GB2312" w:cs="仿宋_GB2312"/>
          <w:bCs/>
          <w:kern w:val="0"/>
          <w:sz w:val="24"/>
          <w:szCs w:val="24"/>
        </w:rPr>
        <w:t xml:space="preserve"> 医疗机构未建立抗菌药物管理规章制度的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_Toc9339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339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FA186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第二百九十条</w:t>
      </w:r>
      <w:r>
        <w:rPr>
          <w:rFonts w:hint="eastAsia" w:ascii="Times New Roman" w:hAnsi="Times New Roman" w:eastAsia="仿宋_GB2312" w:cs="仿宋_GB2312"/>
          <w:bCs/>
          <w:kern w:val="0"/>
          <w:sz w:val="24"/>
          <w:szCs w:val="24"/>
        </w:rPr>
        <w:t xml:space="preserve"> 医疗机构抗菌药物临床应用管理混乱的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7275B3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_Toc10784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第二百九十一条</w:t>
      </w:r>
      <w:r>
        <w:rPr>
          <w:rFonts w:hint="eastAsia" w:ascii="Times New Roman" w:hAnsi="Times New Roman" w:eastAsia="仿宋_GB2312" w:cs="仿宋_GB2312"/>
          <w:bCs/>
          <w:kern w:val="0"/>
          <w:sz w:val="24"/>
          <w:szCs w:val="24"/>
        </w:rPr>
        <w:t xml:space="preserve"> 医疗机构未按照《抗菌药物临床应用管理办法》规定执行抗菌药物分级管理、医师抗菌药物处方权限管理、药师抗菌药物调剂资格管理或者未配备相关专业技术人员的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_Toc10784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D93F81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_Toc30714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第二百九十二条</w:t>
      </w:r>
      <w:r>
        <w:rPr>
          <w:rFonts w:hint="eastAsia" w:ascii="Times New Roman" w:hAnsi="Times New Roman" w:eastAsia="仿宋_GB2312" w:cs="仿宋_GB2312"/>
          <w:bCs/>
          <w:kern w:val="0"/>
          <w:sz w:val="24"/>
          <w:szCs w:val="24"/>
        </w:rPr>
        <w:t xml:space="preserve"> 医疗机构有其他违反《抗菌药物临床应用管理办法》规定行为的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_Toc30714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DACFA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_Toc25322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第二百九十三条</w:t>
      </w:r>
      <w:r>
        <w:rPr>
          <w:rFonts w:hint="eastAsia" w:ascii="Times New Roman" w:hAnsi="Times New Roman" w:eastAsia="仿宋_GB2312" w:cs="仿宋_GB2312"/>
          <w:bCs/>
          <w:kern w:val="0"/>
          <w:sz w:val="24"/>
          <w:szCs w:val="24"/>
        </w:rPr>
        <w:t xml:space="preserve"> 医疗机构使用未取得抗菌药物处方权的医师或者使用被取消抗菌药物处方权的医师开具抗菌药物处方的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_Toc25322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407372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_Toc21333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第二百九十四条</w:t>
      </w:r>
      <w:r>
        <w:rPr>
          <w:rFonts w:hint="eastAsia" w:ascii="Times New Roman" w:hAnsi="Times New Roman" w:eastAsia="仿宋_GB2312" w:cs="仿宋_GB2312"/>
          <w:bCs/>
          <w:kern w:val="0"/>
          <w:sz w:val="24"/>
          <w:szCs w:val="24"/>
        </w:rPr>
        <w:t xml:space="preserve"> 医疗机构未对抗菌药物处方、医嘱实施适宜性审核，情节严重的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_Toc21333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1702B4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_Toc8782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第二百九十五条</w:t>
      </w:r>
      <w:r>
        <w:rPr>
          <w:rFonts w:hint="eastAsia" w:ascii="Times New Roman" w:hAnsi="Times New Roman" w:eastAsia="仿宋_GB2312" w:cs="仿宋_GB2312"/>
          <w:bCs/>
          <w:kern w:val="0"/>
          <w:sz w:val="24"/>
          <w:szCs w:val="24"/>
        </w:rPr>
        <w:t xml:space="preserve"> 医疗机构非药学部门从事抗菌药物购销、调剂活动的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_Toc8782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8D314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_Toc30945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第二百九十六条</w:t>
      </w:r>
      <w:r>
        <w:rPr>
          <w:rFonts w:hint="eastAsia" w:ascii="Times New Roman" w:hAnsi="Times New Roman" w:eastAsia="仿宋_GB2312" w:cs="仿宋_GB2312"/>
          <w:bCs/>
          <w:kern w:val="0"/>
          <w:sz w:val="24"/>
          <w:szCs w:val="24"/>
        </w:rPr>
        <w:t xml:space="preserve"> 医疗机构将抗菌药物购销、临床应用情况与个人或者科室经济利益挂钩的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_Toc30945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42F83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_Toc32287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第二百九十七条</w:t>
      </w:r>
      <w:r>
        <w:rPr>
          <w:rFonts w:hint="eastAsia" w:ascii="Times New Roman" w:hAnsi="Times New Roman" w:eastAsia="仿宋_GB2312" w:cs="仿宋_GB2312"/>
          <w:bCs/>
          <w:kern w:val="0"/>
          <w:sz w:val="24"/>
          <w:szCs w:val="24"/>
        </w:rPr>
        <w:t xml:space="preserve"> 医疗机构在抗菌药物购销、临床应用中牟取不正当利益的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_Toc32287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D7B24A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_Toc6452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第二百九十八条</w:t>
      </w:r>
      <w:r>
        <w:rPr>
          <w:rFonts w:hint="eastAsia" w:ascii="Times New Roman" w:hAnsi="Times New Roman" w:eastAsia="仿宋_GB2312" w:cs="仿宋_GB2312"/>
          <w:bCs/>
          <w:kern w:val="0"/>
          <w:sz w:val="24"/>
          <w:szCs w:val="24"/>
        </w:rPr>
        <w:t xml:space="preserve"> 乡村医生未按照《抗菌药物临床应用管理办法》规定开具抗菌药物处方，造成严重后果的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_Toc6452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0D79FB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_Toc13945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第二百九十九条</w:t>
      </w:r>
      <w:r>
        <w:rPr>
          <w:rFonts w:hint="eastAsia" w:ascii="Times New Roman" w:hAnsi="Times New Roman" w:eastAsia="仿宋_GB2312" w:cs="仿宋_GB2312"/>
          <w:bCs/>
          <w:kern w:val="0"/>
          <w:sz w:val="24"/>
          <w:szCs w:val="24"/>
        </w:rPr>
        <w:t xml:space="preserve"> 乡村医生使用未经国家药品监督管理部门批准的抗菌药物的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_Toc13945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885FE2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_Toc1617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第三百条</w:t>
      </w:r>
      <w:r>
        <w:rPr>
          <w:rFonts w:hint="eastAsia" w:ascii="Times New Roman" w:hAnsi="Times New Roman" w:eastAsia="仿宋_GB2312" w:cs="仿宋_GB2312"/>
          <w:bCs/>
          <w:kern w:val="0"/>
          <w:sz w:val="24"/>
          <w:szCs w:val="24"/>
        </w:rPr>
        <w:t xml:space="preserve"> 乡村医生使用本机构抗菌药物供应目录以外的品种、品规，造成严重后果的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_Toc1617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A94951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_Toc1602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第三百零一条</w:t>
      </w:r>
      <w:r>
        <w:rPr>
          <w:rFonts w:hint="eastAsia" w:ascii="Times New Roman" w:hAnsi="Times New Roman" w:eastAsia="仿宋_GB2312" w:cs="仿宋_GB2312"/>
          <w:bCs/>
          <w:kern w:val="0"/>
          <w:sz w:val="24"/>
          <w:szCs w:val="24"/>
        </w:rPr>
        <w:t xml:space="preserve"> 乡村医生违反《抗菌药物临床应用管理办法》其他规定，造成严重后果的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_Toc1602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349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2103D3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_Toc17582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第三百零二条</w:t>
      </w:r>
      <w:r>
        <w:rPr>
          <w:rFonts w:hint="eastAsia" w:ascii="Times New Roman" w:hAnsi="Times New Roman" w:eastAsia="仿宋_GB2312" w:cs="仿宋_GB2312"/>
          <w:bCs/>
          <w:kern w:val="0"/>
          <w:sz w:val="24"/>
          <w:szCs w:val="24"/>
        </w:rPr>
        <w:t xml:space="preserve"> 药师未按照规定审核、调剂抗菌药物处方，情节严重的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_Toc17582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EC4E53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_Toc26785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第三百零三条</w:t>
      </w:r>
      <w:r>
        <w:rPr>
          <w:rFonts w:hint="eastAsia" w:ascii="Times New Roman" w:hAnsi="Times New Roman" w:eastAsia="仿宋_GB2312" w:cs="仿宋_GB2312"/>
          <w:bCs/>
          <w:kern w:val="0"/>
          <w:sz w:val="24"/>
          <w:szCs w:val="24"/>
        </w:rPr>
        <w:t xml:space="preserve"> 药师未按照规定私自增加抗菌药物品种或者品规的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_Toc26785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5AC208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_Toc778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第三百零四条</w:t>
      </w:r>
      <w:r>
        <w:rPr>
          <w:rFonts w:hint="eastAsia" w:ascii="Times New Roman" w:hAnsi="Times New Roman" w:eastAsia="仿宋_GB2312" w:cs="仿宋_GB2312"/>
          <w:bCs/>
          <w:kern w:val="0"/>
          <w:sz w:val="24"/>
          <w:szCs w:val="24"/>
        </w:rPr>
        <w:t xml:space="preserve"> 药师违反《抗菌药物临床应用管理办法》其他规定的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_Toc778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572E92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_Toc8404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第三百零五条</w:t>
      </w:r>
      <w:r>
        <w:rPr>
          <w:rFonts w:hint="eastAsia" w:ascii="Times New Roman" w:hAnsi="Times New Roman" w:eastAsia="仿宋_GB2312" w:cs="仿宋_GB2312"/>
          <w:bCs/>
          <w:kern w:val="0"/>
          <w:sz w:val="24"/>
          <w:szCs w:val="24"/>
        </w:rPr>
        <w:t xml:space="preserve"> 未经县级卫生行政部门核准，村卫生室、诊所、社区卫生服务站擅自使用抗菌药物开展静脉输注活动的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_Toc8404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E1472A">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_Toc3540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（二十二）《医疗器械监督管理条例》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_Toc3540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D0D48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第三百零六条</w:t>
      </w:r>
      <w:r>
        <w:rPr>
          <w:rFonts w:hint="eastAsia" w:ascii="Times New Roman" w:hAnsi="Times New Roman" w:eastAsia="仿宋_GB2312" w:cs="仿宋_GB2312"/>
          <w:bCs/>
          <w:kern w:val="0"/>
          <w:sz w:val="24"/>
          <w:szCs w:val="24"/>
        </w:rPr>
        <w:t xml:space="preserve"> 医疗器械使用单位未妥善保存购入第三类医疗器械的原始资料</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F3BD9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_Toc28151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第三百零七条</w:t>
      </w:r>
      <w:r>
        <w:rPr>
          <w:rFonts w:hint="eastAsia" w:ascii="Times New Roman" w:hAnsi="Times New Roman" w:eastAsia="仿宋_GB2312" w:cs="仿宋_GB2312"/>
          <w:bCs/>
          <w:kern w:val="0"/>
          <w:sz w:val="24"/>
          <w:szCs w:val="24"/>
        </w:rPr>
        <w:t xml:space="preserve"> 未按照规定将大型医疗器械以及植入和介入类医疗器械的信息记载到病历等相关记录中</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_Toc28151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6BB22F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_Toc14093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第三百零八条</w:t>
      </w:r>
      <w:r>
        <w:rPr>
          <w:rFonts w:hint="eastAsia" w:ascii="Times New Roman" w:hAnsi="Times New Roman" w:eastAsia="仿宋_GB2312" w:cs="仿宋_GB2312"/>
          <w:bCs/>
          <w:kern w:val="0"/>
          <w:sz w:val="24"/>
          <w:szCs w:val="24"/>
        </w:rPr>
        <w:t xml:space="preserve"> 医疗机构违反本法规定聘用人员的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_Toc14093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7BE4DD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_Toc21070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第三百零九条</w:t>
      </w:r>
      <w:r>
        <w:rPr>
          <w:rFonts w:hint="eastAsia" w:ascii="Times New Roman" w:hAnsi="Times New Roman" w:eastAsia="仿宋_GB2312" w:cs="仿宋_GB2312"/>
          <w:bCs/>
          <w:kern w:val="0"/>
          <w:sz w:val="24"/>
          <w:szCs w:val="24"/>
        </w:rPr>
        <w:t xml:space="preserve"> </w:t>
      </w:r>
      <w:r>
        <w:rPr>
          <w:rFonts w:hint="eastAsia" w:ascii="Times New Roman" w:hAnsi="Times New Roman" w:eastAsia="仿宋_GB2312" w:cs="仿宋_GB2312"/>
          <w:bCs/>
          <w:sz w:val="24"/>
          <w:szCs w:val="24"/>
        </w:rPr>
        <w:t>医疗机构的负责人、药品采购人医师、药师等有关人员收受药品上市许可持有人、药品生产企业、药品经营企业或者代理人给予的财物或者其他不正当利益的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_Toc21070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E2A3EF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_Toc26543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（二十三）《医疗器械临床使用管理办法》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_Toc26543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E11613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第三百一十条 医疗机构未按照规定建立医疗器械临床使用管理工作制度。</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388E941">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_Toc8049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（二十四）《医疗质量管理办法》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_Toc8049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6951BB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_Toc8222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第三百一十一条</w:t>
      </w:r>
      <w:r>
        <w:rPr>
          <w:rFonts w:hint="eastAsia" w:ascii="Times New Roman" w:hAnsi="Times New Roman" w:eastAsia="仿宋_GB2312" w:cs="仿宋_GB2312"/>
          <w:bCs/>
          <w:kern w:val="0"/>
          <w:sz w:val="24"/>
          <w:szCs w:val="24"/>
        </w:rPr>
        <w:t xml:space="preserve"> 医疗机构未按照规定落实医疗质量管理办法的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_Toc8222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359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FA7833C">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_Toc30860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（二十五）《残疾预防和残疾人康复条例》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_Toc30860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DF88D3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_Toc13647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第三百一十二条</w:t>
      </w:r>
      <w:r>
        <w:rPr>
          <w:rFonts w:hint="eastAsia" w:ascii="Times New Roman" w:hAnsi="Times New Roman" w:eastAsia="仿宋_GB2312" w:cs="仿宋_GB2312"/>
          <w:bCs/>
          <w:kern w:val="0"/>
          <w:sz w:val="24"/>
          <w:szCs w:val="24"/>
        </w:rPr>
        <w:t xml:space="preserve"> 医疗卫生机构、康复机构及其工作人员未依照《残疾预防和残疾人康复条例》规定开展残疾预防和残疾人康复工作的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_Toc13647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4FAB19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_Toc32533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第三百一十三条</w:t>
      </w:r>
      <w:r>
        <w:rPr>
          <w:rFonts w:hint="eastAsia" w:ascii="Times New Roman" w:hAnsi="Times New Roman" w:eastAsia="仿宋_GB2312" w:cs="仿宋_GB2312"/>
          <w:bCs/>
          <w:kern w:val="0"/>
          <w:sz w:val="24"/>
          <w:szCs w:val="24"/>
        </w:rPr>
        <w:t xml:space="preserve"> 具有高度致残风险的用人单位未履行本条例第十五条规定的残疾预防义务，违反安全生产、职业病防治等法律、行政法规规定的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_Toc32533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AE0BB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_Toc4398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（二十六）《医疗纠纷预防和处理条例》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_Toc4398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201587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_Toc13574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第三百一十四条</w:t>
      </w:r>
      <w:r>
        <w:rPr>
          <w:rFonts w:hint="eastAsia" w:ascii="Times New Roman" w:hAnsi="Times New Roman" w:eastAsia="仿宋_GB2312" w:cs="仿宋_GB2312"/>
          <w:bCs/>
          <w:kern w:val="0"/>
          <w:sz w:val="24"/>
          <w:szCs w:val="24"/>
        </w:rPr>
        <w:t xml:space="preserve"> 医疗机构篡改、伪造、隐匿、毁灭病历资料的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_Toc13574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B1D1DC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_Toc18887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第三百一十五条</w:t>
      </w:r>
      <w:r>
        <w:rPr>
          <w:rFonts w:hint="eastAsia" w:ascii="Times New Roman" w:hAnsi="Times New Roman" w:eastAsia="仿宋_GB2312" w:cs="仿宋_GB2312"/>
          <w:bCs/>
          <w:kern w:val="0"/>
          <w:sz w:val="24"/>
          <w:szCs w:val="24"/>
        </w:rPr>
        <w:t xml:space="preserve"> 医疗机构将未通过技术评估和伦理审查的医疗新技术应用于临床的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_Toc18887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3691A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_Toc10522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第三百一十六条</w:t>
      </w:r>
      <w:r>
        <w:rPr>
          <w:rFonts w:hint="eastAsia" w:ascii="Times New Roman" w:hAnsi="Times New Roman" w:eastAsia="仿宋_GB2312" w:cs="仿宋_GB2312"/>
          <w:bCs/>
          <w:kern w:val="0"/>
          <w:sz w:val="24"/>
          <w:szCs w:val="24"/>
        </w:rPr>
        <w:t xml:space="preserve"> 医疗机构及其医务人员未按规定制定和实施医疗质量安全管理制度的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_Toc10522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66EDF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_Toc21417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第三百一十七条</w:t>
      </w:r>
      <w:r>
        <w:rPr>
          <w:rFonts w:hint="eastAsia" w:ascii="Times New Roman" w:hAnsi="Times New Roman" w:eastAsia="仿宋_GB2312" w:cs="仿宋_GB2312"/>
          <w:bCs/>
          <w:kern w:val="0"/>
          <w:sz w:val="24"/>
          <w:szCs w:val="24"/>
        </w:rPr>
        <w:t xml:space="preserve"> 医疗机构及其医务人员未按规定告知患者病情、医疗措施、医疗风险、替代医疗方案等的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_Toc21417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BD555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_Toc1773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第三百一十八条</w:t>
      </w:r>
      <w:r>
        <w:rPr>
          <w:rFonts w:hint="eastAsia" w:ascii="Times New Roman" w:hAnsi="Times New Roman" w:eastAsia="仿宋_GB2312" w:cs="仿宋_GB2312"/>
          <w:bCs/>
          <w:kern w:val="0"/>
          <w:sz w:val="24"/>
          <w:szCs w:val="24"/>
        </w:rPr>
        <w:t xml:space="preserve"> 医疗机构及其医务人员开展具有较高医疗风险的诊疗活动，未提前预备应对方案防范突发风险</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_Toc1773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E42BE6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_Toc32638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第三百一十九条</w:t>
      </w:r>
      <w:r>
        <w:rPr>
          <w:rFonts w:hint="eastAsia" w:ascii="Times New Roman" w:hAnsi="Times New Roman" w:eastAsia="仿宋_GB2312" w:cs="仿宋_GB2312"/>
          <w:bCs/>
          <w:kern w:val="0"/>
          <w:sz w:val="24"/>
          <w:szCs w:val="24"/>
        </w:rPr>
        <w:t xml:space="preserve"> 医疗机构及其医务人员未按规定填写、保管病历资料，或者未按规定补记抢救病历</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_Toc32638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915825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_Toc7459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第三百二十条</w:t>
      </w:r>
      <w:r>
        <w:rPr>
          <w:rFonts w:hint="eastAsia" w:ascii="Times New Roman" w:hAnsi="Times New Roman" w:eastAsia="仿宋_GB2312" w:cs="仿宋_GB2312"/>
          <w:bCs/>
          <w:kern w:val="0"/>
          <w:sz w:val="24"/>
          <w:szCs w:val="24"/>
        </w:rPr>
        <w:t xml:space="preserve"> 医疗机构及其医务人员拒绝为患者提供查阅、复制病历资料服务</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_Toc7459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322C8D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_Toc13015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第三百二十一条</w:t>
      </w:r>
      <w:r>
        <w:rPr>
          <w:rFonts w:hint="eastAsia" w:ascii="Times New Roman" w:hAnsi="Times New Roman" w:eastAsia="仿宋_GB2312" w:cs="仿宋_GB2312"/>
          <w:bCs/>
          <w:kern w:val="0"/>
          <w:sz w:val="24"/>
          <w:szCs w:val="24"/>
        </w:rPr>
        <w:t xml:space="preserve"> 医疗机构及其医务人员未建立投诉接待制度、设置统一投诉管理部门或者配备专（兼）职人员</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_Toc13015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369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3BC795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_Toc22466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第三百二十二条</w:t>
      </w:r>
      <w:r>
        <w:rPr>
          <w:rFonts w:hint="eastAsia" w:ascii="Times New Roman" w:hAnsi="Times New Roman" w:eastAsia="仿宋_GB2312" w:cs="仿宋_GB2312"/>
          <w:bCs/>
          <w:kern w:val="0"/>
          <w:sz w:val="24"/>
          <w:szCs w:val="24"/>
        </w:rPr>
        <w:t xml:space="preserve"> 医疗机构及其医务人员未按规定封存、保管、启封病历资料和现场实物</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_Toc22466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4732FE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_Toc24866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第三百二十三条</w:t>
      </w:r>
      <w:r>
        <w:rPr>
          <w:rFonts w:hint="eastAsia" w:ascii="Times New Roman" w:hAnsi="Times New Roman" w:eastAsia="仿宋_GB2312" w:cs="仿宋_GB2312"/>
          <w:bCs/>
          <w:kern w:val="0"/>
          <w:sz w:val="24"/>
          <w:szCs w:val="24"/>
        </w:rPr>
        <w:t xml:space="preserve"> 医疗机构及其医务人员未按规定向卫生主管部门报告重大医疗纠纷</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_Toc24866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161730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_Toc7692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第三百二十四条</w:t>
      </w:r>
      <w:r>
        <w:rPr>
          <w:rFonts w:hint="eastAsia" w:ascii="Times New Roman" w:hAnsi="Times New Roman" w:eastAsia="仿宋_GB2312" w:cs="仿宋_GB2312"/>
          <w:bCs/>
          <w:kern w:val="0"/>
          <w:sz w:val="24"/>
          <w:szCs w:val="24"/>
        </w:rPr>
        <w:t xml:space="preserve"> 医疗机构及医务人员其他未履行《医疗纠纷预防和处理条例》规定义务的情形</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_Toc7692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BC4138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_Toc9644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第三百二十五条</w:t>
      </w:r>
      <w:r>
        <w:rPr>
          <w:rFonts w:hint="eastAsia" w:ascii="Times New Roman" w:hAnsi="Times New Roman" w:eastAsia="仿宋_GB2312" w:cs="仿宋_GB2312"/>
          <w:bCs/>
          <w:kern w:val="0"/>
          <w:sz w:val="24"/>
          <w:szCs w:val="24"/>
        </w:rPr>
        <w:t xml:space="preserve"> 医学会、司法鉴定机构出具虚假医疗损害鉴定意见的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_Toc9644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C36C5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_Toc9123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第三百二十六条</w:t>
      </w:r>
      <w:r>
        <w:rPr>
          <w:rFonts w:hint="eastAsia" w:ascii="Times New Roman" w:hAnsi="Times New Roman" w:eastAsia="仿宋_GB2312" w:cs="仿宋_GB2312"/>
          <w:bCs/>
          <w:kern w:val="0"/>
          <w:sz w:val="24"/>
          <w:szCs w:val="24"/>
        </w:rPr>
        <w:t xml:space="preserve"> 尸检机构出具虚假尸检报告的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_Toc9123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59DB7FF">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_Toc10246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（二十七）《医疗机构投诉管理办法》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_Toc10246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00B903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_Toc17074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第三百二十七条</w:t>
      </w:r>
      <w:r>
        <w:rPr>
          <w:rFonts w:hint="eastAsia" w:ascii="Times New Roman" w:hAnsi="Times New Roman" w:eastAsia="仿宋_GB2312" w:cs="仿宋_GB2312"/>
          <w:bCs/>
          <w:kern w:val="0"/>
          <w:sz w:val="24"/>
          <w:szCs w:val="24"/>
        </w:rPr>
        <w:t xml:space="preserve"> 医疗机构未制订重大医疗纠纷事件应急处置预案的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_Toc17074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7BA1CA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_Toc14520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第三百二十八条</w:t>
      </w:r>
      <w:r>
        <w:rPr>
          <w:rFonts w:hint="eastAsia" w:ascii="Times New Roman" w:hAnsi="Times New Roman" w:eastAsia="仿宋_GB2312" w:cs="仿宋_GB2312"/>
          <w:bCs/>
          <w:kern w:val="0"/>
          <w:sz w:val="24"/>
          <w:szCs w:val="24"/>
        </w:rPr>
        <w:t xml:space="preserve"> 医疗机构投诉管理混乱的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_Toc14520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98D701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_Toc23231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第三百二十九条</w:t>
      </w:r>
      <w:r>
        <w:rPr>
          <w:rFonts w:hint="eastAsia" w:ascii="Times New Roman" w:hAnsi="Times New Roman" w:eastAsia="仿宋_GB2312" w:cs="仿宋_GB2312"/>
          <w:bCs/>
          <w:kern w:val="0"/>
          <w:sz w:val="24"/>
          <w:szCs w:val="24"/>
        </w:rPr>
        <w:t xml:space="preserve"> 医疗机构未按规定建立健全医患沟通机制的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_Toc23231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25F258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_Toc30179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第三百三十条</w:t>
      </w:r>
      <w:r>
        <w:rPr>
          <w:rFonts w:hint="eastAsia" w:ascii="Times New Roman" w:hAnsi="Times New Roman" w:eastAsia="仿宋_GB2312" w:cs="仿宋_GB2312"/>
          <w:bCs/>
          <w:kern w:val="0"/>
          <w:sz w:val="24"/>
          <w:szCs w:val="24"/>
        </w:rPr>
        <w:t xml:space="preserve"> 医疗机构未按规定及时处理投诉并反馈患者的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_Toc30179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CFAAF6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_Toc29630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第三百三十一条</w:t>
      </w:r>
      <w:r>
        <w:rPr>
          <w:rFonts w:hint="eastAsia" w:ascii="Times New Roman" w:hAnsi="Times New Roman" w:eastAsia="仿宋_GB2312" w:cs="仿宋_GB2312"/>
          <w:bCs/>
          <w:kern w:val="0"/>
          <w:sz w:val="24"/>
          <w:szCs w:val="24"/>
        </w:rPr>
        <w:t xml:space="preserve"> </w:t>
      </w:r>
      <w:r>
        <w:rPr>
          <w:rFonts w:hint="eastAsia" w:ascii="Times New Roman" w:hAnsi="Times New Roman" w:eastAsia="仿宋_GB2312" w:cs="仿宋_GB2312"/>
          <w:bCs/>
          <w:spacing w:val="-11"/>
          <w:kern w:val="0"/>
          <w:sz w:val="24"/>
          <w:szCs w:val="24"/>
        </w:rPr>
        <w:t>医疗机构对接待过程中发现的可能激化矛盾，引起治安案件、刑事案件的投诉，未及时向当地公安机关报告的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_Toc29630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90D5D9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_Toc21380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第三百三十二条</w:t>
      </w:r>
      <w:r>
        <w:rPr>
          <w:rFonts w:hint="eastAsia" w:ascii="Times New Roman" w:hAnsi="Times New Roman" w:eastAsia="仿宋_GB2312" w:cs="仿宋_GB2312"/>
          <w:bCs/>
          <w:kern w:val="0"/>
          <w:sz w:val="24"/>
          <w:szCs w:val="24"/>
        </w:rPr>
        <w:t xml:space="preserve"> 医疗机构发布违背或者夸大事实、渲染事件处理过程的信息的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_Toc21380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3749C9D">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_Toc4763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（二十八）《医疗技术临床应用管理办法》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_Toc4763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256993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_Toc15053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第三百三十三条</w:t>
      </w:r>
      <w:r>
        <w:rPr>
          <w:rFonts w:hint="eastAsia" w:ascii="Times New Roman" w:hAnsi="Times New Roman" w:eastAsia="仿宋_GB2312" w:cs="仿宋_GB2312"/>
          <w:bCs/>
          <w:kern w:val="0"/>
          <w:sz w:val="24"/>
          <w:szCs w:val="24"/>
        </w:rPr>
        <w:t xml:space="preserve"> 医疗机构未建立医疗技术临床应用管理专门组织或者未指定专（兼）职人员负责具体管理工作的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_Toc15053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379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E0619D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_Toc20420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第三百三十四条</w:t>
      </w:r>
      <w:r>
        <w:rPr>
          <w:rFonts w:hint="eastAsia" w:ascii="Times New Roman" w:hAnsi="Times New Roman" w:eastAsia="仿宋_GB2312" w:cs="仿宋_GB2312"/>
          <w:bCs/>
          <w:kern w:val="0"/>
          <w:sz w:val="24"/>
          <w:szCs w:val="24"/>
        </w:rPr>
        <w:t xml:space="preserve"> 医疗机构未建立医疗技术临床应用管理相关规章制度的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_Toc20420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773594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_Toc28267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第三百三十五条</w:t>
      </w:r>
      <w:r>
        <w:rPr>
          <w:rFonts w:hint="eastAsia" w:ascii="Times New Roman" w:hAnsi="Times New Roman" w:eastAsia="仿宋_GB2312" w:cs="仿宋_GB2312"/>
          <w:bCs/>
          <w:kern w:val="0"/>
          <w:sz w:val="24"/>
          <w:szCs w:val="24"/>
        </w:rPr>
        <w:t xml:space="preserve"> 医疗机构医疗技术临床应用管理混乱，存在医疗质量和医疗安全隐患的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_Toc28267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8A7218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_Toc13987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第三百三十六条</w:t>
      </w:r>
      <w:r>
        <w:rPr>
          <w:rFonts w:hint="eastAsia" w:ascii="Times New Roman" w:hAnsi="Times New Roman" w:eastAsia="仿宋_GB2312" w:cs="仿宋_GB2312"/>
          <w:bCs/>
          <w:kern w:val="0"/>
          <w:sz w:val="24"/>
          <w:szCs w:val="24"/>
        </w:rPr>
        <w:t xml:space="preserve"> 医疗机构未按照要求向卫生行政部门进行医疗技术临床应用备案的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_Toc13987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94CD91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_Toc25379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第三百三十七条</w:t>
      </w:r>
      <w:r>
        <w:rPr>
          <w:rFonts w:hint="eastAsia" w:ascii="Times New Roman" w:hAnsi="Times New Roman" w:eastAsia="仿宋_GB2312" w:cs="仿宋_GB2312"/>
          <w:bCs/>
          <w:kern w:val="0"/>
          <w:sz w:val="24"/>
          <w:szCs w:val="24"/>
        </w:rPr>
        <w:t xml:space="preserve"> 医疗机构未按照要求报告或者报告不实信息的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_Toc25379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816581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_Toc29530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第三百三十八条</w:t>
      </w:r>
      <w:r>
        <w:rPr>
          <w:rFonts w:hint="eastAsia" w:ascii="Times New Roman" w:hAnsi="Times New Roman" w:eastAsia="仿宋_GB2312" w:cs="仿宋_GB2312"/>
          <w:bCs/>
          <w:kern w:val="0"/>
          <w:sz w:val="24"/>
          <w:szCs w:val="24"/>
        </w:rPr>
        <w:t xml:space="preserve"> 医疗机构未按照要求向国家和省级医疗技术临床应用信息化管理平台报送相关信息的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_Toc29530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EF85A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_Toc25835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第三百三十九条</w:t>
      </w:r>
      <w:r>
        <w:rPr>
          <w:rFonts w:hint="eastAsia" w:ascii="Times New Roman" w:hAnsi="Times New Roman" w:eastAsia="仿宋_GB2312" w:cs="仿宋_GB2312"/>
          <w:bCs/>
          <w:kern w:val="2"/>
          <w:sz w:val="24"/>
          <w:szCs w:val="24"/>
        </w:rPr>
        <w:t xml:space="preserve"> 医疗机构未将相关信息纳入院务公开范围向社会公开的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_Toc25835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A3F6C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_Toc18702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第三百四十条</w:t>
      </w:r>
      <w:r>
        <w:rPr>
          <w:rFonts w:hint="eastAsia" w:ascii="Times New Roman" w:hAnsi="Times New Roman" w:eastAsia="仿宋_GB2312" w:cs="仿宋_GB2312"/>
          <w:bCs/>
          <w:kern w:val="0"/>
          <w:sz w:val="24"/>
          <w:szCs w:val="24"/>
        </w:rPr>
        <w:t xml:space="preserve"> 医疗机构未按要求保障医务人员接受医疗技术临床应用规范化培训权益的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_Toc18702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F8F37B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_Toc2453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第三百四十一条</w:t>
      </w:r>
      <w:r>
        <w:rPr>
          <w:rFonts w:hint="eastAsia" w:ascii="Times New Roman" w:hAnsi="Times New Roman" w:eastAsia="仿宋_GB2312" w:cs="仿宋_GB2312"/>
          <w:bCs/>
          <w:kern w:val="0"/>
          <w:sz w:val="24"/>
          <w:szCs w:val="24"/>
        </w:rPr>
        <w:t xml:space="preserve"> 医疗机构管理混乱导致医疗技术临床应用造成严重不良后果，并产生重大社会影响的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_Toc2453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E5C18AC">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_Toc14042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（二十九）《中华人民共和国献血法》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_Toc14042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C007D3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_Toc364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第三百四十二条</w:t>
      </w:r>
      <w:r>
        <w:rPr>
          <w:rFonts w:hint="eastAsia" w:ascii="Times New Roman" w:hAnsi="Times New Roman" w:eastAsia="仿宋_GB2312" w:cs="仿宋_GB2312"/>
          <w:bCs/>
          <w:kern w:val="0"/>
          <w:sz w:val="24"/>
          <w:szCs w:val="24"/>
        </w:rPr>
        <w:t xml:space="preserve"> 非法采集血液的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_Toc364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D091F6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_Toc3527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第三百四十三条</w:t>
      </w:r>
      <w:r>
        <w:rPr>
          <w:rFonts w:hint="eastAsia" w:ascii="Times New Roman" w:hAnsi="Times New Roman" w:eastAsia="仿宋_GB2312" w:cs="仿宋_GB2312"/>
          <w:bCs/>
          <w:kern w:val="0"/>
          <w:sz w:val="24"/>
          <w:szCs w:val="24"/>
        </w:rPr>
        <w:t xml:space="preserve"> 血站、医疗机构出售无偿献血的血液的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_Toc3527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4B439E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_Toc15087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第三百四十四条</w:t>
      </w:r>
      <w:r>
        <w:rPr>
          <w:rFonts w:hint="eastAsia" w:ascii="Times New Roman" w:hAnsi="Times New Roman" w:eastAsia="仿宋_GB2312" w:cs="仿宋_GB2312"/>
          <w:bCs/>
          <w:kern w:val="0"/>
          <w:sz w:val="24"/>
          <w:szCs w:val="24"/>
        </w:rPr>
        <w:t xml:space="preserve"> 非法组织他人出卖血液的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_Toc15087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A9A30E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_Toc30111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第三百四十五条</w:t>
      </w:r>
      <w:r>
        <w:rPr>
          <w:rFonts w:hint="eastAsia" w:ascii="Times New Roman" w:hAnsi="Times New Roman" w:eastAsia="仿宋_GB2312" w:cs="仿宋_GB2312"/>
          <w:bCs/>
          <w:kern w:val="0"/>
          <w:sz w:val="24"/>
          <w:szCs w:val="24"/>
        </w:rPr>
        <w:t xml:space="preserve"> 临床用血的包装、储存、运输，不符合国家规定的卫生标准和要求的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_Toc30111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5E037AD">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_Toc31739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（三十）《血液制品管理条例》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_Toc31739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8C869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_Toc21041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第三百四十六条</w:t>
      </w:r>
      <w:r>
        <w:rPr>
          <w:rFonts w:hint="eastAsia" w:ascii="Times New Roman" w:hAnsi="Times New Roman" w:eastAsia="仿宋_GB2312" w:cs="仿宋_GB2312"/>
          <w:bCs/>
          <w:kern w:val="0"/>
          <w:sz w:val="24"/>
          <w:szCs w:val="24"/>
        </w:rPr>
        <w:t xml:space="preserve"> 未取得省、自治区、直辖市人民政府卫生行政部门核发的《单采血浆许可证》，非法从事组织、采集、供应、倒卖原料血浆活动的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_Toc21041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4016CF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_Toc9538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第三百四十七条</w:t>
      </w:r>
      <w:r>
        <w:rPr>
          <w:rFonts w:hint="eastAsia" w:ascii="Times New Roman" w:hAnsi="Times New Roman" w:eastAsia="仿宋_GB2312" w:cs="仿宋_GB2312"/>
          <w:bCs/>
          <w:kern w:val="0"/>
          <w:sz w:val="24"/>
          <w:szCs w:val="24"/>
        </w:rPr>
        <w:t xml:space="preserve"> 采集血浆前，未按照国务院卫生行政部门颁布的健康检查标准对供血浆者进行健康检查和血液化验的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_Toc9538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A04C20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_Toc9338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第三百四十八条</w:t>
      </w:r>
      <w:r>
        <w:rPr>
          <w:rFonts w:hint="eastAsia" w:ascii="Times New Roman" w:hAnsi="Times New Roman" w:eastAsia="仿宋_GB2312" w:cs="仿宋_GB2312"/>
          <w:bCs/>
          <w:kern w:val="0"/>
          <w:sz w:val="24"/>
          <w:szCs w:val="24"/>
        </w:rPr>
        <w:t xml:space="preserve"> 采集非划定区域内的供血浆者或者其他人员血浆的；或者不对供血浆者进行身份识别，采集冒名顶替者、健康检查不合格者或者无《供血浆证》者的血浆的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_Toc9338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368F40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_Toc10426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第三百四十九条</w:t>
      </w:r>
      <w:r>
        <w:rPr>
          <w:rFonts w:hint="eastAsia" w:ascii="Times New Roman" w:hAnsi="Times New Roman" w:eastAsia="仿宋_GB2312" w:cs="仿宋_GB2312"/>
          <w:bCs/>
          <w:kern w:val="0"/>
          <w:sz w:val="24"/>
          <w:szCs w:val="24"/>
        </w:rPr>
        <w:t xml:space="preserve"> 违反国务院卫生行政部门制定的血浆采集技术操作标准和程序，过频过量采集血浆的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_Toc10426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D9206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_Toc12533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第三百五十条 单采血浆站向医疗机构直接供应原料血浆或者擅自采集血液的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_Toc12533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76519F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_Toc18755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第三百五十一条 单采血浆站未使用单采血浆机械进行血浆采集的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_Toc18755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4A3CC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_Toc30846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第三百五十二条 单采血浆站未使用有产品批准文号并经国家药品生物制品检定机构逐批检定合格的体外诊断试剂以及合格的一次性采血浆器材的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_Toc30846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13BBA1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_Toc29151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第三百五十三条 单采血浆站未按照国家规定的卫生标准和要求包装、储存、运输原料血浆的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_Toc29151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5FBDFB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_Toc19595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第三百五十四条 单采血浆站对国家规定检测项目检测结果呈阳性的血浆不清除、不及时上报的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_Toc19595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09D944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_Toc3919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第三百五十五条 单采血浆站对污染的注射器、采血浆器材及不合格血浆等不经消毒处理，擅自倾倒，污染环境，造成社会危害的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_Toc3919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399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66FB9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_Toc18270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第三百五十六条 单采血浆站重复使用一次性采血浆器材的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_Toc18270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7E9C3C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_Toc29707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第三百五十七条 单采血浆站向与其签订质量责任书的血液制品生产单位以外的其他单位供应原料血浆的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_Toc29707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DFA14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_Toc11687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第三百五十八条 单采血浆站已知其采集的血浆检测结果呈阳性，仍向血液制品生产单位供应的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_Toc11687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43C993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_Toc18268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第三百五十九条 涂改、伪造、转让《供血浆证》的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_Toc18268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FF34A1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_Toc17939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第三百六十条 血液制品生产经营单位生产、包装、储存、运输、经营血液制品不符合国家规定的卫生标准和要求的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_Toc17939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30D4B4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_Toc19980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第三百六十一条 擅自进出口血液制品或者出口原料血浆的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_Toc19980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533E79A">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_Toc26871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（三十一）《单采血浆站管理办法》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_Toc26871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35191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_Toc5732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 xml:space="preserve">第三百六十二条 </w:t>
      </w:r>
      <w:r>
        <w:rPr>
          <w:rFonts w:hint="eastAsia" w:ascii="Times New Roman" w:hAnsi="Times New Roman" w:eastAsia="仿宋_GB2312" w:cs="仿宋_GB2312"/>
          <w:bCs/>
          <w:spacing w:val="-6"/>
          <w:kern w:val="0"/>
          <w:sz w:val="24"/>
          <w:szCs w:val="24"/>
        </w:rPr>
        <w:t>单采血浆站隐瞒、阻碍、拒绝卫生行政部门监督检查或者不如实提供有关资料的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_Toc5732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0AD9E2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_Toc3969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 xml:space="preserve">第三百六十三条 </w:t>
      </w:r>
      <w:r>
        <w:rPr>
          <w:rFonts w:hint="eastAsia" w:ascii="Times New Roman" w:hAnsi="Times New Roman" w:eastAsia="仿宋_GB2312" w:cs="仿宋_GB2312"/>
          <w:bCs/>
          <w:spacing w:val="-6"/>
          <w:kern w:val="0"/>
          <w:sz w:val="24"/>
          <w:szCs w:val="24"/>
        </w:rPr>
        <w:t>单采血浆站对供血浆者未履行事先告知义务，未经供血浆者同意开展特殊免疫的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_Toc3969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62D547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_Toc27692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第三百六十四条 单采血浆站未按照规定建立供血浆者档案管理及屏蔽、淘汰制度的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_Toc27692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B6A336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_Toc22939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第三百六十五条 单采血浆站未按照规定制订各项工作制度或者不落实的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_Toc22939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3B66E1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_Toc13487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第三百六十六条 单采血浆站工作人员未取得相关岗位执业资格或者未经执业注册从事采供血浆工作的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_Toc13487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069170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_Toc29268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第三百六十七条 单采血浆站不按照规定记录或者保存工作记录的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_Toc29268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D9503D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_Toc15405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第三百六十八条 单采血浆站未按照规定保存血浆标本的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_Toc15405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8C2CA1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_Toc25363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第三百六十九条 擅自出口原料血浆的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_Toc25363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5DEBED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_Toc16260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第三百七十条 承担单采血浆站技术评价、检测的技术机构出具虚假证明文件的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_Toc16260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709C510">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_Toc26242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（三十二）《血站管理办法》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_Toc26242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DDFE4C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_Toc1956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第三百七十一条</w:t>
      </w:r>
      <w:r>
        <w:rPr>
          <w:rFonts w:hint="eastAsia" w:ascii="Times New Roman" w:hAnsi="Times New Roman" w:eastAsia="仿宋_GB2312" w:cs="仿宋_GB2312"/>
          <w:bCs/>
          <w:sz w:val="24"/>
          <w:szCs w:val="24"/>
        </w:rPr>
        <w:t xml:space="preserve"> 血站超出执业登记的项目、内容、范围开展业务活动的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_Toc1956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A1F16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_Toc24286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第三百七十二条 </w:t>
      </w:r>
      <w:r>
        <w:rPr>
          <w:rFonts w:hint="eastAsia" w:ascii="Times New Roman" w:hAnsi="Times New Roman" w:eastAsia="仿宋_GB2312" w:cs="仿宋_GB2312"/>
          <w:bCs/>
          <w:spacing w:val="-6"/>
          <w:sz w:val="24"/>
          <w:szCs w:val="24"/>
        </w:rPr>
        <w:t>血站工作人员未取得相关岗位执业资格或者未经执业注册而从事采供血工作的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_Toc24286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528236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_Toc20514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第三百七十三条</w:t>
      </w:r>
      <w:r>
        <w:rPr>
          <w:rFonts w:hint="eastAsia" w:ascii="Times New Roman" w:hAnsi="Times New Roman" w:eastAsia="仿宋_GB2312" w:cs="仿宋_GB2312"/>
          <w:bCs/>
          <w:kern w:val="0"/>
          <w:sz w:val="24"/>
          <w:szCs w:val="24"/>
        </w:rPr>
        <w:t xml:space="preserve"> 血站血液检测实验室未取得相应资格即进行检测的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_Toc20514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2C6A0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第三百七十四条 血站擅自采集原料血浆、买卖血液的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FA11AD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_Toc27422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第三百七十五条</w:t>
      </w:r>
      <w:r>
        <w:rPr>
          <w:rFonts w:hint="eastAsia" w:ascii="Times New Roman" w:hAnsi="Times New Roman" w:eastAsia="仿宋_GB2312" w:cs="仿宋_GB2312"/>
          <w:bCs/>
          <w:kern w:val="0"/>
          <w:sz w:val="24"/>
          <w:szCs w:val="24"/>
        </w:rPr>
        <w:t xml:space="preserve"> 血站采集血液前，未按照国家颁布的献血者健康检查要求对献血者进行健康检查、检测的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_Toc27422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6393B5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_Toc20231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第三百七十六条 血站采集冒名顶替者、健康检查不合格者血液以及超量、频繁采集血液的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_Toc20231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6A608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_Toc8440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第三百七十七条 血站违反输血技术操作规程、有关质量规范和标准的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_Toc8440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114917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_Toc30185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第三百七十八条 血站采血前未向献血者、特殊血液成分捐赠者履行规定的告知义务的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_Toc30185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98C67D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_Toc12601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第三百七十九条 血站擅自涂改、毁损或者不按规定保存工作记录的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_Toc12601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074BC5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_Toc16780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第三百八十条 血站使用的药品、体外诊断试剂、一次性卫生器材不符合国家有关规定的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_Toc16780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3BAC0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_Toc14267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第三百八十一条 血站重复使用一次性卫生器材的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_Toc14267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E48D7D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_Toc21992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第三百八十二条 血站对检测不合格或者报废的血液，未按有关规定处理的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_Toc21992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5548E7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_Toc22181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第三百八十三条 血站未经批准擅自与外省、自治区、直辖市调配血液的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_Toc22181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747EC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_Toc27213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第三百八十四条 血站未经批准向境外医疗机构提供血液或者特殊血液成分的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_Toc27213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C3FA60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_Toc13997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第三百八十五条 血站未按规定保存血液标本的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_Toc13997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419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C4FD40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_Toc8375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第三百八十六条 脐带血造血干细胞库等特殊血站违反有关技术规范的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_Toc8375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0B756A1">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（三十三）《医疗机构临床用血管理办法》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55034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_Toc14674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第三百八十七条 医疗机构未设立临床用血管理委员会或者工作组的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_Toc14674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DF19B9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_Toc8409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第三百八十八条</w:t>
      </w:r>
      <w:r>
        <w:rPr>
          <w:rFonts w:hint="eastAsia" w:ascii="Times New Roman" w:hAnsi="Times New Roman" w:eastAsia="仿宋_GB2312" w:cs="仿宋_GB2312"/>
          <w:bCs/>
          <w:spacing w:val="-6"/>
          <w:kern w:val="0"/>
          <w:sz w:val="24"/>
          <w:szCs w:val="24"/>
        </w:rPr>
        <w:t xml:space="preserve"> 医疗机构未拟定临床用血计划或者一年内未对计划实施情况进行评估和考核的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_Toc8409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5D90F2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_Toc18225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第三百八十九条</w:t>
      </w:r>
      <w:r>
        <w:rPr>
          <w:rFonts w:hint="eastAsia" w:ascii="Times New Roman" w:hAnsi="Times New Roman" w:eastAsia="仿宋_GB2312" w:cs="仿宋_GB2312"/>
          <w:bCs/>
          <w:kern w:val="0"/>
          <w:sz w:val="24"/>
          <w:szCs w:val="24"/>
        </w:rPr>
        <w:t xml:space="preserve"> 医疗机构未建立血液发放和输血核对制度的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_Toc18225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36335B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_Toc25360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第三百九十条</w:t>
      </w:r>
      <w:r>
        <w:rPr>
          <w:rFonts w:hint="eastAsia" w:ascii="Times New Roman" w:hAnsi="Times New Roman" w:eastAsia="仿宋_GB2312" w:cs="仿宋_GB2312"/>
          <w:bCs/>
          <w:kern w:val="0"/>
          <w:sz w:val="24"/>
          <w:szCs w:val="24"/>
        </w:rPr>
        <w:t xml:space="preserve"> 医疗机构未建立临床用血申请管理制度的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_Toc25360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817402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_Toc12720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第三百九十一条</w:t>
      </w:r>
      <w:r>
        <w:rPr>
          <w:rFonts w:hint="eastAsia" w:ascii="Times New Roman" w:hAnsi="Times New Roman" w:eastAsia="仿宋_GB2312" w:cs="仿宋_GB2312"/>
          <w:bCs/>
          <w:kern w:val="0"/>
          <w:sz w:val="24"/>
          <w:szCs w:val="24"/>
        </w:rPr>
        <w:t xml:space="preserve"> 医疗机构未建立医务人员临床用血和无偿献血知识培训制度的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_Toc12720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E48A51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_Toc12878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第三百九十二条</w:t>
      </w:r>
      <w:r>
        <w:rPr>
          <w:rFonts w:hint="eastAsia" w:ascii="Times New Roman" w:hAnsi="Times New Roman" w:eastAsia="仿宋_GB2312" w:cs="仿宋_GB2312"/>
          <w:bCs/>
          <w:kern w:val="0"/>
          <w:sz w:val="24"/>
          <w:szCs w:val="24"/>
        </w:rPr>
        <w:t xml:space="preserve"> 医疗机构未建立科室和医师临床用血评价及公示制度的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_Toc12878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63607C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_Toc12645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第三百九十三条</w:t>
      </w:r>
      <w:r>
        <w:rPr>
          <w:rFonts w:hint="eastAsia" w:ascii="Times New Roman" w:hAnsi="Times New Roman" w:eastAsia="仿宋_GB2312" w:cs="仿宋_GB2312"/>
          <w:bCs/>
          <w:kern w:val="0"/>
          <w:sz w:val="24"/>
          <w:szCs w:val="24"/>
        </w:rPr>
        <w:t xml:space="preserve"> 医疗机构将经济收入作为对输血科或者血库工作的考核指标的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_Toc12645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0EB91A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_Toc7671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第三百九十四条</w:t>
      </w:r>
      <w:r>
        <w:rPr>
          <w:rFonts w:hint="eastAsia" w:ascii="Times New Roman" w:hAnsi="Times New Roman" w:eastAsia="仿宋_GB2312" w:cs="仿宋_GB2312"/>
          <w:bCs/>
          <w:kern w:val="0"/>
          <w:sz w:val="24"/>
          <w:szCs w:val="24"/>
        </w:rPr>
        <w:t xml:space="preserve"> 医疗机构违反《医疗机构临床用血管理办法》的其他行为</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_Toc7671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F58C39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_Toc5638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第三百九十五条</w:t>
      </w:r>
      <w:r>
        <w:rPr>
          <w:rFonts w:hint="eastAsia" w:ascii="Times New Roman" w:hAnsi="Times New Roman" w:eastAsia="仿宋_GB2312" w:cs="仿宋_GB2312"/>
          <w:bCs/>
          <w:kern w:val="0"/>
          <w:sz w:val="24"/>
          <w:szCs w:val="24"/>
        </w:rPr>
        <w:t xml:space="preserve"> 医疗机构使用未经卫生行政部门指定的血站供应的血液的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_Toc5638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913454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_Toc9672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第三百九十六条</w:t>
      </w:r>
      <w:r>
        <w:rPr>
          <w:rFonts w:hint="eastAsia" w:ascii="Times New Roman" w:hAnsi="Times New Roman" w:eastAsia="仿宋_GB2312" w:cs="仿宋_GB2312"/>
          <w:bCs/>
          <w:kern w:val="0"/>
          <w:sz w:val="24"/>
          <w:szCs w:val="24"/>
        </w:rPr>
        <w:t xml:space="preserve"> 医疗机构违反本办法关于应急用血采血规定的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_Toc9672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B01AA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_Toc13274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（三十四）《脐带血造血干细胞库管理办法（试行）》</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_Toc13274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4CCC48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_Toc19398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第三百九十七条</w:t>
      </w:r>
      <w:r>
        <w:rPr>
          <w:rFonts w:hint="eastAsia" w:ascii="Times New Roman" w:hAnsi="Times New Roman" w:eastAsia="仿宋_GB2312" w:cs="仿宋_GB2312"/>
          <w:bCs/>
          <w:kern w:val="0"/>
          <w:sz w:val="24"/>
          <w:szCs w:val="24"/>
        </w:rPr>
        <w:t xml:space="preserve"> 未经批准擅自设置和开办脐带血造血干细胞库，非法采集、提供脐带血的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_Toc19398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282BB21">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_Toc18506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（三十五）《药品不良反应报告和监测管理办法》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_Toc18506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2C3820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_Toc9687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第三百九十八条</w:t>
      </w:r>
      <w:r>
        <w:rPr>
          <w:rFonts w:hint="eastAsia" w:ascii="Times New Roman" w:hAnsi="Times New Roman" w:eastAsia="仿宋_GB2312" w:cs="仿宋_GB2312"/>
          <w:bCs/>
          <w:kern w:val="0"/>
          <w:sz w:val="24"/>
          <w:szCs w:val="24"/>
        </w:rPr>
        <w:t xml:space="preserve"> 医疗机构未设立或者指定机构并配备专（兼）职人员，承担本单位的药品不良反应报告和监测工作的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_Toc9687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4DE4EA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_Toc29714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第三百九十九条</w:t>
      </w:r>
      <w:r>
        <w:rPr>
          <w:rFonts w:hint="eastAsia" w:ascii="Times New Roman" w:hAnsi="Times New Roman" w:eastAsia="仿宋_GB2312" w:cs="仿宋_GB2312"/>
          <w:bCs/>
          <w:kern w:val="0"/>
          <w:sz w:val="24"/>
          <w:szCs w:val="24"/>
        </w:rPr>
        <w:t xml:space="preserve"> 医疗机构未按照要求开展药品不良反应或者群体不良事件报告的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_Toc29714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F7A532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_Toc29741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第四百条</w:t>
      </w:r>
      <w:r>
        <w:rPr>
          <w:rFonts w:hint="eastAsia" w:ascii="Times New Roman" w:hAnsi="Times New Roman" w:eastAsia="仿宋_GB2312" w:cs="仿宋_GB2312"/>
          <w:bCs/>
          <w:kern w:val="0"/>
          <w:sz w:val="24"/>
          <w:szCs w:val="24"/>
        </w:rPr>
        <w:t xml:space="preserve"> 医疗机构不配合严重药品不良反应和群体不良事件相关调查工作的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_Toc29741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429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3744E7E">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_Toc5413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（三十六）《涉及人的生物医学研究伦理审查办法》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_Toc5413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42073C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_Toc26960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第四百零一条</w:t>
      </w:r>
      <w:r>
        <w:rPr>
          <w:rFonts w:hint="eastAsia" w:ascii="Times New Roman" w:hAnsi="Times New Roman" w:eastAsia="仿宋_GB2312" w:cs="仿宋_GB2312"/>
          <w:bCs/>
          <w:kern w:val="0"/>
          <w:sz w:val="24"/>
          <w:szCs w:val="24"/>
        </w:rPr>
        <w:t xml:space="preserve"> 医疗卫生机构未按照规定设立伦理委员会擅自开展涉及人的生物医学研究,逾期不改的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_Toc26960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5BBE11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_Toc14025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第四百零二条</w:t>
      </w:r>
      <w:r>
        <w:rPr>
          <w:rFonts w:hint="eastAsia" w:ascii="Times New Roman" w:hAnsi="Times New Roman" w:eastAsia="仿宋_GB2312" w:cs="仿宋_GB2312"/>
          <w:bCs/>
          <w:kern w:val="0"/>
          <w:sz w:val="24"/>
          <w:szCs w:val="24"/>
          <w:lang w:eastAsia="zh-CN"/>
        </w:rPr>
        <w:t xml:space="preserve"> </w:t>
      </w:r>
      <w:r>
        <w:rPr>
          <w:rFonts w:hint="eastAsia" w:ascii="Times New Roman" w:hAnsi="Times New Roman" w:eastAsia="仿宋_GB2312" w:cs="仿宋_GB2312"/>
          <w:bCs/>
          <w:kern w:val="0"/>
          <w:sz w:val="24"/>
          <w:szCs w:val="24"/>
        </w:rPr>
        <w:t>医疗卫生机构及其伦理委员会不符合相关管理规定的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_Toc14025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5C9197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_Toc6555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第四百零三条</w:t>
      </w:r>
      <w:r>
        <w:rPr>
          <w:rFonts w:hint="eastAsia" w:ascii="Times New Roman" w:hAnsi="Times New Roman" w:eastAsia="仿宋_GB2312" w:cs="仿宋_GB2312"/>
          <w:bCs/>
          <w:kern w:val="0"/>
          <w:sz w:val="24"/>
          <w:szCs w:val="24"/>
          <w:lang w:eastAsia="zh-CN"/>
        </w:rPr>
        <w:t xml:space="preserve"> </w:t>
      </w:r>
      <w:r>
        <w:rPr>
          <w:rFonts w:hint="eastAsia" w:ascii="Times New Roman" w:hAnsi="Times New Roman" w:eastAsia="仿宋_GB2312" w:cs="仿宋_GB2312"/>
          <w:bCs/>
          <w:kern w:val="0"/>
          <w:sz w:val="24"/>
          <w:szCs w:val="24"/>
        </w:rPr>
        <w:t>项目研究者违反相关规定的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_Toc6555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36F5CDA">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_Toc2776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（三十七）《外国医师来华短期行医暂行管理办法》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_Toc2776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1B58E8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第四百零四条 外国医师未经注册取得《外国医师短期行医许可证》擅自来华短期行医的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A6F9BFB">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_Toc13023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（三十八）《艾滋病防治条例》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_Toc13023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C3C845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_Toc9656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第四百零五条 医疗卫生机构未经本人或者其监护人同意公开艾滋病病毒感染者、艾滋病病人或者其家属的信息的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_Toc9656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23F5AD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_Toc9037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第四百零六条 提供、使用未经出入境检验检疫机构检疫的进口人体血液、血浆、组织、器官、细胞、骨髓等的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_Toc9037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F58EDC">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_Toc4257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（三十九）《反兴奋剂条例》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_Toc4257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9DE0CF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_Toc15294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第四百零七条</w:t>
      </w:r>
      <w:r>
        <w:rPr>
          <w:rFonts w:hint="eastAsia" w:ascii="Times New Roman" w:hAnsi="Times New Roman" w:eastAsia="仿宋_GB2312" w:cs="仿宋_GB2312"/>
          <w:bCs/>
          <w:kern w:val="0"/>
          <w:sz w:val="24"/>
          <w:szCs w:val="24"/>
          <w:lang w:eastAsia="zh-CN"/>
        </w:rPr>
        <w:t xml:space="preserve"> </w:t>
      </w:r>
      <w:r>
        <w:rPr>
          <w:rFonts w:hint="eastAsia" w:ascii="Times New Roman" w:hAnsi="Times New Roman" w:eastAsia="仿宋_GB2312" w:cs="仿宋_GB2312"/>
          <w:bCs/>
          <w:kern w:val="0"/>
          <w:sz w:val="24"/>
          <w:szCs w:val="24"/>
        </w:rPr>
        <w:t>医师未按照《反兴奋剂条例》的规定使用药品，或者未履行告知义务的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_Toc15294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AACD51">
      <w:pPr>
        <w:pStyle w:val="18"/>
        <w:tabs>
          <w:tab w:val="right" w:leader="dot" w:pos="13958"/>
        </w:tabs>
        <w:spacing w:line="316" w:lineRule="exact"/>
        <w:jc w:val="both"/>
        <w:rPr>
          <w:rFonts w:hint="eastAsia" w:eastAsia="黑体" w:cs="黑体"/>
          <w:b w:val="0"/>
          <w:caps w:val="0"/>
          <w:sz w:val="24"/>
          <w:szCs w:val="24"/>
        </w:rPr>
      </w:pP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黑体" w:cs="黑体"/>
          <w:b w:val="0"/>
          <w:bCs/>
          <w:caps w:val="0"/>
          <w:sz w:val="24"/>
          <w:szCs w:val="24"/>
          <w:highlight w:val="none"/>
          <w:lang w:val="en-US" w:eastAsia="zh-CN"/>
        </w:rPr>
        <w:instrText xml:space="preserve"> HYPERLINK \l _Toc29793 </w:instrText>
      </w:r>
      <w:r>
        <w:rPr>
          <w:rFonts w:hint="eastAsia" w:ascii="Times New Roman" w:hAnsi="Times New Roman" w:eastAsia="黑体" w:cs="黑体"/>
          <w:b w:val="0"/>
          <w:bCs/>
          <w:caps w:val="0"/>
          <w:sz w:val="24"/>
          <w:szCs w:val="24"/>
          <w:highlight w:val="none"/>
          <w:lang w:val="en-US" w:eastAsia="zh-CN"/>
        </w:rPr>
        <w:fldChar w:fldCharType="separate"/>
      </w:r>
      <w:r>
        <w:rPr>
          <w:rFonts w:hint="eastAsia" w:ascii="Times New Roman" w:hAnsi="Times New Roman" w:eastAsia="黑体" w:cs="黑体"/>
          <w:b w:val="0"/>
          <w:bCs/>
          <w:caps w:val="0"/>
          <w:kern w:val="44"/>
          <w:sz w:val="24"/>
          <w:szCs w:val="24"/>
          <w:lang w:val="en-US" w:eastAsia="zh-CN" w:bidi="ar-SA"/>
        </w:rPr>
        <w:t>三、</w:t>
      </w:r>
      <w:r>
        <w:rPr>
          <w:rFonts w:hint="eastAsia" w:ascii="Times New Roman" w:hAnsi="Times New Roman" w:eastAsia="黑体" w:cs="黑体"/>
          <w:b w:val="0"/>
          <w:bCs/>
          <w:caps w:val="0"/>
          <w:sz w:val="24"/>
          <w:szCs w:val="24"/>
        </w:rPr>
        <w:t>计划生育与母婴保健类</w:t>
      </w:r>
      <w:r>
        <w:rPr>
          <w:rFonts w:hint="eastAsia" w:eastAsia="黑体" w:cs="黑体"/>
          <w:b w:val="0"/>
          <w:caps w:val="0"/>
          <w:sz w:val="24"/>
          <w:szCs w:val="24"/>
        </w:rPr>
        <w:tab/>
      </w:r>
      <w:r>
        <w:rPr>
          <w:rFonts w:hint="eastAsia" w:eastAsia="黑体" w:cs="黑体"/>
          <w:b w:val="0"/>
          <w:caps w:val="0"/>
          <w:sz w:val="24"/>
          <w:szCs w:val="24"/>
        </w:rPr>
        <w:fldChar w:fldCharType="begin"/>
      </w:r>
      <w:r>
        <w:rPr>
          <w:rFonts w:hint="eastAsia" w:eastAsia="黑体" w:cs="黑体"/>
          <w:b w:val="0"/>
          <w:caps w:val="0"/>
          <w:sz w:val="24"/>
          <w:szCs w:val="24"/>
        </w:rPr>
        <w:instrText xml:space="preserve"> PAGEREF _Toc29793 \h </w:instrText>
      </w:r>
      <w:r>
        <w:rPr>
          <w:rFonts w:hint="eastAsia" w:eastAsia="黑体" w:cs="黑体"/>
          <w:b w:val="0"/>
          <w:caps w:val="0"/>
          <w:sz w:val="24"/>
          <w:szCs w:val="24"/>
        </w:rPr>
        <w:fldChar w:fldCharType="separate"/>
      </w:r>
      <w:r>
        <w:rPr>
          <w:rFonts w:hint="eastAsia" w:eastAsia="黑体" w:cs="黑体"/>
          <w:b w:val="0"/>
          <w:caps w:val="0"/>
          <w:sz w:val="24"/>
          <w:szCs w:val="24"/>
        </w:rPr>
        <w:t>437</w:t>
      </w:r>
      <w:r>
        <w:rPr>
          <w:rFonts w:hint="eastAsia" w:eastAsia="黑体" w:cs="黑体"/>
          <w:b w:val="0"/>
          <w:caps w:val="0"/>
          <w:sz w:val="24"/>
          <w:szCs w:val="24"/>
        </w:rPr>
        <w:fldChar w:fldCharType="end"/>
      </w: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end"/>
      </w:r>
    </w:p>
    <w:p w14:paraId="28518CE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_Toc31717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（一）《人类辅助生殖技术管理办法》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_Toc31717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31FCB8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_Toc14339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第四百零八条</w:t>
      </w:r>
      <w:r>
        <w:rPr>
          <w:rFonts w:hint="eastAsia" w:ascii="Times New Roman" w:hAnsi="Times New Roman" w:eastAsia="仿宋_GB2312" w:cs="仿宋_GB2312"/>
          <w:bCs/>
          <w:sz w:val="24"/>
          <w:szCs w:val="24"/>
        </w:rPr>
        <w:t xml:space="preserve"> 开展人类辅助生殖技术的医疗机构买卖配子、合子、胚胎的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_Toc14339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0C04D3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_Toc5853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第四百零九条</w:t>
      </w:r>
      <w:r>
        <w:rPr>
          <w:rFonts w:hint="eastAsia" w:ascii="Times New Roman" w:hAnsi="Times New Roman" w:eastAsia="仿宋_GB2312" w:cs="仿宋_GB2312"/>
          <w:bCs/>
          <w:sz w:val="24"/>
          <w:szCs w:val="24"/>
        </w:rPr>
        <w:t xml:space="preserve"> 开展人类辅助生殖技术的医疗机构实施代孕技术的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_Toc5853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702D77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_Toc24352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第四百一十条</w:t>
      </w:r>
      <w:r>
        <w:rPr>
          <w:rFonts w:hint="eastAsia" w:ascii="Times New Roman" w:hAnsi="Times New Roman" w:eastAsia="仿宋_GB2312" w:cs="仿宋_GB2312"/>
          <w:bCs/>
          <w:sz w:val="24"/>
          <w:szCs w:val="24"/>
        </w:rPr>
        <w:t xml:space="preserve"> 开展人类辅助生殖技术的医疗机构使用不具有《人类精子库批准证书》机构提供的精子的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_Toc24352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BD3A9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_Toc15508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第四百一十一条</w:t>
      </w:r>
      <w:r>
        <w:rPr>
          <w:rFonts w:hint="eastAsia" w:ascii="Times New Roman" w:hAnsi="Times New Roman" w:eastAsia="仿宋_GB2312" w:cs="仿宋_GB2312"/>
          <w:bCs/>
          <w:sz w:val="24"/>
          <w:szCs w:val="24"/>
        </w:rPr>
        <w:t xml:space="preserve"> 开展人类辅助生殖技术的医疗机构擅自进行性别选择的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_Toc15508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439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4E0418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_Toc4037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第四百一十二条</w:t>
      </w:r>
      <w:r>
        <w:rPr>
          <w:rFonts w:hint="eastAsia" w:ascii="Times New Roman" w:hAnsi="Times New Roman" w:eastAsia="仿宋_GB2312" w:cs="仿宋_GB2312"/>
          <w:bCs/>
          <w:sz w:val="24"/>
          <w:szCs w:val="24"/>
        </w:rPr>
        <w:t xml:space="preserve"> 开展人类辅助生殖技术的医疗机构实施人类辅助生殖技术档案不健全的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_Toc4037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5F8951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_Toc23043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第四百一十三条</w:t>
      </w:r>
      <w:r>
        <w:rPr>
          <w:rFonts w:hint="eastAsia" w:ascii="Times New Roman" w:hAnsi="Times New Roman" w:eastAsia="仿宋_GB2312" w:cs="仿宋_GB2312"/>
          <w:bCs/>
          <w:sz w:val="24"/>
          <w:szCs w:val="24"/>
        </w:rPr>
        <w:t xml:space="preserve"> 开展人类辅助生殖技术的医疗机构的技术质量经指定技术评估机构检查不合格的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_Toc23043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D2F970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_Toc24903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第四百一十四条</w:t>
      </w:r>
      <w:r>
        <w:rPr>
          <w:rFonts w:hint="eastAsia" w:ascii="Times New Roman" w:hAnsi="Times New Roman" w:eastAsia="仿宋_GB2312" w:cs="仿宋_GB2312"/>
          <w:bCs/>
          <w:sz w:val="24"/>
          <w:szCs w:val="24"/>
        </w:rPr>
        <w:t xml:space="preserve"> 开展人类辅助生殖技术的医疗机构违反其他本办法规定的行为。</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_Toc24903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A510B7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_Toc21172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（二）《产前诊断技术管理办法》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_Toc21172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82B34A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_Toc1070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第四百一十五条</w:t>
      </w:r>
      <w:r>
        <w:rPr>
          <w:rFonts w:hint="eastAsia" w:ascii="Times New Roman" w:hAnsi="Times New Roman" w:eastAsia="仿宋_GB2312" w:cs="仿宋_GB2312"/>
          <w:bCs/>
          <w:sz w:val="24"/>
          <w:szCs w:val="24"/>
        </w:rPr>
        <w:t xml:space="preserve"> 医疗保健机构未取得产前诊断执业许可或超越许可范围擅自从事产前诊断的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_Toc1070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D4CE5A9">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_Toc5079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（三）《人类精子库管理办法》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_Toc5079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973F0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_Toc3858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第四百一十六条</w:t>
      </w:r>
      <w:r>
        <w:rPr>
          <w:rFonts w:hint="eastAsia" w:ascii="Times New Roman" w:hAnsi="Times New Roman" w:eastAsia="仿宋_GB2312" w:cs="仿宋_GB2312"/>
          <w:bCs/>
          <w:sz w:val="24"/>
          <w:szCs w:val="24"/>
        </w:rPr>
        <w:t xml:space="preserve"> 设置人类精子库的医疗机构采集精液前，未按规定对供精者进行健康检查的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_Toc3858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49ED19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_Toc5677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第四百一十七条</w:t>
      </w:r>
      <w:r>
        <w:rPr>
          <w:rFonts w:hint="eastAsia" w:ascii="Times New Roman" w:hAnsi="Times New Roman" w:eastAsia="仿宋_GB2312" w:cs="仿宋_GB2312"/>
          <w:bCs/>
          <w:sz w:val="24"/>
          <w:szCs w:val="24"/>
        </w:rPr>
        <w:t xml:space="preserve"> 设置人类精子库的医疗机构向其他医疗机构提供未经检验的精子的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_Toc5677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0A72C2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_Toc28715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第四百一十八条</w:t>
      </w:r>
      <w:r>
        <w:rPr>
          <w:rFonts w:hint="eastAsia" w:ascii="Times New Roman" w:hAnsi="Times New Roman" w:eastAsia="仿宋_GB2312" w:cs="仿宋_GB2312"/>
          <w:bCs/>
          <w:sz w:val="24"/>
          <w:szCs w:val="24"/>
        </w:rPr>
        <w:t xml:space="preserve"> 设置人类精子库的医疗机构向不具有人类辅助生殖技术批准证书的机构提供精子的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_Toc28715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5D47F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_Toc18224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第四百一十九条</w:t>
      </w:r>
      <w:r>
        <w:rPr>
          <w:rFonts w:hint="eastAsia" w:ascii="Times New Roman" w:hAnsi="Times New Roman" w:eastAsia="仿宋_GB2312" w:cs="仿宋_GB2312"/>
          <w:bCs/>
          <w:sz w:val="24"/>
          <w:szCs w:val="24"/>
        </w:rPr>
        <w:t xml:space="preserve"> 供精者档案不健全的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_Toc18224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A76D50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_Toc17104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第四百二十条</w:t>
      </w:r>
      <w:r>
        <w:rPr>
          <w:rFonts w:hint="eastAsia" w:ascii="Times New Roman" w:hAnsi="Times New Roman" w:eastAsia="仿宋_GB2312" w:cs="仿宋_GB2312"/>
          <w:bCs/>
          <w:sz w:val="24"/>
          <w:szCs w:val="24"/>
        </w:rPr>
        <w:t xml:space="preserve"> 人类精子库中精子经评估机构检查质量不合格的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_Toc17104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A887DA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_Toc27764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第四百二十一条</w:t>
      </w:r>
      <w:r>
        <w:rPr>
          <w:rFonts w:hint="eastAsia" w:ascii="Times New Roman" w:hAnsi="Times New Roman" w:eastAsia="仿宋_GB2312" w:cs="仿宋_GB2312"/>
          <w:bCs/>
          <w:sz w:val="24"/>
          <w:szCs w:val="24"/>
        </w:rPr>
        <w:t xml:space="preserve"> 违反《人类精子库管理办法》其他规定的行为</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_Toc27764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E72C37D">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_Toc29725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（四）《中华人民共和国人口与计划生育法》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_Toc29725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ED8290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第四百二十二条</w:t>
      </w:r>
      <w:r>
        <w:rPr>
          <w:rFonts w:hint="eastAsia" w:ascii="Times New Roman" w:hAnsi="Times New Roman" w:eastAsia="仿宋_GB2312" w:cs="仿宋_GB2312"/>
          <w:bCs/>
          <w:sz w:val="24"/>
          <w:szCs w:val="24"/>
        </w:rPr>
        <w:t xml:space="preserve"> 非法为他人施行计划生育手术的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D46B51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_Toc17534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第四百二十三</w:t>
      </w:r>
      <w:r>
        <w:rPr>
          <w:rFonts w:hint="eastAsia" w:ascii="Times New Roman" w:hAnsi="Times New Roman" w:eastAsia="仿宋_GB2312" w:cs="仿宋_GB2312"/>
          <w:bCs/>
          <w:sz w:val="24"/>
          <w:szCs w:val="24"/>
        </w:rPr>
        <w:t>条 利用超声技术和其他技术手段为他人进行非医学需要的胎儿性别鉴定或者选择性别的人工终止妊娠的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_Toc17534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449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4FEEA5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_Toc25077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第四百二十四</w:t>
      </w:r>
      <w:r>
        <w:rPr>
          <w:rFonts w:hint="eastAsia" w:ascii="Times New Roman" w:hAnsi="Times New Roman" w:eastAsia="仿宋_GB2312" w:cs="仿宋_GB2312"/>
          <w:bCs/>
          <w:sz w:val="24"/>
          <w:szCs w:val="24"/>
        </w:rPr>
        <w:t>条 托育机构违反托育服务违反相关标准和规范的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_Toc25077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A427DB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_Toc28100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四百二十五</w:t>
      </w:r>
      <w:r>
        <w:rPr>
          <w:rFonts w:hint="eastAsia" w:ascii="Times New Roman" w:hAnsi="Times New Roman" w:eastAsia="仿宋_GB2312" w:cs="仿宋_GB2312"/>
          <w:bCs/>
          <w:sz w:val="24"/>
          <w:szCs w:val="24"/>
        </w:rPr>
        <w:t>条 托育机构有虐待婴幼儿行为的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_Toc28100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CE270FA">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_Toc5506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（五）《中华人民共和国母婴保健法》及《中华人民共和国母婴保健法实施办法》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_Toc5506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B498E8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_Toc30514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四百二十六</w:t>
      </w:r>
      <w:r>
        <w:rPr>
          <w:rFonts w:hint="eastAsia" w:ascii="Times New Roman" w:hAnsi="Times New Roman" w:eastAsia="仿宋_GB2312" w:cs="仿宋_GB2312"/>
          <w:bCs/>
          <w:sz w:val="24"/>
          <w:szCs w:val="24"/>
        </w:rPr>
        <w:t>条 未取得国家颁发的有关合格证书从事婚前医学检查、遗传病诊断、产前诊断或者医学技术鉴定的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_Toc30514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A2A123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_Toc23830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四百二十七</w:t>
      </w:r>
      <w:r>
        <w:rPr>
          <w:rFonts w:hint="eastAsia" w:ascii="Times New Roman" w:hAnsi="Times New Roman" w:eastAsia="仿宋_GB2312" w:cs="仿宋_GB2312"/>
          <w:bCs/>
          <w:sz w:val="24"/>
          <w:szCs w:val="24"/>
        </w:rPr>
        <w:t>条 人员未取得母婴保健技术许可从事婚前医学检查、遗传病诊断的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_Toc23830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45625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四百二十八</w:t>
      </w:r>
      <w:r>
        <w:rPr>
          <w:rFonts w:hint="eastAsia" w:ascii="Times New Roman" w:hAnsi="Times New Roman" w:eastAsia="仿宋_GB2312" w:cs="仿宋_GB2312"/>
          <w:bCs/>
          <w:sz w:val="24"/>
          <w:szCs w:val="24"/>
        </w:rPr>
        <w:t>条 未取得国家颁发的有关合格证书而施行终止妊娠手术的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000D2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_Toc15844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四百二十九</w:t>
      </w:r>
      <w:r>
        <w:rPr>
          <w:rFonts w:hint="eastAsia" w:ascii="Times New Roman" w:hAnsi="Times New Roman" w:eastAsia="仿宋_GB2312" w:cs="仿宋_GB2312"/>
          <w:bCs/>
          <w:sz w:val="24"/>
          <w:szCs w:val="24"/>
        </w:rPr>
        <w:t>条 未取得国家颁发的有关合格证书出具《母婴保健法》规定的有关医学证明的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_Toc15844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F599A1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_Toc15381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四百三十</w:t>
      </w:r>
      <w:r>
        <w:rPr>
          <w:rFonts w:hint="eastAsia" w:ascii="Times New Roman" w:hAnsi="Times New Roman" w:eastAsia="仿宋_GB2312" w:cs="仿宋_GB2312"/>
          <w:bCs/>
          <w:sz w:val="24"/>
          <w:szCs w:val="24"/>
        </w:rPr>
        <w:t>条 对未取得产前诊断类母婴保健技术考核合格证书的个人，擅自从事产前诊断或超越许可范围的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_Toc15381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357C327">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_Toc25308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（六）《禁止非医学需要的胎儿性别鉴定和选择性别人工终止妊娠的规定》</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_Toc25308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A9C61C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_Toc30408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四百三十一</w:t>
      </w:r>
      <w:r>
        <w:rPr>
          <w:rFonts w:hint="eastAsia" w:ascii="Times New Roman" w:hAnsi="Times New Roman" w:eastAsia="仿宋_GB2312" w:cs="仿宋_GB2312"/>
          <w:bCs/>
          <w:sz w:val="24"/>
          <w:szCs w:val="24"/>
        </w:rPr>
        <w:t>条 未建立真实完整的终止妊娠药品购进记录或者未按照规定为终止妊娠药品使用者建立完整用药档案的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_Toc30408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D2CE5D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_Toc30191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四百三十二</w:t>
      </w:r>
      <w:r>
        <w:rPr>
          <w:rFonts w:hint="eastAsia" w:ascii="Times New Roman" w:hAnsi="Times New Roman" w:eastAsia="仿宋_GB2312" w:cs="仿宋_GB2312"/>
          <w:bCs/>
          <w:sz w:val="24"/>
          <w:szCs w:val="24"/>
        </w:rPr>
        <w:t>条 介绍、组织孕妇实施非医学需要的胎儿性别鉴定或者选择性别人工终止妊娠的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_Toc30191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741056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_Toc3236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四百三十三</w:t>
      </w:r>
      <w:r>
        <w:rPr>
          <w:rFonts w:hint="eastAsia" w:ascii="Times New Roman" w:hAnsi="Times New Roman" w:eastAsia="仿宋_GB2312" w:cs="仿宋_GB2312"/>
          <w:bCs/>
          <w:sz w:val="24"/>
          <w:szCs w:val="24"/>
        </w:rPr>
        <w:t>条 开展新生儿疾病筛查的医疗机构违反《新生儿疾病筛查技术规范》的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_Toc3236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00227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_Toc32053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四百三十四</w:t>
      </w:r>
      <w:r>
        <w:rPr>
          <w:rFonts w:hint="eastAsia" w:ascii="Times New Roman" w:hAnsi="Times New Roman" w:eastAsia="仿宋_GB2312" w:cs="仿宋_GB2312"/>
          <w:bCs/>
          <w:sz w:val="24"/>
          <w:szCs w:val="24"/>
        </w:rPr>
        <w:t>条 开展新生儿疾病筛查的医疗机构未履行告知程序擅自进行新生儿疾病筛查的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_Toc32053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459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C5085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_Toc31203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w:t>
      </w:r>
      <w:r>
        <w:rPr>
          <w:rFonts w:hint="eastAsia" w:ascii="Times New Roman" w:hAnsi="Times New Roman" w:eastAsia="仿宋_GB2312" w:cs="仿宋_GB2312"/>
          <w:bCs/>
          <w:kern w:val="0"/>
          <w:sz w:val="24"/>
          <w:szCs w:val="24"/>
        </w:rPr>
        <w:t>四百三十五</w:t>
      </w:r>
      <w:r>
        <w:rPr>
          <w:rFonts w:hint="eastAsia" w:ascii="Times New Roman" w:hAnsi="Times New Roman" w:eastAsia="仿宋_GB2312" w:cs="仿宋_GB2312"/>
          <w:bCs/>
          <w:sz w:val="24"/>
          <w:szCs w:val="24"/>
        </w:rPr>
        <w:t>条 开展新生儿疾病筛查的医疗机构未按规定进行实验室质量监测、检查的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_Toc31203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075D0A5">
      <w:pPr>
        <w:pStyle w:val="18"/>
        <w:tabs>
          <w:tab w:val="right" w:leader="dot" w:pos="13958"/>
        </w:tabs>
        <w:spacing w:line="316" w:lineRule="exact"/>
        <w:jc w:val="both"/>
        <w:rPr>
          <w:rFonts w:hint="eastAsia" w:eastAsia="黑体" w:cs="黑体"/>
          <w:b w:val="0"/>
          <w:caps w:val="0"/>
          <w:sz w:val="24"/>
          <w:szCs w:val="24"/>
        </w:rPr>
      </w:pP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黑体" w:cs="黑体"/>
          <w:b w:val="0"/>
          <w:bCs/>
          <w:caps w:val="0"/>
          <w:sz w:val="24"/>
          <w:szCs w:val="24"/>
          <w:highlight w:val="none"/>
          <w:lang w:val="en-US" w:eastAsia="zh-CN"/>
        </w:rPr>
        <w:instrText xml:space="preserve"> HYPERLINK \l _Toc4972 </w:instrText>
      </w:r>
      <w:r>
        <w:rPr>
          <w:rFonts w:hint="eastAsia" w:ascii="Times New Roman" w:hAnsi="Times New Roman" w:eastAsia="黑体" w:cs="黑体"/>
          <w:b w:val="0"/>
          <w:bCs/>
          <w:caps w:val="0"/>
          <w:sz w:val="24"/>
          <w:szCs w:val="24"/>
          <w:highlight w:val="none"/>
          <w:lang w:val="en-US" w:eastAsia="zh-CN"/>
        </w:rPr>
        <w:fldChar w:fldCharType="separate"/>
      </w:r>
      <w:r>
        <w:rPr>
          <w:rFonts w:hint="eastAsia" w:ascii="Times New Roman" w:hAnsi="Times New Roman" w:eastAsia="黑体" w:cs="黑体"/>
          <w:b w:val="0"/>
          <w:caps w:val="0"/>
          <w:kern w:val="0"/>
          <w:sz w:val="24"/>
          <w:szCs w:val="24"/>
        </w:rPr>
        <w:t>四</w:t>
      </w:r>
      <w:r>
        <w:rPr>
          <w:rFonts w:hint="eastAsia" w:ascii="Times New Roman" w:hAnsi="Times New Roman" w:eastAsia="黑体" w:cs="黑体"/>
          <w:b w:val="0"/>
          <w:caps w:val="0"/>
          <w:sz w:val="24"/>
          <w:szCs w:val="24"/>
        </w:rPr>
        <w:t>、公共卫生类</w:t>
      </w:r>
      <w:r>
        <w:rPr>
          <w:rFonts w:hint="eastAsia" w:eastAsia="黑体" w:cs="黑体"/>
          <w:b w:val="0"/>
          <w:caps w:val="0"/>
          <w:sz w:val="24"/>
          <w:szCs w:val="24"/>
        </w:rPr>
        <w:tab/>
      </w:r>
      <w:r>
        <w:rPr>
          <w:rFonts w:hint="eastAsia" w:eastAsia="黑体" w:cs="黑体"/>
          <w:b w:val="0"/>
          <w:caps w:val="0"/>
          <w:sz w:val="24"/>
          <w:szCs w:val="24"/>
        </w:rPr>
        <w:fldChar w:fldCharType="begin"/>
      </w:r>
      <w:r>
        <w:rPr>
          <w:rFonts w:hint="eastAsia" w:eastAsia="黑体" w:cs="黑体"/>
          <w:b w:val="0"/>
          <w:caps w:val="0"/>
          <w:sz w:val="24"/>
          <w:szCs w:val="24"/>
        </w:rPr>
        <w:instrText xml:space="preserve"> PAGEREF _Toc4972 \h </w:instrText>
      </w:r>
      <w:r>
        <w:rPr>
          <w:rFonts w:hint="eastAsia" w:eastAsia="黑体" w:cs="黑体"/>
          <w:b w:val="0"/>
          <w:caps w:val="0"/>
          <w:sz w:val="24"/>
          <w:szCs w:val="24"/>
        </w:rPr>
        <w:fldChar w:fldCharType="separate"/>
      </w:r>
      <w:r>
        <w:rPr>
          <w:rFonts w:hint="eastAsia" w:eastAsia="黑体" w:cs="黑体"/>
          <w:b w:val="0"/>
          <w:caps w:val="0"/>
          <w:sz w:val="24"/>
          <w:szCs w:val="24"/>
        </w:rPr>
        <w:t>461</w:t>
      </w:r>
      <w:r>
        <w:rPr>
          <w:rFonts w:hint="eastAsia" w:eastAsia="黑体" w:cs="黑体"/>
          <w:b w:val="0"/>
          <w:caps w:val="0"/>
          <w:sz w:val="24"/>
          <w:szCs w:val="24"/>
        </w:rPr>
        <w:fldChar w:fldCharType="end"/>
      </w: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end"/>
      </w:r>
    </w:p>
    <w:p w14:paraId="5E533503">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_Toc22213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（一）</w:t>
      </w:r>
      <w:r>
        <w:rPr>
          <w:rFonts w:hint="eastAsia" w:ascii="Times New Roman" w:hAnsi="Times New Roman" w:eastAsia="楷体_GB2312" w:cs="楷体_GB2312"/>
          <w:bCs/>
          <w:kern w:val="0"/>
          <w:sz w:val="24"/>
          <w:szCs w:val="24"/>
        </w:rPr>
        <w:t>《公共场所卫生管理条例》</w:t>
      </w:r>
      <w:r>
        <w:rPr>
          <w:rFonts w:hint="eastAsia" w:ascii="Times New Roman" w:hAnsi="Times New Roman" w:eastAsia="楷体_GB2312" w:cs="楷体_GB2312"/>
          <w:bCs/>
          <w:sz w:val="24"/>
          <w:szCs w:val="24"/>
        </w:rPr>
        <w:t>及</w:t>
      </w:r>
      <w:r>
        <w:rPr>
          <w:rFonts w:hint="eastAsia" w:ascii="Times New Roman" w:hAnsi="Times New Roman" w:eastAsia="楷体_GB2312" w:cs="楷体_GB2312"/>
          <w:bCs/>
          <w:kern w:val="0"/>
          <w:sz w:val="24"/>
          <w:szCs w:val="24"/>
        </w:rPr>
        <w:t>《公共场所卫生管理条例实施细则》</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_Toc22213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4916C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_Toc5202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第四百三十六条 公共场所经营者安排未获得有效健康合格证明的从业人员从事直接为顾客服务工作的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_Toc5202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36888F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_Toc4097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第四百三十七条 公共场所经营者未取得公共场所卫生许可证擅自营业，或涂改、转让、倒卖、伪造的卫生许可证擅自营业的，或未办理卫生备案的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_Toc4097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21E598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_Toc19168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第四百三十八条 公共场所经营者未按规定对公共场所卫生质量进行卫生检测的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_Toc19168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E50CEA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_Toc9101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第四百三十九条 公共场所经营者未按照规定对顾客用品用具进行清洗、消毒、保洁的，或者重复使用一次性用品用具的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_Toc9101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C3B588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_Toc22286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第四百四十条 公共场所经营者未按照规定建立卫生管理制度的，或未按照规定设立卫生管理部门的，或未按照规定配备专（兼）职卫生管理人员的，或未按照规定建立卫生管理档案的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_Toc22286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29EF5C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_Toc15711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第四百四十一条 公共场所经营者未按照规定组织培训的，或安排未经相关卫生法律知识和公共场所卫生知识培训考核的从业人员上岗的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_Toc15711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B2797E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_Toc6514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第四百四十二条 公共场所经营者未按照规定设置与其经营规模、项目相适应的清洗、消毒、保洁、盥洗等设施设备和公共卫生间的，或擅自停止使用、拆除上述设施设备，或者挪作他用的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_Toc6514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DC55B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_Toc22597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第四百四十三条 公共场所经营者未按照规定配备预防控制鼠、蚊、蝇、蟑螂和其他病媒生物的设施设备以及废弃物存放专用设施设备，或者擅自停止使用、拆除预防控制鼠、蚊、蝇、蟑螂和其他病媒生物的设施设备以及废弃物存放专用设施设备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_Toc22597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469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7B2E5E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_Toc11480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 xml:space="preserve">第四百四十四条 </w:t>
      </w:r>
      <w:r>
        <w:rPr>
          <w:rFonts w:hint="eastAsia" w:ascii="Times New Roman" w:hAnsi="Times New Roman" w:eastAsia="仿宋_GB2312" w:cs="仿宋_GB2312"/>
          <w:bCs/>
          <w:spacing w:val="-6"/>
          <w:sz w:val="24"/>
          <w:szCs w:val="24"/>
        </w:rPr>
        <w:t>公共场所经营者未按照规定索取公共卫生用品检验合格证明和其他相关资料的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_Toc11480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7B791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_Toc5228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第四百四十五条 公共场所经营者未按照规定对公共场所新建、改建、扩建项目办理预防性卫生审查手续的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_Toc5228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C60D60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_Toc31734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第四百四十六条 公共场所经营者使用未经卫生检测或者评价不合格而投入使用的集中空调通风系统的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_Toc31734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64D9D1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_Toc22957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第四百四十七条 公共场所经营者未按照规定公示公共场所卫生许可证、卫生检测结果和卫生信誉度等级的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_Toc22957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7EC12B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_Toc18008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第四百四十八条 公共场所经营者对发生的危害健康事故未立即采取处置措施导致危害扩大，或隐瞒、缓报、谎报危害健康事故的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_Toc18008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480AB2">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_Toc25241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rPr>
        <w:t>（二）《生活饮用水卫生监督管理办法》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_Toc25241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4032A1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_Toc24410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第四百四十九条</w:t>
      </w:r>
      <w:r>
        <w:rPr>
          <w:rFonts w:hint="eastAsia" w:ascii="Times New Roman" w:hAnsi="Times New Roman" w:eastAsia="仿宋_GB2312" w:cs="仿宋_GB2312"/>
          <w:bCs/>
          <w:sz w:val="24"/>
          <w:szCs w:val="24"/>
          <w:lang w:eastAsia="zh-CN"/>
        </w:rPr>
        <w:t xml:space="preserve"> </w:t>
      </w:r>
      <w:r>
        <w:rPr>
          <w:rFonts w:hint="eastAsia" w:ascii="Times New Roman" w:hAnsi="Times New Roman" w:eastAsia="仿宋_GB2312" w:cs="仿宋_GB2312"/>
          <w:bCs/>
          <w:sz w:val="24"/>
          <w:szCs w:val="24"/>
        </w:rPr>
        <w:t>集中式供水单位安排未取得体检合格证的人员从事直接供、管水工作或安排患有有碍饮用水卫生疾病的或病原携带者从事直接供、管水工作的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_Toc24410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48A653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_Toc30266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第四百五十条 在饮用水水源保护区修建危害水源水质卫生的设施或进行有碍水源水质卫生作业的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_Toc30266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1048F5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_Toc14120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第四百五十一条 新建、改建、扩建的饮用水供水项目未经卫生行政部门参加选址、设计审查和竣工验收而擅自供水的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_Toc14120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D284A35">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_Toc9604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rPr>
        <w:t>（三）《中华人民共和国传染病防治法》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_Toc9604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3B517F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_Toc2924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第四百五十二条 饮用水供水单位未取得卫生许可擅自供水，或者供应的饮用水不符合国家卫生标准和卫生规范造成或者可能造成传染病传播、暴发、流行的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_Toc2924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E69800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_Toc30764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第四百五十三条 生产、销售未取得卫生许可的涉及饮用水卫生安全的产品，或者生产、销售的涉及饮用水卫生安全的产品不符合国家卫生标准和卫生规范的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_Toc30764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EF64E4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_Toc27092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第四百五十四条 学校的卫生条件和传染病预防、控制措施不符合国家卫生标准和卫生规范的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_Toc27092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479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C68F1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_Toc12964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 xml:space="preserve">第四百五十五条 </w:t>
      </w:r>
      <w:r>
        <w:rPr>
          <w:rFonts w:hint="eastAsia" w:ascii="Times New Roman" w:hAnsi="Times New Roman" w:eastAsia="仿宋_GB2312" w:cs="仿宋_GB2312"/>
          <w:bCs/>
          <w:spacing w:val="-6"/>
          <w:sz w:val="24"/>
          <w:szCs w:val="24"/>
          <w:highlight w:val="none"/>
        </w:rPr>
        <w:t>公共场所的卫生条件和传染病预防、控制措施不符合国家卫生标准和卫生规范的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_Toc12964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B053A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_Toc6312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 xml:space="preserve">第四百五十六条 </w:t>
      </w:r>
      <w:r>
        <w:rPr>
          <w:rFonts w:hint="eastAsia" w:ascii="Times New Roman" w:hAnsi="Times New Roman" w:eastAsia="仿宋_GB2312" w:cs="仿宋_GB2312"/>
          <w:bCs/>
          <w:spacing w:val="-6"/>
          <w:sz w:val="24"/>
          <w:szCs w:val="24"/>
          <w:highlight w:val="none"/>
        </w:rPr>
        <w:t>托育机构的卫生条件和传染病预防、控制措施不符合国家卫生标准和卫生规范的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_Toc6312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D9BC6A">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_Toc2977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highlight w:val="none"/>
        </w:rPr>
        <w:t>（四）《艾滋病防治条例》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_Toc2977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7879F4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_Toc22152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第四百五十七条 公共场所的经营者未查验服务人员的健康合格证明或者允许未取得健康合格证明的人员从事服务工作，省、自治区、直辖市人民政府确定的公共场所的经营者未在公共场所内放置安全套或者设置安全套发售设施的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_Toc22152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508D723">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_Toc5703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highlight w:val="none"/>
        </w:rPr>
        <w:t>（五）</w:t>
      </w:r>
      <w:r>
        <w:rPr>
          <w:rFonts w:hint="eastAsia" w:ascii="Times New Roman" w:hAnsi="Times New Roman" w:eastAsia="楷体_GB2312" w:cs="楷体_GB2312"/>
          <w:bCs/>
          <w:sz w:val="24"/>
          <w:szCs w:val="24"/>
        </w:rPr>
        <w:t>《学校卫生工作条例》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_Toc5703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567B96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_Toc23620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第四百五十八条</w:t>
      </w:r>
      <w:r>
        <w:rPr>
          <w:rFonts w:hint="eastAsia" w:ascii="Times New Roman" w:hAnsi="Times New Roman" w:eastAsia="仿宋_GB2312" w:cs="仿宋_GB2312"/>
          <w:bCs/>
          <w:sz w:val="24"/>
          <w:szCs w:val="24"/>
          <w:highlight w:val="none"/>
          <w:lang w:eastAsia="zh-CN"/>
        </w:rPr>
        <w:t xml:space="preserve"> </w:t>
      </w:r>
      <w:r>
        <w:rPr>
          <w:rFonts w:hint="eastAsia" w:ascii="Times New Roman" w:hAnsi="Times New Roman" w:eastAsia="仿宋_GB2312" w:cs="仿宋_GB2312"/>
          <w:bCs/>
          <w:sz w:val="24"/>
          <w:szCs w:val="24"/>
          <w:highlight w:val="none"/>
        </w:rPr>
        <w:t>对学校教学建筑、环境噪声、室内微小气候、采光、照明等环境质量以及黑板、课桌椅的设置不符合国家标准的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_Toc23620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1ED4CD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_Toc27971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第四百五十九条 对学校未按照有关规定为学生设置厕所和洗手设施、未按规定提供充足的符合卫生标准的饮用水，寄宿制学校未按规定为学生提供相应的洗漱、洗澡设施的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_Toc27971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F12DB3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_Toc14934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第四百六十条 对学校体育场地、体育器材不符合卫生和安全要求的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_Toc14934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F91A1D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_Toc6173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第四百六十一条 对学校组织学生参加劳动不符合相关规定，致使学生健康受到损害的处罚学校组织学生参加劳动致使学生健康受到损害的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_Toc6173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3CA8FB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_Toc4704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第四百六十二条 对供学生使用的文具、娱乐器具、保健用品不符合国家有关标准的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_Toc4704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1322F7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_Toc4226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第四百六十三条 对拒绝或者妨碍学校卫生监督员依照《学校卫生工作条例》实施卫生监督的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_Toc4226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EE01D5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_Toc31818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第四百六十四条 对托幼机构未按要求设立保健室、卫生室或者配备卫生保健人员的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_Toc31818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B05D8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_Toc9260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第四百六十五条 对托幼机构聘用未进行健康检查或者健康检查不合格的工作人员的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_Toc9260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4D8DD7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_Toc30612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第四百六十六条 对托幼机构未定期组织工作人员健康检查的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_Toc30612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733CA1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_Toc29869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第四百六十七条 对托幼机构招收未经健康检查或健康检查不合格的儿童入托幼机构的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_Toc29869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490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218E84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highlight w:val="none"/>
        </w:rPr>
        <w:t xml:space="preserve">第四百六十八条 </w:t>
      </w:r>
      <w:r>
        <w:rPr>
          <w:rFonts w:hint="eastAsia" w:ascii="Times New Roman" w:hAnsi="Times New Roman" w:eastAsia="仿宋_GB2312" w:cs="仿宋_GB2312"/>
          <w:bCs/>
          <w:spacing w:val="-6"/>
          <w:sz w:val="24"/>
          <w:szCs w:val="24"/>
          <w:highlight w:val="none"/>
        </w:rPr>
        <w:t>对托幼机构未严格按照《托儿所幼儿园卫生保健工作规范》开展卫生保健工作的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490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B3D93CD">
      <w:pPr>
        <w:pStyle w:val="18"/>
        <w:tabs>
          <w:tab w:val="right" w:leader="dot" w:pos="13958"/>
        </w:tabs>
        <w:spacing w:line="316" w:lineRule="exact"/>
        <w:jc w:val="both"/>
        <w:rPr>
          <w:rFonts w:hint="eastAsia" w:eastAsia="黑体" w:cs="黑体"/>
          <w:b w:val="0"/>
          <w:caps w:val="0"/>
          <w:sz w:val="24"/>
          <w:szCs w:val="24"/>
        </w:rPr>
      </w:pP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黑体" w:cs="黑体"/>
          <w:b w:val="0"/>
          <w:bCs/>
          <w:caps w:val="0"/>
          <w:sz w:val="24"/>
          <w:szCs w:val="24"/>
          <w:highlight w:val="none"/>
          <w:lang w:val="en-US" w:eastAsia="zh-CN"/>
        </w:rPr>
        <w:instrText xml:space="preserve"> HYPERLINK \l _Toc8716 </w:instrText>
      </w:r>
      <w:r>
        <w:rPr>
          <w:rFonts w:hint="eastAsia" w:ascii="Times New Roman" w:hAnsi="Times New Roman" w:eastAsia="黑体" w:cs="黑体"/>
          <w:b w:val="0"/>
          <w:bCs/>
          <w:caps w:val="0"/>
          <w:sz w:val="24"/>
          <w:szCs w:val="24"/>
          <w:highlight w:val="none"/>
          <w:lang w:val="en-US" w:eastAsia="zh-CN"/>
        </w:rPr>
        <w:fldChar w:fldCharType="separate"/>
      </w:r>
      <w:r>
        <w:rPr>
          <w:rFonts w:hint="eastAsia" w:ascii="Times New Roman" w:hAnsi="Times New Roman" w:eastAsia="黑体" w:cs="黑体"/>
          <w:b w:val="0"/>
          <w:caps w:val="0"/>
          <w:sz w:val="24"/>
          <w:szCs w:val="24"/>
        </w:rPr>
        <w:t>五、职业卫生</w:t>
      </w:r>
      <w:r>
        <w:rPr>
          <w:rFonts w:hint="eastAsia" w:eastAsia="黑体" w:cs="黑体"/>
          <w:b w:val="0"/>
          <w:caps w:val="0"/>
          <w:sz w:val="24"/>
          <w:szCs w:val="24"/>
        </w:rPr>
        <w:tab/>
      </w:r>
      <w:r>
        <w:rPr>
          <w:rFonts w:hint="eastAsia" w:eastAsia="黑体" w:cs="黑体"/>
          <w:b w:val="0"/>
          <w:caps w:val="0"/>
          <w:sz w:val="24"/>
          <w:szCs w:val="24"/>
        </w:rPr>
        <w:fldChar w:fldCharType="begin"/>
      </w:r>
      <w:r>
        <w:rPr>
          <w:rFonts w:hint="eastAsia" w:eastAsia="黑体" w:cs="黑体"/>
          <w:b w:val="0"/>
          <w:caps w:val="0"/>
          <w:sz w:val="24"/>
          <w:szCs w:val="24"/>
        </w:rPr>
        <w:instrText xml:space="preserve"> PAGEREF _Toc8716 \h </w:instrText>
      </w:r>
      <w:r>
        <w:rPr>
          <w:rFonts w:hint="eastAsia" w:eastAsia="黑体" w:cs="黑体"/>
          <w:b w:val="0"/>
          <w:caps w:val="0"/>
          <w:sz w:val="24"/>
          <w:szCs w:val="24"/>
        </w:rPr>
        <w:fldChar w:fldCharType="separate"/>
      </w:r>
      <w:r>
        <w:rPr>
          <w:rFonts w:hint="eastAsia" w:eastAsia="黑体" w:cs="黑体"/>
          <w:b w:val="0"/>
          <w:caps w:val="0"/>
          <w:sz w:val="24"/>
          <w:szCs w:val="24"/>
        </w:rPr>
        <w:t>492</w:t>
      </w:r>
      <w:r>
        <w:rPr>
          <w:rFonts w:hint="eastAsia" w:eastAsia="黑体" w:cs="黑体"/>
          <w:b w:val="0"/>
          <w:caps w:val="0"/>
          <w:sz w:val="24"/>
          <w:szCs w:val="24"/>
        </w:rPr>
        <w:fldChar w:fldCharType="end"/>
      </w: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end"/>
      </w:r>
    </w:p>
    <w:p w14:paraId="1FB39414">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_Toc6549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sz w:val="24"/>
          <w:szCs w:val="24"/>
          <w:highlight w:val="none"/>
        </w:rPr>
        <w:t>（一）《中华人民共和国职业病防治法》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_Toc6549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492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FBFC3F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_Toc23735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第四百六十九条 建设单位未按照规定进行职业病危害预评价的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_Toc23735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492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D6341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_Toc22986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第四百七十条</w:t>
      </w:r>
      <w:r>
        <w:rPr>
          <w:rFonts w:hint="eastAsia" w:ascii="Times New Roman" w:hAnsi="Times New Roman" w:eastAsia="仿宋_GB2312" w:cs="仿宋_GB2312"/>
          <w:bCs/>
          <w:kern w:val="0"/>
          <w:sz w:val="24"/>
          <w:szCs w:val="24"/>
        </w:rPr>
        <w:t xml:space="preserve"> 建设项目的职业病防护设施未按照规定与主体工程同时设计、同时施工、同时投入生产和使用的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_Toc22986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493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83BB46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_Toc458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第四百七十一条</w:t>
      </w:r>
      <w:r>
        <w:rPr>
          <w:rFonts w:hint="eastAsia" w:ascii="Times New Roman" w:hAnsi="Times New Roman" w:eastAsia="仿宋_GB2312" w:cs="仿宋_GB2312"/>
          <w:bCs/>
          <w:kern w:val="0"/>
          <w:sz w:val="24"/>
          <w:szCs w:val="24"/>
        </w:rPr>
        <w:t xml:space="preserve"> 建设项目的职业病防护设施设计不符合国家职业卫生标准和卫生要求</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_Toc458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495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10B55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_Toc12113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z w:val="24"/>
          <w:szCs w:val="24"/>
        </w:rPr>
        <w:t>第四百七十二条</w:t>
      </w:r>
      <w:r>
        <w:rPr>
          <w:rFonts w:hint="eastAsia" w:ascii="Times New Roman" w:hAnsi="Times New Roman" w:eastAsia="仿宋_GB2312" w:cs="仿宋_GB2312"/>
          <w:bCs/>
          <w:kern w:val="0"/>
          <w:sz w:val="24"/>
          <w:szCs w:val="24"/>
        </w:rPr>
        <w:t xml:space="preserve"> 未按照规定对职业病防护设施进行职业病危害控制效果评价的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_Toc12113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497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0ECC4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_Toc7578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第四百七十三条 建设项目竣工投入生产和使用前，职业病防护设施未按照规定验收合格的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_Toc7578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499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8D4318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_Toc27366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第四百七十四条 工作场所职业病危害因素检测、评价结果没有存档、上报、公布的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_Toc27366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500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6F0BEA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_Toc4542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第四百七十五条 未按规定采取职业病防治管理措施的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_Toc4542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501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A92579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_Toc26832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第四百七十六条 未按照规定公布有关职业病防治的规章制度、操作规程、职业病危害事故应急救援措施的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_Toc26832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503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9AF9A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第四百七十七条 未按照规定组织劳动者进行职业卫生培训，或者未对劳动者个人职业病防护采取指导、督促措施的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504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A43E4A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_Toc13714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第四百七十八条 国内首次使用或者首次进口与职业病危害有关的化学材料，未按照规定报送毒性鉴定资料以及经有关部门登记注册或者批准进口的文件的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_Toc13714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506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A2388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_Toc24909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第四百七十九条 未按照规定及时、如实向卫生行政部门申报产生职业病危害的项目的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_Toc24909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507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4AC23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_Toc31725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第四百八十条 未实施由专人负责的职业病危害因素日常监测，或者监测系统不能正常监测的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_Toc31725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508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59F517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_Toc18345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第四百八十一条 订立或者变更劳动合同时，未告知劳动者职业病危害真实情况的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_Toc18345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BD14A7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_Toc16177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第四百八十二条 未按照规定组织职业健康检查、建立职业健康监护档案或者未将检查结果书面告知劳动者的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_Toc16177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510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9958F5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_Toc20125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第四百八十三条 未依照本法规定在劳动者离开用人单位时提供职业健康监护档案复印件的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_Toc20125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512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6D6CBC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_Toc10685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第四百八十四条 工作场所职业病危害因素的强度或者浓度超过国家职业卫生标准的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_Toc10685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513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26DBBD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_Toc11222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第四百八十五条 未提供职业病防护设施和个人使用的职业病防护用品，或者提供的职业病防护设施和个人使用的职业病防护用品不符合国家职业卫生标准和卫生要求的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_Toc11222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515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39384A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_Toc6661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第四百八十六条 对职业病防护设备、应急救援设施和个人使用的职业病防护用品未按照规定进行维护、检修、检测，或者不能保持正常运行、使用状态的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_Toc6661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94BDAA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_Toc16833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第四百八十七条 未按照规定对工作场所职业病危害因素进行检测、评价的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_Toc16833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520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CD9877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_Toc31987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第四百八十八条 工作场所职业病危害因素经治理仍然达不到国家职业卫生标准和卫生要求时，未停止存在职业病危害因素的作业的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_Toc31987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522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D063B4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_Toc8209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第四百八十九条 未按照规定安排职业病病人、疑似职业病病人进行诊治的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_Toc8209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524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0DD465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_Toc17289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第四百九十条 发生或者可能发生急性职业病危害事故时，未立即采取应急救援和控制措施或者未按照规定及时报告的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_Toc17289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525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7CDDB0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_Toc10943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第四百九十一条 未按照规定在产生严重职业病危害的作业岗位醒目位置设置警示标识和中文警示说明的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_Toc10943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527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611455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_Toc3118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第四百九十二条 用人单位拒绝职业卫生监督管理部门监督检查的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_Toc3118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529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C73A54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_Toc5915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第四百九十三条 隐瞒、伪造、篡改、毁损职业健康监护档案、工作场所职业病危害因素检测评价结果等相关资料，或者拒不提供职业病诊断、鉴定所需资料的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_Toc5915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5E3468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_Toc18300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第四百九十四条 按照规定承担职业病诊断、鉴定费用和职业病病人的医疗、生活保障费用的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_Toc18300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308DBD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第四百九十五条 向用人单位提供可能产生职业病危害的设备、材料，未按照规定提供中文说明书或者设置警示标识和中文警示说明的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533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D22D3F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_Toc9200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 xml:space="preserve">第四百九十六条 </w:t>
      </w:r>
      <w:r>
        <w:rPr>
          <w:rFonts w:hint="eastAsia" w:ascii="Times New Roman" w:hAnsi="Times New Roman" w:eastAsia="仿宋_GB2312" w:cs="仿宋_GB2312"/>
          <w:bCs/>
          <w:spacing w:val="-6"/>
          <w:kern w:val="0"/>
          <w:sz w:val="24"/>
          <w:szCs w:val="24"/>
        </w:rPr>
        <w:t>用人单位和医疗卫生机构未按照规定报告职业病、疑似职业病的或者弄虚作假的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_Toc9200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534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090979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第四百九十七条 隐瞒技术、工艺、设备、材料所产生的职业病危害而采用的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536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BCCB02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_Toc1951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第四百九十八条 隐瞒本单位职业卫生真实情况的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_Toc1951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6DFD9B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_Toc3622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第四百九十九条 可能发生急性职业损伤的有毒、有害工作场所（用人单位应当设置报警装置，配置现场急救用品、冲洗设备、应急撤离通道和必要的泄险区）、放射工作场所或者放射性同位素的运输、贮存（用人单位必须配置防护设备和报警装置，保证接触放射线的工作人员佩戴个人剂量计）不符合本法第二十五条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_Toc3622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538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C81D59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_Toc4074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第五百条 使用国家明令禁止使用的可能产生职业病危害的设备或者材料的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_Toc4074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540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778DE0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_Toc2884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第五百零一条 将产生职业病危害的作业转移给没有职业病防护条件的单位和个人，或者没有职业病防护条件的单位和个人接受产生职业病危害的作业的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_Toc2884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541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14901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_Toc5425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第五百零二条</w:t>
      </w:r>
      <w:r>
        <w:rPr>
          <w:rFonts w:hint="eastAsia" w:ascii="Times New Roman" w:hAnsi="Times New Roman" w:eastAsia="仿宋_GB2312" w:cs="仿宋_GB2312"/>
          <w:bCs/>
          <w:kern w:val="0"/>
          <w:sz w:val="24"/>
          <w:szCs w:val="24"/>
          <w:lang w:eastAsia="zh-CN"/>
        </w:rPr>
        <w:t xml:space="preserve"> </w:t>
      </w:r>
      <w:r>
        <w:rPr>
          <w:rFonts w:hint="eastAsia" w:ascii="Times New Roman" w:hAnsi="Times New Roman" w:eastAsia="仿宋_GB2312" w:cs="仿宋_GB2312"/>
          <w:bCs/>
          <w:kern w:val="0"/>
          <w:sz w:val="24"/>
          <w:szCs w:val="24"/>
        </w:rPr>
        <w:t>擅自拆除、停止使用职业病防护设备或者应急救援设施的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_Toc5425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543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0705F9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_Toc18855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第五百零三条 安排未经职业健康检查的劳动者、有职业禁忌的劳动者、未成年工或者孕期、哺乳期女职工从事接触职业病危害的作业或者禁忌作业的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_Toc18855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545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CF278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_Toc8959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第五百零四条 违章指挥和强令劳动者进行没有职业病防护措施的作业的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_Toc8959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548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DFD5EE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_Toc10874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第五百零五条 用人单位违反本法规定，已经对劳动者生命健康造成严重损害的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_Toc10874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338736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_Toc12917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第五百零六条 未取得职业卫生技术服务资质认可擅自从事职业卫生技术服务的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_Toc12917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551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A7A252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_Toc29808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第五百零七条 挪用防尘措施经费的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_Toc29808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552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98DE17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_Toc441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第五百零八条 超出资质认可或者诊疗项目登记范围从事职业卫生技术服务或者职业病诊断的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_Toc441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553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04E2F9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_Toc28619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第五百零九条 从事职业卫生技术服务的机构和承担职业病诊断的医疗卫生机构不按照本法规定履行法定职责的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_Toc28619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555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AC2EDB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_Toc27248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第五百一十条 从事职业卫生技术服务的机构和承担职业病诊断的医疗卫生机构出具虚假证明文件的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_Toc27248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557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DFD89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_Toc28516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第五百一十一条 职业病诊断鉴定委员会组成人员收受职业病诊断争议当事人的财物或者其他好处的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_Toc28516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559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AEDADD7">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_Toc30611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highlight w:val="none"/>
        </w:rPr>
        <w:t>（二）《建设项目职业病防护设施“三同时”监督管理办法》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_Toc30611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C4BBFA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_Toc30932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第五百一十二条 建设单位未对职业病危害预评价报告、职业病防护设施设计、职业病危害控制效果评价报告进行评审或者组织职业病防护设施验收的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_Toc30932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9C0F28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_Toc19155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第五百一十三条 建设单位职业病危害预评价、职业病防护设施设计、职业病危害控制效果评价或者职业病防护设施验收工作过程未形成书面报告备查的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_Toc19155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FAC370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_Toc10751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第五百一十四条 建设单位建设项目的生产规模、工艺等发生变更导致职业病危害风险发生重大变化的，建设单位对变更内容未重新进行职业病危害预评价和评审的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_Toc10751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4619E4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_Toc28692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第五百一十五条 建设单位需要试运行的职业病防护设施未与主体工程同时试运行的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_Toc28692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E479CF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_Toc31325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第五百一十六条 建设单位未按照《建设项目职业病防护设施“三同时”监督管理办法》第八条规定公布有关信息（除国家保密的建设项目外，产生职业病危害的建设单位应当通过公告栏、网站等方式及时公布建设项目职业病危害预评价、职业病防护设施设计、职业病危害控制效果评价的承担单位、评价结论、评审时间及评审意见，以及职业病防护设施验收时间、验收方案和验收意见等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_Toc31325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4BC445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_Toc30308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第五百一十七条 建设单位在职业病危害预评价报告、职业病防护设施设计、职业病危害控制效果评价报告编制、评审以及职业病防护设施验收等过程中弄虚作假的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_Toc30308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1C2492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_Toc729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第五百一十八条 建设单位未按照规定及时、如实报告建设项目职业病防护设施验收方案，或者职业病危害严重建设项目未提交职业病危害控制效果评价与职业病防护设施验收的书面报告的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_Toc729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0F343EC">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_Toc10321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highlight w:val="none"/>
        </w:rPr>
        <w:t>（三）《使用有毒物品作业场所劳动保护条例》</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_Toc10321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3D22A1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_Toc12821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spacing w:val="-6"/>
          <w:kern w:val="0"/>
          <w:sz w:val="24"/>
          <w:szCs w:val="24"/>
        </w:rPr>
        <w:t>第五百一十九条 用人单位未按照规定实行有害作业与无害作业分开、工作场所与生活场所分开的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_Toc12821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242061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_Toc22071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第五百二十条 高毒作业场所未与其他作业场所有效隔离的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_Toc22071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E526E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_Toc21941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第五百二十一条 用人单位有关事项发生重大变化，未按照本办法的规定申报变更职业病危害项目内容的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_Toc21941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569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FEAEF0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_Toc21854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 xml:space="preserve">第五百二十二条 </w:t>
      </w:r>
      <w:r>
        <w:rPr>
          <w:rFonts w:hint="eastAsia" w:ascii="Times New Roman" w:hAnsi="Times New Roman" w:eastAsia="仿宋_GB2312" w:cs="仿宋_GB2312"/>
          <w:bCs/>
          <w:spacing w:val="-6"/>
          <w:kern w:val="0"/>
          <w:sz w:val="24"/>
          <w:szCs w:val="24"/>
        </w:rPr>
        <w:t>使用有毒物品作业的用人单位未按照规定配备或者聘请职业卫生医师和护士的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_Toc21854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775F0B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_Toc12881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第五百二十三条 用人单位未为从事使用高毒物品作业的劳动者设置淋浴间、更衣室或者未设置清洗、存放和处理工作服、工作鞋帽等物品的专用间，或者不能正常使用的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_Toc12881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0B5F77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_Toc15664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第五百二十四条 未安排从事使用高毒物品作业一定年限的劳动者进行岗位轮换的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_Toc15664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AE244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_Toc28702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第五百二十五条 未依照职业病防治法和本条例的规定将工作过程中可能产生的职业中毒危害及其后果、有关职业卫生防护措施和待遇等如实告知劳动者并在劳动合同中写明的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_Toc28702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8442D5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_Toc29343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第五百二十六条 劳动者在存在威胁生命、健康危险的情况下，从危险现场中撤离，而被取消或者减少应当享有的待遇的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_Toc29343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6432D2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_Toc6000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第五百二十七条 对未进行离岗职业健康检查的劳动者，解除或者终止与其订立的劳动合同的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_Toc6000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E6781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_Toc26996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第五百二十八条 职业卫生防护设备、应急救援设施、通讯报警装置处于不正常状态而不停止作业的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_Toc26996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38F51B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_Toc8624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第五百二十九条 未依照本条例的规定维护、检修存在高毒物品的生产装置的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_Toc8624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2FBCC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_Toc24340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第五百三十条 使用未经培训考核合格的劳动者从事高毒作业的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_Toc24340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579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D80210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_Toc8551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第五百三十一条 发现有职业禁忌或者有与所从事职业相关的健康损害的劳动者，未及时调离原工作岗位，并妥善安置的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_Toc8551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D9BD2A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_Toc24088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第五百三十二条 从事使用有毒物品作业的用人单位违反本条例的规定，在转产、停产、停业或者解散、破产时未采取有效措施，妥善处理留存或者残留高毒物品的设备、包装物和容器的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_Toc24088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CA84C6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_Toc17619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第五百三十三条 发生分立、合并、解散、破产情形，未对从事使用有毒物品作业的劳动者进行健康检查，并按照国家有关规定妥善安置职业病病人的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_Toc17619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0E09E33">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_Toc23655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highlight w:val="none"/>
        </w:rPr>
        <w:t>（四）《工作场所职业卫生管理规定》</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_Toc23655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76497F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_Toc24879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第五百三十四年条 用人单位的主要负责人、职业卫生管理人员未接受职业卫生培训的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_Toc24879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CD934B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第五百三十五条 其他违反《工作场所职业卫生管理规定》的行为</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4AE0D9">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_Toc9100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0"/>
          <w:sz w:val="24"/>
          <w:szCs w:val="24"/>
          <w:highlight w:val="none"/>
        </w:rPr>
        <w:t>（五）《职业健康检查管理办法》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_Toc9100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FFA3F1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_Toc25311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第五百三十六条 未按规定备案开展职业健康检查的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_Toc25311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F67A5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_Toc26928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第五百三十七条 承担职业健康检查的医疗卫生机构未按规定告知疑似职业病的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_Toc26928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3DC717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_Toc17998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第五百三十八条 承担职业健康检查的医疗卫生机构出具虚假证明文件的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_Toc17998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2552B2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_Toc26610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第五百三十九条 未指定主检医师或指定的主检医师未取得职业病诊断资格的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_Toc26610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C627FE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_Toc31867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第五百四十条 未按要求建立职业健康检查档案的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_Toc31867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A10277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_Toc9522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第五百四十一条 未履行职业健康检查信息报告义务的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_Toc9522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A62192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_Toc16392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第五百四十二条 未按照相关职业健康监护技术规范规定开展工作的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_Toc16392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F1C4F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_Toc6339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第五百四十三条 职业健康检查机构违反《职业健康检查管理办法》和其他有关规定的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_Toc6339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589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1F771F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_Toc7193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第五百四十四条 职业健康检查机构未按规定参加实验室比对或者职业健康检查质量考核工作，或者参加质量考核不合格未按要求整改仍开展职业健康检查工作的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_Toc7193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7DCD4BE">
      <w:pPr>
        <w:pStyle w:val="21"/>
        <w:tabs>
          <w:tab w:val="right" w:leader="dot" w:pos="1395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_Toc18006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楷体_GB2312" w:cs="楷体_GB2312"/>
          <w:bCs/>
          <w:kern w:val="2"/>
          <w:sz w:val="24"/>
          <w:szCs w:val="24"/>
        </w:rPr>
        <w:t>（六）《职业病诊断与鉴定管理办法》</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_Toc18006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E002D7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_Toc12308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第五百四十五条 未按规定备案开展职业病诊断的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_Toc12308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BE617E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_Toc13781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第五百四十六条 职业病诊断机构未建立职业病诊断管理制度的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_Toc13781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8EAA69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_Toc23422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第五百四十七条 职业病诊断机构不按照规定向劳动者公开职业病诊断程序的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_Toc23422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7090C6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_Toc30552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第五百四十八条 职业病诊断机构泄露劳动者涉及个人隐私的有关信息、资料的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_Toc30552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A4366A6">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第五百四十九条 职业病诊断机构未按照规定参加质量控制评估，或者质量控制评估不合格且未按要求整改的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95C4DA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_Toc26669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第五百五十条 职业病诊断机构拒不配合卫生健康主管部门监督检查的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_Toc26669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66BE59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_Toc5342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第五百五十一条 隐瞒有关情况或者提供虚假材料申请职业卫生技术服务机构资质认可的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_Toc5342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9CE708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_Toc28111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第五百五十二条 以欺骗、贿赂等不正当手段取得职业卫生技术服务机构资质认可的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_Toc28111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EBEA6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_Toc13620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第五百五十三条 涂改、倒卖、出租、出借职业卫生技术服务机构资质证书，或者以其他形式非法转让职业卫生技术服务机构资质证书的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_Toc13620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546336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_Toc30740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 xml:space="preserve">第五百五十四条 </w:t>
      </w:r>
      <w:r>
        <w:rPr>
          <w:rFonts w:hint="eastAsia" w:ascii="Times New Roman" w:hAnsi="Times New Roman" w:eastAsia="仿宋_GB2312" w:cs="仿宋_GB2312"/>
          <w:bCs/>
          <w:spacing w:val="-6"/>
          <w:kern w:val="0"/>
          <w:sz w:val="24"/>
          <w:szCs w:val="24"/>
        </w:rPr>
        <w:t>未按规定向技术服务所在地卫生健康主管部门报送职业卫生技术服务相关信息的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_Toc30740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4E9940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_Toc22154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第五百五十五条 未按规定在网上公开职业卫生技术报告相关信息的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_Toc22154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599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A51446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_Toc29210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 xml:space="preserve">第五百五十六条 </w:t>
      </w:r>
      <w:r>
        <w:rPr>
          <w:rFonts w:hint="eastAsia" w:ascii="Times New Roman" w:hAnsi="Times New Roman" w:eastAsia="仿宋_GB2312" w:cs="仿宋_GB2312"/>
          <w:bCs/>
          <w:spacing w:val="-6"/>
          <w:kern w:val="0"/>
          <w:sz w:val="24"/>
          <w:szCs w:val="24"/>
        </w:rPr>
        <w:t>未按标准规范开展职业卫生技术服务，或者擅自更改、简化服务程序和相关内容</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_Toc29210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CDF312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_Toc3388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第五百五十七条 未按规定实施委托检测的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_Toc3388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5B769F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_Toc8156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第五百五十八条 转包职业卫生技术服务项目的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_Toc8156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781C3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_Toc6430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第五百五十九条 未按规定以书面形式与用人单位明确技术服务内容、范围以及双方责任的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_Toc6430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CA7F4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_Toc7913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第五百六十条 使用非本机构专业技术人员从事职业卫生技术服务活动的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_Toc7913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A11C37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_Toc3526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第五百六十一条 安排未达到技术评审考核评估要求的专业技术人员参与职业卫生技术服务的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_Toc3526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030941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_Toc418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第五百六十二条 在职业卫生技术报告或者有关原始记录上代替他人签字的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_Toc418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21676B5">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_Toc24865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第五百六十三条 未参与相应职业卫生技术服务事项而在技术报告或者有关原始记录上签字的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_Toc24865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AD3518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_Toc23579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第五百六十四条 职业卫生技术服务机构其他违反本办法规定的行为</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_Toc23579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06AFF3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_Toc32440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第五百六十五条</w:t>
      </w:r>
      <w:r>
        <w:rPr>
          <w:rFonts w:hint="eastAsia" w:ascii="Times New Roman" w:hAnsi="Times New Roman" w:eastAsia="仿宋_GB2312" w:cs="仿宋_GB2312"/>
          <w:bCs/>
          <w:sz w:val="24"/>
          <w:szCs w:val="24"/>
        </w:rPr>
        <w:t xml:space="preserve"> </w:t>
      </w:r>
      <w:r>
        <w:rPr>
          <w:rFonts w:hint="eastAsia" w:ascii="Times New Roman" w:hAnsi="Times New Roman" w:eastAsia="仿宋_GB2312" w:cs="仿宋_GB2312"/>
          <w:bCs/>
          <w:kern w:val="0"/>
          <w:sz w:val="24"/>
          <w:szCs w:val="24"/>
        </w:rPr>
        <w:t>已经取得资质认可的职业卫生技术服务机构，不再符合规定的资质条件的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_Toc32440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BC61E1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_Toc31859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第五百六十六条 未建立或者落实职业健康监护制度的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_Toc31859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0508B9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_Toc12798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第五百六十七条 未按照规定制定职业健康监护计划和落实专项经费的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_Toc12798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609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D364C2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_Toc9944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第五百六十八条 弄虚作假，指使他人冒名顶替参加职业健康检查的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_Toc9944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48187C">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_Toc25292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第五百六十九条 未如实提供职业健康检查所需要的文件、资料的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_Toc25292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BEB784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_Toc3736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第五百七十条 未根据职业健康检查情况采取相应措施的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_Toc3736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D20DF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_Toc7848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第五百七十一条 不承担职业健康检查费用的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_Toc7848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B9C17E9">
      <w:pPr>
        <w:pStyle w:val="18"/>
        <w:tabs>
          <w:tab w:val="right" w:leader="dot" w:pos="13958"/>
        </w:tabs>
        <w:spacing w:line="316" w:lineRule="exact"/>
        <w:jc w:val="both"/>
        <w:rPr>
          <w:rFonts w:hint="eastAsia" w:eastAsia="黑体" w:cs="黑体"/>
          <w:b w:val="0"/>
          <w:caps w:val="0"/>
          <w:sz w:val="24"/>
          <w:szCs w:val="24"/>
        </w:rPr>
      </w:pP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黑体" w:cs="黑体"/>
          <w:b w:val="0"/>
          <w:bCs/>
          <w:caps w:val="0"/>
          <w:sz w:val="24"/>
          <w:szCs w:val="24"/>
          <w:highlight w:val="none"/>
          <w:lang w:val="en-US" w:eastAsia="zh-CN"/>
        </w:rPr>
        <w:instrText xml:space="preserve"> HYPERLINK \l _Toc7484 </w:instrText>
      </w:r>
      <w:r>
        <w:rPr>
          <w:rFonts w:hint="eastAsia" w:ascii="Times New Roman" w:hAnsi="Times New Roman" w:eastAsia="黑体" w:cs="黑体"/>
          <w:b w:val="0"/>
          <w:bCs/>
          <w:caps w:val="0"/>
          <w:sz w:val="24"/>
          <w:szCs w:val="24"/>
          <w:highlight w:val="none"/>
          <w:lang w:val="en-US" w:eastAsia="zh-CN"/>
        </w:rPr>
        <w:fldChar w:fldCharType="separate"/>
      </w:r>
      <w:r>
        <w:rPr>
          <w:rFonts w:hint="eastAsia" w:ascii="Times New Roman" w:hAnsi="Times New Roman" w:eastAsia="黑体" w:cs="黑体"/>
          <w:b w:val="0"/>
          <w:caps w:val="0"/>
          <w:kern w:val="2"/>
          <w:sz w:val="24"/>
          <w:szCs w:val="24"/>
        </w:rPr>
        <w:t>六、放射管理</w:t>
      </w:r>
      <w:r>
        <w:rPr>
          <w:rFonts w:hint="eastAsia" w:eastAsia="黑体" w:cs="黑体"/>
          <w:b w:val="0"/>
          <w:caps w:val="0"/>
          <w:sz w:val="24"/>
          <w:szCs w:val="24"/>
        </w:rPr>
        <w:tab/>
      </w:r>
      <w:r>
        <w:rPr>
          <w:rFonts w:hint="eastAsia" w:eastAsia="黑体" w:cs="黑体"/>
          <w:b w:val="0"/>
          <w:caps w:val="0"/>
          <w:sz w:val="24"/>
          <w:szCs w:val="24"/>
        </w:rPr>
        <w:fldChar w:fldCharType="begin"/>
      </w:r>
      <w:r>
        <w:rPr>
          <w:rFonts w:hint="eastAsia" w:eastAsia="黑体" w:cs="黑体"/>
          <w:b w:val="0"/>
          <w:caps w:val="0"/>
          <w:sz w:val="24"/>
          <w:szCs w:val="24"/>
        </w:rPr>
        <w:instrText xml:space="preserve"> PAGEREF _Toc7484 \h </w:instrText>
      </w:r>
      <w:r>
        <w:rPr>
          <w:rFonts w:hint="eastAsia" w:eastAsia="黑体" w:cs="黑体"/>
          <w:b w:val="0"/>
          <w:caps w:val="0"/>
          <w:sz w:val="24"/>
          <w:szCs w:val="24"/>
        </w:rPr>
        <w:fldChar w:fldCharType="separate"/>
      </w:r>
      <w:r>
        <w:rPr>
          <w:rFonts w:hint="eastAsia" w:eastAsia="黑体" w:cs="黑体"/>
          <w:b w:val="0"/>
          <w:caps w:val="0"/>
          <w:sz w:val="24"/>
          <w:szCs w:val="24"/>
        </w:rPr>
        <w:t>614</w:t>
      </w:r>
      <w:r>
        <w:rPr>
          <w:rFonts w:hint="eastAsia" w:eastAsia="黑体" w:cs="黑体"/>
          <w:b w:val="0"/>
          <w:caps w:val="0"/>
          <w:sz w:val="24"/>
          <w:szCs w:val="24"/>
        </w:rPr>
        <w:fldChar w:fldCharType="end"/>
      </w:r>
      <w:r>
        <w:rPr>
          <w:rFonts w:hint="eastAsia" w:ascii="Times New Roman" w:hAnsi="Times New Roman" w:eastAsia="黑体" w:cs="黑体"/>
          <w:b w:val="0"/>
          <w:bCs/>
          <w:caps w:val="0"/>
          <w:color w:val="000000" w:themeColor="text1"/>
          <w:sz w:val="24"/>
          <w:szCs w:val="24"/>
          <w:highlight w:val="none"/>
          <w:lang w:val="en-US" w:eastAsia="zh-CN"/>
          <w14:textFill>
            <w14:solidFill>
              <w14:schemeClr w14:val="tx1"/>
            </w14:solidFill>
          </w14:textFill>
        </w:rPr>
        <w:fldChar w:fldCharType="end"/>
      </w:r>
    </w:p>
    <w:p w14:paraId="06C6152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_Toc28599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第五百七十二条</w:t>
      </w:r>
      <w:r>
        <w:rPr>
          <w:rFonts w:hint="eastAsia" w:ascii="Times New Roman" w:hAnsi="Times New Roman" w:eastAsia="仿宋_GB2312" w:cs="仿宋_GB2312"/>
          <w:bCs/>
          <w:sz w:val="24"/>
          <w:szCs w:val="24"/>
        </w:rPr>
        <w:t xml:space="preserve"> 医疗机构未取得放射诊疗许可从事放射诊疗工作的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_Toc28599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1F0E98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_Toc790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第五百七十三条</w:t>
      </w:r>
      <w:r>
        <w:rPr>
          <w:rFonts w:hint="eastAsia" w:ascii="Times New Roman" w:hAnsi="Times New Roman" w:eastAsia="仿宋_GB2312" w:cs="仿宋_GB2312"/>
          <w:bCs/>
          <w:sz w:val="24"/>
          <w:szCs w:val="24"/>
        </w:rPr>
        <w:t xml:space="preserve"> 医疗机构未办理诊疗科目登记或者未按照规定进行校验的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_Toc790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A7D119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_Toc3748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第五百七十四条</w:t>
      </w:r>
      <w:r>
        <w:rPr>
          <w:rFonts w:hint="eastAsia" w:ascii="Times New Roman" w:hAnsi="Times New Roman" w:eastAsia="仿宋_GB2312" w:cs="仿宋_GB2312"/>
          <w:bCs/>
          <w:sz w:val="24"/>
          <w:szCs w:val="24"/>
        </w:rPr>
        <w:t xml:space="preserve"> 医疗机构未经批准擅自变更放射诊疗项目或者超出批准范围从事放射诊疗工作的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_Toc3748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EF0E7D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_Toc1770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第五百七十五条</w:t>
      </w:r>
      <w:r>
        <w:rPr>
          <w:rFonts w:hint="eastAsia" w:ascii="Times New Roman" w:hAnsi="Times New Roman" w:eastAsia="仿宋_GB2312" w:cs="仿宋_GB2312"/>
          <w:bCs/>
          <w:sz w:val="24"/>
          <w:szCs w:val="24"/>
        </w:rPr>
        <w:t xml:space="preserve"> 医疗机构使用不具备相应资质的人员从事放射诊疗工作的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_Toc1770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12F550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_Toc18805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第五百七十六条</w:t>
      </w:r>
      <w:r>
        <w:rPr>
          <w:rFonts w:hint="eastAsia" w:ascii="Times New Roman" w:hAnsi="Times New Roman" w:eastAsia="仿宋_GB2312" w:cs="仿宋_GB2312"/>
          <w:bCs/>
          <w:sz w:val="24"/>
          <w:szCs w:val="24"/>
        </w:rPr>
        <w:t xml:space="preserve"> 医疗机构购置、使用不合格或国家有关部门规定淘汰的放射诊疗设备的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_Toc18805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B6744B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_Toc19247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第五百七十七条</w:t>
      </w:r>
      <w:r>
        <w:rPr>
          <w:rFonts w:hint="eastAsia" w:ascii="Times New Roman" w:hAnsi="Times New Roman" w:eastAsia="仿宋_GB2312" w:cs="仿宋_GB2312"/>
          <w:bCs/>
          <w:sz w:val="24"/>
          <w:szCs w:val="24"/>
        </w:rPr>
        <w:t xml:space="preserve"> 医疗机构未按照规定使用安全防护装置和个人防护用品的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_Toc19247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EE9B48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_Toc18335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第五百七十八条</w:t>
      </w:r>
      <w:r>
        <w:rPr>
          <w:rFonts w:hint="eastAsia" w:ascii="Times New Roman" w:hAnsi="Times New Roman" w:eastAsia="仿宋_GB2312" w:cs="仿宋_GB2312"/>
          <w:bCs/>
          <w:sz w:val="24"/>
          <w:szCs w:val="24"/>
        </w:rPr>
        <w:t xml:space="preserve"> 医疗机构新安装、维修或更换重要部件后的放射诊疗设备，未经省级以上卫生行政部门资质认证的检测机构对其进行检测投入使用的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_Toc18335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619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FDD89C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_Toc29798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第五百七十九条</w:t>
      </w:r>
      <w:r>
        <w:rPr>
          <w:rFonts w:hint="eastAsia" w:ascii="Times New Roman" w:hAnsi="Times New Roman" w:eastAsia="仿宋_GB2312" w:cs="仿宋_GB2312"/>
          <w:bCs/>
          <w:sz w:val="24"/>
          <w:szCs w:val="24"/>
        </w:rPr>
        <w:t xml:space="preserve"> 医疗机构放射诊疗设备未由省级以上卫生行政部门资质认证的检测机构每年至少进行一次状态检测的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_Toc29798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621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99A989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_Toc26375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第五百八十条</w:t>
      </w:r>
      <w:r>
        <w:rPr>
          <w:rFonts w:hint="eastAsia" w:ascii="Times New Roman" w:hAnsi="Times New Roman" w:eastAsia="仿宋_GB2312" w:cs="仿宋_GB2312"/>
          <w:bCs/>
          <w:sz w:val="24"/>
          <w:szCs w:val="24"/>
        </w:rPr>
        <w:t xml:space="preserve"> 医疗机构未按照规定对放射诊疗工作人员进行个人剂量监测、健康检查、建立个人剂量和健康档案的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_Toc26375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623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C88239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_Toc17984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第五百八十一条</w:t>
      </w:r>
      <w:r>
        <w:rPr>
          <w:rFonts w:hint="eastAsia" w:ascii="Times New Roman" w:hAnsi="Times New Roman" w:eastAsia="仿宋_GB2312" w:cs="仿宋_GB2312"/>
          <w:bCs/>
          <w:sz w:val="24"/>
          <w:szCs w:val="24"/>
        </w:rPr>
        <w:t xml:space="preserve"> 医疗机构发生放射事件并造成人员健康严重损害的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_Toc17984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624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E5E41A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_Toc18798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第五百八十二条</w:t>
      </w:r>
      <w:r>
        <w:rPr>
          <w:rFonts w:hint="eastAsia" w:ascii="Times New Roman" w:hAnsi="Times New Roman" w:eastAsia="仿宋_GB2312" w:cs="仿宋_GB2312"/>
          <w:bCs/>
          <w:sz w:val="24"/>
          <w:szCs w:val="24"/>
        </w:rPr>
        <w:t xml:space="preserve"> 医疗机构发生放射事件未立即采取应急救援和控制措施或者未按照规定及时报告的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_Toc18798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624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A8391E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_Toc25048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第五百八十三条</w:t>
      </w:r>
      <w:r>
        <w:rPr>
          <w:rFonts w:hint="eastAsia" w:ascii="Times New Roman" w:hAnsi="Times New Roman" w:eastAsia="仿宋_GB2312" w:cs="仿宋_GB2312"/>
          <w:bCs/>
          <w:sz w:val="24"/>
          <w:szCs w:val="24"/>
        </w:rPr>
        <w:t xml:space="preserve"> 对患者和受检者进行医疗照射时，未遵守医疗照射正当化的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_Toc25048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625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647B63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_Toc20080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第五百八十四条</w:t>
      </w:r>
      <w:r>
        <w:rPr>
          <w:rFonts w:hint="eastAsia" w:ascii="Times New Roman" w:hAnsi="Times New Roman" w:eastAsia="仿宋_GB2312" w:cs="仿宋_GB2312"/>
          <w:bCs/>
          <w:sz w:val="24"/>
          <w:szCs w:val="24"/>
        </w:rPr>
        <w:t xml:space="preserve"> 对患者和受检者进行医疗照射前，未告知其辐射对健康影响的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_Toc20080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626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FFEB30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_Toc21524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第五百八十五条</w:t>
      </w:r>
      <w:r>
        <w:rPr>
          <w:rFonts w:hint="eastAsia" w:ascii="Times New Roman" w:hAnsi="Times New Roman" w:eastAsia="仿宋_GB2312" w:cs="仿宋_GB2312"/>
          <w:bCs/>
          <w:sz w:val="24"/>
          <w:szCs w:val="24"/>
        </w:rPr>
        <w:t xml:space="preserve"> 对患者和受检者进行医疗照射时，未严格控制照射范围或照射剂量的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_Toc21524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628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646B7B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_Toc22476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第五百八十六条</w:t>
      </w:r>
      <w:r>
        <w:rPr>
          <w:rFonts w:hint="eastAsia" w:ascii="Times New Roman" w:hAnsi="Times New Roman" w:eastAsia="仿宋_GB2312" w:cs="仿宋_GB2312"/>
          <w:bCs/>
          <w:sz w:val="24"/>
          <w:szCs w:val="24"/>
        </w:rPr>
        <w:t xml:space="preserve"> </w:t>
      </w:r>
      <w:r>
        <w:rPr>
          <w:rFonts w:hint="eastAsia" w:ascii="Times New Roman" w:hAnsi="Times New Roman" w:eastAsia="仿宋_GB2312" w:cs="仿宋_GB2312"/>
          <w:bCs/>
          <w:spacing w:val="-6"/>
          <w:sz w:val="24"/>
          <w:szCs w:val="24"/>
        </w:rPr>
        <w:t>对育龄妇女腹部或骨盆进行核素显像检查或X 射线检查前，未问明是否怀孕的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_Toc22476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629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119C00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_Toc24591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第五百八十七条</w:t>
      </w:r>
      <w:r>
        <w:rPr>
          <w:rFonts w:hint="eastAsia" w:ascii="Times New Roman" w:hAnsi="Times New Roman" w:eastAsia="仿宋_GB2312" w:cs="仿宋_GB2312"/>
          <w:bCs/>
          <w:sz w:val="24"/>
          <w:szCs w:val="24"/>
        </w:rPr>
        <w:t xml:space="preserve"> 非特殊需要，对受孕后八至十五周的育龄妇女进行下腹部放射影像检查的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_Toc24591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591250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_Toc14191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第五百八十八条</w:t>
      </w:r>
      <w:r>
        <w:rPr>
          <w:rFonts w:hint="eastAsia" w:ascii="Times New Roman" w:hAnsi="Times New Roman" w:eastAsia="仿宋_GB2312" w:cs="仿宋_GB2312"/>
          <w:bCs/>
          <w:sz w:val="24"/>
          <w:szCs w:val="24"/>
        </w:rPr>
        <w:t xml:space="preserve"> 医疗机构将核素显像检查或X 射线胸部检查列入对婴幼儿及少年儿童体检的常规检查项目的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_Toc14191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61851C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_Toc1544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第五百八十九条</w:t>
      </w:r>
      <w:r>
        <w:rPr>
          <w:rFonts w:hint="eastAsia" w:ascii="Times New Roman" w:hAnsi="Times New Roman" w:eastAsia="仿宋_GB2312" w:cs="仿宋_GB2312"/>
          <w:bCs/>
          <w:sz w:val="24"/>
          <w:szCs w:val="24"/>
        </w:rPr>
        <w:t xml:space="preserve"> 未按国家有关规定检验或校准用于放射防护和质量控制的检测仪表的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_Toc1544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D65CDDF">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_Toc13758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第五百九十条</w:t>
      </w:r>
      <w:r>
        <w:rPr>
          <w:rFonts w:hint="eastAsia" w:ascii="Times New Roman" w:hAnsi="Times New Roman" w:eastAsia="仿宋_GB2312" w:cs="仿宋_GB2312"/>
          <w:bCs/>
          <w:sz w:val="24"/>
          <w:szCs w:val="24"/>
        </w:rPr>
        <w:t xml:space="preserve"> 医疗机构放射诊疗场所和配套设施不符合国家相关标准和规定的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_Toc13758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34514C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_Toc18187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第五百九十一条</w:t>
      </w:r>
      <w:r>
        <w:rPr>
          <w:rFonts w:hint="eastAsia" w:ascii="Times New Roman" w:hAnsi="Times New Roman" w:eastAsia="仿宋_GB2312" w:cs="仿宋_GB2312"/>
          <w:bCs/>
          <w:sz w:val="24"/>
          <w:szCs w:val="24"/>
        </w:rPr>
        <w:t xml:space="preserve"> 医疗机构放射治疗场所多重安全联锁系统、剂量监测系统、影像监控、对讲装置和固定式剂量监测报警装置不符合国家相关标准的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_Toc18187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83DADA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_Toc6404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第五百九十二条</w:t>
      </w:r>
      <w:r>
        <w:rPr>
          <w:rFonts w:hint="eastAsia" w:ascii="Times New Roman" w:hAnsi="Times New Roman" w:eastAsia="仿宋_GB2312" w:cs="仿宋_GB2312"/>
          <w:bCs/>
          <w:sz w:val="24"/>
          <w:szCs w:val="24"/>
        </w:rPr>
        <w:t xml:space="preserve"> 医疗机构放射治疗场所未按照相应标准配备放疗剂量仪、剂量扫描装置和个人剂量报警仪的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_Toc6404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653172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_Toc7145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第五百九十三条</w:t>
      </w:r>
      <w:r>
        <w:rPr>
          <w:rFonts w:hint="eastAsia" w:ascii="Times New Roman" w:hAnsi="Times New Roman" w:eastAsia="仿宋_GB2312" w:cs="仿宋_GB2312"/>
          <w:bCs/>
          <w:sz w:val="24"/>
          <w:szCs w:val="24"/>
        </w:rPr>
        <w:t xml:space="preserve"> 医疗机构核医学工作场所未设有专门的放射性同位素分装、注射、储存场所，放射性废物屏蔽设备和存放场所的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_Toc7145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25B72EB">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_Toc18810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第五百九十四条</w:t>
      </w:r>
      <w:r>
        <w:rPr>
          <w:rFonts w:hint="eastAsia" w:ascii="Times New Roman" w:hAnsi="Times New Roman" w:eastAsia="仿宋_GB2312" w:cs="仿宋_GB2312"/>
          <w:bCs/>
          <w:sz w:val="24"/>
          <w:szCs w:val="24"/>
        </w:rPr>
        <w:t xml:space="preserve"> 医疗机构核医学工作场所未配备活度计、放射性表面污染监测仪的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_Toc18810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3B27132">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_Toc22795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第五百九十五条</w:t>
      </w:r>
      <w:r>
        <w:rPr>
          <w:rFonts w:hint="eastAsia" w:ascii="Times New Roman" w:hAnsi="Times New Roman" w:eastAsia="仿宋_GB2312" w:cs="仿宋_GB2312"/>
          <w:bCs/>
          <w:sz w:val="24"/>
          <w:szCs w:val="24"/>
        </w:rPr>
        <w:t xml:space="preserve"> 医疗机构放射诊疗工作场所、放射性同位素储存场所和防护设施辐射水平不符合有关规定或者标准的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_Toc22795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556F679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_Toc12685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第五百九十六条</w:t>
      </w:r>
      <w:r>
        <w:rPr>
          <w:rFonts w:hint="eastAsia" w:ascii="Times New Roman" w:hAnsi="Times New Roman" w:eastAsia="仿宋_GB2312" w:cs="仿宋_GB2312"/>
          <w:bCs/>
          <w:sz w:val="24"/>
          <w:szCs w:val="24"/>
        </w:rPr>
        <w:t xml:space="preserve"> 医疗机构放射性同位素与易燃、易爆、腐蚀性物品同库储存的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_Toc12685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639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0D5BFE0">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_Toc12449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第五百九十七条</w:t>
      </w:r>
      <w:r>
        <w:rPr>
          <w:rFonts w:hint="eastAsia" w:ascii="Times New Roman" w:hAnsi="Times New Roman" w:eastAsia="仿宋_GB2312" w:cs="仿宋_GB2312"/>
          <w:bCs/>
          <w:sz w:val="24"/>
          <w:szCs w:val="24"/>
        </w:rPr>
        <w:t xml:space="preserve"> 医疗机构放射性同位素储存场所未采取有效的防泄漏等措施，未安装必要的报警装置的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_Toc12449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D03B8C8">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_Toc9364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第五百九十八条</w:t>
      </w:r>
      <w:r>
        <w:rPr>
          <w:rFonts w:hint="eastAsia" w:ascii="Times New Roman" w:hAnsi="Times New Roman" w:eastAsia="仿宋_GB2312" w:cs="仿宋_GB2312"/>
          <w:bCs/>
          <w:sz w:val="24"/>
          <w:szCs w:val="24"/>
        </w:rPr>
        <w:t xml:space="preserve"> 医疗机构放射性同位素储存场所无专人负责，无完善的存入、领取、归还登记和检查的制度，未做到交接严格，检查及时，账目清楚，账物相符，记录资料完整的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_Toc9364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30585C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_Toc1942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第五百九十九条</w:t>
      </w:r>
      <w:r>
        <w:rPr>
          <w:rFonts w:hint="eastAsia" w:ascii="Times New Roman" w:hAnsi="Times New Roman" w:eastAsia="仿宋_GB2312" w:cs="仿宋_GB2312"/>
          <w:bCs/>
          <w:sz w:val="24"/>
          <w:szCs w:val="24"/>
        </w:rPr>
        <w:t xml:space="preserve"> </w:t>
      </w:r>
      <w:r>
        <w:rPr>
          <w:rFonts w:hint="eastAsia" w:ascii="Times New Roman" w:hAnsi="Times New Roman" w:eastAsia="仿宋_GB2312" w:cs="仿宋_GB2312"/>
          <w:bCs/>
          <w:spacing w:val="-6"/>
          <w:sz w:val="24"/>
          <w:szCs w:val="24"/>
        </w:rPr>
        <w:t>开展核医学诊疗的医疗机构，未遵守相应的操作规范、规程，防止放射性同位素污染人体、设备、工作场所和环境；未按照有关标准的规定对接受体内放射性药物诊治的患者进行控制，避免其他患者和公众受到超过允许水平的照射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_Toc1942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E192F1D">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_Toc4577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第六百条</w:t>
      </w:r>
      <w:r>
        <w:rPr>
          <w:rFonts w:hint="eastAsia" w:ascii="Times New Roman" w:hAnsi="Times New Roman" w:eastAsia="仿宋_GB2312" w:cs="仿宋_GB2312"/>
          <w:bCs/>
          <w:sz w:val="24"/>
          <w:szCs w:val="24"/>
        </w:rPr>
        <w:t xml:space="preserve"> 医疗机构核医学诊疗产生的放射性固体废物、废液及患者的放射性排出物未单独收集，未与其他废物、废液分开存放，未按照国家有关规定处理的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_Toc4577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B66376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_Toc29738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第六百零一条</w:t>
      </w:r>
      <w:r>
        <w:rPr>
          <w:rFonts w:hint="eastAsia" w:ascii="Times New Roman" w:hAnsi="Times New Roman" w:eastAsia="仿宋_GB2312" w:cs="仿宋_GB2312"/>
          <w:bCs/>
          <w:sz w:val="24"/>
          <w:szCs w:val="24"/>
        </w:rPr>
        <w:t xml:space="preserve"> 未按规定对可能产生放射性职业病危害的建设项目进行职业病危害预评价或者放射性职业病危害预评价报告未经卫生行政部门审核同意即开工建设的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_Toc29738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645</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6800733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第六百零二条</w:t>
      </w:r>
      <w:r>
        <w:rPr>
          <w:rFonts w:hint="eastAsia" w:ascii="Times New Roman" w:hAnsi="Times New Roman" w:eastAsia="仿宋_GB2312" w:cs="仿宋_GB2312"/>
          <w:bCs/>
          <w:sz w:val="24"/>
          <w:szCs w:val="24"/>
        </w:rPr>
        <w:t xml:space="preserve"> 按照规定对放射性职业病防护设施进行职业病危害控制效果评价的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B9AFD2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_Toc24932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第六百零三条</w:t>
      </w:r>
      <w:r>
        <w:rPr>
          <w:rFonts w:hint="eastAsia" w:ascii="Times New Roman" w:hAnsi="Times New Roman" w:eastAsia="仿宋_GB2312" w:cs="仿宋_GB2312"/>
          <w:bCs/>
          <w:sz w:val="24"/>
          <w:szCs w:val="24"/>
        </w:rPr>
        <w:t xml:space="preserve"> 可能产生放射性职业病危害的建设项目竣工投入生产和使用前，职业病防护设施未按照规定验收合格的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_Toc24932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648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466B14BA">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_Toc12486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第六百零四条</w:t>
      </w:r>
      <w:r>
        <w:rPr>
          <w:rFonts w:hint="eastAsia" w:ascii="Times New Roman" w:hAnsi="Times New Roman" w:eastAsia="仿宋_GB2312" w:cs="仿宋_GB2312"/>
          <w:bCs/>
          <w:sz w:val="24"/>
          <w:szCs w:val="24"/>
        </w:rPr>
        <w:t xml:space="preserve"> 医疗机构未按照规定公布有关放射性职业病防治的规章制度、操作规程、放射事件应急救援措施的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_Toc12486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57B2113">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_Toc8510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第六百零五条</w:t>
      </w:r>
      <w:r>
        <w:rPr>
          <w:rFonts w:hint="eastAsia" w:ascii="Times New Roman" w:hAnsi="Times New Roman" w:eastAsia="仿宋_GB2312" w:cs="仿宋_GB2312"/>
          <w:bCs/>
          <w:sz w:val="24"/>
          <w:szCs w:val="24"/>
        </w:rPr>
        <w:t xml:space="preserve"> 医疗机构未按照规定组织放射工作人员进行职业卫生培训的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_Toc8510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651</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BE5DEC1">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_Toc20648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第六百零六条</w:t>
      </w:r>
      <w:r>
        <w:rPr>
          <w:rFonts w:hint="eastAsia" w:ascii="Times New Roman" w:hAnsi="Times New Roman" w:eastAsia="仿宋_GB2312" w:cs="仿宋_GB2312"/>
          <w:bCs/>
          <w:sz w:val="24"/>
          <w:szCs w:val="24"/>
        </w:rPr>
        <w:t xml:space="preserve"> 医疗机构未按照规定组织职业健康检查、建立职业健康监护档案或者未将检查结果书面告知劳动者的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_Toc20648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653</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1FDF479">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_Toc10727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第六百零七条</w:t>
      </w:r>
      <w:r>
        <w:rPr>
          <w:rFonts w:hint="eastAsia" w:ascii="Times New Roman" w:hAnsi="Times New Roman" w:eastAsia="仿宋_GB2312" w:cs="仿宋_GB2312"/>
          <w:bCs/>
          <w:sz w:val="24"/>
          <w:szCs w:val="24"/>
        </w:rPr>
        <w:t xml:space="preserve"> 未取得放射卫生技术服务资质认可擅自从事放射卫生技术服务的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_Toc10727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1E52E77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_Toc27113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第六百零八条</w:t>
      </w:r>
      <w:r>
        <w:rPr>
          <w:rFonts w:hint="eastAsia" w:ascii="Times New Roman" w:hAnsi="Times New Roman" w:eastAsia="仿宋_GB2312" w:cs="仿宋_GB2312"/>
          <w:bCs/>
          <w:sz w:val="24"/>
          <w:szCs w:val="24"/>
        </w:rPr>
        <w:t xml:space="preserve"> 从事放射卫生技术服务的机构超出资质认可或者批准范围从事放射卫生技术服务的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_Toc27113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654</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F66293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第六百零九条</w:t>
      </w:r>
      <w:r>
        <w:rPr>
          <w:rFonts w:hint="eastAsia" w:ascii="Times New Roman" w:hAnsi="Times New Roman" w:eastAsia="仿宋_GB2312" w:cs="仿宋_GB2312"/>
          <w:bCs/>
          <w:sz w:val="24"/>
          <w:szCs w:val="24"/>
        </w:rPr>
        <w:t xml:space="preserve"> 从事放射卫生技术服务的机构出具虚假证明文件的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656</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7936E32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_Toc20141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第六百一十条</w:t>
      </w:r>
      <w:r>
        <w:rPr>
          <w:rFonts w:hint="eastAsia" w:ascii="Times New Roman" w:hAnsi="Times New Roman" w:eastAsia="仿宋_GB2312" w:cs="仿宋_GB2312"/>
          <w:bCs/>
          <w:sz w:val="24"/>
          <w:szCs w:val="24"/>
        </w:rPr>
        <w:t xml:space="preserve"> 放射工作单位未给从事放射工作的人员办理《放射工作人员证》的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_Toc20141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657</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32942DB7">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_Toc13440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第六百一十一条</w:t>
      </w:r>
      <w:r>
        <w:rPr>
          <w:rFonts w:hint="eastAsia" w:ascii="Times New Roman" w:hAnsi="Times New Roman" w:eastAsia="仿宋_GB2312" w:cs="仿宋_GB2312"/>
          <w:bCs/>
          <w:sz w:val="24"/>
          <w:szCs w:val="24"/>
        </w:rPr>
        <w:t xml:space="preserve"> 未经许可擅自配置使用大型医用设备的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_Toc13440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658</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C7094AE">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_Toc16230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第六百一十二条</w:t>
      </w:r>
      <w:r>
        <w:rPr>
          <w:rFonts w:hint="eastAsia" w:ascii="Times New Roman" w:hAnsi="Times New Roman" w:eastAsia="仿宋_GB2312" w:cs="仿宋_GB2312"/>
          <w:bCs/>
          <w:sz w:val="24"/>
          <w:szCs w:val="24"/>
        </w:rPr>
        <w:t xml:space="preserve"> 提供虚假资料或者采取其他欺骗手段取得大型医用设备配置许可证的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_Toc16230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659</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2EC89594">
      <w:pPr>
        <w:pStyle w:val="11"/>
        <w:tabs>
          <w:tab w:val="right" w:leader="dot" w:pos="13958"/>
          <w:tab w:val="clear" w:pos="13948"/>
        </w:tabs>
        <w:spacing w:line="316" w:lineRule="exact"/>
        <w:jc w:val="both"/>
        <w:rPr>
          <w:rFonts w:hint="eastAsia" w:ascii="Times New Roman" w:hAnsi="Times New Roman" w:eastAsia="仿宋_GB2312" w:cs="仿宋_GB2312"/>
          <w:bCs/>
          <w:sz w:val="24"/>
          <w:szCs w:val="24"/>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_Toc5635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第六百一十三条</w:t>
      </w:r>
      <w:r>
        <w:rPr>
          <w:rFonts w:hint="eastAsia" w:ascii="Times New Roman" w:hAnsi="Times New Roman" w:eastAsia="仿宋_GB2312" w:cs="仿宋_GB2312"/>
          <w:bCs/>
          <w:sz w:val="24"/>
          <w:szCs w:val="24"/>
        </w:rPr>
        <w:t xml:space="preserve"> 医疗器械使用单位发现使用的医疗器械存在安全隐患未立即停止使用、通知检修，或者继续使用经检修仍不能达到使用安全标准的医疗器械的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_Toc5635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660</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15C2410">
      <w:pPr>
        <w:pStyle w:val="11"/>
        <w:tabs>
          <w:tab w:val="right" w:leader="dot" w:pos="13958"/>
          <w:tab w:val="clear" w:pos="13948"/>
        </w:tabs>
        <w:spacing w:line="316" w:lineRule="exact"/>
        <w:jc w:val="both"/>
        <w:rPr>
          <w:rFonts w:ascii="Times New Roman" w:hAnsi="Times New Roman"/>
        </w:rPr>
      </w:pP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eastAsia="仿宋_GB2312" w:cs="仿宋_GB2312"/>
          <w:bCs/>
          <w:caps w:val="0"/>
          <w:sz w:val="24"/>
          <w:szCs w:val="24"/>
          <w:highlight w:val="none"/>
          <w:lang w:val="en-US" w:eastAsia="zh-CN"/>
        </w:rPr>
        <w:instrText xml:space="preserve"> HYPERLINK \l _Toc26350 </w:instrText>
      </w:r>
      <w:r>
        <w:rPr>
          <w:rFonts w:hint="eastAsia" w:ascii="Times New Roman" w:hAnsi="Times New Roman" w:eastAsia="仿宋_GB2312" w:cs="仿宋_GB2312"/>
          <w:bCs/>
          <w:caps w:val="0"/>
          <w:sz w:val="24"/>
          <w:szCs w:val="24"/>
          <w:highlight w:val="none"/>
          <w:lang w:val="en-US" w:eastAsia="zh-CN"/>
        </w:rPr>
        <w:fldChar w:fldCharType="separate"/>
      </w:r>
      <w:r>
        <w:rPr>
          <w:rFonts w:hint="eastAsia" w:ascii="Times New Roman" w:hAnsi="Times New Roman" w:eastAsia="仿宋_GB2312" w:cs="仿宋_GB2312"/>
          <w:bCs/>
          <w:kern w:val="0"/>
          <w:sz w:val="24"/>
          <w:szCs w:val="24"/>
        </w:rPr>
        <w:t>第六百一十四条</w:t>
      </w:r>
      <w:r>
        <w:rPr>
          <w:rFonts w:hint="eastAsia" w:ascii="Times New Roman" w:hAnsi="Times New Roman" w:eastAsia="仿宋_GB2312" w:cs="仿宋_GB2312"/>
          <w:bCs/>
          <w:sz w:val="24"/>
          <w:szCs w:val="24"/>
        </w:rPr>
        <w:t xml:space="preserve"> 医疗器械使用单位违规使用大型医用设备，不能保障医疗质量安全的</w:t>
      </w:r>
      <w:r>
        <w:rPr>
          <w:rFonts w:hint="eastAsia" w:ascii="Times New Roman" w:hAnsi="Times New Roman" w:eastAsia="仿宋_GB2312" w:cs="仿宋_GB2312"/>
          <w:bCs/>
          <w:sz w:val="24"/>
          <w:szCs w:val="24"/>
        </w:rPr>
        <w:tab/>
      </w:r>
      <w:r>
        <w:rPr>
          <w:rFonts w:hint="eastAsia" w:ascii="Times New Roman" w:hAnsi="Times New Roman" w:eastAsia="仿宋_GB2312" w:cs="仿宋_GB2312"/>
          <w:bCs/>
          <w:sz w:val="24"/>
          <w:szCs w:val="24"/>
        </w:rPr>
        <w:fldChar w:fldCharType="begin"/>
      </w:r>
      <w:r>
        <w:rPr>
          <w:rFonts w:hint="eastAsia" w:ascii="Times New Roman" w:hAnsi="Times New Roman" w:eastAsia="仿宋_GB2312" w:cs="仿宋_GB2312"/>
          <w:bCs/>
          <w:sz w:val="24"/>
          <w:szCs w:val="24"/>
        </w:rPr>
        <w:instrText xml:space="preserve"> PAGEREF _Toc26350 \h </w:instrText>
      </w:r>
      <w:r>
        <w:rPr>
          <w:rFonts w:hint="eastAsia" w:ascii="Times New Roman" w:hAnsi="Times New Roman" w:eastAsia="仿宋_GB2312" w:cs="仿宋_GB2312"/>
          <w:bCs/>
          <w:sz w:val="24"/>
          <w:szCs w:val="24"/>
        </w:rPr>
        <w:fldChar w:fldCharType="separate"/>
      </w:r>
      <w:r>
        <w:rPr>
          <w:rFonts w:hint="eastAsia" w:ascii="Times New Roman" w:hAnsi="Times New Roman" w:eastAsia="仿宋_GB2312" w:cs="仿宋_GB2312"/>
          <w:bCs/>
          <w:sz w:val="24"/>
          <w:szCs w:val="24"/>
        </w:rPr>
        <w:t>662</w:t>
      </w:r>
      <w:r>
        <w:rPr>
          <w:rFonts w:hint="eastAsia" w:ascii="Times New Roman" w:hAnsi="Times New Roman" w:eastAsia="仿宋_GB2312" w:cs="仿宋_GB2312"/>
          <w:bCs/>
          <w:sz w:val="24"/>
          <w:szCs w:val="24"/>
        </w:rPr>
        <w:fldChar w:fldCharType="end"/>
      </w:r>
      <w:r>
        <w:rPr>
          <w:rFonts w:hint="eastAsia" w:ascii="Times New Roman" w:hAnsi="Times New Roman" w:eastAsia="仿宋_GB2312" w:cs="仿宋_GB2312"/>
          <w:bCs/>
          <w:caps w:val="0"/>
          <w:color w:val="000000" w:themeColor="text1"/>
          <w:sz w:val="24"/>
          <w:szCs w:val="24"/>
          <w:highlight w:val="none"/>
          <w:lang w:val="en-US" w:eastAsia="zh-CN"/>
          <w14:textFill>
            <w14:solidFill>
              <w14:schemeClr w14:val="tx1"/>
            </w14:solidFill>
          </w14:textFill>
        </w:rPr>
        <w:fldChar w:fldCharType="end"/>
      </w:r>
    </w:p>
    <w:p w14:paraId="0F3346FA">
      <w:pPr>
        <w:widowControl w:val="0"/>
        <w:spacing w:line="316" w:lineRule="exact"/>
        <w:jc w:val="both"/>
        <w:rPr>
          <w:rFonts w:hint="eastAsia" w:ascii="Times New Roman" w:hAnsi="Times New Roman" w:eastAsia="仿宋_GB2312" w:cs="仿宋_GB2312"/>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仿宋_GB2312"/>
          <w:bCs w:val="0"/>
          <w:caps w:val="0"/>
          <w:color w:val="000000" w:themeColor="text1"/>
          <w:szCs w:val="24"/>
          <w:highlight w:val="none"/>
          <w:lang w:val="en-US" w:eastAsia="zh-CN"/>
          <w14:textFill>
            <w14:solidFill>
              <w14:schemeClr w14:val="tx1"/>
            </w14:solidFill>
          </w14:textFill>
        </w:rPr>
        <w:fldChar w:fldCharType="end"/>
      </w:r>
    </w:p>
    <w:p w14:paraId="313848B1">
      <w:pPr>
        <w:pStyle w:val="2"/>
        <w:keepNext w:val="0"/>
        <w:keepLines w:val="0"/>
        <w:widowControl w:val="0"/>
        <w:spacing w:before="157" w:beforeLines="50" w:after="157" w:afterLines="50" w:line="320" w:lineRule="exact"/>
        <w:jc w:val="both"/>
        <w:rPr>
          <w:rFonts w:hint="eastAsia" w:ascii="Times New Roman" w:hAnsi="Times New Roman" w:eastAsia="仿宋_GB2312" w:cs="仿宋_GB2312"/>
          <w:b/>
          <w:bCs/>
          <w:color w:val="000000" w:themeColor="text1"/>
          <w:sz w:val="24"/>
          <w:szCs w:val="24"/>
          <w14:textFill>
            <w14:solidFill>
              <w14:schemeClr w14:val="tx1"/>
            </w14:solidFill>
          </w14:textFill>
        </w:rPr>
        <w:sectPr>
          <w:pgSz w:w="16838" w:h="11906" w:orient="landscape"/>
          <w:pgMar w:top="1800" w:right="1440" w:bottom="1800" w:left="1440" w:header="720" w:footer="720" w:gutter="0"/>
          <w:cols w:space="720" w:num="1"/>
          <w:docGrid w:type="lines" w:linePitch="312" w:charSpace="0"/>
        </w:sectPr>
      </w:pPr>
      <w:bookmarkStart w:id="4" w:name="_Toc1910"/>
      <w:bookmarkStart w:id="5" w:name="_Toc23787"/>
      <w:bookmarkStart w:id="6" w:name="_Toc1879"/>
      <w:bookmarkStart w:id="7" w:name="_Toc17492"/>
      <w:bookmarkStart w:id="8" w:name="_Toc15575"/>
      <w:bookmarkStart w:id="9" w:name="_Toc9171"/>
      <w:bookmarkStart w:id="10" w:name="_Toc27849"/>
    </w:p>
    <w:p w14:paraId="00767811">
      <w:pPr>
        <w:pStyle w:val="2"/>
        <w:keepNext w:val="0"/>
        <w:keepLines w:val="0"/>
        <w:widowControl w:val="0"/>
        <w:spacing w:before="157" w:beforeLines="50" w:after="157" w:afterLines="50" w:line="440" w:lineRule="exact"/>
        <w:jc w:val="center"/>
        <w:rPr>
          <w:rFonts w:hint="eastAsia" w:ascii="Times New Roman" w:hAnsi="Times New Roman" w:eastAsia="黑体" w:cs="Times New Roman"/>
          <w:color w:val="000000" w:themeColor="text1"/>
          <w:sz w:val="32"/>
          <w14:textFill>
            <w14:solidFill>
              <w14:schemeClr w14:val="tx1"/>
            </w14:solidFill>
          </w14:textFill>
        </w:rPr>
      </w:pPr>
      <w:bookmarkStart w:id="11" w:name="_Toc31834"/>
      <w:bookmarkStart w:id="12" w:name="_Toc28392"/>
      <w:bookmarkStart w:id="13" w:name="_Toc3694"/>
      <w:bookmarkStart w:id="14" w:name="_Toc26863"/>
      <w:bookmarkStart w:id="15" w:name="_Toc24618"/>
      <w:bookmarkStart w:id="16" w:name="_Toc10303"/>
      <w:bookmarkStart w:id="17" w:name="_Toc24357"/>
      <w:bookmarkStart w:id="18" w:name="_Toc27691"/>
      <w:r>
        <w:rPr>
          <w:rFonts w:hint="eastAsia" w:ascii="Times New Roman" w:hAnsi="Times New Roman" w:eastAsia="黑体" w:cs="Times New Roman"/>
          <w:color w:val="000000" w:themeColor="text1"/>
          <w:sz w:val="32"/>
          <w14:textFill>
            <w14:solidFill>
              <w14:schemeClr w14:val="tx1"/>
            </w14:solidFill>
          </w14:textFill>
        </w:rPr>
        <w:t>一、传染病防治类</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618B19A0">
      <w:pPr>
        <w:pStyle w:val="3"/>
        <w:keepNext w:val="0"/>
        <w:keepLines w:val="0"/>
        <w:widowControl w:val="0"/>
        <w:spacing w:before="0" w:after="0" w:line="440" w:lineRule="exact"/>
        <w:ind w:firstLine="643" w:firstLineChars="200"/>
        <w:jc w:val="both"/>
        <w:rPr>
          <w:rFonts w:ascii="Times New Roman" w:hAnsi="Times New Roman" w:cs="Times New Roman"/>
          <w:color w:val="000000" w:themeColor="text1"/>
          <w14:textFill>
            <w14:solidFill>
              <w14:schemeClr w14:val="tx1"/>
            </w14:solidFill>
          </w14:textFill>
        </w:rPr>
      </w:pPr>
      <w:bookmarkStart w:id="19" w:name="_Toc26459"/>
      <w:bookmarkStart w:id="20" w:name="_Toc32077"/>
      <w:bookmarkStart w:id="21" w:name="_Toc12521"/>
      <w:bookmarkStart w:id="22" w:name="_Toc30173"/>
      <w:bookmarkStart w:id="23" w:name="_Toc9303"/>
      <w:bookmarkStart w:id="24" w:name="_Toc9380"/>
      <w:bookmarkStart w:id="25" w:name="_Toc11302"/>
      <w:bookmarkStart w:id="26" w:name="_Toc22399"/>
      <w:bookmarkStart w:id="27" w:name="_Toc25268"/>
      <w:bookmarkStart w:id="28" w:name="_Toc30907"/>
      <w:bookmarkStart w:id="29" w:name="_Toc31845"/>
      <w:bookmarkStart w:id="30" w:name="_Toc22512"/>
      <w:bookmarkStart w:id="31" w:name="_Toc269"/>
      <w:r>
        <w:rPr>
          <w:rFonts w:hint="eastAsia" w:ascii="Times New Roman" w:hAnsi="Times New Roman" w:eastAsia="楷体_GB2312" w:cs="Times New Roman"/>
          <w:color w:val="000000" w:themeColor="text1"/>
          <w14:textFill>
            <w14:solidFill>
              <w14:schemeClr w14:val="tx1"/>
            </w14:solidFill>
          </w14:textFill>
        </w:rPr>
        <w:t>（一）《中华人民共和国食品安全法》</w:t>
      </w:r>
      <w:r>
        <w:rPr>
          <w:rFonts w:hint="eastAsia" w:ascii="Times New Roman" w:hAnsi="Times New Roman"/>
          <w:color w:val="000000" w:themeColor="text1"/>
          <w14:textFill>
            <w14:solidFill>
              <w14:schemeClr w14:val="tx1"/>
            </w14:solidFill>
          </w14:textFill>
        </w:rPr>
        <w:t>、</w:t>
      </w:r>
      <w:r>
        <w:rPr>
          <w:rFonts w:hint="eastAsia" w:ascii="Times New Roman" w:hAnsi="Times New Roman" w:eastAsia="仿宋_GB2312" w:cs="Times New Roman"/>
          <w:color w:val="000000" w:themeColor="text1"/>
          <w14:textFill>
            <w14:solidFill>
              <w14:schemeClr w14:val="tx1"/>
            </w14:solidFill>
          </w14:textFill>
        </w:rPr>
        <w:t>《中华人民共和国食品安全法实施条例》</w:t>
      </w:r>
      <w:bookmarkEnd w:id="19"/>
      <w:bookmarkEnd w:id="20"/>
      <w:bookmarkEnd w:id="21"/>
      <w:bookmarkEnd w:id="22"/>
      <w:bookmarkEnd w:id="23"/>
      <w:bookmarkEnd w:id="24"/>
      <w:bookmarkEnd w:id="25"/>
      <w:bookmarkEnd w:id="26"/>
      <w:bookmarkEnd w:id="27"/>
      <w:bookmarkEnd w:id="28"/>
      <w:bookmarkEnd w:id="29"/>
      <w:bookmarkEnd w:id="30"/>
      <w:bookmarkEnd w:id="31"/>
    </w:p>
    <w:p w14:paraId="493CC770">
      <w:pPr>
        <w:pStyle w:val="4"/>
        <w:widowControl w:val="0"/>
        <w:ind w:firstLine="640"/>
        <w:jc w:val="both"/>
        <w:rPr>
          <w:color w:val="000000" w:themeColor="text1"/>
          <w14:textFill>
            <w14:solidFill>
              <w14:schemeClr w14:val="tx1"/>
            </w14:solidFill>
          </w14:textFill>
        </w:rPr>
      </w:pPr>
      <w:bookmarkStart w:id="32" w:name="_Toc23199"/>
      <w:bookmarkStart w:id="33" w:name="_Toc12450"/>
      <w:bookmarkStart w:id="34" w:name="_Toc11732"/>
      <w:bookmarkStart w:id="35" w:name="_Toc13335"/>
      <w:bookmarkStart w:id="36" w:name="_Toc11522"/>
      <w:bookmarkStart w:id="37" w:name="_Toc1057"/>
      <w:bookmarkStart w:id="38" w:name="_Toc4451"/>
      <w:bookmarkStart w:id="39" w:name="_Toc4523"/>
      <w:bookmarkStart w:id="40" w:name="_Toc30920"/>
      <w:bookmarkStart w:id="41" w:name="_Toc6797"/>
      <w:bookmarkStart w:id="42" w:name="_Toc24613"/>
      <w:r>
        <w:rPr>
          <w:rFonts w:hint="eastAsia"/>
          <w:color w:val="000000" w:themeColor="text1"/>
          <w14:textFill>
            <w14:solidFill>
              <w14:schemeClr w14:val="tx1"/>
            </w14:solidFill>
          </w14:textFill>
        </w:rPr>
        <w:t>第一条</w:t>
      </w:r>
      <w:r>
        <w:rPr>
          <w:rFonts w:hint="eastAsia"/>
          <w:color w:val="000000" w:themeColor="text1"/>
          <w:lang w:eastAsia="zh-CN"/>
          <w14:textFill>
            <w14:solidFill>
              <w14:schemeClr w14:val="tx1"/>
            </w14:solidFill>
          </w14:textFill>
        </w:rPr>
        <w:t xml:space="preserve"> </w:t>
      </w:r>
      <w:r>
        <w:rPr>
          <w:rFonts w:hint="eastAsia"/>
          <w:color w:val="000000" w:themeColor="text1"/>
          <w14:textFill>
            <w14:solidFill>
              <w14:schemeClr w14:val="tx1"/>
            </w14:solidFill>
          </w14:textFill>
        </w:rPr>
        <w:t>餐具、饮具集中消毒服务单位违反本法规定用水，使用洗涤剂、消毒剂，或者出厂的餐具、饮具未按规定检验合格并随附消毒合格证明，或者未按规定在独立包装上标注相关内容的</w:t>
      </w:r>
      <w:bookmarkEnd w:id="32"/>
      <w:bookmarkEnd w:id="33"/>
      <w:bookmarkEnd w:id="34"/>
      <w:bookmarkEnd w:id="35"/>
      <w:bookmarkEnd w:id="36"/>
      <w:bookmarkEnd w:id="37"/>
      <w:bookmarkEnd w:id="38"/>
      <w:bookmarkEnd w:id="39"/>
      <w:bookmarkEnd w:id="40"/>
      <w:bookmarkEnd w:id="41"/>
      <w:bookmarkEnd w:id="42"/>
    </w:p>
    <w:p w14:paraId="66C88AC4">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C16E612">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食品安全法》第一百二十六条第一款：违反本法规定，有下列情形之一的，由县级以上人民政府食品药品监督管理部门责令改正，给予警告；拒不改正的，处五千元以上五万元以下罚款；情节严重的，责令停产停业，直至吊销许可证：</w:t>
      </w:r>
    </w:p>
    <w:p w14:paraId="63CDB1DC">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食品安全法》第一百二十六条第二款：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14:paraId="0CAB2B21">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食品安全法实施条例》第七十一条：餐具饮具集中消毒服务单位未按照规定建立并遵守出厂检验记录制度的，由县级以上人民政府卫生行政部门依照食品安全法第一百二十六条第一款、本条例第七十五条的规定给予处罚。</w:t>
      </w:r>
    </w:p>
    <w:p w14:paraId="7ECDD770">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《中华人民共和国食品安全法实施条例》第三十三条　食品生产经营应当符合食品安全标准，并符合下列要求：</w:t>
      </w:r>
    </w:p>
    <w:p w14:paraId="57BA934C">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w:t>
      </w:r>
    </w:p>
    <w:p w14:paraId="47F7F659">
      <w:pPr>
        <w:widowControl w:val="0"/>
        <w:spacing w:after="0" w:line="440" w:lineRule="exact"/>
        <w:ind w:left="375" w:right="375"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（十）使用的洗涤剂、消毒剂应当对人体安全、无害；</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41EF9F60">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w:t>
      </w:r>
    </w:p>
    <w:p w14:paraId="06A06CB6">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《中华人民共和国食品安全法》第五十八条　餐具、饮具集中消毒服务单位应当具备相应的作业场所、清洗消毒设备或者设施，用水和使用的洗涤剂、消毒剂应当符合相关食品安全国家标准和其他国家标准、卫生规范。</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28ED2FE1">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餐具、饮具集中消毒服务单位应当对消毒餐具、饮具进行逐批检验，检验合格后方可出厂，并应当随附消毒合格证明。消毒后的餐具、饮具应当在独立包装上标注单位名称、地址、联系方式、消毒日期以及使用期限等内容。</w:t>
      </w:r>
    </w:p>
    <w:p w14:paraId="2BB6D5E3">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食品安全法实施条例》第二十七条：餐具饮具集中消毒服务单位应当建立餐具饮具出厂检验记录制度，如实记录出厂餐具饮具的数量、消毒日期和批号、使用期限、出厂日期以及委托方名称、地址、联系方式等内容。出厂检验记录保存期限不得少于消毒餐具饮具使用期限到期后6个月。消毒后的餐具饮具应当在独立包装上标注单位名称、地址、联系方式、消毒日期和批号以及使用期限等内容。</w:t>
      </w:r>
    </w:p>
    <w:p w14:paraId="2EE5A027">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0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7352"/>
        <w:gridCol w:w="3677"/>
      </w:tblGrid>
      <w:tr w14:paraId="5A66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775" w:type="dxa"/>
            <w:vAlign w:val="center"/>
          </w:tcPr>
          <w:p w14:paraId="0EA70181">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违法程度</w:t>
            </w:r>
          </w:p>
        </w:tc>
        <w:tc>
          <w:tcPr>
            <w:tcW w:w="7352" w:type="dxa"/>
            <w:vAlign w:val="center"/>
          </w:tcPr>
          <w:p w14:paraId="58CC740A">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情节后果</w:t>
            </w:r>
          </w:p>
        </w:tc>
        <w:tc>
          <w:tcPr>
            <w:tcW w:w="3677" w:type="dxa"/>
            <w:vAlign w:val="center"/>
          </w:tcPr>
          <w:p w14:paraId="0CE947F5">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裁量幅度</w:t>
            </w:r>
          </w:p>
        </w:tc>
      </w:tr>
      <w:tr w14:paraId="3442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775" w:type="dxa"/>
            <w:vAlign w:val="center"/>
          </w:tcPr>
          <w:p w14:paraId="78B9A270">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较轻</w:t>
            </w:r>
          </w:p>
        </w:tc>
        <w:tc>
          <w:tcPr>
            <w:tcW w:w="7352" w:type="dxa"/>
            <w:vAlign w:val="center"/>
          </w:tcPr>
          <w:p w14:paraId="34627F31">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首次发现违法行为，未</w:t>
            </w:r>
            <w:r>
              <w:rPr>
                <w:rFonts w:hint="eastAsia" w:ascii="Times New Roman" w:hAnsi="Times New Roman" w:eastAsia="仿宋_GB2312" w:cs="Times New Roman"/>
                <w:color w:val="000000" w:themeColor="text1"/>
                <w:sz w:val="24"/>
                <w:szCs w:val="24"/>
                <w14:textFill>
                  <w14:solidFill>
                    <w14:schemeClr w14:val="tx1"/>
                  </w14:solidFill>
                </w14:textFill>
              </w:rPr>
              <w:t>造成严重后果且未及时改正的。</w:t>
            </w:r>
          </w:p>
        </w:tc>
        <w:tc>
          <w:tcPr>
            <w:tcW w:w="3677" w:type="dxa"/>
            <w:vAlign w:val="center"/>
          </w:tcPr>
          <w:p w14:paraId="42D6FE1D">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责令整改，给予警告。</w:t>
            </w:r>
          </w:p>
        </w:tc>
      </w:tr>
      <w:tr w14:paraId="1CE7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775" w:type="dxa"/>
            <w:vMerge w:val="restart"/>
            <w:vAlign w:val="center"/>
          </w:tcPr>
          <w:p w14:paraId="67E8A314">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352" w:type="dxa"/>
            <w:vAlign w:val="center"/>
          </w:tcPr>
          <w:p w14:paraId="06463993">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（1）未建立餐具饮具出厂检验记录制度的。</w:t>
            </w:r>
          </w:p>
        </w:tc>
        <w:tc>
          <w:tcPr>
            <w:tcW w:w="3677" w:type="dxa"/>
            <w:vAlign w:val="center"/>
          </w:tcPr>
          <w:p w14:paraId="75A35C4D">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处五千元以上七千元以下罚款。</w:t>
            </w:r>
          </w:p>
        </w:tc>
      </w:tr>
      <w:tr w14:paraId="1557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775" w:type="dxa"/>
            <w:vMerge w:val="continue"/>
            <w:vAlign w:val="center"/>
          </w:tcPr>
          <w:p w14:paraId="7726BA7E">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352" w:type="dxa"/>
            <w:vAlign w:val="center"/>
          </w:tcPr>
          <w:p w14:paraId="0AEC64C8">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（2）未如实记录出厂餐具饮具的数量、消毒日期和批号、使用期限、出厂日期以及委托方名称、地址、联系方式等内容或者未按照规定期限保存出厂检验记录的。</w:t>
            </w:r>
          </w:p>
        </w:tc>
        <w:tc>
          <w:tcPr>
            <w:tcW w:w="3677" w:type="dxa"/>
            <w:vAlign w:val="center"/>
          </w:tcPr>
          <w:p w14:paraId="22754685">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处七千元以上一万元以下罚款。</w:t>
            </w:r>
          </w:p>
        </w:tc>
      </w:tr>
      <w:tr w14:paraId="2F45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775" w:type="dxa"/>
            <w:vMerge w:val="continue"/>
            <w:vAlign w:val="center"/>
          </w:tcPr>
          <w:p w14:paraId="2C2C44FD">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352" w:type="dxa"/>
            <w:vAlign w:val="center"/>
          </w:tcPr>
          <w:p w14:paraId="56E104DB">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（3）责令改正后，拒不改正，用水、使用洗涤剂、消毒剂其中一种不符合相关食品安全国家标准和其他国家标准、卫生规范的。</w:t>
            </w:r>
          </w:p>
        </w:tc>
        <w:tc>
          <w:tcPr>
            <w:tcW w:w="3677" w:type="dxa"/>
            <w:vAlign w:val="center"/>
          </w:tcPr>
          <w:p w14:paraId="1239080D">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处一万元以上一万三千元以下罚款。</w:t>
            </w:r>
          </w:p>
        </w:tc>
      </w:tr>
      <w:tr w14:paraId="7867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2775" w:type="dxa"/>
            <w:vMerge w:val="continue"/>
            <w:vAlign w:val="center"/>
          </w:tcPr>
          <w:p w14:paraId="0E87C252">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352" w:type="dxa"/>
            <w:vAlign w:val="center"/>
          </w:tcPr>
          <w:p w14:paraId="08630A9A">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（4）责令改正后，拒不改正，用水、使用洗涤剂、消毒剂其中两种不符合相关食品安全国家标准和其他国家标准、卫生规范的。</w:t>
            </w:r>
          </w:p>
        </w:tc>
        <w:tc>
          <w:tcPr>
            <w:tcW w:w="3677" w:type="dxa"/>
            <w:vAlign w:val="center"/>
          </w:tcPr>
          <w:p w14:paraId="23BDA98F">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处一万三千元以上一万六千元以下罚款。</w:t>
            </w:r>
          </w:p>
        </w:tc>
      </w:tr>
      <w:tr w14:paraId="6628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775" w:type="dxa"/>
            <w:vMerge w:val="continue"/>
            <w:vAlign w:val="center"/>
          </w:tcPr>
          <w:p w14:paraId="559A765B">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352" w:type="dxa"/>
            <w:vAlign w:val="center"/>
          </w:tcPr>
          <w:p w14:paraId="4BECA142">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（5）责令改正后，拒不改正，用水、使用洗涤剂、消毒剂其中三种不符合相关食品安全国家标准和其他国家标准、卫生规范的。</w:t>
            </w:r>
          </w:p>
        </w:tc>
        <w:tc>
          <w:tcPr>
            <w:tcW w:w="3677" w:type="dxa"/>
            <w:vAlign w:val="center"/>
          </w:tcPr>
          <w:p w14:paraId="18300B5D">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处一万六千元以上两万元以下罚款。</w:t>
            </w:r>
          </w:p>
        </w:tc>
      </w:tr>
      <w:tr w14:paraId="65E5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2775" w:type="dxa"/>
            <w:vMerge w:val="continue"/>
            <w:vAlign w:val="center"/>
          </w:tcPr>
          <w:p w14:paraId="5ED5FA0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352" w:type="dxa"/>
            <w:vAlign w:val="center"/>
          </w:tcPr>
          <w:p w14:paraId="73EB59D7">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（6）责令改正后，拒不改正，出厂的餐具、饮具未按规定进行检验或检验不合格，且未随附消毒合格证明的。</w:t>
            </w:r>
          </w:p>
        </w:tc>
        <w:tc>
          <w:tcPr>
            <w:tcW w:w="3677" w:type="dxa"/>
            <w:vAlign w:val="center"/>
          </w:tcPr>
          <w:p w14:paraId="64629B21">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处两万元以上三万元以下罚款。</w:t>
            </w:r>
          </w:p>
        </w:tc>
      </w:tr>
      <w:tr w14:paraId="632A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2775" w:type="dxa"/>
            <w:vMerge w:val="continue"/>
            <w:vAlign w:val="center"/>
          </w:tcPr>
          <w:p w14:paraId="78EF97F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352" w:type="dxa"/>
            <w:vAlign w:val="center"/>
          </w:tcPr>
          <w:p w14:paraId="1265E4E4">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（7）消毒后的餐具、饮具未在独立包装上标注单位名称、地址、联系方式、消毒日期和批号以及使用期限等内容的。</w:t>
            </w:r>
          </w:p>
        </w:tc>
        <w:tc>
          <w:tcPr>
            <w:tcW w:w="3677" w:type="dxa"/>
            <w:vAlign w:val="center"/>
          </w:tcPr>
          <w:p w14:paraId="4E135386">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处三万元以上四万元以下罚款。</w:t>
            </w:r>
          </w:p>
        </w:tc>
      </w:tr>
      <w:tr w14:paraId="461B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2775" w:type="dxa"/>
            <w:vAlign w:val="center"/>
          </w:tcPr>
          <w:p w14:paraId="7C59423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352" w:type="dxa"/>
            <w:vAlign w:val="center"/>
          </w:tcPr>
          <w:p w14:paraId="0ADE736A">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违反本法规定用水、使用洗涤剂、消毒剂，或者出厂的餐具、饮具未按规定检验合格并随附消毒合格证明，或者未按规定在独立包装上标注相关内容，导致传染病传播、爆发、流行等严重后果的。</w:t>
            </w:r>
          </w:p>
        </w:tc>
        <w:tc>
          <w:tcPr>
            <w:tcW w:w="3677" w:type="dxa"/>
            <w:vAlign w:val="center"/>
          </w:tcPr>
          <w:p w14:paraId="1B7F85E5">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处四万元以上五万元以下罚款，责令停产停业。</w:t>
            </w:r>
          </w:p>
        </w:tc>
      </w:tr>
    </w:tbl>
    <w:p w14:paraId="661DF952">
      <w:pPr>
        <w:pStyle w:val="4"/>
        <w:widowControl w:val="0"/>
        <w:ind w:firstLine="640"/>
        <w:jc w:val="both"/>
        <w:rPr>
          <w:rFonts w:hint="eastAsia"/>
          <w:b/>
          <w:color w:val="000000" w:themeColor="text1"/>
          <w14:textFill>
            <w14:solidFill>
              <w14:schemeClr w14:val="tx1"/>
            </w14:solidFill>
          </w14:textFill>
        </w:rPr>
      </w:pPr>
      <w:bookmarkStart w:id="43" w:name="_Toc10741"/>
      <w:bookmarkStart w:id="44" w:name="_Toc19671"/>
      <w:bookmarkStart w:id="45" w:name="_Toc24524"/>
      <w:bookmarkStart w:id="46" w:name="_Toc674"/>
      <w:bookmarkStart w:id="47" w:name="_Toc26545"/>
      <w:bookmarkStart w:id="48" w:name="_Toc1109"/>
      <w:bookmarkStart w:id="49" w:name="_Toc14075"/>
      <w:bookmarkStart w:id="50" w:name="_Toc24671"/>
      <w:bookmarkStart w:id="51" w:name="_Toc6343"/>
      <w:bookmarkStart w:id="52" w:name="_Toc12539"/>
      <w:bookmarkStart w:id="53" w:name="_Toc3422"/>
      <w:r>
        <w:rPr>
          <w:rFonts w:hint="eastAsia"/>
          <w:color w:val="000000" w:themeColor="text1"/>
          <w14:textFill>
            <w14:solidFill>
              <w14:schemeClr w14:val="tx1"/>
            </w14:solidFill>
          </w14:textFill>
        </w:rPr>
        <w:t>第二条 餐具、饮具集中消毒服务单位拒绝、阻挠、干涉卫生健康行政部门及其工作人员依法开 展监督检查的</w:t>
      </w:r>
      <w:bookmarkEnd w:id="43"/>
      <w:bookmarkEnd w:id="44"/>
      <w:bookmarkEnd w:id="45"/>
      <w:bookmarkEnd w:id="46"/>
      <w:bookmarkEnd w:id="47"/>
      <w:bookmarkEnd w:id="48"/>
      <w:bookmarkEnd w:id="49"/>
      <w:bookmarkEnd w:id="50"/>
      <w:bookmarkEnd w:id="51"/>
      <w:bookmarkEnd w:id="52"/>
      <w:bookmarkEnd w:id="53"/>
    </w:p>
    <w:p w14:paraId="13C123F7">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050022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食品安全法》第一百三十三条第一款：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14:paraId="7D240253">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7543"/>
        <w:gridCol w:w="4498"/>
      </w:tblGrid>
      <w:tr w14:paraId="6516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801" w:type="dxa"/>
            <w:tcBorders>
              <w:tl2br w:val="nil"/>
              <w:tr2bl w:val="nil"/>
            </w:tcBorders>
            <w:vAlign w:val="center"/>
          </w:tcPr>
          <w:p w14:paraId="7634E78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543" w:type="dxa"/>
            <w:tcBorders>
              <w:tl2br w:val="nil"/>
              <w:tr2bl w:val="nil"/>
            </w:tcBorders>
            <w:vAlign w:val="center"/>
          </w:tcPr>
          <w:p w14:paraId="682B3D6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498" w:type="dxa"/>
            <w:tcBorders>
              <w:tl2br w:val="nil"/>
              <w:tr2bl w:val="nil"/>
            </w:tcBorders>
            <w:vAlign w:val="center"/>
          </w:tcPr>
          <w:p w14:paraId="2F82B0B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835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801" w:type="dxa"/>
            <w:tcBorders>
              <w:tl2br w:val="nil"/>
              <w:tr2bl w:val="nil"/>
            </w:tcBorders>
            <w:vAlign w:val="center"/>
          </w:tcPr>
          <w:p w14:paraId="186C001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543" w:type="dxa"/>
            <w:tcBorders>
              <w:tl2br w:val="nil"/>
              <w:tr2bl w:val="nil"/>
            </w:tcBorders>
            <w:vAlign w:val="center"/>
          </w:tcPr>
          <w:p w14:paraId="54B9465F">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餐具、饮具集中消毒服务单位拒绝、阻挠、干涉卫生健康行政部门及其工作人员依法开展监督检查的，首次发现的。</w:t>
            </w:r>
          </w:p>
        </w:tc>
        <w:tc>
          <w:tcPr>
            <w:tcW w:w="4498" w:type="dxa"/>
            <w:tcBorders>
              <w:tl2br w:val="nil"/>
              <w:tr2bl w:val="nil"/>
            </w:tcBorders>
            <w:vAlign w:val="center"/>
          </w:tcPr>
          <w:p w14:paraId="2EBB93E3">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责令停产停业，并处二千元以上一万元以下罚款。</w:t>
            </w:r>
          </w:p>
        </w:tc>
      </w:tr>
      <w:tr w14:paraId="1727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801" w:type="dxa"/>
            <w:tcBorders>
              <w:tl2br w:val="nil"/>
              <w:tr2bl w:val="nil"/>
            </w:tcBorders>
            <w:vAlign w:val="center"/>
          </w:tcPr>
          <w:p w14:paraId="1D9BC39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543" w:type="dxa"/>
            <w:tcBorders>
              <w:tl2br w:val="nil"/>
              <w:tr2bl w:val="nil"/>
            </w:tcBorders>
            <w:vAlign w:val="center"/>
          </w:tcPr>
          <w:p w14:paraId="3AE2FD1B">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餐具、饮具集中消毒服务单位拒绝、阻挠、干涉卫生健康行政部门及其工作人员依法开展监督检查的，拒不改正的。</w:t>
            </w:r>
          </w:p>
        </w:tc>
        <w:tc>
          <w:tcPr>
            <w:tcW w:w="4498" w:type="dxa"/>
            <w:tcBorders>
              <w:tl2br w:val="nil"/>
              <w:tr2bl w:val="nil"/>
            </w:tcBorders>
            <w:vAlign w:val="center"/>
          </w:tcPr>
          <w:p w14:paraId="2BE1A830">
            <w:pPr>
              <w:widowControl w:val="0"/>
              <w:spacing w:after="0" w:line="320" w:lineRule="exac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责令停产停业，并处一万元以上五万元以下罚款。</w:t>
            </w:r>
          </w:p>
        </w:tc>
      </w:tr>
    </w:tbl>
    <w:p w14:paraId="3400137D">
      <w:pPr>
        <w:pStyle w:val="3"/>
        <w:keepNext w:val="0"/>
        <w:keepLines w:val="0"/>
        <w:widowControl w:val="0"/>
        <w:spacing w:before="0" w:after="0" w:line="440" w:lineRule="exact"/>
        <w:ind w:firstLine="643" w:firstLineChars="200"/>
        <w:jc w:val="both"/>
        <w:rPr>
          <w:rFonts w:hint="eastAsia" w:ascii="Times New Roman" w:hAnsi="Times New Roman" w:eastAsia="楷体_GB2312" w:cs="Times New Roman"/>
          <w:color w:val="000000" w:themeColor="text1"/>
          <w14:textFill>
            <w14:solidFill>
              <w14:schemeClr w14:val="tx1"/>
            </w14:solidFill>
          </w14:textFill>
        </w:rPr>
      </w:pPr>
      <w:bookmarkStart w:id="54" w:name="_Toc15567"/>
      <w:bookmarkStart w:id="55" w:name="_Toc9521"/>
      <w:bookmarkStart w:id="56" w:name="_Toc16687"/>
      <w:bookmarkStart w:id="57" w:name="_Toc29951"/>
      <w:bookmarkStart w:id="58" w:name="_Toc14465"/>
      <w:bookmarkStart w:id="59" w:name="_Toc8617"/>
      <w:bookmarkStart w:id="60" w:name="_Toc23197"/>
      <w:bookmarkStart w:id="61" w:name="_Toc4849"/>
      <w:bookmarkStart w:id="62" w:name="_Toc13457"/>
      <w:bookmarkStart w:id="63" w:name="_Toc14478"/>
      <w:bookmarkStart w:id="64" w:name="_Toc1460"/>
      <w:bookmarkStart w:id="65" w:name="_Toc30864"/>
      <w:bookmarkStart w:id="66" w:name="_Toc17058"/>
      <w:r>
        <w:rPr>
          <w:rFonts w:hint="eastAsia" w:ascii="Times New Roman" w:hAnsi="Times New Roman" w:eastAsia="楷体_GB2312" w:cs="Times New Roman"/>
          <w:color w:val="000000" w:themeColor="text1"/>
          <w14:textFill>
            <w14:solidFill>
              <w14:schemeClr w14:val="tx1"/>
            </w14:solidFill>
          </w14:textFill>
        </w:rPr>
        <w:t>（二）《医疗器械监督管理条例》</w:t>
      </w:r>
      <w:bookmarkEnd w:id="54"/>
      <w:bookmarkEnd w:id="55"/>
      <w:bookmarkEnd w:id="56"/>
      <w:bookmarkEnd w:id="57"/>
      <w:bookmarkEnd w:id="58"/>
      <w:bookmarkEnd w:id="59"/>
      <w:bookmarkEnd w:id="60"/>
      <w:bookmarkEnd w:id="61"/>
      <w:bookmarkEnd w:id="62"/>
      <w:bookmarkEnd w:id="63"/>
      <w:bookmarkEnd w:id="64"/>
      <w:bookmarkEnd w:id="65"/>
      <w:bookmarkEnd w:id="66"/>
    </w:p>
    <w:p w14:paraId="7719F0AD">
      <w:pPr>
        <w:pStyle w:val="4"/>
        <w:widowControl w:val="0"/>
        <w:ind w:firstLine="640"/>
        <w:jc w:val="both"/>
        <w:rPr>
          <w:rFonts w:hint="eastAsia"/>
          <w:color w:val="000000" w:themeColor="text1"/>
          <w14:textFill>
            <w14:solidFill>
              <w14:schemeClr w14:val="tx1"/>
            </w14:solidFill>
          </w14:textFill>
        </w:rPr>
      </w:pPr>
      <w:bookmarkStart w:id="67" w:name="_Toc9595"/>
      <w:bookmarkStart w:id="68" w:name="_Toc11784"/>
      <w:bookmarkStart w:id="69" w:name="_Toc8708"/>
      <w:bookmarkStart w:id="70" w:name="_Toc18764"/>
      <w:bookmarkStart w:id="71" w:name="_Toc543"/>
      <w:bookmarkStart w:id="72" w:name="_Toc18799"/>
      <w:bookmarkStart w:id="73" w:name="_Toc18245"/>
      <w:bookmarkStart w:id="74" w:name="_Toc23144"/>
      <w:bookmarkStart w:id="75" w:name="_Toc16336"/>
      <w:bookmarkStart w:id="76" w:name="_Toc20532"/>
      <w:bookmarkStart w:id="77" w:name="_Toc15879"/>
      <w:r>
        <w:rPr>
          <w:rFonts w:hint="eastAsia"/>
          <w:color w:val="000000" w:themeColor="text1"/>
          <w14:textFill>
            <w14:solidFill>
              <w14:schemeClr w14:val="tx1"/>
            </w14:solidFill>
          </w14:textFill>
        </w:rPr>
        <w:t>第三条 对重复使用的医疗器械，医疗器械使用单位未按照消毒和管理的规定进行处理的</w:t>
      </w:r>
      <w:bookmarkEnd w:id="67"/>
      <w:bookmarkEnd w:id="68"/>
      <w:bookmarkEnd w:id="69"/>
      <w:bookmarkEnd w:id="70"/>
      <w:bookmarkEnd w:id="71"/>
      <w:bookmarkEnd w:id="72"/>
      <w:bookmarkEnd w:id="73"/>
      <w:bookmarkEnd w:id="74"/>
      <w:bookmarkEnd w:id="75"/>
      <w:bookmarkEnd w:id="76"/>
      <w:bookmarkEnd w:id="77"/>
    </w:p>
    <w:p w14:paraId="4DAA5645">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AC4429D">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第九十条 第（一）项　有下列情形之一的，由县级以上人民政府卫生主管部门责令改正，给予警告；拒不改正的，处5万元以上10万元以下罚款；情节严重的，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依法给予处分：</w:t>
      </w:r>
    </w:p>
    <w:p w14:paraId="70ED261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（一）对重复使用的医疗器械，医疗器械使用单位未按照消毒和管理的规定进行处理；</w:t>
      </w:r>
    </w:p>
    <w:p w14:paraId="44045A0D">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第六条　医疗卫生机构使用的进入人体组织或无菌器官的医疗用品必须达到灭菌要求。各种注射、穿刺、采血器具应当一人一用一灭菌。凡接触皮肤、粘膜的器械和用品必须达到消毒要求。</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7DD0D69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医疗卫生机构使用的一次性使用医疗用品用后应当及时进行无害化处理。</w:t>
      </w:r>
    </w:p>
    <w:p w14:paraId="25EE4A32">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7"/>
        <w:gridCol w:w="6533"/>
        <w:gridCol w:w="5613"/>
      </w:tblGrid>
      <w:tr w14:paraId="3070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12" w:type="pct"/>
            <w:tcBorders>
              <w:tl2br w:val="nil"/>
              <w:tr2bl w:val="nil"/>
            </w:tcBorders>
            <w:vAlign w:val="center"/>
          </w:tcPr>
          <w:p w14:paraId="1ABF718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2306" w:type="pct"/>
            <w:tcBorders>
              <w:tl2br w:val="nil"/>
              <w:tr2bl w:val="nil"/>
            </w:tcBorders>
            <w:vAlign w:val="center"/>
          </w:tcPr>
          <w:p w14:paraId="2CE06A9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1981" w:type="pct"/>
            <w:tcBorders>
              <w:tl2br w:val="nil"/>
              <w:tr2bl w:val="nil"/>
            </w:tcBorders>
            <w:vAlign w:val="center"/>
          </w:tcPr>
          <w:p w14:paraId="31BDDC5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340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12" w:type="pct"/>
            <w:tcBorders>
              <w:tl2br w:val="nil"/>
              <w:tr2bl w:val="nil"/>
            </w:tcBorders>
            <w:vAlign w:val="center"/>
          </w:tcPr>
          <w:p w14:paraId="613201F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较轻</w:t>
            </w:r>
          </w:p>
        </w:tc>
        <w:tc>
          <w:tcPr>
            <w:tcW w:w="2306" w:type="pct"/>
            <w:tcBorders>
              <w:tl2br w:val="nil"/>
              <w:tr2bl w:val="nil"/>
            </w:tcBorders>
            <w:vAlign w:val="center"/>
          </w:tcPr>
          <w:p w14:paraId="4553EFC5">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首次发现违法行为，并未造成严重后果的。</w:t>
            </w:r>
          </w:p>
        </w:tc>
        <w:tc>
          <w:tcPr>
            <w:tcW w:w="1981" w:type="pct"/>
            <w:tcBorders>
              <w:tl2br w:val="nil"/>
              <w:tr2bl w:val="nil"/>
            </w:tcBorders>
            <w:vAlign w:val="center"/>
          </w:tcPr>
          <w:p w14:paraId="405EC16C">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责令整改，给予警告。</w:t>
            </w:r>
          </w:p>
        </w:tc>
      </w:tr>
      <w:tr w14:paraId="3D08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12" w:type="pct"/>
            <w:vMerge w:val="restart"/>
            <w:tcBorders>
              <w:tl2br w:val="nil"/>
              <w:tr2bl w:val="nil"/>
            </w:tcBorders>
            <w:vAlign w:val="center"/>
          </w:tcPr>
          <w:p w14:paraId="3F1EBF6B">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2306" w:type="pct"/>
            <w:tcBorders>
              <w:tl2br w:val="nil"/>
              <w:tr2bl w:val="nil"/>
            </w:tcBorders>
            <w:vAlign w:val="center"/>
          </w:tcPr>
          <w:p w14:paraId="566A7EFF">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凡接触皮肤、粘膜的器械和用品未达到消毒要求，经责令改正后，拒不改正的。</w:t>
            </w:r>
          </w:p>
        </w:tc>
        <w:tc>
          <w:tcPr>
            <w:tcW w:w="1981" w:type="pct"/>
            <w:tcBorders>
              <w:tl2br w:val="nil"/>
              <w:tr2bl w:val="nil"/>
            </w:tcBorders>
            <w:vAlign w:val="center"/>
          </w:tcPr>
          <w:p w14:paraId="07102EDE">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处5万元以上6万元以下罚款。</w:t>
            </w:r>
          </w:p>
        </w:tc>
      </w:tr>
      <w:tr w14:paraId="1970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12" w:type="pct"/>
            <w:vMerge w:val="continue"/>
            <w:tcBorders>
              <w:tl2br w:val="nil"/>
              <w:tr2bl w:val="nil"/>
            </w:tcBorders>
            <w:vAlign w:val="center"/>
          </w:tcPr>
          <w:p w14:paraId="576C5DF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2306" w:type="pct"/>
            <w:tcBorders>
              <w:tl2br w:val="nil"/>
              <w:tr2bl w:val="nil"/>
            </w:tcBorders>
            <w:vAlign w:val="center"/>
          </w:tcPr>
          <w:p w14:paraId="629A82D8">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对各种注射、穿刺、采血器具未进行一人一用一灭菌，经责令改正后，拒不改正的。</w:t>
            </w:r>
          </w:p>
        </w:tc>
        <w:tc>
          <w:tcPr>
            <w:tcW w:w="1981" w:type="pct"/>
            <w:tcBorders>
              <w:tl2br w:val="nil"/>
              <w:tr2bl w:val="nil"/>
            </w:tcBorders>
            <w:vAlign w:val="center"/>
          </w:tcPr>
          <w:p w14:paraId="5A8DCFC0">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处6万元以上8万元以下罚款。</w:t>
            </w:r>
          </w:p>
        </w:tc>
      </w:tr>
      <w:tr w14:paraId="5FDD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2" w:type="pct"/>
            <w:vMerge w:val="continue"/>
            <w:tcBorders>
              <w:tl2br w:val="nil"/>
              <w:tr2bl w:val="nil"/>
            </w:tcBorders>
            <w:vAlign w:val="center"/>
          </w:tcPr>
          <w:p w14:paraId="565EA384">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2306" w:type="pct"/>
            <w:tcBorders>
              <w:tl2br w:val="nil"/>
              <w:tr2bl w:val="nil"/>
            </w:tcBorders>
            <w:vAlign w:val="center"/>
          </w:tcPr>
          <w:p w14:paraId="52F7DDD4">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进入人体组织或无菌器官的医疗用品未达到灭菌要求，经责令改正后，拒不改正的。</w:t>
            </w:r>
          </w:p>
        </w:tc>
        <w:tc>
          <w:tcPr>
            <w:tcW w:w="1981" w:type="pct"/>
            <w:tcBorders>
              <w:tl2br w:val="nil"/>
              <w:tr2bl w:val="nil"/>
            </w:tcBorders>
            <w:vAlign w:val="center"/>
          </w:tcPr>
          <w:p w14:paraId="09519B50">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处8万元以上10万元以下罚款。</w:t>
            </w:r>
          </w:p>
        </w:tc>
      </w:tr>
      <w:tr w14:paraId="0207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2" w:type="pct"/>
            <w:tcBorders>
              <w:tl2br w:val="nil"/>
              <w:tr2bl w:val="nil"/>
            </w:tcBorders>
            <w:vAlign w:val="center"/>
          </w:tcPr>
          <w:p w14:paraId="2CA70E3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2306" w:type="pct"/>
            <w:tcBorders>
              <w:tl2br w:val="nil"/>
              <w:tr2bl w:val="nil"/>
            </w:tcBorders>
            <w:vAlign w:val="center"/>
          </w:tcPr>
          <w:p w14:paraId="59F347E1">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对重复使用的医疗器械，医疗器械使用单位未按照消毒和管理的规定进行处理，造成传染病传播、病人残疾、死亡等严重后果的。</w:t>
            </w:r>
          </w:p>
        </w:tc>
        <w:tc>
          <w:tcPr>
            <w:tcW w:w="1981" w:type="pct"/>
            <w:tcBorders>
              <w:tl2br w:val="nil"/>
              <w:tr2bl w:val="nil"/>
            </w:tcBorders>
            <w:vAlign w:val="center"/>
          </w:tcPr>
          <w:p w14:paraId="07EA64DB">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w:t>
            </w:r>
          </w:p>
        </w:tc>
      </w:tr>
    </w:tbl>
    <w:p w14:paraId="2B76CD82">
      <w:pPr>
        <w:pStyle w:val="4"/>
        <w:widowControl w:val="0"/>
        <w:ind w:firstLine="640"/>
        <w:rPr>
          <w:color w:val="000000" w:themeColor="text1"/>
          <w14:textFill>
            <w14:solidFill>
              <w14:schemeClr w14:val="tx1"/>
            </w14:solidFill>
          </w14:textFill>
        </w:rPr>
      </w:pPr>
      <w:bookmarkStart w:id="78" w:name="_Toc12469"/>
      <w:bookmarkStart w:id="79" w:name="_Toc8660"/>
      <w:bookmarkStart w:id="80" w:name="_Toc17107"/>
      <w:bookmarkStart w:id="81" w:name="_Toc3172"/>
      <w:bookmarkStart w:id="82" w:name="_Toc17093"/>
      <w:bookmarkStart w:id="83" w:name="_Toc25343"/>
      <w:bookmarkStart w:id="84" w:name="_Toc23443"/>
      <w:bookmarkStart w:id="85" w:name="_Toc1406"/>
      <w:bookmarkStart w:id="86" w:name="_Toc6809"/>
      <w:bookmarkStart w:id="87" w:name="_Toc10452"/>
      <w:bookmarkStart w:id="88" w:name="_Toc20018"/>
      <w:r>
        <w:rPr>
          <w:rFonts w:hint="eastAsia"/>
          <w:color w:val="000000" w:themeColor="text1"/>
          <w14:textFill>
            <w14:solidFill>
              <w14:schemeClr w14:val="tx1"/>
            </w14:solidFill>
          </w14:textFill>
        </w:rPr>
        <w:t>第四条 医疗器械使用单位重复使用一次性使用的医疗器械，或者未按照规定销毁使用过的一次性使用的医疗器械的</w:t>
      </w:r>
      <w:bookmarkEnd w:id="78"/>
      <w:bookmarkEnd w:id="79"/>
      <w:bookmarkEnd w:id="80"/>
      <w:bookmarkEnd w:id="81"/>
      <w:bookmarkEnd w:id="82"/>
      <w:bookmarkEnd w:id="83"/>
      <w:bookmarkEnd w:id="84"/>
      <w:bookmarkEnd w:id="85"/>
      <w:bookmarkEnd w:id="86"/>
      <w:bookmarkEnd w:id="87"/>
      <w:bookmarkEnd w:id="88"/>
    </w:p>
    <w:p w14:paraId="18E8F163">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965CF12">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第九十条 第（二）项　有下列情形之一的，由县级以上人民政府卫生主管部门责令改正，给予警告；拒不改正的，处5万元以上10万元以下罚款；情节严重的，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依法给予处分：</w:t>
      </w:r>
    </w:p>
    <w:p w14:paraId="0434BC0F">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（二）医疗器械使用单位重复使用一次性使用的医疗器械，或者未按照规定销毁使用过的一次性使用的医疗器械；</w:t>
      </w:r>
    </w:p>
    <w:tbl>
      <w:tblPr>
        <w:tblStyle w:val="24"/>
        <w:tblW w:w="13834" w:type="dxa"/>
        <w:tblInd w:w="93" w:type="dxa"/>
        <w:tblLayout w:type="autofit"/>
        <w:tblCellMar>
          <w:top w:w="0" w:type="dxa"/>
          <w:left w:w="108" w:type="dxa"/>
          <w:bottom w:w="0" w:type="dxa"/>
          <w:right w:w="108" w:type="dxa"/>
        </w:tblCellMar>
      </w:tblPr>
      <w:tblGrid>
        <w:gridCol w:w="1665"/>
        <w:gridCol w:w="5298"/>
        <w:gridCol w:w="6871"/>
      </w:tblGrid>
      <w:tr w14:paraId="5A5F11DA">
        <w:tblPrEx>
          <w:tblCellMar>
            <w:top w:w="0" w:type="dxa"/>
            <w:left w:w="108" w:type="dxa"/>
            <w:bottom w:w="0" w:type="dxa"/>
            <w:right w:w="108" w:type="dxa"/>
          </w:tblCellMar>
        </w:tblPrEx>
        <w:trPr>
          <w:trHeight w:val="624" w:hRule="atLeast"/>
        </w:trPr>
        <w:tc>
          <w:tcPr>
            <w:tcW w:w="13834" w:type="dxa"/>
            <w:gridSpan w:val="3"/>
            <w:tcBorders>
              <w:top w:val="nil"/>
              <w:left w:val="nil"/>
              <w:bottom w:val="single" w:color="auto" w:sz="4" w:space="0"/>
              <w:right w:val="nil"/>
            </w:tcBorders>
            <w:noWrap/>
            <w:vAlign w:val="center"/>
          </w:tcPr>
          <w:p w14:paraId="3DFFC3A9">
            <w:pPr>
              <w:widowControl w:val="0"/>
              <w:spacing w:after="0" w:line="440" w:lineRule="exact"/>
              <w:jc w:val="center"/>
              <w:rPr>
                <w:rFonts w:hint="eastAsia"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23EF0500">
        <w:tblPrEx>
          <w:tblCellMar>
            <w:top w:w="0" w:type="dxa"/>
            <w:left w:w="108" w:type="dxa"/>
            <w:bottom w:w="0" w:type="dxa"/>
            <w:right w:w="108" w:type="dxa"/>
          </w:tblCellMar>
        </w:tblPrEx>
        <w:trPr>
          <w:trHeight w:val="515" w:hRule="atLeast"/>
        </w:trPr>
        <w:tc>
          <w:tcPr>
            <w:tcW w:w="1665" w:type="dxa"/>
            <w:tcBorders>
              <w:top w:val="single" w:color="auto" w:sz="4" w:space="0"/>
              <w:left w:val="single" w:color="auto" w:sz="4" w:space="0"/>
              <w:bottom w:val="single" w:color="auto" w:sz="4" w:space="0"/>
              <w:right w:val="single" w:color="auto" w:sz="4" w:space="0"/>
            </w:tcBorders>
            <w:vAlign w:val="center"/>
          </w:tcPr>
          <w:p w14:paraId="45909FE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5298" w:type="dxa"/>
            <w:tcBorders>
              <w:top w:val="single" w:color="auto" w:sz="4" w:space="0"/>
              <w:left w:val="single" w:color="auto" w:sz="4" w:space="0"/>
              <w:bottom w:val="single" w:color="auto" w:sz="4" w:space="0"/>
              <w:right w:val="single" w:color="auto" w:sz="4" w:space="0"/>
            </w:tcBorders>
            <w:vAlign w:val="center"/>
          </w:tcPr>
          <w:p w14:paraId="351405F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871" w:type="dxa"/>
            <w:tcBorders>
              <w:top w:val="single" w:color="auto" w:sz="4" w:space="0"/>
              <w:left w:val="single" w:color="auto" w:sz="4" w:space="0"/>
              <w:bottom w:val="single" w:color="auto" w:sz="4" w:space="0"/>
              <w:right w:val="single" w:color="auto" w:sz="4" w:space="0"/>
            </w:tcBorders>
            <w:vAlign w:val="center"/>
          </w:tcPr>
          <w:p w14:paraId="5B86C8F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5297821">
        <w:tblPrEx>
          <w:tblCellMar>
            <w:top w:w="0" w:type="dxa"/>
            <w:left w:w="108" w:type="dxa"/>
            <w:bottom w:w="0" w:type="dxa"/>
            <w:right w:w="108" w:type="dxa"/>
          </w:tblCellMar>
        </w:tblPrEx>
        <w:trPr>
          <w:trHeight w:val="510" w:hRule="atLeast"/>
        </w:trPr>
        <w:tc>
          <w:tcPr>
            <w:tcW w:w="1665" w:type="dxa"/>
            <w:tcBorders>
              <w:top w:val="single" w:color="auto" w:sz="4" w:space="0"/>
              <w:left w:val="single" w:color="auto" w:sz="4" w:space="0"/>
              <w:bottom w:val="single" w:color="auto" w:sz="4" w:space="0"/>
              <w:right w:val="single" w:color="auto" w:sz="4" w:space="0"/>
            </w:tcBorders>
            <w:vAlign w:val="center"/>
          </w:tcPr>
          <w:p w14:paraId="216460DA">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较轻</w:t>
            </w:r>
          </w:p>
        </w:tc>
        <w:tc>
          <w:tcPr>
            <w:tcW w:w="5298" w:type="dxa"/>
            <w:tcBorders>
              <w:top w:val="single" w:color="auto" w:sz="4" w:space="0"/>
              <w:left w:val="single" w:color="auto" w:sz="4" w:space="0"/>
              <w:bottom w:val="single" w:color="auto" w:sz="4" w:space="0"/>
              <w:right w:val="single" w:color="auto" w:sz="4" w:space="0"/>
            </w:tcBorders>
            <w:vAlign w:val="center"/>
          </w:tcPr>
          <w:p w14:paraId="35B7D92A">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首次发现违法行为，并未造成严重后果的。</w:t>
            </w:r>
          </w:p>
        </w:tc>
        <w:tc>
          <w:tcPr>
            <w:tcW w:w="6871" w:type="dxa"/>
            <w:tcBorders>
              <w:top w:val="single" w:color="auto" w:sz="4" w:space="0"/>
              <w:left w:val="single" w:color="auto" w:sz="4" w:space="0"/>
              <w:bottom w:val="single" w:color="auto" w:sz="4" w:space="0"/>
              <w:right w:val="single" w:color="auto" w:sz="4" w:space="0"/>
            </w:tcBorders>
            <w:vAlign w:val="center"/>
          </w:tcPr>
          <w:p w14:paraId="17175E8B">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w:t>
            </w:r>
          </w:p>
        </w:tc>
      </w:tr>
      <w:tr w14:paraId="4625AE5D">
        <w:tblPrEx>
          <w:tblCellMar>
            <w:top w:w="0" w:type="dxa"/>
            <w:left w:w="108" w:type="dxa"/>
            <w:bottom w:w="0" w:type="dxa"/>
            <w:right w:w="108" w:type="dxa"/>
          </w:tblCellMar>
        </w:tblPrEx>
        <w:trPr>
          <w:trHeight w:val="737" w:hRule="atLeast"/>
        </w:trPr>
        <w:tc>
          <w:tcPr>
            <w:tcW w:w="1665" w:type="dxa"/>
            <w:vMerge w:val="restart"/>
            <w:tcBorders>
              <w:top w:val="single" w:color="auto" w:sz="4" w:space="0"/>
              <w:left w:val="single" w:color="auto" w:sz="4" w:space="0"/>
              <w:bottom w:val="single" w:color="auto" w:sz="4" w:space="0"/>
              <w:right w:val="single" w:color="auto" w:sz="4" w:space="0"/>
            </w:tcBorders>
            <w:vAlign w:val="center"/>
          </w:tcPr>
          <w:p w14:paraId="001B12E4">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5298" w:type="dxa"/>
            <w:tcBorders>
              <w:top w:val="single" w:color="auto" w:sz="4" w:space="0"/>
              <w:left w:val="single" w:color="auto" w:sz="4" w:space="0"/>
              <w:bottom w:val="single" w:color="auto" w:sz="4" w:space="0"/>
              <w:right w:val="single" w:color="auto" w:sz="4" w:space="0"/>
            </w:tcBorders>
            <w:vAlign w:val="center"/>
          </w:tcPr>
          <w:p w14:paraId="48DC2779">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未按照规定销毁使用过的一次性使用的医疗器械，拒不改正的。</w:t>
            </w:r>
          </w:p>
        </w:tc>
        <w:tc>
          <w:tcPr>
            <w:tcW w:w="6871" w:type="dxa"/>
            <w:tcBorders>
              <w:top w:val="single" w:color="auto" w:sz="4" w:space="0"/>
              <w:left w:val="single" w:color="auto" w:sz="4" w:space="0"/>
              <w:bottom w:val="single" w:color="auto" w:sz="4" w:space="0"/>
              <w:right w:val="single" w:color="auto" w:sz="4" w:space="0"/>
            </w:tcBorders>
            <w:vAlign w:val="center"/>
          </w:tcPr>
          <w:p w14:paraId="5C68E0FF">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处5万元以上8万元以下罚款。</w:t>
            </w:r>
          </w:p>
        </w:tc>
      </w:tr>
      <w:tr w14:paraId="4651FE37">
        <w:tblPrEx>
          <w:tblCellMar>
            <w:top w:w="0" w:type="dxa"/>
            <w:left w:w="108" w:type="dxa"/>
            <w:bottom w:w="0" w:type="dxa"/>
            <w:right w:w="108" w:type="dxa"/>
          </w:tblCellMar>
        </w:tblPrEx>
        <w:trPr>
          <w:trHeight w:val="510" w:hRule="atLeast"/>
        </w:trPr>
        <w:tc>
          <w:tcPr>
            <w:tcW w:w="1665" w:type="dxa"/>
            <w:vMerge w:val="continue"/>
            <w:tcBorders>
              <w:top w:val="single" w:color="auto" w:sz="4" w:space="0"/>
              <w:left w:val="single" w:color="auto" w:sz="4" w:space="0"/>
              <w:bottom w:val="single" w:color="auto" w:sz="4" w:space="0"/>
              <w:right w:val="single" w:color="auto" w:sz="4" w:space="0"/>
            </w:tcBorders>
            <w:vAlign w:val="center"/>
          </w:tcPr>
          <w:p w14:paraId="5C9C368E">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5298" w:type="dxa"/>
            <w:tcBorders>
              <w:top w:val="single" w:color="auto" w:sz="4" w:space="0"/>
              <w:left w:val="single" w:color="auto" w:sz="4" w:space="0"/>
              <w:bottom w:val="single" w:color="auto" w:sz="4" w:space="0"/>
              <w:right w:val="single" w:color="auto" w:sz="4" w:space="0"/>
            </w:tcBorders>
            <w:vAlign w:val="center"/>
          </w:tcPr>
          <w:p w14:paraId="1AAB99B3">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重复使用一次性使用的医疗器械，拒不改正的。</w:t>
            </w:r>
          </w:p>
        </w:tc>
        <w:tc>
          <w:tcPr>
            <w:tcW w:w="6871" w:type="dxa"/>
            <w:tcBorders>
              <w:top w:val="single" w:color="auto" w:sz="4" w:space="0"/>
              <w:left w:val="single" w:color="auto" w:sz="4" w:space="0"/>
              <w:bottom w:val="single" w:color="auto" w:sz="4" w:space="0"/>
              <w:right w:val="single" w:color="auto" w:sz="4" w:space="0"/>
            </w:tcBorders>
            <w:vAlign w:val="center"/>
          </w:tcPr>
          <w:p w14:paraId="5AAAC5B7">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处8万元以上10万元以下罚款。</w:t>
            </w:r>
          </w:p>
        </w:tc>
      </w:tr>
      <w:tr w14:paraId="0E673515">
        <w:tblPrEx>
          <w:tblCellMar>
            <w:top w:w="0" w:type="dxa"/>
            <w:left w:w="108" w:type="dxa"/>
            <w:bottom w:w="0" w:type="dxa"/>
            <w:right w:w="108" w:type="dxa"/>
          </w:tblCellMar>
        </w:tblPrEx>
        <w:trPr>
          <w:trHeight w:val="680" w:hRule="atLeast"/>
        </w:trPr>
        <w:tc>
          <w:tcPr>
            <w:tcW w:w="1665" w:type="dxa"/>
            <w:vMerge w:val="restart"/>
            <w:tcBorders>
              <w:top w:val="single" w:color="auto" w:sz="4" w:space="0"/>
              <w:left w:val="single" w:color="auto" w:sz="4" w:space="0"/>
              <w:bottom w:val="single" w:color="auto" w:sz="4" w:space="0"/>
              <w:right w:val="single" w:color="auto" w:sz="4" w:space="0"/>
            </w:tcBorders>
            <w:vAlign w:val="center"/>
          </w:tcPr>
          <w:p w14:paraId="0620E2A0">
            <w:pPr>
              <w:widowControl w:val="0"/>
              <w:spacing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5298" w:type="dxa"/>
            <w:tcBorders>
              <w:top w:val="single" w:color="auto" w:sz="4" w:space="0"/>
              <w:left w:val="single" w:color="auto" w:sz="4" w:space="0"/>
              <w:bottom w:val="single" w:color="auto" w:sz="4" w:space="0"/>
              <w:right w:val="single" w:color="auto" w:sz="4" w:space="0"/>
            </w:tcBorders>
            <w:vAlign w:val="center"/>
          </w:tcPr>
          <w:p w14:paraId="5E77E4BF">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重复使用一次性使用的医疗器械，或者未按照规定销毁使用过的一次性使用的医疗器械，查处医疗器械数量10件以上的。</w:t>
            </w:r>
          </w:p>
        </w:tc>
        <w:tc>
          <w:tcPr>
            <w:tcW w:w="6871" w:type="dxa"/>
            <w:tcBorders>
              <w:top w:val="single" w:color="auto" w:sz="4" w:space="0"/>
              <w:left w:val="single" w:color="auto" w:sz="4" w:space="0"/>
              <w:bottom w:val="single" w:color="auto" w:sz="4" w:space="0"/>
              <w:right w:val="single" w:color="auto" w:sz="4" w:space="0"/>
            </w:tcBorders>
            <w:vAlign w:val="center"/>
          </w:tcPr>
          <w:p w14:paraId="50F5995D">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10万元以上20万元以下罚款，责令暂停相关医疗器械使用活动，直至由原发证部门吊销执业许可证，依法责令相关责任人员暂停8个月以上10个月以下执业活动，直至由原发证部门吊销相关人员执业证书，对违法单位的法定代表人、主要负责人、直接负责的主管人员和其他责任人员，没收违法行为发生期间自本单位所获收入，并处所获收入30%以上2倍以下罚款。</w:t>
            </w:r>
          </w:p>
        </w:tc>
      </w:tr>
      <w:tr w14:paraId="0E852CD5">
        <w:tblPrEx>
          <w:tblCellMar>
            <w:top w:w="0" w:type="dxa"/>
            <w:left w:w="108" w:type="dxa"/>
            <w:bottom w:w="0" w:type="dxa"/>
            <w:right w:w="108" w:type="dxa"/>
          </w:tblCellMar>
        </w:tblPrEx>
        <w:trPr>
          <w:trHeight w:val="2041" w:hRule="atLeast"/>
        </w:trPr>
        <w:tc>
          <w:tcPr>
            <w:tcW w:w="1665" w:type="dxa"/>
            <w:vMerge w:val="continue"/>
            <w:tcBorders>
              <w:top w:val="single" w:color="auto" w:sz="4" w:space="0"/>
              <w:left w:val="single" w:color="auto" w:sz="4" w:space="0"/>
              <w:bottom w:val="single" w:color="auto" w:sz="4" w:space="0"/>
              <w:right w:val="single" w:color="auto" w:sz="4" w:space="0"/>
            </w:tcBorders>
            <w:vAlign w:val="center"/>
          </w:tcPr>
          <w:p w14:paraId="6933BE0E">
            <w:pPr>
              <w:widowControl w:val="0"/>
              <w:spacing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5298" w:type="dxa"/>
            <w:tcBorders>
              <w:top w:val="single" w:color="auto" w:sz="4" w:space="0"/>
              <w:left w:val="single" w:color="auto" w:sz="4" w:space="0"/>
              <w:bottom w:val="single" w:color="auto" w:sz="4" w:space="0"/>
              <w:right w:val="single" w:color="auto" w:sz="4" w:space="0"/>
            </w:tcBorders>
            <w:vAlign w:val="center"/>
          </w:tcPr>
          <w:p w14:paraId="7B8E6931">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造成感染性疾病传播等严重后果的。</w:t>
            </w:r>
          </w:p>
        </w:tc>
        <w:tc>
          <w:tcPr>
            <w:tcW w:w="6871" w:type="dxa"/>
            <w:tcBorders>
              <w:top w:val="single" w:color="auto" w:sz="4" w:space="0"/>
              <w:left w:val="single" w:color="auto" w:sz="4" w:space="0"/>
              <w:bottom w:val="single" w:color="auto" w:sz="4" w:space="0"/>
              <w:right w:val="single" w:color="auto" w:sz="4" w:space="0"/>
            </w:tcBorders>
            <w:vAlign w:val="center"/>
          </w:tcPr>
          <w:p w14:paraId="7503C4BE">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20万元以上30万元以下罚款，责令暂停相关医疗器械使用活动，直至由原发证部门吊销执业许可证，依法责令相关责任人员暂停10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w:t>
            </w:r>
          </w:p>
        </w:tc>
      </w:tr>
    </w:tbl>
    <w:p w14:paraId="2FF77871">
      <w:pPr>
        <w:pStyle w:val="3"/>
        <w:keepNext w:val="0"/>
        <w:keepLines w:val="0"/>
        <w:widowControl w:val="0"/>
        <w:numPr>
          <w:ilvl w:val="0"/>
          <w:numId w:val="1"/>
        </w:numPr>
        <w:spacing w:before="0" w:after="0" w:line="440" w:lineRule="exact"/>
        <w:ind w:firstLine="643" w:firstLineChars="200"/>
        <w:jc w:val="both"/>
        <w:rPr>
          <w:rFonts w:ascii="Times New Roman" w:hAnsi="Times New Roman" w:eastAsia="楷体_GB2312" w:cs="Times New Roman"/>
          <w:color w:val="000000" w:themeColor="text1"/>
          <w14:textFill>
            <w14:solidFill>
              <w14:schemeClr w14:val="tx1"/>
            </w14:solidFill>
          </w14:textFill>
        </w:rPr>
      </w:pPr>
      <w:bookmarkStart w:id="89" w:name="_Toc13282"/>
      <w:bookmarkStart w:id="90" w:name="_Toc8303"/>
      <w:bookmarkStart w:id="91" w:name="_Toc21414"/>
      <w:bookmarkStart w:id="92" w:name="_Toc5065"/>
      <w:bookmarkStart w:id="93" w:name="_Toc20900"/>
      <w:bookmarkStart w:id="94" w:name="_Toc8304"/>
      <w:bookmarkStart w:id="95" w:name="_Toc12574"/>
      <w:bookmarkStart w:id="96" w:name="_Toc24576"/>
      <w:bookmarkStart w:id="97" w:name="_Toc2082"/>
      <w:bookmarkStart w:id="98" w:name="_Toc19374"/>
      <w:bookmarkStart w:id="99" w:name="_Toc1113"/>
      <w:bookmarkStart w:id="100" w:name="_Toc32498"/>
      <w:bookmarkStart w:id="101" w:name="_Toc29531"/>
      <w:r>
        <w:rPr>
          <w:rFonts w:hint="eastAsia" w:ascii="Times New Roman" w:hAnsi="Times New Roman" w:eastAsia="楷体_GB2312" w:cs="Times New Roman"/>
          <w:color w:val="000000" w:themeColor="text1"/>
          <w14:textFill>
            <w14:solidFill>
              <w14:schemeClr w14:val="tx1"/>
            </w14:solidFill>
          </w14:textFill>
        </w:rPr>
        <w:t>《中华人民共和国传染病防治法》</w:t>
      </w:r>
      <w:bookmarkEnd w:id="89"/>
      <w:bookmarkEnd w:id="90"/>
      <w:bookmarkEnd w:id="91"/>
      <w:bookmarkEnd w:id="92"/>
      <w:bookmarkEnd w:id="93"/>
      <w:bookmarkEnd w:id="94"/>
      <w:bookmarkEnd w:id="95"/>
      <w:bookmarkEnd w:id="96"/>
      <w:bookmarkEnd w:id="97"/>
      <w:bookmarkEnd w:id="98"/>
      <w:bookmarkEnd w:id="99"/>
      <w:bookmarkEnd w:id="100"/>
      <w:bookmarkEnd w:id="101"/>
    </w:p>
    <w:p w14:paraId="1F42DD34">
      <w:pPr>
        <w:pStyle w:val="4"/>
        <w:widowControl w:val="0"/>
        <w:ind w:firstLine="640"/>
        <w:rPr>
          <w:color w:val="000000" w:themeColor="text1"/>
          <w14:textFill>
            <w14:solidFill>
              <w14:schemeClr w14:val="tx1"/>
            </w14:solidFill>
          </w14:textFill>
        </w:rPr>
      </w:pPr>
      <w:bookmarkStart w:id="102" w:name="_Toc14958"/>
      <w:bookmarkStart w:id="103" w:name="_Toc163"/>
      <w:bookmarkStart w:id="104" w:name="_Toc21431"/>
      <w:bookmarkStart w:id="105" w:name="_Toc12295"/>
      <w:bookmarkStart w:id="106" w:name="_Toc11727"/>
      <w:bookmarkStart w:id="107" w:name="_Toc10913"/>
      <w:bookmarkStart w:id="108" w:name="_Toc25865"/>
      <w:bookmarkStart w:id="109" w:name="_Toc24435"/>
      <w:bookmarkStart w:id="110" w:name="_Toc23309"/>
      <w:bookmarkStart w:id="111" w:name="_Toc15073"/>
      <w:bookmarkStart w:id="112" w:name="_Toc19793"/>
      <w:r>
        <w:rPr>
          <w:rFonts w:hint="eastAsia"/>
          <w:color w:val="000000" w:themeColor="text1"/>
          <w14:textFill>
            <w14:solidFill>
              <w14:schemeClr w14:val="tx1"/>
            </w14:solidFill>
          </w14:textFill>
        </w:rPr>
        <w:t>第五条</w:t>
      </w:r>
      <w:r>
        <w:rPr>
          <w:color w:val="000000" w:themeColor="text1"/>
          <w14:textFill>
            <w14:solidFill>
              <w14:schemeClr w14:val="tx1"/>
            </w14:solidFill>
          </w14:textFill>
        </w:rPr>
        <w:t xml:space="preserve"> </w:t>
      </w:r>
      <w:r>
        <w:rPr>
          <w:rFonts w:hint="eastAsia" w:hAnsi="Times New Roman"/>
          <w:color w:val="000000" w:themeColor="text1"/>
          <w14:textFill>
            <w14:solidFill>
              <w14:schemeClr w14:val="tx1"/>
            </w14:solidFill>
          </w14:textFill>
        </w:rPr>
        <w:t>疾病预防控制机构未依法履行传染病监测、疫情风险评估职责的</w:t>
      </w:r>
      <w:bookmarkEnd w:id="102"/>
      <w:bookmarkEnd w:id="103"/>
      <w:bookmarkEnd w:id="104"/>
      <w:bookmarkEnd w:id="105"/>
      <w:bookmarkEnd w:id="106"/>
      <w:bookmarkEnd w:id="107"/>
      <w:bookmarkEnd w:id="108"/>
      <w:bookmarkEnd w:id="109"/>
      <w:bookmarkEnd w:id="110"/>
      <w:bookmarkEnd w:id="111"/>
      <w:bookmarkEnd w:id="112"/>
    </w:p>
    <w:p w14:paraId="721D0FFE">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C82356C">
      <w:pPr>
        <w:widowControl w:val="0"/>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三条第（一）项：违反本法规定，疾病预防控制机构有下列情形之一的，由县级以上人民政府疾病预防控制部门责令改正，给予警告或者通报批评，对直接负责的主管人员和其他直接责任人员依法给予处分，并可以由原发证部门依法吊销有关责任人员的执业证书：</w:t>
      </w:r>
    </w:p>
    <w:p w14:paraId="49F37383">
      <w:pPr>
        <w:widowControl w:val="0"/>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（一）未依法履行传染病监测、疫情风险评估职责；</w:t>
      </w:r>
    </w:p>
    <w:p w14:paraId="7996C79F">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53"/>
        <w:gridCol w:w="4819"/>
      </w:tblGrid>
      <w:tr w14:paraId="1E94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418" w:type="dxa"/>
            <w:tcBorders>
              <w:tl2br w:val="nil"/>
              <w:tr2bl w:val="nil"/>
            </w:tcBorders>
            <w:vAlign w:val="center"/>
          </w:tcPr>
          <w:p w14:paraId="42001DD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3" w:type="dxa"/>
            <w:tcBorders>
              <w:tl2br w:val="nil"/>
              <w:tr2bl w:val="nil"/>
            </w:tcBorders>
            <w:vAlign w:val="center"/>
          </w:tcPr>
          <w:p w14:paraId="1728B3B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19" w:type="dxa"/>
            <w:tcBorders>
              <w:tl2br w:val="nil"/>
              <w:tr2bl w:val="nil"/>
            </w:tcBorders>
            <w:vAlign w:val="center"/>
          </w:tcPr>
          <w:p w14:paraId="519427E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AA9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18" w:type="dxa"/>
            <w:vMerge w:val="restart"/>
            <w:tcBorders>
              <w:tl2br w:val="nil"/>
              <w:tr2bl w:val="nil"/>
            </w:tcBorders>
            <w:vAlign w:val="center"/>
          </w:tcPr>
          <w:p w14:paraId="1A0E3F8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653" w:type="dxa"/>
            <w:tcBorders>
              <w:tl2br w:val="nil"/>
              <w:tr2bl w:val="nil"/>
            </w:tcBorders>
            <w:shd w:val="clear" w:color="auto" w:fill="auto"/>
            <w:vAlign w:val="center"/>
          </w:tcPr>
          <w:p w14:paraId="06261D3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未对传染病的发生、流行以及影响其发生、流行的因素和新发传染病、境内已消除的传染病以及境外发生、境内尚未发生的传染病进行监测，首次发现的。</w:t>
            </w:r>
          </w:p>
        </w:tc>
        <w:tc>
          <w:tcPr>
            <w:tcW w:w="4819" w:type="dxa"/>
            <w:vMerge w:val="restart"/>
            <w:tcBorders>
              <w:tl2br w:val="nil"/>
              <w:tr2bl w:val="nil"/>
            </w:tcBorders>
            <w:vAlign w:val="center"/>
          </w:tcPr>
          <w:p w14:paraId="05C11B8A">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w:t>
            </w:r>
          </w:p>
        </w:tc>
      </w:tr>
      <w:tr w14:paraId="2884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8" w:type="dxa"/>
            <w:vMerge w:val="continue"/>
            <w:tcBorders>
              <w:tl2br w:val="nil"/>
              <w:tr2bl w:val="nil"/>
            </w:tcBorders>
            <w:vAlign w:val="center"/>
          </w:tcPr>
          <w:p w14:paraId="1D632D5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tcBorders>
              <w:tl2br w:val="nil"/>
              <w:tr2bl w:val="nil"/>
            </w:tcBorders>
            <w:shd w:val="clear" w:color="auto" w:fill="auto"/>
            <w:vAlign w:val="center"/>
          </w:tcPr>
          <w:p w14:paraId="346823B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未及时分析传染病和健康危害因素相关信息，评估发生传染病疫情的风险、可能造成的影响以及疫情发展态势，首次发现的。</w:t>
            </w:r>
          </w:p>
        </w:tc>
        <w:tc>
          <w:tcPr>
            <w:tcW w:w="4819" w:type="dxa"/>
            <w:vMerge w:val="continue"/>
            <w:tcBorders>
              <w:tl2br w:val="nil"/>
              <w:tr2bl w:val="nil"/>
            </w:tcBorders>
            <w:vAlign w:val="center"/>
          </w:tcPr>
          <w:p w14:paraId="58E0C6B4">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p>
        </w:tc>
      </w:tr>
      <w:tr w14:paraId="771B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418" w:type="dxa"/>
            <w:vMerge w:val="restart"/>
            <w:tcBorders>
              <w:tl2br w:val="nil"/>
              <w:tr2bl w:val="nil"/>
            </w:tcBorders>
            <w:vAlign w:val="center"/>
          </w:tcPr>
          <w:p w14:paraId="202FF09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653" w:type="dxa"/>
            <w:tcBorders>
              <w:tl2br w:val="nil"/>
              <w:tr2bl w:val="nil"/>
            </w:tcBorders>
            <w:shd w:val="clear" w:color="auto" w:fill="auto"/>
            <w:vAlign w:val="center"/>
          </w:tcPr>
          <w:p w14:paraId="5CE20BE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未依法履行传染病监测、疫情风险评估职责，经责令改正而未改正的。</w:t>
            </w:r>
          </w:p>
        </w:tc>
        <w:tc>
          <w:tcPr>
            <w:tcW w:w="4819" w:type="dxa"/>
            <w:vMerge w:val="restart"/>
            <w:tcBorders>
              <w:tl2br w:val="nil"/>
              <w:tr2bl w:val="nil"/>
            </w:tcBorders>
            <w:vAlign w:val="center"/>
          </w:tcPr>
          <w:p w14:paraId="2E7612D2">
            <w:pPr>
              <w:widowControl w:val="0"/>
              <w:spacing w:after="0" w:line="320" w:lineRule="exact"/>
              <w:jc w:val="left"/>
              <w:rPr>
                <w:rFonts w:hint="eastAsia" w:ascii="Times New Roman" w:hAnsi="Times New Roman" w:eastAsia="仿宋_GB2312" w:cs="Times New Roman"/>
                <w:color w:val="000000" w:themeColor="text1"/>
                <w:sz w:val="24"/>
                <w:szCs w:val="22"/>
                <w:lang w:val="en"/>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通报批评，并可以由原发证部门依法吊销有关责任人员的执业证书。</w:t>
            </w:r>
          </w:p>
        </w:tc>
      </w:tr>
      <w:tr w14:paraId="6192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418" w:type="dxa"/>
            <w:vMerge w:val="continue"/>
            <w:tcBorders>
              <w:tl2br w:val="nil"/>
              <w:tr2bl w:val="nil"/>
            </w:tcBorders>
            <w:vAlign w:val="center"/>
          </w:tcPr>
          <w:p w14:paraId="60D61D36">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653" w:type="dxa"/>
            <w:tcBorders>
              <w:tl2br w:val="nil"/>
              <w:tr2bl w:val="nil"/>
            </w:tcBorders>
            <w:shd w:val="clear" w:color="auto" w:fill="auto"/>
            <w:vAlign w:val="center"/>
          </w:tcPr>
          <w:p w14:paraId="65B10454">
            <w:pPr>
              <w:widowControl w:val="0"/>
              <w:spacing w:after="0" w:line="32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未依法履行传染病监测、疫情风险评估职责，造成传染病传播或者有传播严重危险，以及传染病暴发、流行的。</w:t>
            </w:r>
          </w:p>
        </w:tc>
        <w:tc>
          <w:tcPr>
            <w:tcW w:w="4819" w:type="dxa"/>
            <w:vMerge w:val="continue"/>
            <w:tcBorders>
              <w:tl2br w:val="nil"/>
              <w:tr2bl w:val="nil"/>
            </w:tcBorders>
            <w:vAlign w:val="center"/>
          </w:tcPr>
          <w:p w14:paraId="0BC88BA2">
            <w:pPr>
              <w:widowControl w:val="0"/>
              <w:spacing w:after="0" w:line="44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r>
    </w:tbl>
    <w:p w14:paraId="36AEA3FD">
      <w:pPr>
        <w:pStyle w:val="4"/>
        <w:widowControl w:val="0"/>
        <w:ind w:firstLine="640"/>
        <w:rPr>
          <w:color w:val="000000" w:themeColor="text1"/>
          <w14:textFill>
            <w14:solidFill>
              <w14:schemeClr w14:val="tx1"/>
            </w14:solidFill>
          </w14:textFill>
        </w:rPr>
      </w:pPr>
      <w:bookmarkStart w:id="113" w:name="_Toc28952"/>
      <w:bookmarkStart w:id="114" w:name="_Toc16380"/>
      <w:bookmarkStart w:id="115" w:name="_Toc2741"/>
      <w:bookmarkStart w:id="116" w:name="_Toc26780"/>
      <w:bookmarkStart w:id="117" w:name="_Toc9208"/>
      <w:bookmarkStart w:id="118" w:name="_Toc11373"/>
      <w:bookmarkStart w:id="119" w:name="_Toc4449"/>
      <w:bookmarkStart w:id="120" w:name="_Toc16080"/>
      <w:bookmarkStart w:id="121" w:name="_Toc3826"/>
      <w:bookmarkStart w:id="122" w:name="_Toc21233"/>
      <w:bookmarkStart w:id="123" w:name="_Toc28212"/>
      <w:r>
        <w:rPr>
          <w:rFonts w:hint="eastAsia"/>
          <w:color w:val="000000" w:themeColor="text1"/>
          <w14:textFill>
            <w14:solidFill>
              <w14:schemeClr w14:val="tx1"/>
            </w14:solidFill>
          </w14:textFill>
        </w:rPr>
        <w:t>第六条 疾病预防控制机构未依法履行</w:t>
      </w:r>
      <w:r>
        <w:rPr>
          <w:rFonts w:hint="eastAsia" w:cs="仿宋_GB2312"/>
          <w:color w:val="000000" w:themeColor="text1"/>
          <w14:textFill>
            <w14:solidFill>
              <w14:schemeClr w14:val="tx1"/>
            </w14:solidFill>
          </w14:textFill>
        </w:rPr>
        <w:t>传染病疫情报告职责，隐瞒、谎报、缓报、漏报传染病疫情，或者干预传染病疫情报告的</w:t>
      </w:r>
      <w:bookmarkEnd w:id="113"/>
      <w:bookmarkEnd w:id="114"/>
      <w:bookmarkEnd w:id="115"/>
      <w:bookmarkEnd w:id="116"/>
      <w:bookmarkEnd w:id="117"/>
      <w:bookmarkEnd w:id="118"/>
      <w:bookmarkEnd w:id="119"/>
      <w:bookmarkEnd w:id="120"/>
      <w:bookmarkEnd w:id="121"/>
      <w:bookmarkEnd w:id="122"/>
      <w:bookmarkEnd w:id="123"/>
    </w:p>
    <w:p w14:paraId="0B793C2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52BABEA6">
      <w:pPr>
        <w:widowControl w:val="0"/>
        <w:spacing w:after="0" w:line="279"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《中华人民共和国传染病防治法》第一百零三条第（二）项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法规定，疾病预防控制机构有下列情形之一的，由县级以上人民政府疾病预防控制部门责令改正，给予警告或者通报批评，对直接负责的主管人员和其他直接责任人员依法给予处分，并可以由原发证部门依法吊销有关责任人员的执业证书：</w:t>
      </w:r>
    </w:p>
    <w:p w14:paraId="7492F927">
      <w:pPr>
        <w:widowControl w:val="0"/>
        <w:spacing w:after="0" w:line="279"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（二）未依法履行传染病疫情报告职责，隐瞒、谎报、缓报、漏报传染病疫情，或者干预传染病疫情报告；</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988"/>
        <w:gridCol w:w="4342"/>
      </w:tblGrid>
      <w:tr w14:paraId="7399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60" w:type="dxa"/>
            <w:vAlign w:val="center"/>
          </w:tcPr>
          <w:p w14:paraId="4A8C3FE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988" w:type="dxa"/>
            <w:vAlign w:val="center"/>
          </w:tcPr>
          <w:p w14:paraId="514ACC9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342" w:type="dxa"/>
            <w:vAlign w:val="center"/>
          </w:tcPr>
          <w:p w14:paraId="2B933A5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922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60" w:type="dxa"/>
            <w:vMerge w:val="restart"/>
            <w:vAlign w:val="center"/>
          </w:tcPr>
          <w:p w14:paraId="7689243E">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988" w:type="dxa"/>
            <w:vAlign w:val="center"/>
          </w:tcPr>
          <w:p w14:paraId="6090F9AB">
            <w:pPr>
              <w:widowControl w:val="0"/>
              <w:spacing w:after="0" w:line="320" w:lineRule="exac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疾病预防控制机构及其执行职务的人员发现丙类传染病患者时，没有在二十四小时内进行网络直报的。</w:t>
            </w:r>
          </w:p>
        </w:tc>
        <w:tc>
          <w:tcPr>
            <w:tcW w:w="4342" w:type="dxa"/>
            <w:vMerge w:val="restart"/>
            <w:vAlign w:val="center"/>
          </w:tcPr>
          <w:p w14:paraId="7E325AD5">
            <w:pPr>
              <w:widowControl w:val="0"/>
              <w:spacing w:after="0" w:line="320" w:lineRule="exact"/>
              <w:jc w:val="lef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w:t>
            </w:r>
          </w:p>
        </w:tc>
      </w:tr>
      <w:tr w14:paraId="7310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60" w:type="dxa"/>
            <w:vMerge w:val="continue"/>
            <w:vAlign w:val="center"/>
          </w:tcPr>
          <w:p w14:paraId="30F44BD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988" w:type="dxa"/>
            <w:vAlign w:val="center"/>
          </w:tcPr>
          <w:p w14:paraId="764235E7">
            <w:pPr>
              <w:widowControl w:val="0"/>
              <w:spacing w:after="0" w:line="320" w:lineRule="exac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疾病预防控制机构及其执行职务的人员发现乙类传染病患者、疑似患者或者国务院疾病预防控制部门规定需要报告的乙类传染病病原携带者时，没有在二十四小时内进行网络直报的。</w:t>
            </w:r>
          </w:p>
        </w:tc>
        <w:tc>
          <w:tcPr>
            <w:tcW w:w="4342" w:type="dxa"/>
            <w:vMerge w:val="continue"/>
            <w:vAlign w:val="center"/>
          </w:tcPr>
          <w:p w14:paraId="6EAAC88F">
            <w:pPr>
              <w:widowControl w:val="0"/>
              <w:spacing w:after="0" w:line="320" w:lineRule="exact"/>
              <w:jc w:val="left"/>
              <w:rPr>
                <w:rFonts w:hint="eastAsia" w:ascii="Times New Roman" w:hAnsi="Times New Roman" w:eastAsia="仿宋_GB2312" w:cs="Times New Roman"/>
                <w:b w:val="0"/>
                <w:bCs w:val="0"/>
                <w:color w:val="000000" w:themeColor="text1"/>
                <w:sz w:val="24"/>
                <w:szCs w:val="22"/>
                <w14:textFill>
                  <w14:solidFill>
                    <w14:schemeClr w14:val="tx1"/>
                  </w14:solidFill>
                </w14:textFill>
              </w:rPr>
            </w:pPr>
          </w:p>
        </w:tc>
      </w:tr>
      <w:tr w14:paraId="2328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60" w:type="dxa"/>
            <w:vMerge w:val="restart"/>
            <w:vAlign w:val="center"/>
          </w:tcPr>
          <w:p w14:paraId="09A49F5A">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988" w:type="dxa"/>
            <w:vAlign w:val="center"/>
          </w:tcPr>
          <w:p w14:paraId="63EFC53E">
            <w:pPr>
              <w:widowControl w:val="0"/>
              <w:spacing w:after="0" w:line="320" w:lineRule="exac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疾病预防控制机构及其执行职务的人员发现甲类传染病患者、病原携带者、疑似患者或者新发传染病、突发原因不明的传染病，以及其他传染病暴发、流行时，没有在两小时内进行网络直报的。</w:t>
            </w:r>
          </w:p>
        </w:tc>
        <w:tc>
          <w:tcPr>
            <w:tcW w:w="4342" w:type="dxa"/>
            <w:vMerge w:val="restart"/>
            <w:vAlign w:val="center"/>
          </w:tcPr>
          <w:p w14:paraId="6F5A1D6B">
            <w:pPr>
              <w:widowControl w:val="0"/>
              <w:spacing w:after="0" w:line="320" w:lineRule="exact"/>
              <w:jc w:val="lef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w:t>
            </w:r>
          </w:p>
        </w:tc>
      </w:tr>
      <w:tr w14:paraId="5036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60" w:type="dxa"/>
            <w:vMerge w:val="continue"/>
            <w:vAlign w:val="center"/>
          </w:tcPr>
          <w:p w14:paraId="5710D79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988" w:type="dxa"/>
            <w:vAlign w:val="center"/>
          </w:tcPr>
          <w:p w14:paraId="39F40C4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接到甲类传染病、新发传染病、突发原因不明的传染病报告或者发现传染病暴发、流行时，没有在两小时内完成传染病疫情信息核实以及向同级卫生健康主管部门、疾病预防控制部门和上级疾病预防控制机构报告的。</w:t>
            </w:r>
          </w:p>
        </w:tc>
        <w:tc>
          <w:tcPr>
            <w:tcW w:w="4342" w:type="dxa"/>
            <w:vMerge w:val="continue"/>
            <w:vAlign w:val="center"/>
          </w:tcPr>
          <w:p w14:paraId="15FCFAA7">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p>
        </w:tc>
      </w:tr>
      <w:tr w14:paraId="0031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60" w:type="dxa"/>
            <w:vMerge w:val="continue"/>
            <w:vAlign w:val="center"/>
          </w:tcPr>
          <w:p w14:paraId="46F5521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988" w:type="dxa"/>
            <w:vAlign w:val="center"/>
          </w:tcPr>
          <w:p w14:paraId="7BD8B4F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隐瞒、谎报、漏报传染病疫情，或者干预传染病疫情报告的。</w:t>
            </w:r>
          </w:p>
        </w:tc>
        <w:tc>
          <w:tcPr>
            <w:tcW w:w="4342" w:type="dxa"/>
            <w:vMerge w:val="continue"/>
            <w:vAlign w:val="center"/>
          </w:tcPr>
          <w:p w14:paraId="45FE5A69">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p>
        </w:tc>
      </w:tr>
      <w:tr w14:paraId="051D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560" w:type="dxa"/>
            <w:vAlign w:val="center"/>
          </w:tcPr>
          <w:p w14:paraId="02E7573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988" w:type="dxa"/>
            <w:vAlign w:val="center"/>
          </w:tcPr>
          <w:p w14:paraId="2B7223A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未依法履行传染病疫情报告职责，隐瞒、谎报、缓报、漏报传染病疫情，或者干预传染病疫情报告，造成传染病暴发、流行等严重后果的。</w:t>
            </w:r>
          </w:p>
        </w:tc>
        <w:tc>
          <w:tcPr>
            <w:tcW w:w="4342" w:type="dxa"/>
            <w:vAlign w:val="center"/>
          </w:tcPr>
          <w:p w14:paraId="286673CD">
            <w:pPr>
              <w:widowControl w:val="0"/>
              <w:adjustRightInd/>
              <w:snapToGrid/>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通报批评，对直接负责的主管人员和其他直接责任人员由原发证部门依法可以吊销有关责任人员的执业证书。</w:t>
            </w:r>
          </w:p>
        </w:tc>
      </w:tr>
    </w:tbl>
    <w:p w14:paraId="2D891558">
      <w:pPr>
        <w:pStyle w:val="4"/>
        <w:widowControl w:val="0"/>
        <w:ind w:firstLine="640"/>
        <w:rPr>
          <w:color w:val="000000" w:themeColor="text1"/>
          <w14:textFill>
            <w14:solidFill>
              <w14:schemeClr w14:val="tx1"/>
            </w14:solidFill>
          </w14:textFill>
        </w:rPr>
      </w:pPr>
      <w:bookmarkStart w:id="124" w:name="_Toc24687"/>
      <w:bookmarkStart w:id="125" w:name="_Toc16705"/>
      <w:bookmarkStart w:id="126" w:name="_Toc30732"/>
      <w:bookmarkStart w:id="127" w:name="_Toc4188"/>
      <w:bookmarkStart w:id="128" w:name="_Toc2578"/>
      <w:bookmarkStart w:id="129" w:name="_Toc16017"/>
      <w:bookmarkStart w:id="130" w:name="_Toc28323"/>
      <w:bookmarkStart w:id="131" w:name="_Toc29095"/>
      <w:bookmarkStart w:id="132" w:name="_Toc16416"/>
      <w:bookmarkStart w:id="133" w:name="_Toc21675"/>
      <w:bookmarkStart w:id="134" w:name="_Toc5349"/>
      <w:r>
        <w:rPr>
          <w:rFonts w:hint="eastAsia"/>
          <w:color w:val="000000" w:themeColor="text1"/>
          <w14:textFill>
            <w14:solidFill>
              <w14:schemeClr w14:val="tx1"/>
            </w14:solidFill>
          </w14:textFill>
        </w:rPr>
        <w:t>第七条</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疾病预防控制机构</w:t>
      </w:r>
      <w:r>
        <w:rPr>
          <w:rFonts w:hint="eastAsia" w:cs="仿宋_GB2312"/>
          <w:color w:val="000000" w:themeColor="text1"/>
          <w14:textFill>
            <w14:solidFill>
              <w14:schemeClr w14:val="tx1"/>
            </w14:solidFill>
          </w14:textFill>
        </w:rPr>
        <w:t>未主动收集传染病疫情信息，或者对传染病疫情信息和疫情报告未及时进行分析、调查、核实</w:t>
      </w:r>
      <w:r>
        <w:rPr>
          <w:rFonts w:hint="eastAsia"/>
          <w:color w:val="000000" w:themeColor="text1"/>
          <w14:textFill>
            <w14:solidFill>
              <w14:schemeClr w14:val="tx1"/>
            </w14:solidFill>
          </w14:textFill>
        </w:rPr>
        <w:t>的</w:t>
      </w:r>
      <w:bookmarkEnd w:id="124"/>
      <w:bookmarkEnd w:id="125"/>
      <w:bookmarkEnd w:id="126"/>
      <w:bookmarkEnd w:id="127"/>
      <w:bookmarkEnd w:id="128"/>
      <w:bookmarkEnd w:id="129"/>
      <w:bookmarkEnd w:id="130"/>
      <w:bookmarkEnd w:id="131"/>
      <w:bookmarkEnd w:id="132"/>
      <w:bookmarkEnd w:id="133"/>
      <w:bookmarkEnd w:id="134"/>
    </w:p>
    <w:p w14:paraId="2D2988B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4424D15C">
      <w:pPr>
        <w:widowControl w:val="0"/>
        <w:spacing w:after="0" w:line="279"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《中华人民共和国传染病防治法》第一百零三条第（三）项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法规定，疾病预防控制机构有下列情形之一的，由县级以上人民政府疾病预防控制部门责令改正，给予警告或者通报批评，对直接负责的主管人员和其他直接责任人员依法给予处分，并可以由原发证部门依法吊销有关责任人员的执业证书：</w:t>
      </w:r>
    </w:p>
    <w:p w14:paraId="4A12A772">
      <w:pPr>
        <w:widowControl w:val="0"/>
        <w:spacing w:after="0" w:line="279" w:lineRule="auto"/>
        <w:ind w:firstLine="640" w:firstLineChars="200"/>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（三）未主动收集传染病疫情信息，或者对传染病疫情信息和疫情报告未及时进行分析、调查、核实；</w:t>
      </w:r>
    </w:p>
    <w:p w14:paraId="26801831">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540"/>
        <w:gridCol w:w="4550"/>
      </w:tblGrid>
      <w:tr w14:paraId="2F4E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0" w:type="dxa"/>
            <w:vAlign w:val="center"/>
          </w:tcPr>
          <w:p w14:paraId="5FCE2DA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540" w:type="dxa"/>
            <w:vAlign w:val="center"/>
          </w:tcPr>
          <w:p w14:paraId="7EAECE5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550" w:type="dxa"/>
            <w:vAlign w:val="center"/>
          </w:tcPr>
          <w:p w14:paraId="74904CA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702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800" w:type="dxa"/>
            <w:vAlign w:val="center"/>
          </w:tcPr>
          <w:p w14:paraId="1AED097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540" w:type="dxa"/>
            <w:vAlign w:val="center"/>
          </w:tcPr>
          <w:p w14:paraId="6E3085E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未主动收集传染病疫情信息，或者对传染病疫情信息和疫情报告未及时进行分析、调查、核实，首次发现的。</w:t>
            </w:r>
          </w:p>
        </w:tc>
        <w:tc>
          <w:tcPr>
            <w:tcW w:w="4550" w:type="dxa"/>
            <w:vAlign w:val="center"/>
          </w:tcPr>
          <w:p w14:paraId="4F732B56">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w:t>
            </w:r>
          </w:p>
        </w:tc>
      </w:tr>
      <w:tr w14:paraId="38CB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00" w:type="dxa"/>
            <w:vMerge w:val="restart"/>
            <w:vAlign w:val="center"/>
          </w:tcPr>
          <w:p w14:paraId="79BC251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540" w:type="dxa"/>
            <w:vAlign w:val="center"/>
          </w:tcPr>
          <w:p w14:paraId="6E36426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未主动收集传染病疫情信息，或者对传染病疫情信息和疫情报告未及时进行分析、调查、核实，经责令改正而未改正的。</w:t>
            </w:r>
          </w:p>
        </w:tc>
        <w:tc>
          <w:tcPr>
            <w:tcW w:w="4550" w:type="dxa"/>
            <w:vMerge w:val="restart"/>
            <w:vAlign w:val="center"/>
          </w:tcPr>
          <w:p w14:paraId="3E46DF1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通报批评，并可以由原发证部门依法吊销有关责任人员的执业证书。</w:t>
            </w:r>
          </w:p>
        </w:tc>
      </w:tr>
      <w:tr w14:paraId="2A00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800" w:type="dxa"/>
            <w:vMerge w:val="continue"/>
            <w:vAlign w:val="center"/>
          </w:tcPr>
          <w:p w14:paraId="1662501F">
            <w:pPr>
              <w:widowControl w:val="0"/>
              <w:spacing w:after="0" w:line="28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540" w:type="dxa"/>
            <w:shd w:val="clear" w:color="auto" w:fill="auto"/>
            <w:vAlign w:val="center"/>
          </w:tcPr>
          <w:p w14:paraId="6A2ED8CF">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未主动收集传染病疫情信息，或者对传染病疫情信息和疫情报告未及时进行分析、调查、核实，造成传染病爆发、流行或其他严重后果的。</w:t>
            </w:r>
          </w:p>
        </w:tc>
        <w:tc>
          <w:tcPr>
            <w:tcW w:w="4550" w:type="dxa"/>
            <w:vMerge w:val="continue"/>
            <w:vAlign w:val="center"/>
          </w:tcPr>
          <w:p w14:paraId="28589D68">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r>
    </w:tbl>
    <w:p w14:paraId="44BC2577">
      <w:pPr>
        <w:pStyle w:val="4"/>
        <w:widowControl w:val="0"/>
        <w:ind w:firstLine="640"/>
        <w:rPr>
          <w:color w:val="000000" w:themeColor="text1"/>
          <w14:textFill>
            <w14:solidFill>
              <w14:schemeClr w14:val="tx1"/>
            </w14:solidFill>
          </w14:textFill>
        </w:rPr>
      </w:pPr>
      <w:bookmarkStart w:id="135" w:name="_Toc4824"/>
      <w:bookmarkStart w:id="136" w:name="_Toc21373"/>
      <w:bookmarkStart w:id="137" w:name="_Toc11211"/>
      <w:bookmarkStart w:id="138" w:name="_Toc20782"/>
      <w:bookmarkStart w:id="139" w:name="_Toc23997"/>
      <w:bookmarkStart w:id="140" w:name="_Toc19664"/>
      <w:bookmarkStart w:id="141" w:name="_Toc3829"/>
      <w:bookmarkStart w:id="142" w:name="_Toc3587"/>
      <w:bookmarkStart w:id="143" w:name="_Toc12393"/>
      <w:bookmarkStart w:id="144" w:name="_Toc11962"/>
      <w:bookmarkStart w:id="145" w:name="_Toc18172"/>
      <w:r>
        <w:rPr>
          <w:rFonts w:hint="eastAsia"/>
          <w:color w:val="000000" w:themeColor="text1"/>
          <w14:textFill>
            <w14:solidFill>
              <w14:schemeClr w14:val="tx1"/>
            </w14:solidFill>
          </w14:textFill>
        </w:rPr>
        <w:t>第八条 疾病预防控制机构</w:t>
      </w:r>
      <w:r>
        <w:rPr>
          <w:rFonts w:hint="eastAsia" w:cs="仿宋_GB2312"/>
          <w:color w:val="000000" w:themeColor="text1"/>
          <w14:textFill>
            <w14:solidFill>
              <w14:schemeClr w14:val="tx1"/>
            </w14:solidFill>
          </w14:textFill>
        </w:rPr>
        <w:t>发现传染病疫情或者接到传染病疫情报告时，未依据职责及时采取本法规定的措施的</w:t>
      </w:r>
      <w:bookmarkEnd w:id="135"/>
      <w:bookmarkEnd w:id="136"/>
      <w:bookmarkEnd w:id="137"/>
      <w:bookmarkEnd w:id="138"/>
      <w:bookmarkEnd w:id="139"/>
      <w:bookmarkEnd w:id="140"/>
      <w:bookmarkEnd w:id="141"/>
      <w:bookmarkEnd w:id="142"/>
      <w:bookmarkEnd w:id="143"/>
      <w:bookmarkEnd w:id="144"/>
      <w:bookmarkEnd w:id="145"/>
    </w:p>
    <w:p w14:paraId="4D720824">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6D34B8F">
      <w:pPr>
        <w:widowControl w:val="0"/>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《中华人民共和国传染病防治法》第一百零三条第（四）项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法规定，疾病预防控制机构有下列情形之一的，由县级以上人民政府疾病预防控制部门责令改正，给予警告或者通报批评，对直接负责的主管人员和其他直接责任人员依法给予处分，并可以由原发证部门依法吊销有关责任人员的执业证书：</w:t>
      </w:r>
    </w:p>
    <w:p w14:paraId="3B901D20">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（四）发现传染病疫情或者接到传染病疫情报告时，未依据职责及时采取本法规定的措施；</w:t>
      </w:r>
    </w:p>
    <w:tbl>
      <w:tblPr>
        <w:tblStyle w:val="24"/>
        <w:tblW w:w="13819" w:type="dxa"/>
        <w:tblInd w:w="93" w:type="dxa"/>
        <w:tblLayout w:type="fixed"/>
        <w:tblCellMar>
          <w:top w:w="0" w:type="dxa"/>
          <w:left w:w="108" w:type="dxa"/>
          <w:bottom w:w="0" w:type="dxa"/>
          <w:right w:w="108" w:type="dxa"/>
        </w:tblCellMar>
      </w:tblPr>
      <w:tblGrid>
        <w:gridCol w:w="2775"/>
        <w:gridCol w:w="8224"/>
        <w:gridCol w:w="2820"/>
      </w:tblGrid>
      <w:tr w14:paraId="01AA9F3F">
        <w:tblPrEx>
          <w:tblCellMar>
            <w:top w:w="0" w:type="dxa"/>
            <w:left w:w="108" w:type="dxa"/>
            <w:bottom w:w="0" w:type="dxa"/>
            <w:right w:w="108" w:type="dxa"/>
          </w:tblCellMar>
        </w:tblPrEx>
        <w:trPr>
          <w:trHeight w:val="624" w:hRule="atLeast"/>
        </w:trPr>
        <w:tc>
          <w:tcPr>
            <w:tcW w:w="13819" w:type="dxa"/>
            <w:gridSpan w:val="3"/>
            <w:tcBorders>
              <w:top w:val="nil"/>
              <w:left w:val="nil"/>
              <w:bottom w:val="single" w:color="auto" w:sz="4" w:space="0"/>
              <w:right w:val="nil"/>
            </w:tcBorders>
            <w:noWrap/>
            <w:vAlign w:val="center"/>
          </w:tcPr>
          <w:p w14:paraId="133D00AF">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1AE77F48">
        <w:tblPrEx>
          <w:tblCellMar>
            <w:top w:w="0" w:type="dxa"/>
            <w:left w:w="108" w:type="dxa"/>
            <w:bottom w:w="0" w:type="dxa"/>
            <w:right w:w="108" w:type="dxa"/>
          </w:tblCellMar>
        </w:tblPrEx>
        <w:trPr>
          <w:trHeight w:val="567" w:hRule="atLeast"/>
        </w:trPr>
        <w:tc>
          <w:tcPr>
            <w:tcW w:w="2775" w:type="dxa"/>
            <w:tcBorders>
              <w:top w:val="single" w:color="auto" w:sz="4" w:space="0"/>
              <w:left w:val="single" w:color="auto" w:sz="4" w:space="0"/>
              <w:bottom w:val="single" w:color="auto" w:sz="4" w:space="0"/>
              <w:right w:val="single" w:color="auto" w:sz="4" w:space="0"/>
            </w:tcBorders>
            <w:vAlign w:val="center"/>
          </w:tcPr>
          <w:p w14:paraId="25EBA59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8224" w:type="dxa"/>
            <w:tcBorders>
              <w:top w:val="single" w:color="auto" w:sz="4" w:space="0"/>
              <w:left w:val="single" w:color="auto" w:sz="4" w:space="0"/>
              <w:bottom w:val="single" w:color="auto" w:sz="4" w:space="0"/>
              <w:right w:val="single" w:color="auto" w:sz="4" w:space="0"/>
            </w:tcBorders>
            <w:vAlign w:val="center"/>
          </w:tcPr>
          <w:p w14:paraId="3403C2C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2820" w:type="dxa"/>
            <w:tcBorders>
              <w:top w:val="single" w:color="auto" w:sz="4" w:space="0"/>
              <w:left w:val="single" w:color="auto" w:sz="4" w:space="0"/>
              <w:bottom w:val="single" w:color="auto" w:sz="4" w:space="0"/>
              <w:right w:val="single" w:color="auto" w:sz="4" w:space="0"/>
            </w:tcBorders>
            <w:vAlign w:val="center"/>
          </w:tcPr>
          <w:p w14:paraId="408F477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41D53A3">
        <w:tblPrEx>
          <w:tblCellMar>
            <w:top w:w="0" w:type="dxa"/>
            <w:left w:w="108" w:type="dxa"/>
            <w:bottom w:w="0" w:type="dxa"/>
            <w:right w:w="108" w:type="dxa"/>
          </w:tblCellMar>
        </w:tblPrEx>
        <w:trPr>
          <w:trHeight w:val="1478" w:hRule="atLeast"/>
        </w:trPr>
        <w:tc>
          <w:tcPr>
            <w:tcW w:w="2775" w:type="dxa"/>
            <w:tcBorders>
              <w:top w:val="single" w:color="auto" w:sz="4" w:space="0"/>
              <w:left w:val="single" w:color="auto" w:sz="4" w:space="0"/>
              <w:bottom w:val="single" w:color="auto" w:sz="4" w:space="0"/>
              <w:right w:val="single" w:color="auto" w:sz="4" w:space="0"/>
            </w:tcBorders>
            <w:vAlign w:val="center"/>
          </w:tcPr>
          <w:p w14:paraId="24AF5D9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8224" w:type="dxa"/>
            <w:tcBorders>
              <w:top w:val="single" w:color="auto" w:sz="4" w:space="0"/>
              <w:left w:val="single" w:color="auto" w:sz="4" w:space="0"/>
              <w:bottom w:val="single" w:color="auto" w:sz="4" w:space="0"/>
              <w:right w:val="single" w:color="auto" w:sz="4" w:space="0"/>
            </w:tcBorders>
            <w:vAlign w:val="center"/>
          </w:tcPr>
          <w:p w14:paraId="77A02012">
            <w:pPr>
              <w:widowControl w:val="0"/>
              <w:spacing w:after="0" w:line="320" w:lineRule="exact"/>
              <w:ind w:right="374"/>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对传染病疫情进行流行病学调查，根据调查情况未提出对受影响的相关区域的防控建议，未对被污染的场所进行卫生处理，未判定密切接触者，未指导做好对密切接触者的管理，并未向疾病预防控制部门提出传染病疫情防控方案的。</w:t>
            </w:r>
            <w:r>
              <w:rPr>
                <w:rFonts w:hint="eastAsia" w:ascii="Times New Roman" w:hAnsi="Times New Roman" w:eastAsia="仿宋_GB2312" w:cs="Times New Roman"/>
                <w:color w:val="000000" w:themeColor="text1"/>
                <w:sz w:val="24"/>
                <w14:textFill>
                  <w14:solidFill>
                    <w14:schemeClr w14:val="tx1"/>
                  </w14:solidFill>
                </w14:textFill>
              </w:rPr>
              <w:fldChar w:fldCharType="begin"/>
            </w:r>
            <w:r>
              <w:rPr>
                <w:rFonts w:hint="eastAsia" w:ascii="Times New Roman" w:hAnsi="Times New Roman" w:eastAsia="仿宋_GB2312" w:cs="Times New Roman"/>
                <w:color w:val="000000" w:themeColor="text1"/>
                <w:sz w:val="24"/>
                <w14:textFill>
                  <w14:solidFill>
                    <w14:schemeClr w14:val="tx1"/>
                  </w14:solidFill>
                </w14:textFill>
              </w:rPr>
              <w:instrText xml:space="preserve"> HYPERLINK "javascript:void(0);" </w:instrText>
            </w:r>
            <w:r>
              <w:rPr>
                <w:rFonts w:hint="eastAsia" w:ascii="Times New Roman" w:hAnsi="Times New Roman" w:eastAsia="仿宋_GB2312" w:cs="Times New Roman"/>
                <w:color w:val="000000" w:themeColor="text1"/>
                <w:sz w:val="24"/>
                <w14:textFill>
                  <w14:solidFill>
                    <w14:schemeClr w14:val="tx1"/>
                  </w14:solidFill>
                </w14:textFill>
              </w:rPr>
              <w:fldChar w:fldCharType="separate"/>
            </w:r>
            <w:r>
              <w:rPr>
                <w:rFonts w:hint="eastAsia" w:ascii="Times New Roman" w:hAnsi="Times New Roman" w:eastAsia="仿宋_GB2312" w:cs="Times New Roman"/>
                <w:color w:val="000000" w:themeColor="text1"/>
                <w:sz w:val="24"/>
                <w14:textFill>
                  <w14:solidFill>
                    <w14:schemeClr w14:val="tx1"/>
                  </w14:solidFill>
                </w14:textFill>
              </w:rPr>
              <w:fldChar w:fldCharType="end"/>
            </w:r>
          </w:p>
        </w:tc>
        <w:tc>
          <w:tcPr>
            <w:tcW w:w="2820" w:type="dxa"/>
            <w:tcBorders>
              <w:top w:val="single" w:color="auto" w:sz="4" w:space="0"/>
              <w:left w:val="single" w:color="auto" w:sz="4" w:space="0"/>
              <w:bottom w:val="single" w:color="auto" w:sz="4" w:space="0"/>
              <w:right w:val="single" w:color="auto" w:sz="4" w:space="0"/>
            </w:tcBorders>
            <w:vAlign w:val="center"/>
          </w:tcPr>
          <w:p w14:paraId="48C1706D">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w:t>
            </w:r>
          </w:p>
        </w:tc>
      </w:tr>
      <w:tr w14:paraId="68C2B4C4">
        <w:tblPrEx>
          <w:tblCellMar>
            <w:top w:w="0" w:type="dxa"/>
            <w:left w:w="108" w:type="dxa"/>
            <w:bottom w:w="0" w:type="dxa"/>
            <w:right w:w="108" w:type="dxa"/>
          </w:tblCellMar>
        </w:tblPrEx>
        <w:trPr>
          <w:trHeight w:val="681" w:hRule="atLeast"/>
        </w:trPr>
        <w:tc>
          <w:tcPr>
            <w:tcW w:w="2775" w:type="dxa"/>
            <w:vMerge w:val="restart"/>
            <w:tcBorders>
              <w:top w:val="single" w:color="auto" w:sz="4" w:space="0"/>
              <w:left w:val="single" w:color="auto" w:sz="4" w:space="0"/>
              <w:bottom w:val="single" w:color="auto" w:sz="4" w:space="0"/>
              <w:right w:val="single" w:color="auto" w:sz="4" w:space="0"/>
            </w:tcBorders>
            <w:vAlign w:val="center"/>
          </w:tcPr>
          <w:p w14:paraId="4DE62800">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8224" w:type="dxa"/>
            <w:tcBorders>
              <w:top w:val="single" w:color="auto" w:sz="4" w:space="0"/>
              <w:left w:val="single" w:color="auto" w:sz="4" w:space="0"/>
              <w:bottom w:val="single" w:color="auto" w:sz="4" w:space="0"/>
              <w:right w:val="single" w:color="auto" w:sz="4" w:space="0"/>
            </w:tcBorders>
            <w:vAlign w:val="center"/>
          </w:tcPr>
          <w:p w14:paraId="360B054D">
            <w:pPr>
              <w:widowControl w:val="0"/>
              <w:spacing w:after="0" w:line="320" w:lineRule="exact"/>
              <w:ind w:right="374"/>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对传染病疫情进行流行病学调查，根据调查情况未提出对受影响的相关区域的防控建议，未对被污染的场所进行卫生处理，未判定密切接触者，未指导做好对密切接触者的管理，并未向疾病预防控制部门提出传染病疫情防控方案，造成传染病暴发、流行等严重后果的。</w:t>
            </w:r>
          </w:p>
        </w:tc>
        <w:tc>
          <w:tcPr>
            <w:tcW w:w="2820" w:type="dxa"/>
            <w:vMerge w:val="restart"/>
            <w:tcBorders>
              <w:top w:val="single" w:color="auto" w:sz="4" w:space="0"/>
              <w:left w:val="single" w:color="auto" w:sz="4" w:space="0"/>
              <w:bottom w:val="single" w:color="auto" w:sz="4" w:space="0"/>
              <w:right w:val="single" w:color="auto" w:sz="4" w:space="0"/>
            </w:tcBorders>
            <w:vAlign w:val="center"/>
          </w:tcPr>
          <w:p w14:paraId="48DA8BB8">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通报批评，并可以由原发证部门依法吊销有关责任人员的执业证书。</w:t>
            </w:r>
          </w:p>
        </w:tc>
      </w:tr>
      <w:tr w14:paraId="0AD30AB8">
        <w:tblPrEx>
          <w:tblCellMar>
            <w:top w:w="0" w:type="dxa"/>
            <w:left w:w="108" w:type="dxa"/>
            <w:bottom w:w="0" w:type="dxa"/>
            <w:right w:w="108" w:type="dxa"/>
          </w:tblCellMar>
        </w:tblPrEx>
        <w:trPr>
          <w:trHeight w:val="681" w:hRule="atLeast"/>
        </w:trPr>
        <w:tc>
          <w:tcPr>
            <w:tcW w:w="2775" w:type="dxa"/>
            <w:vMerge w:val="continue"/>
            <w:tcBorders>
              <w:top w:val="single" w:color="auto" w:sz="4" w:space="0"/>
              <w:left w:val="single" w:color="auto" w:sz="4" w:space="0"/>
              <w:bottom w:val="single" w:color="auto" w:sz="8" w:space="0"/>
              <w:right w:val="single" w:color="auto" w:sz="4" w:space="0"/>
            </w:tcBorders>
            <w:vAlign w:val="center"/>
          </w:tcPr>
          <w:p w14:paraId="6F2C7EC6">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8224" w:type="dxa"/>
            <w:tcBorders>
              <w:top w:val="single" w:color="auto" w:sz="4" w:space="0"/>
              <w:left w:val="single" w:color="auto" w:sz="4" w:space="0"/>
              <w:bottom w:val="single" w:color="auto" w:sz="4" w:space="0"/>
              <w:right w:val="single" w:color="auto" w:sz="4" w:space="0"/>
            </w:tcBorders>
            <w:shd w:val="clear" w:color="auto" w:fill="auto"/>
            <w:vAlign w:val="center"/>
          </w:tcPr>
          <w:p w14:paraId="683DA391">
            <w:pPr>
              <w:widowControl w:val="0"/>
              <w:spacing w:after="0" w:line="320" w:lineRule="exact"/>
              <w:ind w:right="374"/>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传染病暴发、流行时，未对受影响的相关区域进行卫生处理，未向疾病预防控制部门提出传染病疫情防控方案，并未按照传染病疫情防控相关要求采取措施的。</w:t>
            </w:r>
            <w:r>
              <w:rPr>
                <w:rFonts w:hint="eastAsia" w:ascii="Times New Roman" w:hAnsi="Times New Roman" w:eastAsia="仿宋_GB2312" w:cs="Times New Roman"/>
                <w:color w:val="000000" w:themeColor="text1"/>
                <w:sz w:val="24"/>
                <w14:textFill>
                  <w14:solidFill>
                    <w14:schemeClr w14:val="tx1"/>
                  </w14:solidFill>
                </w14:textFill>
              </w:rPr>
              <w:fldChar w:fldCharType="begin"/>
            </w:r>
            <w:r>
              <w:rPr>
                <w:rFonts w:hint="eastAsia" w:ascii="Times New Roman" w:hAnsi="Times New Roman" w:eastAsia="仿宋_GB2312" w:cs="Times New Roman"/>
                <w:color w:val="000000" w:themeColor="text1"/>
                <w:sz w:val="24"/>
                <w14:textFill>
                  <w14:solidFill>
                    <w14:schemeClr w14:val="tx1"/>
                  </w14:solidFill>
                </w14:textFill>
              </w:rPr>
              <w:instrText xml:space="preserve"> HYPERLINK "javascript:void(0);" </w:instrText>
            </w:r>
            <w:r>
              <w:rPr>
                <w:rFonts w:hint="eastAsia" w:ascii="Times New Roman" w:hAnsi="Times New Roman" w:eastAsia="仿宋_GB2312" w:cs="Times New Roman"/>
                <w:color w:val="000000" w:themeColor="text1"/>
                <w:sz w:val="24"/>
                <w14:textFill>
                  <w14:solidFill>
                    <w14:schemeClr w14:val="tx1"/>
                  </w14:solidFill>
                </w14:textFill>
              </w:rPr>
              <w:fldChar w:fldCharType="separate"/>
            </w:r>
            <w:r>
              <w:rPr>
                <w:rFonts w:hint="eastAsia" w:ascii="Times New Roman" w:hAnsi="Times New Roman" w:eastAsia="仿宋_GB2312" w:cs="Times New Roman"/>
                <w:color w:val="000000" w:themeColor="text1"/>
                <w:sz w:val="24"/>
                <w14:textFill>
                  <w14:solidFill>
                    <w14:schemeClr w14:val="tx1"/>
                  </w14:solidFill>
                </w14:textFill>
              </w:rPr>
              <w:fldChar w:fldCharType="end"/>
            </w:r>
          </w:p>
        </w:tc>
        <w:tc>
          <w:tcPr>
            <w:tcW w:w="2820" w:type="dxa"/>
            <w:vMerge w:val="continue"/>
            <w:tcBorders>
              <w:top w:val="single" w:color="auto" w:sz="4" w:space="0"/>
              <w:left w:val="single" w:color="auto" w:sz="4" w:space="0"/>
              <w:right w:val="single" w:color="auto" w:sz="4" w:space="0"/>
            </w:tcBorders>
            <w:vAlign w:val="center"/>
          </w:tcPr>
          <w:p w14:paraId="6AB078E1">
            <w:pPr>
              <w:widowControl w:val="0"/>
              <w:spacing w:line="440" w:lineRule="exact"/>
              <w:jc w:val="both"/>
              <w:rPr>
                <w:rFonts w:ascii="Times New Roman" w:hAnsi="Times New Roman" w:eastAsia="仿宋_GB2312" w:cs="Times New Roman"/>
                <w:color w:val="000000" w:themeColor="text1"/>
                <w:sz w:val="24"/>
                <w:szCs w:val="24"/>
                <w14:textFill>
                  <w14:solidFill>
                    <w14:schemeClr w14:val="tx1"/>
                  </w14:solidFill>
                </w14:textFill>
              </w:rPr>
            </w:pPr>
          </w:p>
        </w:tc>
      </w:tr>
      <w:tr w14:paraId="230A2EC1">
        <w:tblPrEx>
          <w:tblCellMar>
            <w:top w:w="0" w:type="dxa"/>
            <w:left w:w="108" w:type="dxa"/>
            <w:bottom w:w="0" w:type="dxa"/>
            <w:right w:w="108" w:type="dxa"/>
          </w:tblCellMar>
        </w:tblPrEx>
        <w:trPr>
          <w:trHeight w:val="769" w:hRule="atLeast"/>
        </w:trPr>
        <w:tc>
          <w:tcPr>
            <w:tcW w:w="2775" w:type="dxa"/>
            <w:vMerge w:val="continue"/>
            <w:tcBorders>
              <w:top w:val="single" w:color="auto" w:sz="8" w:space="0"/>
              <w:left w:val="single" w:color="auto" w:sz="4" w:space="0"/>
              <w:bottom w:val="single" w:color="auto" w:sz="8" w:space="0"/>
              <w:right w:val="single" w:color="auto" w:sz="4" w:space="0"/>
            </w:tcBorders>
            <w:vAlign w:val="center"/>
          </w:tcPr>
          <w:p w14:paraId="28F21FD6">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8224" w:type="dxa"/>
            <w:tcBorders>
              <w:top w:val="single" w:color="auto" w:sz="4" w:space="0"/>
              <w:left w:val="single" w:color="auto" w:sz="4" w:space="0"/>
              <w:bottom w:val="single" w:color="auto" w:sz="4" w:space="0"/>
              <w:right w:val="single" w:color="auto" w:sz="4" w:space="0"/>
            </w:tcBorders>
            <w:vAlign w:val="center"/>
          </w:tcPr>
          <w:p w14:paraId="2284DECC">
            <w:pPr>
              <w:widowControl w:val="0"/>
              <w:spacing w:after="0" w:line="320" w:lineRule="exact"/>
              <w:ind w:right="374"/>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没有指导下级疾病预防控制机构、医疗机构实施传染病预防、控制措施，未组织、指导有关单位对传染病疫情处理的。</w:t>
            </w:r>
          </w:p>
        </w:tc>
        <w:tc>
          <w:tcPr>
            <w:tcW w:w="2820" w:type="dxa"/>
            <w:vMerge w:val="continue"/>
            <w:tcBorders>
              <w:left w:val="single" w:color="auto" w:sz="4" w:space="0"/>
              <w:bottom w:val="single" w:color="000000" w:sz="8" w:space="0"/>
              <w:right w:val="single" w:color="auto" w:sz="4" w:space="0"/>
            </w:tcBorders>
            <w:vAlign w:val="center"/>
          </w:tcPr>
          <w:p w14:paraId="783EC285">
            <w:pPr>
              <w:widowControl w:val="0"/>
              <w:spacing w:line="440" w:lineRule="exact"/>
              <w:jc w:val="both"/>
              <w:rPr>
                <w:rFonts w:hint="eastAsia" w:ascii="Times New Roman" w:hAnsi="Times New Roman" w:eastAsia="方正仿宋_GB2312" w:cs="方正仿宋_GB2312"/>
                <w:color w:val="000000" w:themeColor="text1"/>
                <w:sz w:val="24"/>
                <w:szCs w:val="24"/>
                <w14:textFill>
                  <w14:solidFill>
                    <w14:schemeClr w14:val="tx1"/>
                  </w14:solidFill>
                </w14:textFill>
              </w:rPr>
            </w:pPr>
          </w:p>
        </w:tc>
      </w:tr>
    </w:tbl>
    <w:p w14:paraId="49BBB81C">
      <w:pPr>
        <w:pStyle w:val="4"/>
        <w:widowControl w:val="0"/>
        <w:ind w:firstLine="640"/>
        <w:rPr>
          <w:color w:val="000000" w:themeColor="text1"/>
          <w14:textFill>
            <w14:solidFill>
              <w14:schemeClr w14:val="tx1"/>
            </w14:solidFill>
          </w14:textFill>
        </w:rPr>
      </w:pPr>
      <w:bookmarkStart w:id="146" w:name="_Toc28851"/>
      <w:bookmarkStart w:id="147" w:name="_Toc22275"/>
      <w:bookmarkStart w:id="148" w:name="_Toc31685"/>
      <w:bookmarkStart w:id="149" w:name="_Toc4988"/>
      <w:bookmarkStart w:id="150" w:name="_Toc7025"/>
      <w:bookmarkStart w:id="151" w:name="_Toc22994"/>
      <w:bookmarkStart w:id="152" w:name="_Toc19926"/>
      <w:bookmarkStart w:id="153" w:name="_Toc25001"/>
      <w:bookmarkStart w:id="154" w:name="_Toc3923"/>
      <w:bookmarkStart w:id="155" w:name="_Toc16088"/>
      <w:bookmarkStart w:id="156" w:name="_Toc23209"/>
      <w:r>
        <w:rPr>
          <w:rFonts w:hint="eastAsia"/>
          <w:color w:val="000000" w:themeColor="text1"/>
          <w14:textFill>
            <w14:solidFill>
              <w14:schemeClr w14:val="tx1"/>
            </w14:solidFill>
          </w14:textFill>
        </w:rPr>
        <w:t>第九条 疾病预防控制机构</w:t>
      </w:r>
      <w:r>
        <w:rPr>
          <w:rFonts w:hint="eastAsia" w:cs="仿宋_GB2312"/>
          <w:color w:val="000000" w:themeColor="text1"/>
          <w14:textFill>
            <w14:solidFill>
              <w14:schemeClr w14:val="tx1"/>
            </w14:solidFill>
          </w14:textFill>
        </w:rPr>
        <w:t>未遵守国家有关规定，导致因使用血液制品引起经血液传播疾病的发生的</w:t>
      </w:r>
      <w:bookmarkEnd w:id="146"/>
      <w:bookmarkEnd w:id="147"/>
      <w:bookmarkEnd w:id="148"/>
      <w:bookmarkEnd w:id="149"/>
      <w:bookmarkEnd w:id="150"/>
      <w:bookmarkEnd w:id="151"/>
      <w:bookmarkEnd w:id="152"/>
      <w:bookmarkEnd w:id="153"/>
      <w:bookmarkEnd w:id="154"/>
      <w:bookmarkEnd w:id="155"/>
      <w:bookmarkEnd w:id="156"/>
    </w:p>
    <w:p w14:paraId="4C13EF2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4AF37B5">
      <w:pPr>
        <w:widowControl w:val="0"/>
        <w:spacing w:after="0" w:line="279"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《中华人民共和国传染病防治法》第一百零三条第（五）项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法规定，疾病预防控制机构有下列情形之一的，由县级以上人民政府疾病预防控制部门责令改正，给予警告或者通报批评，对直接负责的主管人员和其他直接责任人员依法给予处分，并可以由原发证部门依法吊销有关责任人员的执业证书：</w:t>
      </w:r>
    </w:p>
    <w:p w14:paraId="3A7018CD">
      <w:pPr>
        <w:widowControl w:val="0"/>
        <w:spacing w:after="0" w:line="279"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（五）未遵守国家有关规定，导致因使用血液制品引起经血液传播疾病的发生。</w:t>
      </w:r>
    </w:p>
    <w:p w14:paraId="427FA706">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53"/>
        <w:gridCol w:w="4819"/>
      </w:tblGrid>
      <w:tr w14:paraId="00C2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2B25D4B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3" w:type="dxa"/>
            <w:vAlign w:val="center"/>
          </w:tcPr>
          <w:p w14:paraId="5400D84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19" w:type="dxa"/>
            <w:vAlign w:val="center"/>
          </w:tcPr>
          <w:p w14:paraId="2705134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15C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8" w:type="dxa"/>
            <w:vAlign w:val="center"/>
          </w:tcPr>
          <w:p w14:paraId="78DC4EC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653" w:type="dxa"/>
            <w:shd w:val="clear" w:color="auto" w:fill="auto"/>
            <w:vAlign w:val="center"/>
          </w:tcPr>
          <w:p w14:paraId="4F1B0704">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发现未遵守国家有关规定，导致因使用血液制品引起艾滋病之外经血液传播的乙、丙类传染病传播的。</w:t>
            </w:r>
          </w:p>
        </w:tc>
        <w:tc>
          <w:tcPr>
            <w:tcW w:w="4819" w:type="dxa"/>
            <w:vAlign w:val="center"/>
          </w:tcPr>
          <w:p w14:paraId="2DADC183">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w:t>
            </w:r>
          </w:p>
        </w:tc>
      </w:tr>
      <w:tr w14:paraId="519C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418" w:type="dxa"/>
            <w:vAlign w:val="center"/>
          </w:tcPr>
          <w:p w14:paraId="570F560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653" w:type="dxa"/>
            <w:vAlign w:val="center"/>
          </w:tcPr>
          <w:p w14:paraId="6F06EDFF">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未遵守国家有关规定，导致因使用血液制品引起艾滋病血液传播，或者导致艾滋病之外经血液传播的乙、丙类传染病暴发、流行，或者传播造成病人残疾、死亡等严重后果的。</w:t>
            </w:r>
          </w:p>
        </w:tc>
        <w:tc>
          <w:tcPr>
            <w:tcW w:w="4819" w:type="dxa"/>
            <w:vAlign w:val="center"/>
          </w:tcPr>
          <w:p w14:paraId="41BCB12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通报批评，并可以由原发证部门依法吊销有关责任人员的执业证书。</w:t>
            </w:r>
          </w:p>
        </w:tc>
      </w:tr>
    </w:tbl>
    <w:p w14:paraId="34AC6058">
      <w:pPr>
        <w:pStyle w:val="4"/>
        <w:widowControl w:val="0"/>
        <w:ind w:firstLine="640"/>
        <w:rPr>
          <w:color w:val="000000" w:themeColor="text1"/>
          <w14:textFill>
            <w14:solidFill>
              <w14:schemeClr w14:val="tx1"/>
            </w14:solidFill>
          </w14:textFill>
        </w:rPr>
      </w:pPr>
      <w:bookmarkStart w:id="157" w:name="_Toc24839"/>
      <w:bookmarkStart w:id="158" w:name="_Toc32367"/>
      <w:bookmarkStart w:id="159" w:name="_Toc2689"/>
      <w:bookmarkStart w:id="160" w:name="_Toc121"/>
      <w:bookmarkStart w:id="161" w:name="_Toc16176"/>
      <w:bookmarkStart w:id="162" w:name="_Toc10455"/>
      <w:bookmarkStart w:id="163" w:name="_Toc28274"/>
      <w:bookmarkStart w:id="164" w:name="_Toc24746"/>
      <w:bookmarkStart w:id="165" w:name="_Toc16374"/>
      <w:bookmarkStart w:id="166" w:name="_Toc2797"/>
      <w:bookmarkStart w:id="167" w:name="_Toc32240"/>
      <w:r>
        <w:rPr>
          <w:rFonts w:hint="eastAsia" w:cs="仿宋_GB2312"/>
          <w:color w:val="000000" w:themeColor="text1"/>
          <w14:textFill>
            <w14:solidFill>
              <w14:schemeClr w14:val="tx1"/>
            </w14:solidFill>
          </w14:textFill>
        </w:rPr>
        <w:t>第十条</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医疗机构</w:t>
      </w:r>
      <w:r>
        <w:rPr>
          <w:rFonts w:hint="eastAsia" w:cs="仿宋_GB2312"/>
          <w:color w:val="000000" w:themeColor="text1"/>
          <w14:textFill>
            <w14:solidFill>
              <w14:schemeClr w14:val="tx1"/>
            </w14:solidFill>
          </w14:textFill>
        </w:rPr>
        <w:t>未按照规定承担本机构的传染病预防、控制工作，医疗机构感染控制任务或者责任区域内的传染病预防工作；</w:t>
      </w:r>
      <w:bookmarkEnd w:id="157"/>
      <w:bookmarkEnd w:id="158"/>
      <w:bookmarkEnd w:id="159"/>
      <w:bookmarkEnd w:id="160"/>
      <w:bookmarkEnd w:id="161"/>
      <w:bookmarkEnd w:id="162"/>
      <w:bookmarkEnd w:id="163"/>
      <w:bookmarkEnd w:id="164"/>
      <w:bookmarkEnd w:id="165"/>
      <w:bookmarkEnd w:id="166"/>
      <w:bookmarkEnd w:id="167"/>
    </w:p>
    <w:p w14:paraId="6C9DB567">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579891F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《中华人民共和国传染病防治法》第一百零四条第一款第（一）项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有下列情形之一的，由县级以上人民政府疾病预防控制部门责令改正，给予警告或者通报批评，可以并处十万元以下罚款；情节严重的，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p w14:paraId="53D3FBA7">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（一）未按照规定承担本机构的传染病预防、控制工作，医疗机构感染控制任务或者责任区域内的传染病预防工作；</w:t>
      </w:r>
    </w:p>
    <w:p w14:paraId="40DB3DB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第二十六条　二级以上医疗机构应当有专门的科室并指定专门的人员，承担本机构的传染病预防、控制和传染病疫情报告以及责任区域内的传染病预防工作。</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7D5A90F4">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基层医疗卫生机构应当有专门的科室或者指定人员负责传染病预防、控制管理工作，在疾病预防控制机构指导下，承担本机构的传染病预防、控制和责任区域内的传染病防治健康教育、预防接种、传染病疫情报告、传染病患者健康监测以及城乡社区传染病疫情防控指导等工作。</w:t>
      </w:r>
    </w:p>
    <w:p w14:paraId="73EF62FC">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6336"/>
        <w:gridCol w:w="5754"/>
      </w:tblGrid>
      <w:tr w14:paraId="5E05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0" w:type="dxa"/>
            <w:vAlign w:val="center"/>
          </w:tcPr>
          <w:p w14:paraId="6DAFBC1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336" w:type="dxa"/>
            <w:vAlign w:val="center"/>
          </w:tcPr>
          <w:p w14:paraId="4D8FC23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754" w:type="dxa"/>
            <w:vAlign w:val="center"/>
          </w:tcPr>
          <w:p w14:paraId="0CBDD68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9F6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1800" w:type="dxa"/>
            <w:vMerge w:val="restart"/>
            <w:vAlign w:val="center"/>
          </w:tcPr>
          <w:p w14:paraId="758F224D">
            <w:pPr>
              <w:widowControl w:val="0"/>
              <w:spacing w:after="0" w:line="28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336" w:type="dxa"/>
            <w:vAlign w:val="center"/>
          </w:tcPr>
          <w:p w14:paraId="7241F918">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基层医疗卫生机构应当有专门的科室或者指定人员，负责传染病预防、控制管理工作，在疾病预防控制机构指导下，承担本机构的传染病预防、控制和责任区域内的传染病防治健康教育、预防接种、传染病疫情报告、传染病患者健康监测以及城乡社区传染病疫情防控指导等工作，未造成传染病传播或者其他严重后果的。</w:t>
            </w:r>
          </w:p>
        </w:tc>
        <w:tc>
          <w:tcPr>
            <w:tcW w:w="5754" w:type="dxa"/>
            <w:vAlign w:val="center"/>
          </w:tcPr>
          <w:p w14:paraId="490B17A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警告，并处三万元以下的罚款。</w:t>
            </w:r>
          </w:p>
        </w:tc>
      </w:tr>
      <w:tr w14:paraId="7579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800" w:type="dxa"/>
            <w:vMerge w:val="continue"/>
            <w:vAlign w:val="center"/>
          </w:tcPr>
          <w:p w14:paraId="32E113AE">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336" w:type="dxa"/>
            <w:shd w:val="clear" w:color="auto" w:fill="auto"/>
            <w:vAlign w:val="center"/>
          </w:tcPr>
          <w:p w14:paraId="64D88543">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二级以上医疗机构未设置专门的科室并未指定专门的人员，承担本机构的传染病预防、控制和传染病疫情报告以及责任区域内的传染病预防工作，未造成传染病传播或者其他严重后果的。</w:t>
            </w:r>
          </w:p>
        </w:tc>
        <w:tc>
          <w:tcPr>
            <w:tcW w:w="5754" w:type="dxa"/>
            <w:shd w:val="clear" w:color="auto" w:fill="auto"/>
            <w:vAlign w:val="center"/>
          </w:tcPr>
          <w:p w14:paraId="1CA1A304">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警告，并处三万元以上五万元以下的罚款。</w:t>
            </w:r>
          </w:p>
        </w:tc>
      </w:tr>
      <w:tr w14:paraId="7679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800" w:type="dxa"/>
            <w:vMerge w:val="restart"/>
            <w:vAlign w:val="center"/>
          </w:tcPr>
          <w:p w14:paraId="1DAB0F60">
            <w:pPr>
              <w:widowControl w:val="0"/>
              <w:spacing w:after="0" w:line="28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336" w:type="dxa"/>
            <w:vAlign w:val="center"/>
          </w:tcPr>
          <w:p w14:paraId="2952E317">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未按照规定承担本机构的传染病预防、控制工作，医疗机构感染控制任务或者责任区域内的传染病预防工作，造成</w:t>
            </w:r>
            <w:r>
              <w:rPr>
                <w:rFonts w:hint="eastAsia" w:ascii="Times New Roman" w:hAnsi="Times New Roman" w:eastAsia="仿宋_GB2312" w:cs="Times New Roman"/>
                <w:color w:val="000000" w:themeColor="text1"/>
                <w:sz w:val="24"/>
                <w:szCs w:val="22"/>
                <w14:textFill>
                  <w14:solidFill>
                    <w14:schemeClr w14:val="tx1"/>
                  </w14:solidFill>
                </w14:textFill>
              </w:rPr>
              <w:t>丙类传染病传播或者有传播严重危险的。</w:t>
            </w:r>
          </w:p>
        </w:tc>
        <w:tc>
          <w:tcPr>
            <w:tcW w:w="5754" w:type="dxa"/>
            <w:vAlign w:val="center"/>
          </w:tcPr>
          <w:p w14:paraId="499BB4F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通报批评，并处五万元以上六万元以下罚款，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tc>
      </w:tr>
      <w:tr w14:paraId="12D5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800" w:type="dxa"/>
            <w:vMerge w:val="continue"/>
            <w:vAlign w:val="center"/>
          </w:tcPr>
          <w:p w14:paraId="5681B161">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336" w:type="dxa"/>
            <w:vAlign w:val="center"/>
          </w:tcPr>
          <w:p w14:paraId="292ABBA0">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未按照规定承担本机构的传染病预防、控制工作，医疗机构感染控制任务或者责任区域内的传染病预防工作，</w:t>
            </w:r>
            <w:r>
              <w:rPr>
                <w:rFonts w:hint="eastAsia" w:ascii="Times New Roman" w:hAnsi="Times New Roman" w:eastAsia="仿宋_GB2312" w:cs="Times New Roman"/>
                <w:color w:val="000000" w:themeColor="text1"/>
                <w:sz w:val="24"/>
                <w:szCs w:val="22"/>
                <w14:textFill>
                  <w14:solidFill>
                    <w14:schemeClr w14:val="tx1"/>
                  </w14:solidFill>
                </w14:textFill>
              </w:rPr>
              <w:t>造成乙类传染病传播或者有传播严重危险的。</w:t>
            </w:r>
          </w:p>
        </w:tc>
        <w:tc>
          <w:tcPr>
            <w:tcW w:w="5754" w:type="dxa"/>
            <w:vAlign w:val="center"/>
          </w:tcPr>
          <w:p w14:paraId="0910AF7E">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通报批评，可以并处六万元以上八万元以下罚款，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tc>
      </w:tr>
      <w:tr w14:paraId="11A8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800" w:type="dxa"/>
            <w:vMerge w:val="continue"/>
            <w:vAlign w:val="center"/>
          </w:tcPr>
          <w:p w14:paraId="331F6534">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336" w:type="dxa"/>
            <w:vAlign w:val="center"/>
          </w:tcPr>
          <w:p w14:paraId="4A67C457">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未按照规定承担本机构的传染病预防、控制工作，医疗机构感染控制任务或者责任区域内的传染病预防工作，</w:t>
            </w:r>
            <w:r>
              <w:rPr>
                <w:rFonts w:hint="eastAsia" w:ascii="Times New Roman" w:hAnsi="Times New Roman" w:eastAsia="仿宋_GB2312" w:cs="Times New Roman"/>
                <w:color w:val="000000" w:themeColor="text1"/>
                <w:sz w:val="24"/>
                <w:szCs w:val="22"/>
                <w14:textFill>
                  <w14:solidFill>
                    <w14:schemeClr w14:val="tx1"/>
                  </w14:solidFill>
                </w14:textFill>
              </w:rPr>
              <w:t>造成甲类传染病、新发传染病、突发原因不明的传染病传播或者有传播严重危险，以及其他传染病暴发、流行的。</w:t>
            </w:r>
          </w:p>
        </w:tc>
        <w:tc>
          <w:tcPr>
            <w:tcW w:w="5754" w:type="dxa"/>
            <w:vAlign w:val="center"/>
          </w:tcPr>
          <w:p w14:paraId="417361C3">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通报批评，可以并处八万元以上十万元以下罚款，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tc>
      </w:tr>
    </w:tbl>
    <w:p w14:paraId="383CC7B6">
      <w:pPr>
        <w:widowControl w:val="0"/>
        <w:spacing w:after="0" w:line="440" w:lineRule="exact"/>
        <w:ind w:firstLine="643" w:firstLineChars="200"/>
        <w:outlineLvl w:val="2"/>
        <w:rPr>
          <w:rFonts w:ascii="Times New Roman" w:hAnsi="Times New Roman" w:eastAsia="仿宋_GB2312" w:cs="仿宋_GB2312"/>
          <w:b/>
          <w:color w:val="000000" w:themeColor="text1"/>
          <w:sz w:val="32"/>
          <w:szCs w:val="32"/>
          <w14:textFill>
            <w14:solidFill>
              <w14:schemeClr w14:val="tx1"/>
            </w14:solidFill>
          </w14:textFill>
        </w:rPr>
      </w:pPr>
      <w:bookmarkStart w:id="168" w:name="_Toc115"/>
      <w:bookmarkStart w:id="169" w:name="_Toc24824"/>
      <w:bookmarkStart w:id="170" w:name="_Toc9787"/>
      <w:bookmarkStart w:id="171" w:name="_Toc25387"/>
      <w:bookmarkStart w:id="172" w:name="_Toc8454"/>
      <w:bookmarkStart w:id="173" w:name="_Toc22918"/>
      <w:bookmarkStart w:id="174" w:name="_Toc22320"/>
      <w:bookmarkStart w:id="175" w:name="_Toc15331"/>
      <w:bookmarkStart w:id="176" w:name="_Toc9890"/>
      <w:r>
        <w:rPr>
          <w:rFonts w:hint="eastAsia" w:ascii="Times New Roman" w:hAnsi="Times New Roman" w:eastAsia="仿宋_GB2312" w:cs="仿宋_GB2312"/>
          <w:b/>
          <w:color w:val="000000" w:themeColor="text1"/>
          <w:sz w:val="32"/>
          <w:szCs w:val="32"/>
          <w14:textFill>
            <w14:solidFill>
              <w14:schemeClr w14:val="tx1"/>
            </w14:solidFill>
          </w14:textFill>
        </w:rPr>
        <w:t>第十一条 医疗机构未按照规定报告传染病疫情，隐瞒、谎报、缓报、漏报传染病疫情，或者干预传染病疫情报告的</w:t>
      </w:r>
      <w:bookmarkEnd w:id="168"/>
      <w:bookmarkEnd w:id="169"/>
      <w:bookmarkEnd w:id="170"/>
      <w:bookmarkEnd w:id="171"/>
      <w:bookmarkEnd w:id="172"/>
      <w:bookmarkEnd w:id="173"/>
      <w:bookmarkEnd w:id="174"/>
      <w:bookmarkEnd w:id="175"/>
      <w:bookmarkEnd w:id="176"/>
    </w:p>
    <w:p w14:paraId="51BCB0A8">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4BB8C84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《中华人民共和国传染病防治法》第一百零四条第一款第（二）项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有下列情形之一的，由县级以上人民政府疾病预防控制部门责令改正，给予警告或者通报批评，可以并处十万元以下罚款；情节严重的，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p w14:paraId="404A24FE">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（二）未按照规定报告传染病疫情，隐瞒、谎报、缓报、漏报传染病疫情，或者干预传染病疫情报告；</w:t>
      </w:r>
    </w:p>
    <w:p w14:paraId="42869D3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第四十五条　国家建立健全传染病疫情报告制度。</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546D254D">
      <w:pPr>
        <w:widowControl w:val="0"/>
        <w:spacing w:after="0" w:line="440" w:lineRule="exact"/>
        <w:ind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疾病预防控制机构、医疗机构和采供血机构及其执行职务的人员发现甲类传染病患者、病原携带者、疑似患者或者新发传染病、突发原因不明的传染病，以及其他传染病暴发、流行时，应当于两小时内进行网络直报；发现乙类传染病患者、疑似患者或者国务院疾病预防控制部门规定需要报告的乙类传染病病原携带者时，应当于二十四小时内进行网络直报；发现丙类传染病患者时，应当于二十四小时内进行网络直报。</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684610E3">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122"/>
        <w:gridCol w:w="5208"/>
      </w:tblGrid>
      <w:tr w14:paraId="17A3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60" w:type="dxa"/>
            <w:vAlign w:val="center"/>
          </w:tcPr>
          <w:p w14:paraId="217684A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122" w:type="dxa"/>
            <w:vAlign w:val="center"/>
          </w:tcPr>
          <w:p w14:paraId="70FD1A8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208" w:type="dxa"/>
            <w:vAlign w:val="center"/>
          </w:tcPr>
          <w:p w14:paraId="3A4C9AB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3BB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60" w:type="dxa"/>
            <w:vMerge w:val="restart"/>
            <w:vAlign w:val="center"/>
          </w:tcPr>
          <w:p w14:paraId="5C0938D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122" w:type="dxa"/>
            <w:vAlign w:val="center"/>
          </w:tcPr>
          <w:p w14:paraId="6C2D4A90">
            <w:pPr>
              <w:widowControl w:val="0"/>
              <w:spacing w:after="0" w:line="320" w:lineRule="exac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医疗机构及其执行职务的人员发现丙类传染病患者时，没有在二十四小时内进行网络直报的。</w:t>
            </w:r>
          </w:p>
        </w:tc>
        <w:tc>
          <w:tcPr>
            <w:tcW w:w="5208" w:type="dxa"/>
            <w:vAlign w:val="center"/>
          </w:tcPr>
          <w:p w14:paraId="01D92D12">
            <w:pPr>
              <w:widowControl w:val="0"/>
              <w:spacing w:after="0" w:line="320" w:lineRule="exact"/>
              <w:jc w:val="left"/>
              <w:rPr>
                <w:rFonts w:hint="eastAsia" w:ascii="Times New Roman" w:hAnsi="Times New Roman" w:eastAsia="仿宋_GB2312" w:cs="Times New Roman"/>
                <w:b w:val="0"/>
                <w:bCs w:val="0"/>
                <w:color w:val="000000" w:themeColor="text1"/>
                <w:sz w:val="24"/>
                <w:szCs w:val="22"/>
                <w:lang w:eastAsia="zh-CN"/>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警告，一万元以下的罚款</w:t>
            </w:r>
            <w:r>
              <w:rPr>
                <w:rFonts w:hint="eastAsia" w:ascii="Times New Roman" w:hAnsi="Times New Roman" w:eastAsia="仿宋_GB2312" w:cs="Times New Roman"/>
                <w:color w:val="000000" w:themeColor="text1"/>
                <w:sz w:val="24"/>
                <w:szCs w:val="22"/>
                <w:lang w:eastAsia="zh-CN"/>
                <w14:textFill>
                  <w14:solidFill>
                    <w14:schemeClr w14:val="tx1"/>
                  </w14:solidFill>
                </w14:textFill>
              </w:rPr>
              <w:t>。</w:t>
            </w:r>
          </w:p>
        </w:tc>
      </w:tr>
      <w:tr w14:paraId="7992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60" w:type="dxa"/>
            <w:vMerge w:val="continue"/>
            <w:vAlign w:val="center"/>
          </w:tcPr>
          <w:p w14:paraId="0D1B3F1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122" w:type="dxa"/>
            <w:vAlign w:val="center"/>
          </w:tcPr>
          <w:p w14:paraId="590C6C5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医疗机构及其执行职务的人员发现乙类传染病患者、疑似患者或者国务院疾病预防控制部门规定需要报告的乙类传染病病原携带者时，没有在二十四小时内进行网络直报的。</w:t>
            </w:r>
          </w:p>
        </w:tc>
        <w:tc>
          <w:tcPr>
            <w:tcW w:w="5208" w:type="dxa"/>
            <w:vAlign w:val="center"/>
          </w:tcPr>
          <w:p w14:paraId="2B0BB740">
            <w:pPr>
              <w:widowControl w:val="0"/>
              <w:spacing w:after="0" w:line="320" w:lineRule="exact"/>
              <w:rPr>
                <w:rFonts w:hint="eastAsia" w:ascii="Times New Roman" w:hAnsi="Times New Roman" w:eastAsia="仿宋_GB2312" w:cs="Times New Roman"/>
                <w:color w:val="000000" w:themeColor="text1"/>
                <w:sz w:val="24"/>
                <w:szCs w:val="22"/>
                <w:lang w:eastAsia="zh-CN"/>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警告，可以并处一万以上两万元以下罚款</w:t>
            </w:r>
            <w:r>
              <w:rPr>
                <w:rFonts w:hint="eastAsia" w:ascii="Times New Roman" w:hAnsi="Times New Roman" w:eastAsia="仿宋_GB2312" w:cs="Times New Roman"/>
                <w:color w:val="000000" w:themeColor="text1"/>
                <w:sz w:val="24"/>
                <w:szCs w:val="22"/>
                <w:lang w:eastAsia="zh-CN"/>
                <w14:textFill>
                  <w14:solidFill>
                    <w14:schemeClr w14:val="tx1"/>
                  </w14:solidFill>
                </w14:textFill>
              </w:rPr>
              <w:t>。</w:t>
            </w:r>
          </w:p>
        </w:tc>
      </w:tr>
      <w:tr w14:paraId="1898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60" w:type="dxa"/>
            <w:vMerge w:val="continue"/>
            <w:vAlign w:val="center"/>
          </w:tcPr>
          <w:p w14:paraId="6E04417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122" w:type="dxa"/>
            <w:vAlign w:val="center"/>
          </w:tcPr>
          <w:p w14:paraId="32656F0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医疗机构及其执行职务的人员发现甲类传染病患者、病原携带者、疑似患者或者新发传染病、突发原因不明的传染病，以及其他传染病暴发、流行时，没有在两小时内进行网络直报的。</w:t>
            </w:r>
          </w:p>
        </w:tc>
        <w:tc>
          <w:tcPr>
            <w:tcW w:w="5208" w:type="dxa"/>
            <w:vAlign w:val="center"/>
          </w:tcPr>
          <w:p w14:paraId="6F1C721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警告，可以并处二万元以上三万元以下罚款。</w:t>
            </w:r>
          </w:p>
        </w:tc>
      </w:tr>
      <w:tr w14:paraId="4BF6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60" w:type="dxa"/>
            <w:vMerge w:val="restart"/>
            <w:vAlign w:val="center"/>
          </w:tcPr>
          <w:p w14:paraId="74312D2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122" w:type="dxa"/>
            <w:vAlign w:val="center"/>
          </w:tcPr>
          <w:p w14:paraId="0CBC904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医疗机构及其执行职务的人员发现丙类传染病患者时，隐瞒、谎报、漏报传染病疫情，或者干预的。</w:t>
            </w:r>
          </w:p>
        </w:tc>
        <w:tc>
          <w:tcPr>
            <w:tcW w:w="5208" w:type="dxa"/>
            <w:vAlign w:val="center"/>
          </w:tcPr>
          <w:p w14:paraId="44D5934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通报批评，可以并处三万元以上四万元以下罚款。</w:t>
            </w:r>
          </w:p>
        </w:tc>
      </w:tr>
      <w:tr w14:paraId="7B2F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560" w:type="dxa"/>
            <w:vMerge w:val="continue"/>
            <w:vAlign w:val="center"/>
          </w:tcPr>
          <w:p w14:paraId="6A4C9679">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122" w:type="dxa"/>
            <w:vAlign w:val="center"/>
          </w:tcPr>
          <w:p w14:paraId="35A2447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医疗机构及其执行职务的人员发现乙类传染病患者、疑似患者或者国务院疾病预防控制部门规定需要报告的乙类传染病病原携带者时，隐瞒、谎报、漏报传染病疫情，或者干预的。</w:t>
            </w:r>
          </w:p>
        </w:tc>
        <w:tc>
          <w:tcPr>
            <w:tcW w:w="5208" w:type="dxa"/>
            <w:vAlign w:val="center"/>
          </w:tcPr>
          <w:p w14:paraId="79FA833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通报批评，可以并处四万元以上五万元以下罚款。</w:t>
            </w:r>
          </w:p>
        </w:tc>
      </w:tr>
      <w:tr w14:paraId="38D5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560" w:type="dxa"/>
            <w:vMerge w:val="continue"/>
            <w:vAlign w:val="center"/>
          </w:tcPr>
          <w:p w14:paraId="617C3142">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122" w:type="dxa"/>
            <w:vAlign w:val="center"/>
          </w:tcPr>
          <w:p w14:paraId="09D703E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医疗机构及其执行职务的人员发现甲类传染病患者、病原携带者、疑似患者或者新发传染病、突发原因不明的传染病，以及其他传染病暴发、流行时，隐瞒、谎报、漏报传染病疫情，或者干预的。</w:t>
            </w:r>
          </w:p>
        </w:tc>
        <w:tc>
          <w:tcPr>
            <w:tcW w:w="5208" w:type="dxa"/>
            <w:vAlign w:val="center"/>
          </w:tcPr>
          <w:p w14:paraId="2A5EC49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通报批评，可以并处五万元以上六万元以下罚款。</w:t>
            </w:r>
          </w:p>
        </w:tc>
      </w:tr>
      <w:tr w14:paraId="40FB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trPr>
        <w:tc>
          <w:tcPr>
            <w:tcW w:w="1560" w:type="dxa"/>
            <w:vMerge w:val="restart"/>
            <w:vAlign w:val="center"/>
          </w:tcPr>
          <w:p w14:paraId="6CDD7B11">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122" w:type="dxa"/>
            <w:vAlign w:val="center"/>
          </w:tcPr>
          <w:p w14:paraId="2615BC5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未按照规定报告传染病疫情，隐瞒、谎报、缓报、漏报传染病疫情，或者干预传染病疫情报告，造成丙类传染病传播或者有传播严重危险的。</w:t>
            </w:r>
          </w:p>
        </w:tc>
        <w:tc>
          <w:tcPr>
            <w:tcW w:w="5208" w:type="dxa"/>
            <w:shd w:val="clear" w:color="auto" w:fill="auto"/>
            <w:vAlign w:val="center"/>
          </w:tcPr>
          <w:p w14:paraId="6B0956EE">
            <w:pPr>
              <w:widowControl w:val="0"/>
              <w:adjustRightInd/>
              <w:snapToGrid/>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六万元以上七万元以下罚款，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tc>
      </w:tr>
      <w:tr w14:paraId="58B3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1560" w:type="dxa"/>
            <w:vMerge w:val="continue"/>
            <w:vAlign w:val="center"/>
          </w:tcPr>
          <w:p w14:paraId="325B6481">
            <w:pPr>
              <w:widowControl w:val="0"/>
              <w:spacing w:after="0" w:line="440" w:lineRule="exact"/>
              <w:jc w:val="center"/>
              <w:rPr>
                <w:rFonts w:ascii="Times New Roman" w:hAnsi="Times New Roman" w:eastAsia="仿宋" w:cs="Times New Roman"/>
                <w:b/>
                <w:bCs/>
                <w:color w:val="000000" w:themeColor="text1"/>
                <w:sz w:val="24"/>
                <w:szCs w:val="24"/>
                <w14:textFill>
                  <w14:solidFill>
                    <w14:schemeClr w14:val="tx1"/>
                  </w14:solidFill>
                </w14:textFill>
              </w:rPr>
            </w:pPr>
          </w:p>
        </w:tc>
        <w:tc>
          <w:tcPr>
            <w:tcW w:w="7122" w:type="dxa"/>
            <w:vAlign w:val="center"/>
          </w:tcPr>
          <w:p w14:paraId="48A3E88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未按照规定报告传染病疫情，隐瞒、谎报、缓报、漏报传染病疫情，或者干预传染病疫情报告，造成乙类传染病传播或者有传播严重危险的。</w:t>
            </w:r>
          </w:p>
        </w:tc>
        <w:tc>
          <w:tcPr>
            <w:tcW w:w="5208" w:type="dxa"/>
            <w:shd w:val="clear" w:color="auto" w:fill="auto"/>
            <w:vAlign w:val="center"/>
          </w:tcPr>
          <w:p w14:paraId="0D9DE1E6">
            <w:pPr>
              <w:widowControl w:val="0"/>
              <w:adjustRightInd/>
              <w:snapToGrid/>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七万元以上八万元以下罚款，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tc>
      </w:tr>
      <w:tr w14:paraId="4AD5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1560" w:type="dxa"/>
            <w:vMerge w:val="continue"/>
            <w:vAlign w:val="center"/>
          </w:tcPr>
          <w:p w14:paraId="0ADAB257">
            <w:pPr>
              <w:widowControl w:val="0"/>
              <w:spacing w:after="0" w:line="440" w:lineRule="exact"/>
              <w:jc w:val="center"/>
              <w:rPr>
                <w:rFonts w:ascii="Times New Roman" w:hAnsi="Times New Roman" w:eastAsia="仿宋" w:cs="Times New Roman"/>
                <w:b/>
                <w:bCs/>
                <w:color w:val="000000" w:themeColor="text1"/>
                <w:sz w:val="24"/>
                <w:szCs w:val="24"/>
                <w14:textFill>
                  <w14:solidFill>
                    <w14:schemeClr w14:val="tx1"/>
                  </w14:solidFill>
                </w14:textFill>
              </w:rPr>
            </w:pPr>
          </w:p>
        </w:tc>
        <w:tc>
          <w:tcPr>
            <w:tcW w:w="7122" w:type="dxa"/>
            <w:vAlign w:val="center"/>
          </w:tcPr>
          <w:p w14:paraId="7372820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未按照规定报告传染病疫情，隐瞒、谎报、缓报、漏报传染病疫情，或者干预传染病疫情报告，造成甲类传染病、新发传染病、突发原因不明的传染病传播或者有传播严重危险，以及其他传染病暴发、流行的。</w:t>
            </w:r>
          </w:p>
        </w:tc>
        <w:tc>
          <w:tcPr>
            <w:tcW w:w="5208" w:type="dxa"/>
            <w:vAlign w:val="center"/>
          </w:tcPr>
          <w:p w14:paraId="5F1C7714">
            <w:pPr>
              <w:widowControl w:val="0"/>
              <w:adjustRightInd/>
              <w:snapToGrid/>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八万元以上十万元以下罚款，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tc>
      </w:tr>
    </w:tbl>
    <w:p w14:paraId="533447A8">
      <w:pPr>
        <w:pStyle w:val="4"/>
        <w:widowControl w:val="0"/>
        <w:ind w:firstLine="640"/>
        <w:rPr>
          <w:b w:val="0"/>
          <w:color w:val="000000" w:themeColor="text1"/>
          <w14:textFill>
            <w14:solidFill>
              <w14:schemeClr w14:val="tx1"/>
            </w14:solidFill>
          </w14:textFill>
        </w:rPr>
      </w:pPr>
      <w:bookmarkStart w:id="177" w:name="_Toc7756"/>
      <w:bookmarkStart w:id="178" w:name="_Toc8481"/>
      <w:bookmarkStart w:id="179" w:name="_Toc10577"/>
      <w:bookmarkStart w:id="180" w:name="_Toc23222"/>
      <w:bookmarkStart w:id="181" w:name="_Toc5945"/>
      <w:bookmarkStart w:id="182" w:name="_Toc17117"/>
      <w:bookmarkStart w:id="183" w:name="_Toc13553"/>
      <w:bookmarkStart w:id="184" w:name="_Toc30831"/>
      <w:bookmarkStart w:id="185" w:name="_Toc10585"/>
      <w:bookmarkStart w:id="186" w:name="_Toc25839"/>
      <w:bookmarkStart w:id="187" w:name="_Toc16662"/>
      <w:r>
        <w:rPr>
          <w:rFonts w:hint="eastAsia"/>
          <w:color w:val="000000" w:themeColor="text1"/>
          <w14:textFill>
            <w14:solidFill>
              <w14:schemeClr w14:val="tx1"/>
            </w14:solidFill>
          </w14:textFill>
        </w:rPr>
        <w:t>第十二条</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医疗机构未按照规定对本机构内被传染病病原体污染的场所、物品以及医疗废物、医疗污水实施消毒或者无害化处置的</w:t>
      </w:r>
      <w:bookmarkEnd w:id="177"/>
      <w:bookmarkEnd w:id="178"/>
      <w:bookmarkEnd w:id="179"/>
      <w:bookmarkEnd w:id="180"/>
      <w:bookmarkEnd w:id="181"/>
      <w:bookmarkEnd w:id="182"/>
      <w:bookmarkEnd w:id="183"/>
      <w:bookmarkEnd w:id="184"/>
      <w:bookmarkEnd w:id="185"/>
      <w:bookmarkEnd w:id="186"/>
      <w:bookmarkEnd w:id="187"/>
    </w:p>
    <w:p w14:paraId="1520443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592E0915">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《中华人民共和国传染病防治法》第一百零四条第一款第（三）项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有下列情形之一的，由县级以上人民政府疾病预防控制部门责令改正，给予警告或者通报批评，可以并处十万元以下罚款；情节严重的，可以由原发证部门或者原备案部门依法吊销医疗机构执业许可证或者责令停止执业活动，对直接负责的主管人员和其他直接责任人员依法给予处分，并可以由原发证部门责令有关责任人员暂停六个月以上一年以下执业活动直至依法吊销执业证书：</w:t>
      </w:r>
    </w:p>
    <w:p w14:paraId="67BDD21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（三）未按照规定对本机构内被传染病病原体污染的场所、物品以及医疗废物、医疗污水实施消毒或者无害化处置。</w:t>
      </w:r>
    </w:p>
    <w:p w14:paraId="77F1A3C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第二十七条第二款 医疗机构应当严格执行国家规定的管理制度、操作规范，加强与医疗机构感染有关的危险因素监测、安全防护、消毒、隔离和医疗废物、医疗污水处置工作，防止传染病在医疗机构内的传播。</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0997D781">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第三十六条　对被传染病病原体污染的水、物品和场所，有关单位和个人应当在疾病预防控制机构的指导下或者按照其提出的卫生要求，进行科学严格消毒处理；拒绝消毒处理的，由当地疾病预防控制部门组织进行强制消毒处理。</w:t>
      </w:r>
    </w:p>
    <w:p w14:paraId="13235D96">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718"/>
        <w:gridCol w:w="5754"/>
      </w:tblGrid>
      <w:tr w14:paraId="02AF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77577C6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718" w:type="dxa"/>
            <w:vAlign w:val="center"/>
          </w:tcPr>
          <w:p w14:paraId="748CDC2D">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754" w:type="dxa"/>
            <w:vAlign w:val="center"/>
          </w:tcPr>
          <w:p w14:paraId="7AAD3AC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A90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restart"/>
            <w:vAlign w:val="center"/>
          </w:tcPr>
          <w:p w14:paraId="28DD449E">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较轻</w:t>
            </w:r>
          </w:p>
        </w:tc>
        <w:tc>
          <w:tcPr>
            <w:tcW w:w="6718" w:type="dxa"/>
            <w:vAlign w:val="center"/>
          </w:tcPr>
          <w:p w14:paraId="5D54CED4">
            <w:pPr>
              <w:widowControl w:val="0"/>
              <w:spacing w:after="0" w:line="320" w:lineRule="exact"/>
              <w:rPr>
                <w:rFonts w:hint="eastAsia" w:ascii="Times New Roman" w:hAnsi="Times New Roman" w:eastAsia="仿宋_GB2312" w:cs="Times New Roman"/>
                <w:b w:val="0"/>
                <w:bCs w:val="0"/>
                <w:color w:val="000000" w:themeColor="text1"/>
                <w:spacing w:val="-6"/>
                <w:sz w:val="24"/>
                <w:szCs w:val="22"/>
                <w14:textFill>
                  <w14:solidFill>
                    <w14:schemeClr w14:val="tx1"/>
                  </w14:solidFill>
                </w14:textFill>
              </w:rPr>
            </w:pPr>
            <w:r>
              <w:rPr>
                <w:rFonts w:hint="eastAsia" w:ascii="Times New Roman" w:hAnsi="Times New Roman" w:eastAsia="仿宋_GB2312" w:cs="Times New Roman"/>
                <w:bCs w:val="0"/>
                <w:color w:val="000000" w:themeColor="text1"/>
                <w:spacing w:val="-6"/>
                <w:sz w:val="24"/>
                <w:szCs w:val="22"/>
                <w14:textFill>
                  <w14:solidFill>
                    <w14:schemeClr w14:val="tx1"/>
                  </w14:solidFill>
                </w14:textFill>
              </w:rPr>
              <w:t>首次被发现未严格执行国家规定的管理制度、操作规范，对医疗废物、医疗污水进行无害化处置，单次医疗废物不足1公斤或者污水排放次数不超过1天，并未造成传染病传播等严重后果的。</w:t>
            </w:r>
          </w:p>
        </w:tc>
        <w:tc>
          <w:tcPr>
            <w:tcW w:w="5754" w:type="dxa"/>
            <w:vMerge w:val="restart"/>
            <w:vAlign w:val="center"/>
          </w:tcPr>
          <w:p w14:paraId="5260B01C">
            <w:pPr>
              <w:widowControl w:val="0"/>
              <w:spacing w:after="0" w:line="320" w:lineRule="exact"/>
              <w:jc w:val="lef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警告。</w:t>
            </w:r>
          </w:p>
        </w:tc>
      </w:tr>
      <w:tr w14:paraId="220B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continue"/>
            <w:vAlign w:val="center"/>
          </w:tcPr>
          <w:p w14:paraId="6900D6D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718" w:type="dxa"/>
            <w:vAlign w:val="center"/>
          </w:tcPr>
          <w:p w14:paraId="7155A0E4">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首次被发现未对被传染病病原体污染的场所、物品进行消毒，污染范围在1件物品或者1个相对独立场所，并未造成传染病传播等严重后果的。</w:t>
            </w:r>
          </w:p>
        </w:tc>
        <w:tc>
          <w:tcPr>
            <w:tcW w:w="5754" w:type="dxa"/>
            <w:vMerge w:val="continue"/>
            <w:vAlign w:val="center"/>
          </w:tcPr>
          <w:p w14:paraId="75138256">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p>
        </w:tc>
      </w:tr>
      <w:tr w14:paraId="66F7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restart"/>
            <w:vAlign w:val="center"/>
          </w:tcPr>
          <w:p w14:paraId="436A292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718" w:type="dxa"/>
            <w:vAlign w:val="center"/>
          </w:tcPr>
          <w:p w14:paraId="599A1366">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未严格执行国家规定的管理制度、操作规范，对医疗废物、医疗污水进行无害化处置，单次医疗废物1公斤以上3公斤以内或者污水排放次数1天以上3天以下的。</w:t>
            </w:r>
          </w:p>
        </w:tc>
        <w:tc>
          <w:tcPr>
            <w:tcW w:w="5754" w:type="dxa"/>
            <w:vAlign w:val="center"/>
          </w:tcPr>
          <w:p w14:paraId="3A43700F">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警告，并处一万元以下罚款。</w:t>
            </w:r>
          </w:p>
        </w:tc>
      </w:tr>
      <w:tr w14:paraId="354E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Merge w:val="continue"/>
            <w:vAlign w:val="center"/>
          </w:tcPr>
          <w:p w14:paraId="65636944">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718" w:type="dxa"/>
            <w:vAlign w:val="center"/>
          </w:tcPr>
          <w:p w14:paraId="220B30DA">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未对被丙类传染病病原体污染的场所、物品进行消毒的。</w:t>
            </w:r>
          </w:p>
        </w:tc>
        <w:tc>
          <w:tcPr>
            <w:tcW w:w="5754" w:type="dxa"/>
            <w:vAlign w:val="center"/>
          </w:tcPr>
          <w:p w14:paraId="01FF7568">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警告，并处一万元以上二万元以下罚款。</w:t>
            </w:r>
          </w:p>
        </w:tc>
      </w:tr>
      <w:tr w14:paraId="0938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continue"/>
            <w:vAlign w:val="center"/>
          </w:tcPr>
          <w:p w14:paraId="4A35625B">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718" w:type="dxa"/>
            <w:vAlign w:val="center"/>
          </w:tcPr>
          <w:p w14:paraId="1DEA2412">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未严格执行国家规定的管理制度、操作规范，对医疗废物、医疗污水进行无害化处置，单次医疗废物3公斤以上10公斤以内或者污水排放次数3天以上10天以下的。</w:t>
            </w:r>
          </w:p>
        </w:tc>
        <w:tc>
          <w:tcPr>
            <w:tcW w:w="5754" w:type="dxa"/>
            <w:vAlign w:val="center"/>
          </w:tcPr>
          <w:p w14:paraId="436C22AF">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警告，并处二万元以上三万元以下的罚款。</w:t>
            </w:r>
          </w:p>
        </w:tc>
      </w:tr>
      <w:tr w14:paraId="1CE9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continue"/>
            <w:vAlign w:val="center"/>
          </w:tcPr>
          <w:p w14:paraId="19F9646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718" w:type="dxa"/>
            <w:vAlign w:val="center"/>
          </w:tcPr>
          <w:p w14:paraId="11918802">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未对被乙类传染病病原体污染的场所、物品进行消毒的。</w:t>
            </w:r>
          </w:p>
        </w:tc>
        <w:tc>
          <w:tcPr>
            <w:tcW w:w="5754" w:type="dxa"/>
            <w:vAlign w:val="center"/>
          </w:tcPr>
          <w:p w14:paraId="368E631C">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警告，并处三万元以上四万元以下的罚款。</w:t>
            </w:r>
          </w:p>
        </w:tc>
      </w:tr>
      <w:tr w14:paraId="53B6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restart"/>
            <w:vAlign w:val="center"/>
          </w:tcPr>
          <w:p w14:paraId="7111A17D">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6718" w:type="dxa"/>
            <w:vAlign w:val="center"/>
          </w:tcPr>
          <w:p w14:paraId="46851FE6">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责令改正后，逾期未改正的。</w:t>
            </w:r>
          </w:p>
        </w:tc>
        <w:tc>
          <w:tcPr>
            <w:tcW w:w="5754" w:type="dxa"/>
            <w:vAlign w:val="center"/>
          </w:tcPr>
          <w:p w14:paraId="58F90884">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给予通报批评，并处四万元以上五万元以下的罚款。</w:t>
            </w:r>
          </w:p>
        </w:tc>
      </w:tr>
      <w:tr w14:paraId="123C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continue"/>
            <w:vAlign w:val="center"/>
          </w:tcPr>
          <w:p w14:paraId="1275510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718" w:type="dxa"/>
            <w:vAlign w:val="center"/>
          </w:tcPr>
          <w:p w14:paraId="41F8C362">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未严格执行国家规定的管理制度、操作规范，对医疗废物、医疗污水进行无害化处置，单次医疗废物10公斤以上或者污水排放次数10天以上的。</w:t>
            </w:r>
          </w:p>
        </w:tc>
        <w:tc>
          <w:tcPr>
            <w:tcW w:w="5754" w:type="dxa"/>
            <w:vAlign w:val="center"/>
          </w:tcPr>
          <w:p w14:paraId="30DD57FE">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给予通报批评，并处五万元以上六万元以下的罚款。</w:t>
            </w:r>
          </w:p>
        </w:tc>
      </w:tr>
      <w:tr w14:paraId="36CE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continue"/>
            <w:vAlign w:val="center"/>
          </w:tcPr>
          <w:p w14:paraId="72B9A02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718" w:type="dxa"/>
            <w:vAlign w:val="center"/>
          </w:tcPr>
          <w:p w14:paraId="15D64B01">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未对被甲类传染病病原体污染的场所、物品进行消毒，并未造成传染病传播等严重后果的。</w:t>
            </w:r>
          </w:p>
        </w:tc>
        <w:tc>
          <w:tcPr>
            <w:tcW w:w="5754" w:type="dxa"/>
            <w:vAlign w:val="center"/>
          </w:tcPr>
          <w:p w14:paraId="7999A8D2">
            <w:pPr>
              <w:widowControl w:val="0"/>
              <w:spacing w:after="0" w:line="320" w:lineRule="exact"/>
              <w:jc w:val="lef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给予通报批评，并处六万元以上七万元以下的罚款。</w:t>
            </w:r>
          </w:p>
        </w:tc>
      </w:tr>
      <w:tr w14:paraId="146E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18" w:type="dxa"/>
            <w:vMerge w:val="restart"/>
            <w:vAlign w:val="center"/>
          </w:tcPr>
          <w:p w14:paraId="273B490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718" w:type="dxa"/>
            <w:vAlign w:val="center"/>
          </w:tcPr>
          <w:p w14:paraId="64E397DC">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未按照规定对本机构内被传染病病原体污染的场所、物品以及医疗废物、医疗污水实施消毒或者无害化处置，导致丙类传染病院内传播等严重后果的。</w:t>
            </w:r>
          </w:p>
        </w:tc>
        <w:tc>
          <w:tcPr>
            <w:tcW w:w="5754" w:type="dxa"/>
            <w:vAlign w:val="center"/>
          </w:tcPr>
          <w:p w14:paraId="6E48AC96">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给予通报批评，并处七万元以上八万元以下的罚款，由原发证部门或者原备案部门依法吊销医疗机构执业许可证或者责令停止执业活动，由原发证部门责令有关责任人员暂停6个月以上9个月以下执业活动。</w:t>
            </w:r>
          </w:p>
        </w:tc>
      </w:tr>
      <w:tr w14:paraId="5F65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18" w:type="dxa"/>
            <w:vMerge w:val="continue"/>
            <w:vAlign w:val="center"/>
          </w:tcPr>
          <w:p w14:paraId="6CDE36F3">
            <w:pPr>
              <w:widowControl w:val="0"/>
              <w:spacing w:after="0" w:line="28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718" w:type="dxa"/>
            <w:vAlign w:val="center"/>
          </w:tcPr>
          <w:p w14:paraId="5A544F71">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未按照规定对本机构内被传染病病原体污染的场所、物品以及医疗废物、医疗污水实施消毒或者无害化处置，导致乙类传染病院内传播等严重后果的。</w:t>
            </w:r>
          </w:p>
        </w:tc>
        <w:tc>
          <w:tcPr>
            <w:tcW w:w="5754" w:type="dxa"/>
            <w:vAlign w:val="center"/>
          </w:tcPr>
          <w:p w14:paraId="010E0FB0">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给予通报批评，并处八万元以上九万元以下的罚款，由原发证部门或者原备案部门依法吊销医疗机构执业许可证或者责令停止执业活动，由原发证部门责令有关责任人员暂停9个月以上1年以下执业活动。</w:t>
            </w:r>
          </w:p>
        </w:tc>
      </w:tr>
      <w:tr w14:paraId="765E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18" w:type="dxa"/>
            <w:vMerge w:val="continue"/>
            <w:vAlign w:val="center"/>
          </w:tcPr>
          <w:p w14:paraId="6E405ED7">
            <w:pPr>
              <w:widowControl w:val="0"/>
              <w:spacing w:after="0" w:line="28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718" w:type="dxa"/>
            <w:vAlign w:val="center"/>
          </w:tcPr>
          <w:p w14:paraId="769184A8">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未按照规定对本机构内被传染病病原体污染的场所、物品以及医疗废物、医疗污水实施消毒或者无害化处置，导致甲类传染病院内传播等严重后果的。</w:t>
            </w:r>
          </w:p>
        </w:tc>
        <w:tc>
          <w:tcPr>
            <w:tcW w:w="5754" w:type="dxa"/>
            <w:vAlign w:val="center"/>
          </w:tcPr>
          <w:p w14:paraId="51A84E44">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给予通报批评，并处九万元以上十万元以下的罚款，由原发证部门或者原备案部门依法吊销医疗机构执业许可证或者责令停止执业活动，由原发证部门责令有关责任人员依法吊销执业证书。</w:t>
            </w:r>
          </w:p>
        </w:tc>
      </w:tr>
    </w:tbl>
    <w:p w14:paraId="3A02CA48">
      <w:pPr>
        <w:pStyle w:val="4"/>
        <w:widowControl w:val="0"/>
        <w:ind w:firstLine="640"/>
        <w:rPr>
          <w:color w:val="000000" w:themeColor="text1"/>
          <w14:textFill>
            <w14:solidFill>
              <w14:schemeClr w14:val="tx1"/>
            </w14:solidFill>
          </w14:textFill>
        </w:rPr>
      </w:pPr>
      <w:bookmarkStart w:id="188" w:name="_Toc15451"/>
      <w:bookmarkStart w:id="189" w:name="_Toc6427"/>
      <w:bookmarkStart w:id="190" w:name="_Toc4750"/>
      <w:bookmarkStart w:id="191" w:name="_Toc2311"/>
      <w:bookmarkStart w:id="192" w:name="_Toc4996"/>
      <w:bookmarkStart w:id="193" w:name="_Toc19599"/>
      <w:bookmarkStart w:id="194" w:name="_Toc10891"/>
      <w:bookmarkStart w:id="195" w:name="_Toc19236"/>
      <w:bookmarkStart w:id="196" w:name="_Toc19227"/>
      <w:bookmarkStart w:id="197" w:name="_Toc31359"/>
      <w:bookmarkStart w:id="198" w:name="_Toc30232"/>
      <w:r>
        <w:rPr>
          <w:rFonts w:hint="eastAsia"/>
          <w:color w:val="000000" w:themeColor="text1"/>
          <w14:textFill>
            <w14:solidFill>
              <w14:schemeClr w14:val="tx1"/>
            </w14:solidFill>
          </w14:textFill>
        </w:rPr>
        <w:t>第十三条</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医疗机构发现传染病疫情时，未按照规定对传染病患者、疑似患者提供医疗救护、现场救援、接诊治疗、转诊，或者拒绝接受转诊的</w:t>
      </w:r>
      <w:bookmarkEnd w:id="188"/>
      <w:bookmarkEnd w:id="189"/>
      <w:bookmarkEnd w:id="190"/>
      <w:bookmarkEnd w:id="191"/>
      <w:bookmarkEnd w:id="192"/>
      <w:bookmarkEnd w:id="193"/>
      <w:bookmarkEnd w:id="194"/>
      <w:bookmarkEnd w:id="195"/>
      <w:bookmarkEnd w:id="196"/>
      <w:bookmarkEnd w:id="197"/>
      <w:bookmarkEnd w:id="198"/>
    </w:p>
    <w:p w14:paraId="3961B21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6A114C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《中华人民共和国传染病防治法》第一百零四条第二款第（一）项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医疗机构有下列情形之一的，由县级以上人民政府疾病预防控制部门责令改正，给予警告或者通报批评，可以并处十万元以下罚款，对直接负责的主管人员和其他直接责任人员依法给予处分：</w:t>
      </w:r>
    </w:p>
    <w:p w14:paraId="4C53BE4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违反本法规定，医疗机构有下列情形之一的，由县级以上人民政府卫生健康主管部门依照前款规定给予行政处罚，对直接负责的主管人员和其他直接责任人员依法给予处分：</w:t>
      </w:r>
    </w:p>
    <w:p w14:paraId="0AC56AD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（一）发现传染病疫情时，未按照规定对传染病患者、疑似患者提供医疗救护、现场救援、接诊治疗、转诊，或者拒绝接受转诊；</w:t>
      </w:r>
    </w:p>
    <w:p w14:paraId="57A3083D">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53"/>
        <w:gridCol w:w="4819"/>
      </w:tblGrid>
      <w:tr w14:paraId="66CE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114A796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3" w:type="dxa"/>
            <w:vAlign w:val="center"/>
          </w:tcPr>
          <w:p w14:paraId="0F554C5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19" w:type="dxa"/>
            <w:vAlign w:val="center"/>
          </w:tcPr>
          <w:p w14:paraId="2C9216D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595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restart"/>
            <w:vAlign w:val="center"/>
          </w:tcPr>
          <w:p w14:paraId="3F527C7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653" w:type="dxa"/>
            <w:vAlign w:val="center"/>
          </w:tcPr>
          <w:p w14:paraId="75906024">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未对传染病患者、疑似患者提供医疗救护、现场救援和接诊治疗，首次发现的。</w:t>
            </w:r>
          </w:p>
        </w:tc>
        <w:tc>
          <w:tcPr>
            <w:tcW w:w="4819" w:type="dxa"/>
            <w:vMerge w:val="restart"/>
            <w:vAlign w:val="center"/>
          </w:tcPr>
          <w:p w14:paraId="6715A0B8">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警告，处三万元以下罚款。</w:t>
            </w:r>
          </w:p>
        </w:tc>
      </w:tr>
      <w:tr w14:paraId="6B25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18" w:type="dxa"/>
            <w:vMerge w:val="continue"/>
            <w:vAlign w:val="center"/>
          </w:tcPr>
          <w:p w14:paraId="08596D1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7976A1B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bCs w:val="0"/>
                <w:color w:val="000000" w:themeColor="text1"/>
                <w:sz w:val="24"/>
                <w:szCs w:val="22"/>
                <w14:textFill>
                  <w14:solidFill>
                    <w14:schemeClr w14:val="tx1"/>
                  </w14:solidFill>
                </w14:textFill>
              </w:rPr>
              <w:t>不具备相应救治能力的，未将传染病患者、疑似患者及其病历记录一并转至具备相应救治能力的医疗机构的。</w:t>
            </w:r>
          </w:p>
        </w:tc>
        <w:tc>
          <w:tcPr>
            <w:tcW w:w="4819" w:type="dxa"/>
            <w:vMerge w:val="continue"/>
            <w:vAlign w:val="center"/>
          </w:tcPr>
          <w:p w14:paraId="4372568F">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p>
        </w:tc>
      </w:tr>
      <w:tr w14:paraId="358E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418" w:type="dxa"/>
            <w:vAlign w:val="center"/>
          </w:tcPr>
          <w:p w14:paraId="75BDDA32">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653" w:type="dxa"/>
            <w:vAlign w:val="center"/>
          </w:tcPr>
          <w:p w14:paraId="603C7F02">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未按照规定对传染病患者、疑似患者提供医疗救护、现场救援、接诊治疗、转诊，或者拒绝接受转诊，</w:t>
            </w:r>
            <w:r>
              <w:rPr>
                <w:rFonts w:hint="eastAsia" w:ascii="Times New Roman" w:hAnsi="Times New Roman" w:eastAsia="仿宋_GB2312" w:cs="Times New Roman"/>
                <w:bCs w:val="0"/>
                <w:color w:val="000000" w:themeColor="text1"/>
                <w:sz w:val="24"/>
                <w:szCs w:val="22"/>
                <w14:textFill>
                  <w14:solidFill>
                    <w14:schemeClr w14:val="tx1"/>
                  </w14:solidFill>
                </w14:textFill>
              </w:rPr>
              <w:t>经责令改正逾期不改正的。</w:t>
            </w:r>
          </w:p>
        </w:tc>
        <w:tc>
          <w:tcPr>
            <w:tcW w:w="4819" w:type="dxa"/>
            <w:vAlign w:val="center"/>
          </w:tcPr>
          <w:p w14:paraId="75E7AB67">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通报批评，处三万元以上六万元以下罚款。</w:t>
            </w:r>
          </w:p>
        </w:tc>
      </w:tr>
      <w:tr w14:paraId="6779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Align w:val="center"/>
          </w:tcPr>
          <w:p w14:paraId="4299A2F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653" w:type="dxa"/>
            <w:vAlign w:val="center"/>
          </w:tcPr>
          <w:p w14:paraId="5B0773F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未按照规定对传染病患者、疑似患者提供医疗救护、现场救援、接诊治疗、转诊，或者拒绝接受转诊，造成传染病流行或者人员死亡或其他严重后果的。</w:t>
            </w:r>
          </w:p>
        </w:tc>
        <w:tc>
          <w:tcPr>
            <w:tcW w:w="4819" w:type="dxa"/>
            <w:vAlign w:val="center"/>
          </w:tcPr>
          <w:p w14:paraId="524BB10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通报批评，处六万元以上十万元以下罚款。</w:t>
            </w:r>
          </w:p>
        </w:tc>
      </w:tr>
    </w:tbl>
    <w:p w14:paraId="41DE9526">
      <w:pPr>
        <w:pStyle w:val="4"/>
        <w:widowControl w:val="0"/>
        <w:ind w:firstLine="640"/>
        <w:rPr>
          <w:color w:val="000000" w:themeColor="text1"/>
          <w14:textFill>
            <w14:solidFill>
              <w14:schemeClr w14:val="tx1"/>
            </w14:solidFill>
          </w14:textFill>
        </w:rPr>
      </w:pPr>
      <w:bookmarkStart w:id="199" w:name="_Toc12123"/>
      <w:bookmarkStart w:id="200" w:name="_Toc4360"/>
      <w:bookmarkStart w:id="201" w:name="_Toc7938"/>
      <w:bookmarkStart w:id="202" w:name="_Toc2592"/>
      <w:bookmarkStart w:id="203" w:name="_Toc22538"/>
      <w:bookmarkStart w:id="204" w:name="_Toc4608"/>
      <w:bookmarkStart w:id="205" w:name="_Toc4644"/>
      <w:bookmarkStart w:id="206" w:name="_Toc20873"/>
      <w:bookmarkStart w:id="207" w:name="_Toc28987"/>
      <w:bookmarkStart w:id="208" w:name="_Toc28580"/>
      <w:bookmarkStart w:id="209" w:name="_Toc28437"/>
      <w:r>
        <w:rPr>
          <w:rFonts w:hint="eastAsia"/>
          <w:color w:val="000000" w:themeColor="text1"/>
          <w14:textFill>
            <w14:solidFill>
              <w14:schemeClr w14:val="tx1"/>
            </w14:solidFill>
          </w14:textFill>
        </w:rPr>
        <w:t>第十四条 医疗机构未遵守国家有关规定，导致因输入血液、使用血液制品引起经血液传播疾病的发生的</w:t>
      </w:r>
      <w:bookmarkEnd w:id="199"/>
      <w:bookmarkEnd w:id="200"/>
      <w:bookmarkEnd w:id="201"/>
      <w:bookmarkEnd w:id="202"/>
      <w:bookmarkEnd w:id="203"/>
      <w:bookmarkEnd w:id="204"/>
      <w:bookmarkEnd w:id="205"/>
      <w:bookmarkEnd w:id="206"/>
      <w:bookmarkEnd w:id="207"/>
      <w:bookmarkEnd w:id="208"/>
      <w:bookmarkEnd w:id="209"/>
    </w:p>
    <w:p w14:paraId="7FF38EE1">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1F26B43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《中华人民共和国传染病防治法》第一百零四条第二款第（二）项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医疗机构有下列情形之一的，由县级以上人民政府卫生健康主管部门责令改正，给予警告或者通报批评，可以并处十万元以下罚款，对直接负责的主管人员和其他直接责任人员依法给予处分：</w:t>
      </w:r>
    </w:p>
    <w:p w14:paraId="286B07EE">
      <w:pPr>
        <w:pStyle w:val="63"/>
        <w:widowControl w:val="0"/>
        <w:spacing w:after="0" w:line="440" w:lineRule="atLeast"/>
        <w:ind w:left="374" w:right="374"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违反本法规定，医疗机构有下列情形之一的，由县级以上人民政府卫生健康主管部门依照前款规定给予行政处罚，对直接负责的主管人员和其他直接责任人员依法给予处分：</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2368A08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（二）未遵守国家有关规定，导致因输入血液、使用血液制品引起经血液传播疾病的发生。</w:t>
      </w:r>
    </w:p>
    <w:p w14:paraId="7CBCFA3C">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834"/>
        <w:gridCol w:w="4638"/>
      </w:tblGrid>
      <w:tr w14:paraId="38DB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418" w:type="dxa"/>
            <w:vAlign w:val="center"/>
          </w:tcPr>
          <w:p w14:paraId="36FA7E9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34" w:type="dxa"/>
            <w:vAlign w:val="center"/>
          </w:tcPr>
          <w:p w14:paraId="35960DC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638" w:type="dxa"/>
            <w:vAlign w:val="center"/>
          </w:tcPr>
          <w:p w14:paraId="3B068EF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9A6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18" w:type="dxa"/>
            <w:vAlign w:val="center"/>
          </w:tcPr>
          <w:p w14:paraId="1C09486B">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834" w:type="dxa"/>
            <w:shd w:val="clear" w:color="auto" w:fill="auto"/>
            <w:vAlign w:val="center"/>
          </w:tcPr>
          <w:p w14:paraId="5EBF05E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发现未遵守国家有关规定，导致因输入血液、使用血液制品引起经血液传播的丙类、乙类传染病（艾滋病除外）传播，三人以下，首次发现的。</w:t>
            </w:r>
          </w:p>
        </w:tc>
        <w:tc>
          <w:tcPr>
            <w:tcW w:w="4638" w:type="dxa"/>
            <w:vAlign w:val="center"/>
          </w:tcPr>
          <w:p w14:paraId="648B8BB2">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警告，处一万元以下罚款。</w:t>
            </w:r>
          </w:p>
        </w:tc>
      </w:tr>
      <w:tr w14:paraId="5DBE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restart"/>
            <w:vAlign w:val="center"/>
          </w:tcPr>
          <w:p w14:paraId="7B448551">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834" w:type="dxa"/>
            <w:shd w:val="clear" w:color="auto" w:fill="auto"/>
            <w:vAlign w:val="center"/>
          </w:tcPr>
          <w:p w14:paraId="4FB4233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发现未遵守国家有关规定，导致因输入血液、使用血液制品引起经血液传播的丙类、乙类传染病（艾滋病除外）传播，三人以上的。</w:t>
            </w:r>
          </w:p>
        </w:tc>
        <w:tc>
          <w:tcPr>
            <w:tcW w:w="4638" w:type="dxa"/>
            <w:vAlign w:val="center"/>
          </w:tcPr>
          <w:p w14:paraId="397293C7">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通报，处一万元以上三万元以下罚款。</w:t>
            </w:r>
          </w:p>
        </w:tc>
      </w:tr>
      <w:tr w14:paraId="3E3E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18" w:type="dxa"/>
            <w:vMerge w:val="continue"/>
            <w:vAlign w:val="center"/>
          </w:tcPr>
          <w:p w14:paraId="2FCEDC9A">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834" w:type="dxa"/>
            <w:vAlign w:val="center"/>
          </w:tcPr>
          <w:p w14:paraId="6B8E6E5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发现未遵守国家有关规定，导致因输入血液、使用血液制品引起经血液传播的丙类、乙类传染病（艾滋病除外）传播，经责令改正后逾期不改正</w:t>
            </w:r>
          </w:p>
        </w:tc>
        <w:tc>
          <w:tcPr>
            <w:tcW w:w="4638" w:type="dxa"/>
            <w:vAlign w:val="center"/>
          </w:tcPr>
          <w:p w14:paraId="33445CA0">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通报，处三万元以上五万元以下罚款。</w:t>
            </w:r>
          </w:p>
        </w:tc>
      </w:tr>
      <w:tr w14:paraId="3FF1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continue"/>
            <w:vAlign w:val="center"/>
          </w:tcPr>
          <w:p w14:paraId="673AB0C2">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834" w:type="dxa"/>
            <w:vAlign w:val="center"/>
          </w:tcPr>
          <w:p w14:paraId="7C00BCC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未遵守国家有关规定，导致因输入血液、使用血液制品引起艾滋病血液传播，三人以下的。</w:t>
            </w:r>
          </w:p>
        </w:tc>
        <w:tc>
          <w:tcPr>
            <w:tcW w:w="4638" w:type="dxa"/>
            <w:vAlign w:val="center"/>
          </w:tcPr>
          <w:p w14:paraId="721DA119">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通报，处五万元以上七万元以下罚款。</w:t>
            </w:r>
          </w:p>
        </w:tc>
      </w:tr>
      <w:tr w14:paraId="2937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restart"/>
            <w:vAlign w:val="center"/>
          </w:tcPr>
          <w:p w14:paraId="2AE8D52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834" w:type="dxa"/>
            <w:vAlign w:val="center"/>
          </w:tcPr>
          <w:p w14:paraId="58F39CF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未遵守国家有关规定，导致因输入血液、使用血液制品引起艾滋病血液传播，三人以上的，</w:t>
            </w:r>
          </w:p>
        </w:tc>
        <w:tc>
          <w:tcPr>
            <w:tcW w:w="4638" w:type="dxa"/>
            <w:vAlign w:val="center"/>
          </w:tcPr>
          <w:p w14:paraId="2F9A00C9">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通报，处七万元以上九万元以下罚款。</w:t>
            </w:r>
          </w:p>
        </w:tc>
      </w:tr>
      <w:tr w14:paraId="733A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continue"/>
            <w:vAlign w:val="center"/>
          </w:tcPr>
          <w:p w14:paraId="0B011D6A">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834" w:type="dxa"/>
            <w:vAlign w:val="center"/>
          </w:tcPr>
          <w:p w14:paraId="152FE5C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未遵守国家有关规定，导致因输入血液、使用血液制品引起经血液传播疾病传染病暴发、流行，或者造成病人残疾、死亡等严重后果的。</w:t>
            </w:r>
          </w:p>
        </w:tc>
        <w:tc>
          <w:tcPr>
            <w:tcW w:w="4638" w:type="dxa"/>
            <w:vAlign w:val="center"/>
          </w:tcPr>
          <w:p w14:paraId="4F691924">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通报，处九万元以上十万元以下罚款。</w:t>
            </w:r>
          </w:p>
        </w:tc>
      </w:tr>
    </w:tbl>
    <w:p w14:paraId="5302BD08">
      <w:pPr>
        <w:pStyle w:val="4"/>
        <w:widowControl w:val="0"/>
        <w:ind w:firstLine="640"/>
        <w:rPr>
          <w:color w:val="000000" w:themeColor="text1"/>
          <w14:textFill>
            <w14:solidFill>
              <w14:schemeClr w14:val="tx1"/>
            </w14:solidFill>
          </w14:textFill>
        </w:rPr>
      </w:pPr>
      <w:bookmarkStart w:id="210" w:name="_Toc32080"/>
      <w:bookmarkStart w:id="211" w:name="_Toc2660"/>
      <w:bookmarkStart w:id="212" w:name="_Toc25561"/>
      <w:bookmarkStart w:id="213" w:name="_Toc16047"/>
      <w:bookmarkStart w:id="214" w:name="_Toc3323"/>
      <w:bookmarkStart w:id="215" w:name="_Toc23891"/>
      <w:bookmarkStart w:id="216" w:name="_Toc7490"/>
      <w:bookmarkStart w:id="217" w:name="_Toc5150"/>
      <w:bookmarkStart w:id="218" w:name="_Toc28550"/>
      <w:bookmarkStart w:id="219" w:name="_Toc16597"/>
      <w:bookmarkStart w:id="220" w:name="_Toc19655"/>
      <w:r>
        <w:rPr>
          <w:rFonts w:hint="eastAsia"/>
          <w:color w:val="000000" w:themeColor="text1"/>
          <w14:textFill>
            <w14:solidFill>
              <w14:schemeClr w14:val="tx1"/>
            </w14:solidFill>
          </w14:textFill>
        </w:rPr>
        <w:t>第十五条 采供血机构未按照规定报告传染病疫情，隐瞒、谎报、缓报、漏报传染病疫情，或者干预传染病疫情报告的</w:t>
      </w:r>
      <w:bookmarkEnd w:id="210"/>
      <w:bookmarkEnd w:id="211"/>
      <w:bookmarkEnd w:id="212"/>
      <w:bookmarkEnd w:id="213"/>
      <w:bookmarkEnd w:id="214"/>
      <w:bookmarkEnd w:id="215"/>
      <w:bookmarkEnd w:id="216"/>
      <w:bookmarkEnd w:id="217"/>
      <w:bookmarkEnd w:id="218"/>
      <w:bookmarkEnd w:id="219"/>
      <w:bookmarkEnd w:id="220"/>
    </w:p>
    <w:p w14:paraId="1A6525E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C42663C">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《中华人民共和国传染病防治法》第一百零五条第一款 违反本法规定，采供血机构未按照规定报告传染病疫情，隐瞒、谎报、缓报、漏报传染病疫情，或者干预传染病疫情报告的，由县级以上人民政府疾病预防控制部门责令改正，给予警告或者通报批评，可以并处十万元以下罚款；情节严重的，可以由原发证部门依法吊销采供血机构的执业许可证，对直接负责的主管人员和其他直接责任人员依法给予处分，并可以由原发证部门责令有关责任人员暂停六个月以上一年以下执业活动直至依法吊销执业证书。</w:t>
      </w:r>
    </w:p>
    <w:p w14:paraId="69F9F1C1">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122"/>
        <w:gridCol w:w="5208"/>
      </w:tblGrid>
      <w:tr w14:paraId="4741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vAlign w:val="center"/>
          </w:tcPr>
          <w:p w14:paraId="4A02520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122" w:type="dxa"/>
            <w:vAlign w:val="center"/>
          </w:tcPr>
          <w:p w14:paraId="71F5D1B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208" w:type="dxa"/>
            <w:vAlign w:val="center"/>
          </w:tcPr>
          <w:p w14:paraId="0988BEC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B12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60" w:type="dxa"/>
            <w:vMerge w:val="restart"/>
            <w:vAlign w:val="center"/>
          </w:tcPr>
          <w:p w14:paraId="45411F1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122" w:type="dxa"/>
            <w:vAlign w:val="center"/>
          </w:tcPr>
          <w:p w14:paraId="22729283">
            <w:pPr>
              <w:widowControl w:val="0"/>
              <w:spacing w:after="0" w:line="320" w:lineRule="exac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采供血机构及其执行职务的人员发现丙类传染病患者时，没有在二十四小时内进行网络直报的。</w:t>
            </w:r>
          </w:p>
        </w:tc>
        <w:tc>
          <w:tcPr>
            <w:tcW w:w="5208" w:type="dxa"/>
            <w:vAlign w:val="center"/>
          </w:tcPr>
          <w:p w14:paraId="23E34C1B">
            <w:pPr>
              <w:widowControl w:val="0"/>
              <w:spacing w:after="0" w:line="320" w:lineRule="exact"/>
              <w:jc w:val="left"/>
              <w:rPr>
                <w:rFonts w:hint="eastAsia" w:ascii="Times New Roman" w:hAnsi="Times New Roman" w:eastAsia="仿宋_GB2312" w:cs="Times New Roman"/>
                <w:b w:val="0"/>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警告，一万元以下的罚款。</w:t>
            </w:r>
          </w:p>
        </w:tc>
      </w:tr>
      <w:tr w14:paraId="4139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560" w:type="dxa"/>
            <w:vMerge w:val="continue"/>
            <w:vAlign w:val="center"/>
          </w:tcPr>
          <w:p w14:paraId="3B11A9B0">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122" w:type="dxa"/>
            <w:vAlign w:val="center"/>
          </w:tcPr>
          <w:p w14:paraId="7B55C8D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采供血机构及其执行职务的人员发现乙类传染病患者、疑似患者或者国务院疾病预防控制部门规定需要报告的乙类传染病病原携带者时，没有在二十四小时内进行网络直报的。</w:t>
            </w:r>
          </w:p>
        </w:tc>
        <w:tc>
          <w:tcPr>
            <w:tcW w:w="5208" w:type="dxa"/>
            <w:vAlign w:val="center"/>
          </w:tcPr>
          <w:p w14:paraId="2F107F2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警告，可以并处一万以上两万元以下罚款。</w:t>
            </w:r>
          </w:p>
        </w:tc>
      </w:tr>
      <w:tr w14:paraId="790A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560" w:type="dxa"/>
            <w:vMerge w:val="continue"/>
            <w:vAlign w:val="center"/>
          </w:tcPr>
          <w:p w14:paraId="6B9034F4">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122" w:type="dxa"/>
            <w:vAlign w:val="center"/>
          </w:tcPr>
          <w:p w14:paraId="3D03491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采供血机构及其执行职务的人员发现甲类传染病患者、病原携带者、疑似患者或者新发传染病、突发原因不明的传染病，以及其他传染病暴发、流行时，没有在两小时内进行网络直报的。</w:t>
            </w:r>
          </w:p>
        </w:tc>
        <w:tc>
          <w:tcPr>
            <w:tcW w:w="5208" w:type="dxa"/>
            <w:vAlign w:val="center"/>
          </w:tcPr>
          <w:p w14:paraId="13586A2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警告，可以并处二万元以上三万元以下罚款。</w:t>
            </w:r>
          </w:p>
        </w:tc>
      </w:tr>
      <w:tr w14:paraId="01C6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60" w:type="dxa"/>
            <w:vMerge w:val="restart"/>
            <w:vAlign w:val="center"/>
          </w:tcPr>
          <w:p w14:paraId="0944BB92">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122" w:type="dxa"/>
            <w:vAlign w:val="center"/>
          </w:tcPr>
          <w:p w14:paraId="1C88E21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采供血机构及其执行职务的人员发现丙类传染病患者时，隐瞒、谎报、漏报传染病疫情，或者干预的。</w:t>
            </w:r>
          </w:p>
        </w:tc>
        <w:tc>
          <w:tcPr>
            <w:tcW w:w="5208" w:type="dxa"/>
            <w:vAlign w:val="center"/>
          </w:tcPr>
          <w:p w14:paraId="6C7D03C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通报批评，可以并处三万元以上四万元以下罚款。</w:t>
            </w:r>
          </w:p>
        </w:tc>
      </w:tr>
      <w:tr w14:paraId="499E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60" w:type="dxa"/>
            <w:vMerge w:val="continue"/>
            <w:vAlign w:val="center"/>
          </w:tcPr>
          <w:p w14:paraId="4A893F7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122" w:type="dxa"/>
            <w:vAlign w:val="center"/>
          </w:tcPr>
          <w:p w14:paraId="5555471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采供血机构及其执行职务的人员发现乙类传染病患者、疑似患者或者国务院疾病预防控制部门规定需要报告的乙类传染病病原携带者时，隐瞒、谎报、漏报传染病疫情，或者干预的。</w:t>
            </w:r>
          </w:p>
        </w:tc>
        <w:tc>
          <w:tcPr>
            <w:tcW w:w="5208" w:type="dxa"/>
            <w:vAlign w:val="center"/>
          </w:tcPr>
          <w:p w14:paraId="0C2FB37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通报批评，可以并处四万元以上五万元以下罚款。</w:t>
            </w:r>
          </w:p>
        </w:tc>
      </w:tr>
      <w:tr w14:paraId="3F72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60" w:type="dxa"/>
            <w:vMerge w:val="continue"/>
            <w:vAlign w:val="center"/>
          </w:tcPr>
          <w:p w14:paraId="513B4B9B">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122" w:type="dxa"/>
            <w:vAlign w:val="center"/>
          </w:tcPr>
          <w:p w14:paraId="525CF843">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采供血机构及其执行职务的人员发现甲类传染病患者、病原携带者、疑似患者或者新发传染病、突发原因不明的传染病，以及其他传染病暴发、流行时，隐瞒、谎报、漏报传染病疫情，或者干预的。</w:t>
            </w:r>
          </w:p>
        </w:tc>
        <w:tc>
          <w:tcPr>
            <w:tcW w:w="5208" w:type="dxa"/>
            <w:vAlign w:val="center"/>
          </w:tcPr>
          <w:p w14:paraId="67A96CD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通报批评，可以并处五万元以上六万元以下罚款。</w:t>
            </w:r>
          </w:p>
        </w:tc>
      </w:tr>
      <w:tr w14:paraId="4440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560" w:type="dxa"/>
            <w:vMerge w:val="restart"/>
            <w:vAlign w:val="center"/>
          </w:tcPr>
          <w:p w14:paraId="486E849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122" w:type="dxa"/>
            <w:vAlign w:val="center"/>
          </w:tcPr>
          <w:p w14:paraId="5C37506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未按照规定报告传染病疫情，隐瞒、谎报、缓报、漏报传染病疫情，或者干预传染病疫情报告，造成丙类传染病传播或者有传播严重危险的。</w:t>
            </w:r>
          </w:p>
        </w:tc>
        <w:tc>
          <w:tcPr>
            <w:tcW w:w="5208" w:type="dxa"/>
            <w:shd w:val="clear" w:color="auto" w:fill="auto"/>
            <w:vAlign w:val="center"/>
          </w:tcPr>
          <w:p w14:paraId="54AC6844">
            <w:pPr>
              <w:widowControl w:val="0"/>
              <w:adjustRightInd/>
              <w:snapToGrid/>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六万元以上七万元以下罚款，可以由原发证部门或者原备案部门依法吊销医疗机构执业许可证或者责令停止执业活动，对直接负责的主管人员和其他直接责任人员依法给予处分，并可以由原发证部门责令有关责任人员暂停六个月以上八个月以下执业活动直至依法吊销执业证书。</w:t>
            </w:r>
          </w:p>
        </w:tc>
      </w:tr>
      <w:tr w14:paraId="6F00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560" w:type="dxa"/>
            <w:vMerge w:val="continue"/>
            <w:vAlign w:val="center"/>
          </w:tcPr>
          <w:p w14:paraId="14536FBE">
            <w:pPr>
              <w:widowControl w:val="0"/>
              <w:spacing w:after="0" w:line="440" w:lineRule="exact"/>
              <w:jc w:val="center"/>
              <w:rPr>
                <w:rFonts w:ascii="Times New Roman" w:hAnsi="Times New Roman" w:eastAsia="仿宋" w:cs="Times New Roman"/>
                <w:b/>
                <w:bCs/>
                <w:color w:val="000000" w:themeColor="text1"/>
                <w:sz w:val="24"/>
                <w:szCs w:val="24"/>
                <w14:textFill>
                  <w14:solidFill>
                    <w14:schemeClr w14:val="tx1"/>
                  </w14:solidFill>
                </w14:textFill>
              </w:rPr>
            </w:pPr>
          </w:p>
        </w:tc>
        <w:tc>
          <w:tcPr>
            <w:tcW w:w="7122" w:type="dxa"/>
            <w:vAlign w:val="center"/>
          </w:tcPr>
          <w:p w14:paraId="77CF51A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未按照规定报告传染病疫情，隐瞒、谎报、缓报、漏报传染病疫情，或者干预传染病疫情报告，造成乙类传染病传播或者有传播严重危险的。</w:t>
            </w:r>
          </w:p>
        </w:tc>
        <w:tc>
          <w:tcPr>
            <w:tcW w:w="5208" w:type="dxa"/>
            <w:shd w:val="clear" w:color="auto" w:fill="auto"/>
            <w:vAlign w:val="center"/>
          </w:tcPr>
          <w:p w14:paraId="702E9523">
            <w:pPr>
              <w:widowControl w:val="0"/>
              <w:adjustRightInd/>
              <w:snapToGrid/>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七万元以上八万元以下罚款，可以由原发证部门或者原备案部门依法吊销医疗机构执业许可证或者责令停止执业活动，对直接负责的主管人员和其他直接责任人员依法给予处分，并可以由原发证部门责令有关责任人员暂停八个月以上十个月以下执业活动直至依法吊销执业证书。</w:t>
            </w:r>
          </w:p>
        </w:tc>
      </w:tr>
      <w:tr w14:paraId="75CA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560" w:type="dxa"/>
            <w:vMerge w:val="continue"/>
            <w:vAlign w:val="center"/>
          </w:tcPr>
          <w:p w14:paraId="7F85764F">
            <w:pPr>
              <w:widowControl w:val="0"/>
              <w:spacing w:after="0" w:line="440" w:lineRule="exact"/>
              <w:jc w:val="center"/>
              <w:rPr>
                <w:rFonts w:ascii="Times New Roman" w:hAnsi="Times New Roman" w:eastAsia="仿宋" w:cs="Times New Roman"/>
                <w:b/>
                <w:bCs/>
                <w:color w:val="000000" w:themeColor="text1"/>
                <w:sz w:val="24"/>
                <w:szCs w:val="24"/>
                <w14:textFill>
                  <w14:solidFill>
                    <w14:schemeClr w14:val="tx1"/>
                  </w14:solidFill>
                </w14:textFill>
              </w:rPr>
            </w:pPr>
          </w:p>
        </w:tc>
        <w:tc>
          <w:tcPr>
            <w:tcW w:w="7122" w:type="dxa"/>
            <w:vAlign w:val="center"/>
          </w:tcPr>
          <w:p w14:paraId="5BF7643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未按照规定报告传染病疫情，隐瞒、谎报、缓报、漏报传染病疫情，或者干预传染病疫情报告，造成甲类传染病、新发传染病、突发原因不明的传染病传播或者有传播严重危险，以及其他传染病暴发、流行的。。</w:t>
            </w:r>
          </w:p>
        </w:tc>
        <w:tc>
          <w:tcPr>
            <w:tcW w:w="5208" w:type="dxa"/>
            <w:vAlign w:val="center"/>
          </w:tcPr>
          <w:p w14:paraId="119828DF">
            <w:pPr>
              <w:widowControl w:val="0"/>
              <w:adjustRightInd/>
              <w:snapToGrid/>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可以并处八万元以上十万元以下罚款，可以由原发证部门或者原备案部门依法吊销医疗机构执业许可证或者责令停止执业活动，对直接负责的主管人员和其他直接责任人员依法给予处分，并可以由原发证部门责令有关责任人员暂停十个月以上一年以下执业活动直至依法吊销执业证书。</w:t>
            </w:r>
          </w:p>
        </w:tc>
      </w:tr>
    </w:tbl>
    <w:p w14:paraId="5975FFE0">
      <w:pPr>
        <w:pStyle w:val="4"/>
        <w:widowControl w:val="0"/>
        <w:ind w:firstLine="640"/>
        <w:rPr>
          <w:color w:val="000000" w:themeColor="text1"/>
          <w14:textFill>
            <w14:solidFill>
              <w14:schemeClr w14:val="tx1"/>
            </w14:solidFill>
          </w14:textFill>
        </w:rPr>
      </w:pPr>
      <w:bookmarkStart w:id="221" w:name="_Toc12390"/>
      <w:bookmarkStart w:id="222" w:name="_Toc4438"/>
      <w:bookmarkStart w:id="223" w:name="_Toc20041"/>
      <w:bookmarkStart w:id="224" w:name="_Toc6350"/>
      <w:bookmarkStart w:id="225" w:name="_Toc28161"/>
      <w:bookmarkStart w:id="226" w:name="_Toc16611"/>
      <w:bookmarkStart w:id="227" w:name="_Toc20578"/>
      <w:bookmarkStart w:id="228" w:name="_Toc31333"/>
      <w:bookmarkStart w:id="229" w:name="_Toc25249"/>
      <w:bookmarkStart w:id="230" w:name="_Toc1579"/>
      <w:bookmarkStart w:id="231" w:name="_Toc1713"/>
      <w:r>
        <w:rPr>
          <w:rFonts w:hint="eastAsia"/>
          <w:color w:val="000000" w:themeColor="text1"/>
          <w14:textFill>
            <w14:solidFill>
              <w14:schemeClr w14:val="tx1"/>
            </w14:solidFill>
          </w14:textFill>
        </w:rPr>
        <w:t>第十六条</w:t>
      </w:r>
      <w:r>
        <w:rPr>
          <w:rFonts w:hint="eastAsia"/>
          <w:color w:val="000000" w:themeColor="text1"/>
          <w:lang w:eastAsia="zh-CN"/>
          <w14:textFill>
            <w14:solidFill>
              <w14:schemeClr w14:val="tx1"/>
            </w14:solidFill>
          </w14:textFill>
        </w:rPr>
        <w:t xml:space="preserve"> </w:t>
      </w:r>
      <w:r>
        <w:rPr>
          <w:rFonts w:hint="eastAsia"/>
          <w:color w:val="000000" w:themeColor="text1"/>
          <w14:textFill>
            <w14:solidFill>
              <w14:schemeClr w14:val="tx1"/>
            </w14:solidFill>
          </w14:textFill>
        </w:rPr>
        <w:t>采供血机构未执行国家有关规定，导致因输入血液引起经血液传播疾病发生的</w:t>
      </w:r>
      <w:bookmarkEnd w:id="221"/>
      <w:bookmarkEnd w:id="222"/>
      <w:bookmarkEnd w:id="223"/>
      <w:bookmarkEnd w:id="224"/>
      <w:bookmarkEnd w:id="225"/>
      <w:bookmarkEnd w:id="226"/>
      <w:bookmarkEnd w:id="227"/>
      <w:bookmarkEnd w:id="228"/>
      <w:bookmarkEnd w:id="229"/>
      <w:bookmarkEnd w:id="230"/>
      <w:bookmarkEnd w:id="231"/>
    </w:p>
    <w:p w14:paraId="1A1B5297">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CA007BE">
      <w:pPr>
        <w:widowControl w:val="0"/>
        <w:spacing w:after="0" w:line="440" w:lineRule="exact"/>
        <w:ind w:firstLine="640" w:firstLineChars="200"/>
        <w:rPr>
          <w:rFonts w:hint="eastAsia" w:ascii="Times New Roman" w:hAnsi="Times New Roman" w:eastAsia="仿宋_GB2312" w:cs="Times New Roman"/>
          <w:b w:val="0"/>
          <w:color w:val="000000" w:themeColor="text1"/>
          <w:sz w:val="32"/>
          <w:szCs w:val="32"/>
          <w14:textFill>
            <w14:solidFill>
              <w14:schemeClr w14:val="tx1"/>
            </w14:solidFill>
          </w14:textFill>
        </w:rPr>
      </w:pPr>
      <w:bookmarkStart w:id="232" w:name="_Toc8861"/>
      <w:bookmarkStart w:id="233" w:name="_Toc9163"/>
      <w:bookmarkStart w:id="234" w:name="_Toc6167"/>
      <w:r>
        <w:rPr>
          <w:rFonts w:hint="eastAsia" w:ascii="Times New Roman" w:hAnsi="Times New Roman" w:eastAsia="仿宋_GB2312" w:cs="Times New Roman"/>
          <w:b w:val="0"/>
          <w:color w:val="000000" w:themeColor="text1"/>
          <w:sz w:val="32"/>
          <w:szCs w:val="32"/>
          <w14:textFill>
            <w14:solidFill>
              <w14:schemeClr w14:val="tx1"/>
            </w14:solidFill>
          </w14:textFill>
        </w:rPr>
        <w:t>《中华人民共和国传染病防治法》第一百零五条第二款　采供血机构未执行国家有关规定，导致因输入血液引起经血液传播疾病发生的，由县级以上人民政府卫生健康主管部门责令改正，给予警告或者通报批评，可以并处十万元以下罚款，对直接负责的主管人员和其他直接责任人员依法给予处分。</w:t>
      </w:r>
      <w:bookmarkEnd w:id="232"/>
      <w:bookmarkEnd w:id="233"/>
      <w:bookmarkEnd w:id="234"/>
    </w:p>
    <w:p w14:paraId="7F86A11C">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53"/>
        <w:gridCol w:w="4819"/>
      </w:tblGrid>
      <w:tr w14:paraId="4663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418" w:type="dxa"/>
            <w:vAlign w:val="center"/>
          </w:tcPr>
          <w:p w14:paraId="690B73F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3" w:type="dxa"/>
            <w:vAlign w:val="center"/>
          </w:tcPr>
          <w:p w14:paraId="0F49DED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19" w:type="dxa"/>
            <w:vAlign w:val="center"/>
          </w:tcPr>
          <w:p w14:paraId="659D5E8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77C0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418" w:type="dxa"/>
            <w:vAlign w:val="center"/>
          </w:tcPr>
          <w:p w14:paraId="576427AD">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653" w:type="dxa"/>
            <w:shd w:val="clear" w:color="auto" w:fill="auto"/>
            <w:vAlign w:val="center"/>
          </w:tcPr>
          <w:p w14:paraId="3F1E36A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发现未遵守国家有关规定，导致因输入血液、使用血液制品引起经血液传播的乙类传染病（艾滋病除外）传播，三人以下，首次发现的。</w:t>
            </w:r>
          </w:p>
        </w:tc>
        <w:tc>
          <w:tcPr>
            <w:tcW w:w="4819" w:type="dxa"/>
            <w:vAlign w:val="center"/>
          </w:tcPr>
          <w:p w14:paraId="0D76AF7D">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警告，处一万元以下罚款。</w:t>
            </w:r>
          </w:p>
        </w:tc>
      </w:tr>
      <w:tr w14:paraId="3BCC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418" w:type="dxa"/>
            <w:vMerge w:val="restart"/>
            <w:vAlign w:val="center"/>
          </w:tcPr>
          <w:p w14:paraId="798C785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653" w:type="dxa"/>
            <w:shd w:val="clear" w:color="auto" w:fill="auto"/>
            <w:vAlign w:val="center"/>
          </w:tcPr>
          <w:p w14:paraId="7349F84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发现未遵守国家有关规定，导致因输入血液、使用血液制品引起经血液传播的乙类传染病（艾滋病除外）传播，三人以上的。</w:t>
            </w:r>
          </w:p>
        </w:tc>
        <w:tc>
          <w:tcPr>
            <w:tcW w:w="4819" w:type="dxa"/>
            <w:vAlign w:val="center"/>
          </w:tcPr>
          <w:p w14:paraId="7FA72330">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通报，处一万元以上三万元以下罚款。</w:t>
            </w:r>
          </w:p>
        </w:tc>
      </w:tr>
      <w:tr w14:paraId="2138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18" w:type="dxa"/>
            <w:vMerge w:val="continue"/>
            <w:vAlign w:val="center"/>
          </w:tcPr>
          <w:p w14:paraId="64EFA8A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775743F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发现未遵守国家有关规定，导致因输入血液、使用血液制品引起经血液传播的乙类传染病（艾滋病除外）传播，经责令改正后逾期不改正的。</w:t>
            </w:r>
          </w:p>
        </w:tc>
        <w:tc>
          <w:tcPr>
            <w:tcW w:w="4819" w:type="dxa"/>
            <w:vAlign w:val="center"/>
          </w:tcPr>
          <w:p w14:paraId="4E160656">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通报，处三万元以上五万元以下罚款。</w:t>
            </w:r>
          </w:p>
        </w:tc>
      </w:tr>
      <w:tr w14:paraId="056D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continue"/>
            <w:vAlign w:val="center"/>
          </w:tcPr>
          <w:p w14:paraId="56BD1B4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38130FA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未遵守国家有关规定，导致因输入血液、使用血液制品引起艾滋病血液传播，三人以下的。</w:t>
            </w:r>
          </w:p>
        </w:tc>
        <w:tc>
          <w:tcPr>
            <w:tcW w:w="4819" w:type="dxa"/>
            <w:vAlign w:val="center"/>
          </w:tcPr>
          <w:p w14:paraId="38BC4CEF">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通报，处五万元以上七万元以下罚款。</w:t>
            </w:r>
          </w:p>
        </w:tc>
      </w:tr>
      <w:tr w14:paraId="6F64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restart"/>
            <w:vAlign w:val="center"/>
          </w:tcPr>
          <w:p w14:paraId="7D8221F0">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653" w:type="dxa"/>
            <w:vAlign w:val="center"/>
          </w:tcPr>
          <w:p w14:paraId="2906326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未遵守国家有关规定，导致因输入血液、使用血液制品引起艾滋病血液传播，三人以上的。</w:t>
            </w:r>
          </w:p>
        </w:tc>
        <w:tc>
          <w:tcPr>
            <w:tcW w:w="4819" w:type="dxa"/>
            <w:vAlign w:val="center"/>
          </w:tcPr>
          <w:p w14:paraId="4F9B5830">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通报，处七万元以上九万元以下罚款。</w:t>
            </w:r>
          </w:p>
        </w:tc>
      </w:tr>
      <w:tr w14:paraId="200D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continue"/>
            <w:vAlign w:val="center"/>
          </w:tcPr>
          <w:p w14:paraId="5D7BF8D6">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65CDFAC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未遵守国家有关规定，导致因输入血液、使用血液制品引起经血液传播疾病传染病暴发、流行，或者造成病人残疾、死亡等严重后果的。</w:t>
            </w:r>
          </w:p>
        </w:tc>
        <w:tc>
          <w:tcPr>
            <w:tcW w:w="4819" w:type="dxa"/>
            <w:vAlign w:val="center"/>
          </w:tcPr>
          <w:p w14:paraId="387F0ADA">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通报，处九万元以上十万元以下罚款。</w:t>
            </w:r>
          </w:p>
        </w:tc>
      </w:tr>
    </w:tbl>
    <w:p w14:paraId="5C216837">
      <w:pPr>
        <w:pStyle w:val="4"/>
        <w:widowControl w:val="0"/>
        <w:ind w:firstLine="640"/>
        <w:rPr>
          <w:color w:val="000000" w:themeColor="text1"/>
          <w14:textFill>
            <w14:solidFill>
              <w14:schemeClr w14:val="tx1"/>
            </w14:solidFill>
          </w14:textFill>
        </w:rPr>
      </w:pPr>
      <w:bookmarkStart w:id="235" w:name="_Toc22575"/>
      <w:bookmarkStart w:id="236" w:name="_Toc28926"/>
      <w:bookmarkStart w:id="237" w:name="_Toc1300"/>
      <w:bookmarkStart w:id="238" w:name="_Toc9657"/>
      <w:bookmarkStart w:id="239" w:name="_Toc12669"/>
      <w:bookmarkStart w:id="240" w:name="_Toc22450"/>
      <w:bookmarkStart w:id="241" w:name="_Toc15593"/>
      <w:bookmarkStart w:id="242" w:name="_Toc937"/>
      <w:bookmarkStart w:id="243" w:name="_Toc7372"/>
      <w:bookmarkStart w:id="244" w:name="_Toc17146"/>
      <w:bookmarkStart w:id="245" w:name="_Toc27106"/>
      <w:r>
        <w:rPr>
          <w:rFonts w:hint="eastAsia"/>
          <w:color w:val="000000" w:themeColor="text1"/>
          <w14:textFill>
            <w14:solidFill>
              <w14:schemeClr w14:val="tx1"/>
            </w14:solidFill>
          </w14:textFill>
        </w:rPr>
        <w:t>第十七条 非法采集血液或者组织他人出卖血液的</w:t>
      </w:r>
      <w:bookmarkEnd w:id="235"/>
      <w:bookmarkEnd w:id="236"/>
      <w:bookmarkEnd w:id="237"/>
      <w:bookmarkEnd w:id="238"/>
      <w:bookmarkEnd w:id="239"/>
      <w:bookmarkEnd w:id="240"/>
      <w:bookmarkEnd w:id="241"/>
      <w:bookmarkEnd w:id="242"/>
      <w:bookmarkEnd w:id="243"/>
      <w:bookmarkEnd w:id="244"/>
      <w:bookmarkEnd w:id="245"/>
    </w:p>
    <w:p w14:paraId="0196FC3D">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906ACC8">
      <w:pPr>
        <w:widowControl w:val="0"/>
        <w:spacing w:after="0" w:line="440" w:lineRule="exact"/>
        <w:ind w:firstLine="640" w:firstLineChars="200"/>
        <w:rPr>
          <w:rFonts w:hint="eastAsia" w:ascii="Times New Roman" w:hAnsi="Times New Roman" w:eastAsia="仿宋_GB2312" w:cs="Times New Roman"/>
          <w:b w:val="0"/>
          <w:color w:val="000000" w:themeColor="text1"/>
          <w:sz w:val="32"/>
          <w:szCs w:val="32"/>
          <w14:textFill>
            <w14:solidFill>
              <w14:schemeClr w14:val="tx1"/>
            </w14:solidFill>
          </w14:textFill>
        </w:rPr>
      </w:pPr>
      <w:bookmarkStart w:id="246" w:name="_Toc13395"/>
      <w:bookmarkStart w:id="247" w:name="_Toc27516"/>
      <w:bookmarkStart w:id="248" w:name="_Toc18531"/>
      <w:r>
        <w:rPr>
          <w:rFonts w:hint="eastAsia" w:ascii="Times New Roman" w:hAnsi="Times New Roman" w:eastAsia="仿宋_GB2312" w:cs="Times New Roman"/>
          <w:b w:val="0"/>
          <w:color w:val="000000" w:themeColor="text1"/>
          <w:sz w:val="32"/>
          <w:szCs w:val="32"/>
          <w14:textFill>
            <w14:solidFill>
              <w14:schemeClr w14:val="tx1"/>
            </w14:solidFill>
          </w14:textFill>
        </w:rPr>
        <w:t>《中华人民共和国传染病防治法》第一百零五条第三款　非法采集血液或者组织他人出卖血液的，由县级以上人民政府卫生健康主管部门责令停止违法行为，没收违法所得，并处五万元以上五十万元以下罚款。</w:t>
      </w:r>
      <w:bookmarkEnd w:id="246"/>
      <w:bookmarkEnd w:id="247"/>
      <w:bookmarkEnd w:id="248"/>
    </w:p>
    <w:p w14:paraId="0F2D0EB7">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53"/>
        <w:gridCol w:w="4819"/>
      </w:tblGrid>
      <w:tr w14:paraId="3F7D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329B2D8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3" w:type="dxa"/>
            <w:vAlign w:val="center"/>
          </w:tcPr>
          <w:p w14:paraId="428DD28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19" w:type="dxa"/>
            <w:vAlign w:val="center"/>
          </w:tcPr>
          <w:p w14:paraId="27124D7D">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49A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418" w:type="dxa"/>
            <w:vAlign w:val="center"/>
          </w:tcPr>
          <w:p w14:paraId="5907BDF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较轻</w:t>
            </w:r>
          </w:p>
        </w:tc>
        <w:tc>
          <w:tcPr>
            <w:tcW w:w="7653" w:type="dxa"/>
            <w:vAlign w:val="center"/>
          </w:tcPr>
          <w:p w14:paraId="7F647F8D">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非法采集血液或者组织他人出卖血液，累计人数在三人以下的。</w:t>
            </w:r>
          </w:p>
        </w:tc>
        <w:tc>
          <w:tcPr>
            <w:tcW w:w="4819" w:type="dxa"/>
            <w:vAlign w:val="center"/>
          </w:tcPr>
          <w:p w14:paraId="2E969A23">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没收违法所得，处五万元以上十万元以下的罚款。</w:t>
            </w:r>
          </w:p>
        </w:tc>
      </w:tr>
      <w:tr w14:paraId="1F4E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18" w:type="dxa"/>
            <w:vAlign w:val="center"/>
          </w:tcPr>
          <w:p w14:paraId="4DF776F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653" w:type="dxa"/>
            <w:vAlign w:val="center"/>
          </w:tcPr>
          <w:p w14:paraId="171646F5">
            <w:pPr>
              <w:widowControl w:val="0"/>
              <w:spacing w:after="0" w:line="320" w:lineRule="exact"/>
              <w:rPr>
                <w:rFonts w:hint="eastAsia" w:ascii="Times New Roman" w:hAnsi="Times New Roman" w:eastAsia="仿宋_GB2312" w:cs="Times New Roman"/>
                <w:color w:val="000000" w:themeColor="text1"/>
                <w:spacing w:val="-6"/>
                <w:sz w:val="24"/>
                <w:szCs w:val="22"/>
                <w14:textFill>
                  <w14:solidFill>
                    <w14:schemeClr w14:val="tx1"/>
                  </w14:solidFill>
                </w14:textFill>
              </w:rPr>
            </w:pPr>
            <w:r>
              <w:rPr>
                <w:rFonts w:hint="eastAsia" w:ascii="Times New Roman" w:hAnsi="Times New Roman" w:eastAsia="仿宋_GB2312" w:cs="Times New Roman"/>
                <w:color w:val="000000" w:themeColor="text1"/>
                <w:spacing w:val="-6"/>
                <w:sz w:val="24"/>
                <w:szCs w:val="22"/>
                <w14:textFill>
                  <w14:solidFill>
                    <w14:schemeClr w14:val="tx1"/>
                  </w14:solidFill>
                </w14:textFill>
              </w:rPr>
              <w:t>非法采集血液或者组织他人出卖血液，累计人数在三人以上五人以下的。</w:t>
            </w:r>
          </w:p>
        </w:tc>
        <w:tc>
          <w:tcPr>
            <w:tcW w:w="4819" w:type="dxa"/>
            <w:vAlign w:val="center"/>
          </w:tcPr>
          <w:p w14:paraId="5A701BE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没收违法所得，处十万元以上十五万元以下的罚款。</w:t>
            </w:r>
          </w:p>
        </w:tc>
      </w:tr>
      <w:tr w14:paraId="33D9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18" w:type="dxa"/>
            <w:vMerge w:val="restart"/>
            <w:vAlign w:val="center"/>
          </w:tcPr>
          <w:p w14:paraId="29C79579">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653" w:type="dxa"/>
            <w:vAlign w:val="center"/>
          </w:tcPr>
          <w:p w14:paraId="601F2347">
            <w:pPr>
              <w:widowControl w:val="0"/>
              <w:spacing w:after="0" w:line="320" w:lineRule="exact"/>
              <w:rPr>
                <w:rFonts w:hint="eastAsia" w:ascii="Times New Roman" w:hAnsi="Times New Roman" w:eastAsia="仿宋_GB2312" w:cs="Times New Roman"/>
                <w:color w:val="000000" w:themeColor="text1"/>
                <w:spacing w:val="-6"/>
                <w:sz w:val="24"/>
                <w:szCs w:val="22"/>
                <w14:textFill>
                  <w14:solidFill>
                    <w14:schemeClr w14:val="tx1"/>
                  </w14:solidFill>
                </w14:textFill>
              </w:rPr>
            </w:pPr>
            <w:r>
              <w:rPr>
                <w:rFonts w:hint="eastAsia" w:ascii="Times New Roman" w:hAnsi="Times New Roman" w:eastAsia="仿宋_GB2312" w:cs="Times New Roman"/>
                <w:color w:val="000000" w:themeColor="text1"/>
                <w:spacing w:val="-6"/>
                <w:sz w:val="24"/>
                <w:szCs w:val="22"/>
                <w14:textFill>
                  <w14:solidFill>
                    <w14:schemeClr w14:val="tx1"/>
                  </w14:solidFill>
                </w14:textFill>
              </w:rPr>
              <w:t>非法采集血液或者组织他人出卖血液，累计人数在五人以上十人以下的。</w:t>
            </w:r>
          </w:p>
        </w:tc>
        <w:tc>
          <w:tcPr>
            <w:tcW w:w="4819" w:type="dxa"/>
            <w:vAlign w:val="center"/>
          </w:tcPr>
          <w:p w14:paraId="3C5B70E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没收违法所得，处十五万元以上二十万元以下的罚款。</w:t>
            </w:r>
          </w:p>
        </w:tc>
      </w:tr>
      <w:tr w14:paraId="423B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18" w:type="dxa"/>
            <w:vMerge w:val="continue"/>
            <w:vAlign w:val="center"/>
          </w:tcPr>
          <w:p w14:paraId="4036B754">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0DE5EDA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非法采集血液或者组织他人出卖血液，累计人数在十人以上的十五人以下的。</w:t>
            </w:r>
          </w:p>
        </w:tc>
        <w:tc>
          <w:tcPr>
            <w:tcW w:w="4819" w:type="dxa"/>
            <w:vAlign w:val="center"/>
          </w:tcPr>
          <w:p w14:paraId="63C6055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没收违法所得，处二十万元以上二十五万元以下的罚款。</w:t>
            </w:r>
          </w:p>
        </w:tc>
      </w:tr>
      <w:tr w14:paraId="45D0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18" w:type="dxa"/>
            <w:vMerge w:val="restart"/>
            <w:vAlign w:val="center"/>
          </w:tcPr>
          <w:p w14:paraId="56D5B6B0">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653" w:type="dxa"/>
            <w:vAlign w:val="center"/>
          </w:tcPr>
          <w:p w14:paraId="1CD39F1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非法采集血液或者组织他人出卖血液，累计人数在二十人以上的。</w:t>
            </w:r>
          </w:p>
        </w:tc>
        <w:tc>
          <w:tcPr>
            <w:tcW w:w="4819" w:type="dxa"/>
            <w:vAlign w:val="center"/>
          </w:tcPr>
          <w:p w14:paraId="2605404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没收违法所得，处二十五万元以上三十五万元以下的罚款。</w:t>
            </w:r>
          </w:p>
        </w:tc>
      </w:tr>
      <w:tr w14:paraId="287A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418" w:type="dxa"/>
            <w:vMerge w:val="continue"/>
            <w:vAlign w:val="center"/>
          </w:tcPr>
          <w:p w14:paraId="6764DE80">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403D327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非法采集血液或者组织他人出卖血液，造成传染病传播、流行或者人员死亡或其他严重后果的。</w:t>
            </w:r>
          </w:p>
        </w:tc>
        <w:tc>
          <w:tcPr>
            <w:tcW w:w="4819" w:type="dxa"/>
            <w:vAlign w:val="center"/>
          </w:tcPr>
          <w:p w14:paraId="0309D4A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没收违法所得，处三十五万元以上五十万元以下的罚款。</w:t>
            </w:r>
          </w:p>
        </w:tc>
      </w:tr>
    </w:tbl>
    <w:p w14:paraId="6BB4A8E2">
      <w:pPr>
        <w:pStyle w:val="4"/>
        <w:widowControl w:val="0"/>
        <w:ind w:firstLine="640"/>
        <w:rPr>
          <w:color w:val="000000" w:themeColor="text1"/>
          <w14:textFill>
            <w14:solidFill>
              <w14:schemeClr w14:val="tx1"/>
            </w14:solidFill>
          </w14:textFill>
        </w:rPr>
      </w:pPr>
      <w:bookmarkStart w:id="249" w:name="_Toc6952"/>
      <w:bookmarkStart w:id="250" w:name="_Toc18032"/>
      <w:bookmarkStart w:id="251" w:name="_Toc1590"/>
      <w:bookmarkStart w:id="252" w:name="_Toc2210"/>
      <w:bookmarkStart w:id="253" w:name="_Toc23900"/>
      <w:bookmarkStart w:id="254" w:name="_Toc19063"/>
      <w:bookmarkStart w:id="255" w:name="_Toc15388"/>
      <w:bookmarkStart w:id="256" w:name="_Toc7214"/>
      <w:bookmarkStart w:id="257" w:name="_Toc12107"/>
      <w:bookmarkStart w:id="258" w:name="_Toc28348"/>
      <w:bookmarkStart w:id="259" w:name="_Toc13172"/>
      <w:r>
        <w:rPr>
          <w:rFonts w:hint="eastAsia" w:cs="仿宋_GB2312"/>
          <w:color w:val="000000" w:themeColor="text1"/>
          <w14:textFill>
            <w14:solidFill>
              <w14:schemeClr w14:val="tx1"/>
            </w14:solidFill>
          </w14:textFill>
        </w:rPr>
        <w:t>第十八条 未取得卫生许可生产用于传染病防治的消毒产品，或者生产、销售的用于传染病防治的消毒产品不符合国家卫生标准和卫生规范</w:t>
      </w:r>
      <w:r>
        <w:rPr>
          <w:rFonts w:hint="eastAsia"/>
          <w:color w:val="000000" w:themeColor="text1"/>
          <w14:textFill>
            <w14:solidFill>
              <w14:schemeClr w14:val="tx1"/>
            </w14:solidFill>
          </w14:textFill>
        </w:rPr>
        <w:t>的</w:t>
      </w:r>
      <w:bookmarkEnd w:id="249"/>
      <w:bookmarkEnd w:id="250"/>
      <w:bookmarkEnd w:id="251"/>
      <w:bookmarkEnd w:id="252"/>
      <w:bookmarkEnd w:id="253"/>
      <w:bookmarkEnd w:id="254"/>
      <w:bookmarkEnd w:id="255"/>
      <w:bookmarkEnd w:id="256"/>
      <w:bookmarkEnd w:id="257"/>
      <w:bookmarkEnd w:id="258"/>
      <w:bookmarkEnd w:id="259"/>
    </w:p>
    <w:p w14:paraId="4F57D468">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01E224F">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《中华人民共和国传染病防治法》第一百零七条第三项　违反本法规定，有下列情形之一的，由县级以上人民政府疾病预防控制部门责令改正，给予警告，没收违法所得，可以并处二十万元以下罚款；情节严重的，可以由原发证部门依法吊销相关许可证，对直接负责的主管人员和其他直接责任人员可以禁止其五年内从事相应生产经营活动：</w:t>
      </w:r>
    </w:p>
    <w:p w14:paraId="0A367442">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（三）未取得卫生许可生产用于传染病防治的消毒产品，或者生产、销售的用于传染病防治的消毒产品不符合国家卫生标准和卫生规范；</w:t>
      </w:r>
    </w:p>
    <w:p w14:paraId="6CBAB9E3">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1866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33BFDD5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171DAB3D">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292D2AA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996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1B700809">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35CB8424">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未取得卫生许可生产用于传染病防治的消毒产品，违法所得不足三千元的。</w:t>
            </w:r>
          </w:p>
        </w:tc>
        <w:tc>
          <w:tcPr>
            <w:tcW w:w="6014" w:type="dxa"/>
            <w:vAlign w:val="center"/>
          </w:tcPr>
          <w:p w14:paraId="00E07D9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警告，没收违法所得，处一万元以下的罚款。</w:t>
            </w:r>
          </w:p>
        </w:tc>
      </w:tr>
      <w:tr w14:paraId="7566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0F1144B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1A96A5A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未取得卫生许可生产用于传染病防治的消毒产品，违法所得三千元以上一万元以下的。</w:t>
            </w:r>
          </w:p>
        </w:tc>
        <w:tc>
          <w:tcPr>
            <w:tcW w:w="6014" w:type="dxa"/>
            <w:vAlign w:val="center"/>
          </w:tcPr>
          <w:p w14:paraId="0274DA2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警告，没收违法所得，处一万元以上三万元以下的罚款。</w:t>
            </w:r>
          </w:p>
        </w:tc>
      </w:tr>
      <w:tr w14:paraId="1112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12247CDA">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68BC05A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未取得卫生许可生产用于传染病防治的消毒产品，违法所得一万元以上的。</w:t>
            </w:r>
          </w:p>
        </w:tc>
        <w:tc>
          <w:tcPr>
            <w:tcW w:w="6014" w:type="dxa"/>
            <w:vAlign w:val="center"/>
          </w:tcPr>
          <w:p w14:paraId="7776909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警告，没收违法所得，处三万元以上六万元以下的罚款。</w:t>
            </w:r>
          </w:p>
        </w:tc>
      </w:tr>
      <w:tr w14:paraId="5258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4D58AA0A">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6458" w:type="dxa"/>
            <w:vAlign w:val="center"/>
          </w:tcPr>
          <w:p w14:paraId="64FED40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生产、销售的用于传染病防治的消毒产品不符合国家卫生标准和卫生规范，违法所得不足三千元的。</w:t>
            </w:r>
          </w:p>
        </w:tc>
        <w:tc>
          <w:tcPr>
            <w:tcW w:w="6014" w:type="dxa"/>
            <w:vAlign w:val="center"/>
          </w:tcPr>
          <w:p w14:paraId="0EA1C98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警告，没收违法所得，处六万元以上九万元以下的罚款。</w:t>
            </w:r>
          </w:p>
        </w:tc>
      </w:tr>
      <w:tr w14:paraId="0142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687DCC1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76A1551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生产、销售的用于传染病防治的消毒产品不符合国家卫生标准和卫生规范，违法所得三千元以上一万元以下的。</w:t>
            </w:r>
          </w:p>
        </w:tc>
        <w:tc>
          <w:tcPr>
            <w:tcW w:w="6014" w:type="dxa"/>
            <w:vAlign w:val="center"/>
          </w:tcPr>
          <w:p w14:paraId="4B757C23">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警告，没收违法所得，处九万元以上十二万元以下的罚款。</w:t>
            </w:r>
          </w:p>
        </w:tc>
      </w:tr>
      <w:tr w14:paraId="7854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418" w:type="dxa"/>
            <w:vMerge w:val="continue"/>
            <w:vAlign w:val="center"/>
          </w:tcPr>
          <w:p w14:paraId="448961A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6E520B8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生产、销售的用于传染病防治的消毒产品不符合国家卫生标准和卫生规范，违法所得一万元以上的。</w:t>
            </w:r>
          </w:p>
        </w:tc>
        <w:tc>
          <w:tcPr>
            <w:tcW w:w="6014" w:type="dxa"/>
            <w:vAlign w:val="center"/>
          </w:tcPr>
          <w:p w14:paraId="6418501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警告，没收违法所得，处十二万元以上十五万元以下的罚款。</w:t>
            </w:r>
          </w:p>
        </w:tc>
      </w:tr>
      <w:tr w14:paraId="3B9B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continue"/>
            <w:vAlign w:val="center"/>
          </w:tcPr>
          <w:p w14:paraId="4063FCBE">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092481D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未取得卫生许可生产不符合国家卫生标准和卫生规范用于传染病防治的消毒产品的。</w:t>
            </w:r>
          </w:p>
        </w:tc>
        <w:tc>
          <w:tcPr>
            <w:tcW w:w="6014" w:type="dxa"/>
            <w:shd w:val="clear" w:color="auto" w:fill="auto"/>
            <w:vAlign w:val="center"/>
          </w:tcPr>
          <w:p w14:paraId="18A7800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警告，没收违法所得，处十五万元以上十八万元以下的罚款。</w:t>
            </w:r>
          </w:p>
        </w:tc>
      </w:tr>
      <w:tr w14:paraId="7DC8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restart"/>
            <w:vAlign w:val="center"/>
          </w:tcPr>
          <w:p w14:paraId="5A71437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4F211A2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未取得卫生许可生产用于传染病防治的消毒产品，或者生产、销售的用于传染病防治的消毒产品不符合国家卫生标准和卫生规范，造成或者可能造成传染病传播的。</w:t>
            </w:r>
          </w:p>
        </w:tc>
        <w:tc>
          <w:tcPr>
            <w:tcW w:w="6014" w:type="dxa"/>
            <w:shd w:val="clear" w:color="auto" w:fill="auto"/>
            <w:vAlign w:val="center"/>
          </w:tcPr>
          <w:p w14:paraId="7FE167F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通报批评，没收违法所得，处十五万元以上十八万元以下的罚款，由原发证部门依法吊销相关许可证，对直接负责的主管人员和其他直接责任人员可以禁止其五年内从事相应生产经营活动。</w:t>
            </w:r>
          </w:p>
        </w:tc>
      </w:tr>
      <w:tr w14:paraId="77BE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4" w:hRule="atLeast"/>
        </w:trPr>
        <w:tc>
          <w:tcPr>
            <w:tcW w:w="1418" w:type="dxa"/>
            <w:vMerge w:val="continue"/>
            <w:vAlign w:val="center"/>
          </w:tcPr>
          <w:p w14:paraId="4B47BFD0">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34CB5073">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未取得卫生许可生产用于传染病防治的消毒产品，或者生产、销售的用于传染病防治的消毒产品不符合国家卫生标准和卫生规范，造成或者可能造成传染病爆发、流行等严重后果的。</w:t>
            </w:r>
          </w:p>
        </w:tc>
        <w:tc>
          <w:tcPr>
            <w:tcW w:w="6014" w:type="dxa"/>
            <w:shd w:val="clear" w:color="auto" w:fill="auto"/>
            <w:vAlign w:val="center"/>
          </w:tcPr>
          <w:p w14:paraId="544F5DF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通报批评，没收违法所得，处十八万元以上二十万元以下的罚款，由原发证部门依法吊销相关许可证，对直接负责的主管人员和其他直接责任人员可以禁止其五年内从事相应生产经营活动。</w:t>
            </w:r>
          </w:p>
        </w:tc>
      </w:tr>
    </w:tbl>
    <w:p w14:paraId="590EDE11">
      <w:pPr>
        <w:pStyle w:val="4"/>
        <w:widowControl w:val="0"/>
        <w:ind w:firstLine="640"/>
        <w:rPr>
          <w:rFonts w:cs="仿宋_GB2312"/>
          <w:color w:val="000000" w:themeColor="text1"/>
          <w14:textFill>
            <w14:solidFill>
              <w14:schemeClr w14:val="tx1"/>
            </w14:solidFill>
          </w14:textFill>
        </w:rPr>
      </w:pPr>
      <w:bookmarkStart w:id="260" w:name="_Toc23927"/>
      <w:bookmarkStart w:id="261" w:name="_Toc8948"/>
      <w:bookmarkStart w:id="262" w:name="_Toc18662"/>
      <w:bookmarkStart w:id="263" w:name="_Toc30146"/>
      <w:bookmarkStart w:id="264" w:name="_Toc19135"/>
      <w:bookmarkStart w:id="265" w:name="_Toc3588"/>
      <w:bookmarkStart w:id="266" w:name="_Toc11351"/>
      <w:bookmarkStart w:id="267" w:name="_Toc28835"/>
      <w:bookmarkStart w:id="268" w:name="_Toc30810"/>
      <w:bookmarkStart w:id="269" w:name="_Toc29111"/>
      <w:bookmarkStart w:id="270" w:name="_Toc16526"/>
      <w:r>
        <w:rPr>
          <w:rFonts w:hint="eastAsia"/>
          <w:color w:val="000000" w:themeColor="text1"/>
          <w14:textFill>
            <w14:solidFill>
              <w14:schemeClr w14:val="tx1"/>
            </w14:solidFill>
          </w14:textFill>
        </w:rPr>
        <w:t>第十九条</w:t>
      </w:r>
      <w:r>
        <w:rPr>
          <w:rFonts w:hint="eastAsia"/>
          <w:color w:val="000000" w:themeColor="text1"/>
          <w:lang w:eastAsia="zh-CN"/>
          <w14:textFill>
            <w14:solidFill>
              <w14:schemeClr w14:val="tx1"/>
            </w14:solidFill>
          </w14:textFill>
        </w:rPr>
        <w:t xml:space="preserve"> </w:t>
      </w:r>
      <w:r>
        <w:rPr>
          <w:rFonts w:hint="eastAsia" w:cs="仿宋_GB2312"/>
          <w:color w:val="000000" w:themeColor="text1"/>
          <w14:textFill>
            <w14:solidFill>
              <w14:schemeClr w14:val="tx1"/>
            </w14:solidFill>
          </w14:textFill>
        </w:rPr>
        <w:t>生产、销售未取得卫生许可的利用新材料、新工艺技术和新杀菌原理生产的消毒剂和消毒器械的</w:t>
      </w:r>
      <w:bookmarkEnd w:id="260"/>
      <w:bookmarkEnd w:id="261"/>
      <w:bookmarkEnd w:id="262"/>
      <w:bookmarkEnd w:id="263"/>
      <w:bookmarkEnd w:id="264"/>
      <w:bookmarkEnd w:id="265"/>
      <w:bookmarkEnd w:id="266"/>
      <w:bookmarkEnd w:id="267"/>
      <w:bookmarkEnd w:id="268"/>
      <w:bookmarkEnd w:id="269"/>
      <w:bookmarkEnd w:id="270"/>
    </w:p>
    <w:p w14:paraId="6C63B7A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1D693655">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《中华人民共和国传染病防治法》第一百零七条第四项　违反本法规定，有下列情形之一的，由县级以上人民政府疾病预防控制部门责令改正，给予警告，没收违法所得，可以并处二十万元以下罚款；情节严重的，可以由原发证部门依法吊销相关许可证，对直接负责的主管人员和其他直接责任人员可以禁止其五年内从事相应生产经营活动：</w:t>
      </w:r>
    </w:p>
    <w:p w14:paraId="09AACBD0">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（四）生产、销售未取得卫生许可的利用新材料、新工艺技术和新杀菌原理生产的消毒剂和消毒器械；</w:t>
      </w:r>
    </w:p>
    <w:p w14:paraId="064F584E">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44"/>
        <w:gridCol w:w="6028"/>
      </w:tblGrid>
      <w:tr w14:paraId="5B0D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636C617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44" w:type="dxa"/>
            <w:vAlign w:val="center"/>
          </w:tcPr>
          <w:p w14:paraId="1220BE4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28" w:type="dxa"/>
            <w:vAlign w:val="center"/>
          </w:tcPr>
          <w:p w14:paraId="4E58E26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CE1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68CE970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44" w:type="dxa"/>
            <w:vAlign w:val="center"/>
          </w:tcPr>
          <w:p w14:paraId="1A25AF77">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生产、销售未取得卫生许可的利用新材料、新工艺技术和新杀菌原理生产的消毒剂和消毒器械，违法所得不足三千元的。</w:t>
            </w:r>
          </w:p>
        </w:tc>
        <w:tc>
          <w:tcPr>
            <w:tcW w:w="6028" w:type="dxa"/>
            <w:vAlign w:val="center"/>
          </w:tcPr>
          <w:p w14:paraId="1C6AF7A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警告，没收违法所得，处三万元以下的罚款。</w:t>
            </w:r>
          </w:p>
        </w:tc>
      </w:tr>
      <w:tr w14:paraId="37E7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4805734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44" w:type="dxa"/>
            <w:vAlign w:val="center"/>
          </w:tcPr>
          <w:p w14:paraId="65BE0B0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生产、销售未取得卫生许可的利用新材料、新工艺技术和新杀菌原理生产的消毒剂和消毒器械，违法所得三千元以上一万元以下的。</w:t>
            </w:r>
          </w:p>
        </w:tc>
        <w:tc>
          <w:tcPr>
            <w:tcW w:w="6028" w:type="dxa"/>
            <w:vAlign w:val="center"/>
          </w:tcPr>
          <w:p w14:paraId="0162979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警告，没收违法所得，处三万元以上八万元以下的罚款。</w:t>
            </w:r>
          </w:p>
        </w:tc>
      </w:tr>
      <w:tr w14:paraId="44EA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34CCE56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44" w:type="dxa"/>
            <w:vAlign w:val="center"/>
          </w:tcPr>
          <w:p w14:paraId="356346A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生产、销售未取得卫生许可的利用新材料、新工艺技术和新杀菌原理生产的消毒剂和消毒器械，违法所得一万元以上的。</w:t>
            </w:r>
          </w:p>
        </w:tc>
        <w:tc>
          <w:tcPr>
            <w:tcW w:w="6028" w:type="dxa"/>
            <w:vAlign w:val="center"/>
          </w:tcPr>
          <w:p w14:paraId="3EB8986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警告，没收违法所得，处八万元以上十三万元以下的罚款。</w:t>
            </w:r>
          </w:p>
        </w:tc>
      </w:tr>
      <w:tr w14:paraId="5C5A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restart"/>
            <w:vAlign w:val="center"/>
          </w:tcPr>
          <w:p w14:paraId="7E3FF94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44" w:type="dxa"/>
            <w:vAlign w:val="center"/>
          </w:tcPr>
          <w:p w14:paraId="4D9BF00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生产、销售未取得卫生许可的利用新材料、新工艺技术和新杀菌原理生产的消毒剂和消毒器械，造成或者可能造成传染病传播的。</w:t>
            </w:r>
          </w:p>
        </w:tc>
        <w:tc>
          <w:tcPr>
            <w:tcW w:w="6028" w:type="dxa"/>
            <w:shd w:val="clear" w:color="auto" w:fill="auto"/>
            <w:vAlign w:val="center"/>
          </w:tcPr>
          <w:p w14:paraId="58B9D094">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警告，没收违法所得，处十三万元以上十八万元以下的罚款，可以由原发证部门依法吊销相关许可证，对直接负责的主管人员和其他直接责任人员可以禁止其五年内从事相应生产经营活动。</w:t>
            </w:r>
          </w:p>
        </w:tc>
      </w:tr>
      <w:tr w14:paraId="2FB5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continue"/>
            <w:vAlign w:val="center"/>
          </w:tcPr>
          <w:p w14:paraId="64831DD7">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6444" w:type="dxa"/>
            <w:vAlign w:val="center"/>
          </w:tcPr>
          <w:p w14:paraId="74B277A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生产、销售未取得卫生许可的利用新材料、新工艺技术和新杀菌原理生产的消毒剂和消毒器械，造成或者可能造成传染病爆发、流行等严重后果的。</w:t>
            </w:r>
          </w:p>
        </w:tc>
        <w:tc>
          <w:tcPr>
            <w:tcW w:w="6028" w:type="dxa"/>
            <w:shd w:val="clear" w:color="auto" w:fill="auto"/>
            <w:vAlign w:val="center"/>
          </w:tcPr>
          <w:p w14:paraId="41C6192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警告，没收违法所得，处十八万元以上二十万元以下的罚款，可以由原发证部门依法吊销相关许可证，对直接负责的主管人员和其他直接责任人员可以禁止其五年内从事相应生产经营活动。</w:t>
            </w:r>
          </w:p>
        </w:tc>
      </w:tr>
    </w:tbl>
    <w:p w14:paraId="6B9EEAEA">
      <w:pPr>
        <w:pStyle w:val="4"/>
        <w:widowControl w:val="0"/>
        <w:ind w:firstLine="640"/>
        <w:rPr>
          <w:rFonts w:cs="仿宋_GB2312"/>
          <w:color w:val="000000" w:themeColor="text1"/>
          <w14:textFill>
            <w14:solidFill>
              <w14:schemeClr w14:val="tx1"/>
            </w14:solidFill>
          </w14:textFill>
        </w:rPr>
      </w:pPr>
      <w:bookmarkStart w:id="271" w:name="_Toc9297"/>
      <w:bookmarkStart w:id="272" w:name="_Toc4429"/>
      <w:bookmarkStart w:id="273" w:name="_Toc28741"/>
      <w:bookmarkStart w:id="274" w:name="_Toc18645"/>
      <w:bookmarkStart w:id="275" w:name="_Toc3281"/>
      <w:bookmarkStart w:id="276" w:name="_Toc8506"/>
      <w:bookmarkStart w:id="277" w:name="_Toc14073"/>
      <w:bookmarkStart w:id="278" w:name="_Toc18067"/>
      <w:bookmarkStart w:id="279" w:name="_Toc2586"/>
      <w:bookmarkStart w:id="280" w:name="_Toc30499"/>
      <w:bookmarkStart w:id="281" w:name="_Toc3892"/>
      <w:r>
        <w:rPr>
          <w:rFonts w:hint="eastAsia" w:cs="仿宋_GB2312"/>
          <w:color w:val="000000" w:themeColor="text1"/>
          <w14:textFill>
            <w14:solidFill>
              <w14:schemeClr w14:val="tx1"/>
            </w14:solidFill>
          </w14:textFill>
        </w:rPr>
        <w:t>第二十条 出售、运输本法第六十六条规定的受影响的相关区域中被传染病病原体污染或者可能被传染病病原体污染的物品，未进行消毒处理的</w:t>
      </w:r>
      <w:bookmarkEnd w:id="271"/>
      <w:bookmarkEnd w:id="272"/>
      <w:bookmarkEnd w:id="273"/>
      <w:bookmarkEnd w:id="274"/>
      <w:bookmarkEnd w:id="275"/>
      <w:bookmarkEnd w:id="276"/>
      <w:bookmarkEnd w:id="277"/>
      <w:bookmarkEnd w:id="278"/>
      <w:bookmarkEnd w:id="279"/>
      <w:bookmarkEnd w:id="280"/>
      <w:bookmarkEnd w:id="281"/>
    </w:p>
    <w:p w14:paraId="267DF177">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3E62D1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《中华人民共和国传染病防治法》第一百零七条第五项　违反本法规定，有下列情形之一的，由县级以上人民政府疾病预防控制部门责令改正，给予警告，没收违法所得，可以并处二十万元以下罚款；情节严重的，可以由原发证部门依法吊销相关许可证，对直接负责的主管人员和其他直接责任人员可以禁止其五年内从事相应生产经营活动：</w:t>
      </w:r>
    </w:p>
    <w:p w14:paraId="1F72638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（五）出售、运输本法第六十六条规定的受影响的相关区域中被传染病病原体污染或者可能被传染病病原体污染的物品，未进行消毒处理。</w:t>
      </w:r>
    </w:p>
    <w:p w14:paraId="0A80383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w:t>
      </w:r>
      <w:r>
        <w:rPr>
          <w:rStyle w:val="26"/>
          <w:rFonts w:hint="eastAsia" w:ascii="Times New Roman" w:hAnsi="Times New Roman" w:eastAsia="仿宋_GB2312" w:cs="Times New Roman"/>
          <w:color w:val="000000" w:themeColor="text1"/>
          <w:sz w:val="32"/>
          <w:szCs w:val="32"/>
          <w14:textFill>
            <w14:solidFill>
              <w14:schemeClr w14:val="tx1"/>
            </w14:solidFill>
          </w14:textFill>
        </w:rPr>
        <w:t>第六十六条</w:t>
      </w:r>
      <w:r>
        <w:rPr>
          <w:rFonts w:hint="eastAsia" w:ascii="Times New Roman" w:hAnsi="Times New Roman" w:eastAsia="仿宋_GB2312" w:cs="Times New Roman"/>
          <w:color w:val="000000" w:themeColor="text1"/>
          <w:sz w:val="32"/>
          <w:szCs w:val="32"/>
          <w14:textFill>
            <w14:solidFill>
              <w14:schemeClr w14:val="tx1"/>
            </w14:solidFill>
          </w14:textFill>
        </w:rPr>
        <w:t>　因甲类、乙类传染病发生重大传染病疫情时，县级以上地方人民政府报经上一级人民政府决定，可以对进入或者离开本行政区域受影响的相关区域的人员、物资和交通工具实施卫生检疫。</w:t>
      </w:r>
    </w:p>
    <w:p w14:paraId="5FD84C98">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860"/>
        <w:gridCol w:w="5612"/>
      </w:tblGrid>
      <w:tr w14:paraId="13EB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64822E7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860" w:type="dxa"/>
            <w:vAlign w:val="center"/>
          </w:tcPr>
          <w:p w14:paraId="22C5DC0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612" w:type="dxa"/>
            <w:vAlign w:val="center"/>
          </w:tcPr>
          <w:p w14:paraId="6077F36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8F2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418" w:type="dxa"/>
            <w:vAlign w:val="center"/>
          </w:tcPr>
          <w:p w14:paraId="7992D6AB">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860" w:type="dxa"/>
            <w:shd w:val="clear" w:color="auto" w:fill="auto"/>
            <w:vAlign w:val="center"/>
          </w:tcPr>
          <w:p w14:paraId="7A696AB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因甲类、乙类传染病发生重大传染病疫情受影响的相关区域中被传染病病原体污染或者可能被传染病病原体污染的物品未进行消毒处理，无违法所得的。</w:t>
            </w:r>
          </w:p>
        </w:tc>
        <w:tc>
          <w:tcPr>
            <w:tcW w:w="5612" w:type="dxa"/>
            <w:shd w:val="clear" w:color="auto" w:fill="auto"/>
            <w:vAlign w:val="center"/>
          </w:tcPr>
          <w:p w14:paraId="7713D47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警告，处一万元以下的罚款。</w:t>
            </w:r>
          </w:p>
        </w:tc>
      </w:tr>
      <w:tr w14:paraId="607E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restart"/>
            <w:vAlign w:val="center"/>
          </w:tcPr>
          <w:p w14:paraId="28E84780">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6860" w:type="dxa"/>
            <w:vAlign w:val="center"/>
          </w:tcPr>
          <w:p w14:paraId="51EBC27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因甲类、乙类传染病发生重大传染病疫情受影响的相关区域中被传染病病原体污染或者可能被传染病病原体污染的物品未进行消毒处理，违法所得不足三千元的。</w:t>
            </w:r>
          </w:p>
        </w:tc>
        <w:tc>
          <w:tcPr>
            <w:tcW w:w="5612" w:type="dxa"/>
            <w:shd w:val="clear" w:color="auto" w:fill="auto"/>
            <w:vAlign w:val="center"/>
          </w:tcPr>
          <w:p w14:paraId="46FEF0A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警告，没收违法所得，处一万元以上三万元以下的罚款。</w:t>
            </w:r>
          </w:p>
        </w:tc>
      </w:tr>
      <w:tr w14:paraId="2536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continue"/>
            <w:vAlign w:val="center"/>
          </w:tcPr>
          <w:p w14:paraId="66EAE77B">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860" w:type="dxa"/>
            <w:vAlign w:val="center"/>
          </w:tcPr>
          <w:p w14:paraId="072FC03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因甲类、乙类传染病发生重大传染病疫情受影响的相关区域中被传染病病原体污染或者可能被传染病病原体污染的物品未进行消毒处理，违法所得三千元以上十万元以下的。</w:t>
            </w:r>
          </w:p>
        </w:tc>
        <w:tc>
          <w:tcPr>
            <w:tcW w:w="5612" w:type="dxa"/>
            <w:vAlign w:val="center"/>
          </w:tcPr>
          <w:p w14:paraId="24617C4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警告，没收违法所得，处三万元以上八万元以下的罚款。</w:t>
            </w:r>
          </w:p>
        </w:tc>
      </w:tr>
      <w:tr w14:paraId="0877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continue"/>
            <w:vAlign w:val="center"/>
          </w:tcPr>
          <w:p w14:paraId="1A26FEEE">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860" w:type="dxa"/>
            <w:vAlign w:val="center"/>
          </w:tcPr>
          <w:p w14:paraId="0CC51DA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因甲类、乙类传染病发生重大传染病疫情受影响的相关区域中被传染病病原体污染或者可能被传染病病原体污染的物品未进行消毒处理，违法所得十万元以上的。</w:t>
            </w:r>
          </w:p>
        </w:tc>
        <w:tc>
          <w:tcPr>
            <w:tcW w:w="5612" w:type="dxa"/>
            <w:vAlign w:val="center"/>
          </w:tcPr>
          <w:p w14:paraId="4C0DF62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警告，没收违法所得，处八万元以上十三万元以下的罚款。</w:t>
            </w:r>
          </w:p>
        </w:tc>
      </w:tr>
      <w:tr w14:paraId="0EF3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18" w:type="dxa"/>
            <w:vMerge w:val="restart"/>
            <w:vAlign w:val="center"/>
          </w:tcPr>
          <w:p w14:paraId="1C420EBB">
            <w:pPr>
              <w:widowControl w:val="0"/>
              <w:spacing w:after="0" w:line="28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860" w:type="dxa"/>
            <w:shd w:val="clear" w:color="auto" w:fill="auto"/>
            <w:vAlign w:val="center"/>
          </w:tcPr>
          <w:p w14:paraId="7010A633">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因乙类传染病发生重大传染病疫情受影响的相关区域中被传染病病原体污染或者可能被传染病病原体污染的物品未进行消毒处理，造成或者可能造成传染病传播的。</w:t>
            </w:r>
          </w:p>
        </w:tc>
        <w:tc>
          <w:tcPr>
            <w:tcW w:w="5612" w:type="dxa"/>
            <w:shd w:val="clear" w:color="auto" w:fill="auto"/>
            <w:vAlign w:val="center"/>
          </w:tcPr>
          <w:p w14:paraId="48D63CE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警告，没收违法所得，处十三万元以上十八万元以下的罚款，可以由原发证部门依法吊销相关许可证，对直接负责的主管人员和其他直接责任人员可以禁止其五年内从事相应生产经营活动。</w:t>
            </w:r>
          </w:p>
        </w:tc>
      </w:tr>
      <w:tr w14:paraId="543D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18" w:type="dxa"/>
            <w:vMerge w:val="continue"/>
            <w:vAlign w:val="center"/>
          </w:tcPr>
          <w:p w14:paraId="76C957C8">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860" w:type="dxa"/>
            <w:shd w:val="clear" w:color="auto" w:fill="auto"/>
            <w:vAlign w:val="center"/>
          </w:tcPr>
          <w:p w14:paraId="15ADF57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因乙类传染病发生重大传染病疫情受影响的相关区域中被传染病病原体污染或者可能被传染病病原体污染的物品未进行消毒处理，造成或者可能造成传染病爆发、流行等严重后果的。</w:t>
            </w:r>
          </w:p>
        </w:tc>
        <w:tc>
          <w:tcPr>
            <w:tcW w:w="5612" w:type="dxa"/>
            <w:shd w:val="clear" w:color="auto" w:fill="auto"/>
            <w:vAlign w:val="center"/>
          </w:tcPr>
          <w:p w14:paraId="4D848DC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警告，没收违法所得，处十八万元以上二十万元以下的罚款，可以由原发证部门依法吊销相关许可证，对直接负责的主管人员和其他直接责任人员可以禁止其五年内从事相应生产经营活动。</w:t>
            </w:r>
          </w:p>
        </w:tc>
      </w:tr>
    </w:tbl>
    <w:p w14:paraId="6B050FDD">
      <w:pPr>
        <w:widowControl w:val="0"/>
        <w:spacing w:after="0" w:line="279" w:lineRule="auto"/>
        <w:ind w:firstLine="643" w:firstLineChars="200"/>
        <w:outlineLvl w:val="2"/>
        <w:rPr>
          <w:rFonts w:hint="eastAsia" w:ascii="Times New Roman" w:hAnsi="Times New Roman" w:eastAsia="仿宋_GB2312" w:cs="仿宋_GB2312"/>
          <w:b/>
          <w:color w:val="000000" w:themeColor="text1"/>
          <w:sz w:val="32"/>
          <w:szCs w:val="32"/>
          <w14:textFill>
            <w14:solidFill>
              <w14:schemeClr w14:val="tx1"/>
            </w14:solidFill>
          </w14:textFill>
        </w:rPr>
      </w:pPr>
      <w:bookmarkStart w:id="282" w:name="_Toc5244"/>
      <w:bookmarkStart w:id="283" w:name="_Toc21267"/>
      <w:bookmarkStart w:id="284" w:name="_Toc23125"/>
      <w:bookmarkStart w:id="285" w:name="_Toc21121"/>
      <w:bookmarkStart w:id="286" w:name="_Toc20756"/>
      <w:bookmarkStart w:id="287" w:name="_Toc12056"/>
      <w:r>
        <w:rPr>
          <w:rFonts w:hint="eastAsia" w:ascii="Times New Roman" w:hAnsi="Times New Roman" w:eastAsia="仿宋_GB2312" w:cs="仿宋_GB2312"/>
          <w:b/>
          <w:color w:val="000000" w:themeColor="text1"/>
          <w:sz w:val="32"/>
          <w:szCs w:val="32"/>
          <w14:textFill>
            <w14:solidFill>
              <w14:schemeClr w14:val="tx1"/>
            </w14:solidFill>
          </w14:textFill>
        </w:rPr>
        <w:t>第二十一条 疾病预防控制机构、医疗机构的实验室和从事病原微生物实验的单位，不符合国家规定的条件和技术标准，对传染病病原体和样本未按照规定的措施实行严格管理的</w:t>
      </w:r>
      <w:bookmarkEnd w:id="282"/>
      <w:bookmarkEnd w:id="283"/>
      <w:bookmarkEnd w:id="284"/>
      <w:bookmarkEnd w:id="285"/>
      <w:bookmarkEnd w:id="286"/>
      <w:bookmarkEnd w:id="287"/>
    </w:p>
    <w:p w14:paraId="2CD8C43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5B59D13C">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《中华人民共和国传染病防治法》第一百零八条第（一）项　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w:t>
      </w:r>
    </w:p>
    <w:p w14:paraId="3DF20C84">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（一）疾病预防控制机构、医疗机构的实验室和从事病原微生物实验的单位，不符合国家规定的条件和技术标准，对传染病病原体和样本未按照规定的措施实行严格管理；</w:t>
      </w:r>
    </w:p>
    <w:p w14:paraId="5AF16D91">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53"/>
        <w:gridCol w:w="4819"/>
      </w:tblGrid>
      <w:tr w14:paraId="3C2D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337E4CC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3" w:type="dxa"/>
            <w:vAlign w:val="center"/>
          </w:tcPr>
          <w:p w14:paraId="6C5C88C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19" w:type="dxa"/>
            <w:vAlign w:val="center"/>
          </w:tcPr>
          <w:p w14:paraId="3F4E4E3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E6E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4BEC4EF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653" w:type="dxa"/>
            <w:vAlign w:val="center"/>
          </w:tcPr>
          <w:p w14:paraId="2BA3F334">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疾病预防控制机构、医疗机构的实验室和从事病原微生物实验的单位，不符合国家规定的条件和技术标准的。</w:t>
            </w:r>
          </w:p>
        </w:tc>
        <w:tc>
          <w:tcPr>
            <w:tcW w:w="4819" w:type="dxa"/>
            <w:vAlign w:val="center"/>
          </w:tcPr>
          <w:p w14:paraId="15FB0351">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给予警告，没收违法所得，处一万元以下罚款。</w:t>
            </w:r>
          </w:p>
        </w:tc>
      </w:tr>
      <w:tr w14:paraId="1D88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continue"/>
            <w:vAlign w:val="center"/>
          </w:tcPr>
          <w:p w14:paraId="4AE4C039">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3C1890D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对传染病病原体和样本未按照规定的措施实行严格管理的。</w:t>
            </w:r>
          </w:p>
        </w:tc>
        <w:tc>
          <w:tcPr>
            <w:tcW w:w="4819" w:type="dxa"/>
            <w:vAlign w:val="center"/>
          </w:tcPr>
          <w:p w14:paraId="6EF8982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给予警告，没收违法所得，处一万元以上三万元以下的罚款。</w:t>
            </w:r>
          </w:p>
        </w:tc>
      </w:tr>
      <w:tr w14:paraId="39A3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restart"/>
            <w:vAlign w:val="center"/>
          </w:tcPr>
          <w:p w14:paraId="4E1FDF5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653" w:type="dxa"/>
            <w:vAlign w:val="center"/>
          </w:tcPr>
          <w:p w14:paraId="31CE99D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疾病预防控制机构、医疗机构的实验室和从事病原微生物实验的单位，不符合国家规定的条件和技术标准，且对传染病病原体和样本未按照规定的措施实行严格管理的。</w:t>
            </w:r>
          </w:p>
        </w:tc>
        <w:tc>
          <w:tcPr>
            <w:tcW w:w="4819" w:type="dxa"/>
            <w:vAlign w:val="center"/>
          </w:tcPr>
          <w:p w14:paraId="17440FF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给予警告，没收违法所得，处三万元以上五万元以下的罚款。</w:t>
            </w:r>
          </w:p>
        </w:tc>
      </w:tr>
      <w:tr w14:paraId="5CEE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continue"/>
            <w:vAlign w:val="center"/>
          </w:tcPr>
          <w:p w14:paraId="1464216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0E34D4A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疾病预防控制机构、医疗机构的实验室和从事病原微生物实验的单位，不符合国家规定的条件和技术标准，对传染病病原体和样本未按照规定的措施实行严格管理，造成第三类病原微生物的实验室感染和扩散的。</w:t>
            </w:r>
          </w:p>
        </w:tc>
        <w:tc>
          <w:tcPr>
            <w:tcW w:w="4819" w:type="dxa"/>
            <w:vAlign w:val="center"/>
          </w:tcPr>
          <w:p w14:paraId="1BC565A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给予警告，没收违法所得，处五万元以上七万元以下的罚款。</w:t>
            </w:r>
          </w:p>
        </w:tc>
      </w:tr>
      <w:tr w14:paraId="15E8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1418" w:type="dxa"/>
            <w:vMerge w:val="restart"/>
            <w:vAlign w:val="center"/>
          </w:tcPr>
          <w:p w14:paraId="767F48EB">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653" w:type="dxa"/>
            <w:vAlign w:val="center"/>
          </w:tcPr>
          <w:p w14:paraId="0CCC7EF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疾病预防控制机构、医疗机构的实验室和从事病原微生物实验的单位，不符合国家规定的条件和技术标准，对传染病病原体和样本未按照规定的措施实行严格管理，造成第二类病原微生物的实验室感染和扩散的。</w:t>
            </w:r>
          </w:p>
        </w:tc>
        <w:tc>
          <w:tcPr>
            <w:tcW w:w="4819" w:type="dxa"/>
            <w:vAlign w:val="center"/>
          </w:tcPr>
          <w:p w14:paraId="108F80A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通报批评，没收违法所得，处七万元以上八万元以下的罚款，可以由原发证部门责令有关责任人员暂停六个月以上一年以下执业活动直至依法吊销执业证书。</w:t>
            </w:r>
          </w:p>
        </w:tc>
      </w:tr>
      <w:tr w14:paraId="59FD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continue"/>
            <w:vAlign w:val="center"/>
          </w:tcPr>
          <w:p w14:paraId="5C15FDFF">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77F84BD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疾病预防控制机构、医疗机构的实验室和从事病原微生物实验的单位，不符合国家规定的条件和技术标准，对传染病病原体和样本未按照规定的措施实行严格管理，造成第一类病原微生物的实验室感染和扩散的。</w:t>
            </w:r>
          </w:p>
        </w:tc>
        <w:tc>
          <w:tcPr>
            <w:tcW w:w="4819" w:type="dxa"/>
            <w:vAlign w:val="center"/>
          </w:tcPr>
          <w:p w14:paraId="54B7D55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通报批评，没收违法所得，处八万元以上十万元以下的罚款，可以由原发证部门责令有关责任人员暂停六个月以上一年以下执业活动直至依法吊销执业证书。</w:t>
            </w:r>
          </w:p>
        </w:tc>
      </w:tr>
    </w:tbl>
    <w:p w14:paraId="710F92FE">
      <w:pPr>
        <w:widowControl w:val="0"/>
        <w:spacing w:after="0" w:line="279" w:lineRule="auto"/>
        <w:ind w:firstLine="643" w:firstLineChars="200"/>
        <w:outlineLvl w:val="2"/>
        <w:rPr>
          <w:rFonts w:hint="eastAsia" w:ascii="Times New Roman" w:hAnsi="Times New Roman" w:eastAsia="仿宋_GB2312" w:cs="仿宋_GB2312"/>
          <w:b/>
          <w:color w:val="000000" w:themeColor="text1"/>
          <w:sz w:val="32"/>
          <w:szCs w:val="32"/>
          <w14:textFill>
            <w14:solidFill>
              <w14:schemeClr w14:val="tx1"/>
            </w14:solidFill>
          </w14:textFill>
        </w:rPr>
      </w:pPr>
      <w:bookmarkStart w:id="288" w:name="_Toc249"/>
      <w:bookmarkStart w:id="289" w:name="_Toc22455"/>
      <w:bookmarkStart w:id="290" w:name="_Toc19323"/>
      <w:bookmarkStart w:id="291" w:name="_Toc29439"/>
      <w:bookmarkStart w:id="292" w:name="_Toc10485"/>
      <w:bookmarkStart w:id="293" w:name="_Toc27218"/>
      <w:r>
        <w:rPr>
          <w:rFonts w:hint="eastAsia" w:ascii="Times New Roman" w:hAnsi="Times New Roman" w:eastAsia="仿宋_GB2312" w:cs="仿宋_GB2312"/>
          <w:b/>
          <w:color w:val="000000" w:themeColor="text1"/>
          <w:sz w:val="32"/>
          <w:szCs w:val="32"/>
          <w14:textFill>
            <w14:solidFill>
              <w14:schemeClr w14:val="tx1"/>
            </w14:solidFill>
          </w14:textFill>
        </w:rPr>
        <w:t>第二十二条</w:t>
      </w:r>
      <w:r>
        <w:rPr>
          <w:rFonts w:hint="eastAsia" w:ascii="Times New Roman" w:hAnsi="Times New Roman" w:eastAsia="仿宋_GB2312" w:cs="仿宋_GB2312"/>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
          <w:color w:val="000000" w:themeColor="text1"/>
          <w:sz w:val="32"/>
          <w:szCs w:val="32"/>
          <w14:textFill>
            <w14:solidFill>
              <w14:schemeClr w14:val="tx1"/>
            </w14:solidFill>
          </w14:textFill>
        </w:rPr>
        <w:t>违反国家有关规定，采集、保藏、提供、携带、运输、使用病原微生物菌（毒）种和传染病检测样本的</w:t>
      </w:r>
      <w:bookmarkEnd w:id="288"/>
      <w:bookmarkEnd w:id="289"/>
      <w:bookmarkEnd w:id="290"/>
      <w:bookmarkEnd w:id="291"/>
      <w:bookmarkEnd w:id="292"/>
      <w:bookmarkEnd w:id="293"/>
    </w:p>
    <w:p w14:paraId="45EB1AD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DE43D9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《中华人民共和国传染病防治法》第一百零八条第（二）项　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w:t>
      </w:r>
    </w:p>
    <w:p w14:paraId="0A1E128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（二）违反国家有关规定，采集、保藏、提供、携带、运输、使用病原微生物菌（毒）种和传染病检测样本；</w:t>
      </w:r>
    </w:p>
    <w:p w14:paraId="4E55F4C8">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53"/>
        <w:gridCol w:w="4819"/>
      </w:tblGrid>
      <w:tr w14:paraId="7CFA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543FE7B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3" w:type="dxa"/>
            <w:vAlign w:val="center"/>
          </w:tcPr>
          <w:p w14:paraId="0B65AE0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19" w:type="dxa"/>
            <w:vAlign w:val="center"/>
          </w:tcPr>
          <w:p w14:paraId="1291913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EE0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Align w:val="center"/>
          </w:tcPr>
          <w:p w14:paraId="1EB435AC">
            <w:pPr>
              <w:widowControl w:val="0"/>
              <w:spacing w:line="44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653" w:type="dxa"/>
            <w:vAlign w:val="center"/>
          </w:tcPr>
          <w:p w14:paraId="0ACFEFC3">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违反国家有关规定，采集、保藏、提供、携带、运输、使用病原微生物菌（毒）种和传染病检测样本的。</w:t>
            </w:r>
          </w:p>
        </w:tc>
        <w:tc>
          <w:tcPr>
            <w:tcW w:w="4819" w:type="dxa"/>
            <w:vAlign w:val="center"/>
          </w:tcPr>
          <w:p w14:paraId="03F1D443">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给予警告，没收违法所得，处三万元以下罚款。</w:t>
            </w:r>
          </w:p>
        </w:tc>
      </w:tr>
      <w:tr w14:paraId="6032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Align w:val="center"/>
          </w:tcPr>
          <w:p w14:paraId="51DA583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653" w:type="dxa"/>
            <w:vAlign w:val="center"/>
          </w:tcPr>
          <w:p w14:paraId="215259F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违反国家有关规定，采集、保藏、提供、携带、运输、使用病原微生物菌（毒）种和传染病检测样本，造成第三类病原微生物的实验室感染和扩散的。</w:t>
            </w:r>
          </w:p>
        </w:tc>
        <w:tc>
          <w:tcPr>
            <w:tcW w:w="4819" w:type="dxa"/>
            <w:vAlign w:val="center"/>
          </w:tcPr>
          <w:p w14:paraId="6DA0E17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给予警告，没收违法所得，处三万元以上五万元以下的罚款。</w:t>
            </w:r>
          </w:p>
        </w:tc>
      </w:tr>
      <w:tr w14:paraId="7AB6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1418" w:type="dxa"/>
            <w:vMerge w:val="restart"/>
            <w:vAlign w:val="center"/>
          </w:tcPr>
          <w:p w14:paraId="57D3032E">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653" w:type="dxa"/>
            <w:vAlign w:val="center"/>
          </w:tcPr>
          <w:p w14:paraId="6F1EF17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疾病预防控制机构、医疗机构的实验室和从事病原微生物实验的单位，不符合国家规定的条件和技术标准，对传染病病原体和样本未按照规定的措施实行严格管理，造成第二类病原微生物的实验室感染和扩散的。</w:t>
            </w:r>
          </w:p>
        </w:tc>
        <w:tc>
          <w:tcPr>
            <w:tcW w:w="4819" w:type="dxa"/>
            <w:vAlign w:val="center"/>
          </w:tcPr>
          <w:p w14:paraId="472FF7B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通报批评，没收违法所得，处五万元以上八万元以下的罚款，可以由原发证部门责令有关责任人员暂停六个月以上一年以下执业活动直至依法吊销执业证书。</w:t>
            </w:r>
          </w:p>
        </w:tc>
      </w:tr>
      <w:tr w14:paraId="3C25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continue"/>
            <w:vAlign w:val="center"/>
          </w:tcPr>
          <w:p w14:paraId="0893400D">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106D365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疾病预防控制机构、医疗机构的实验室和从事病原微生物实验的单位，不符合国家规定的条件和技术标准，对传染病病原体和样本未按照规定的措施实行严格管理，造成第一类病原微生物的实验室感染和扩散的。</w:t>
            </w:r>
          </w:p>
        </w:tc>
        <w:tc>
          <w:tcPr>
            <w:tcW w:w="4819" w:type="dxa"/>
            <w:vAlign w:val="center"/>
          </w:tcPr>
          <w:p w14:paraId="4999E47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通报批评，没收违法所得，处八万元以上十万元以下的罚款，可以由原发证部门责令有关责任人员暂停六个月以上一年以下执业活动直至依法吊销执业证书。</w:t>
            </w:r>
          </w:p>
        </w:tc>
      </w:tr>
    </w:tbl>
    <w:p w14:paraId="24856018">
      <w:pPr>
        <w:widowControl w:val="0"/>
        <w:spacing w:after="0" w:line="279" w:lineRule="auto"/>
        <w:ind w:firstLine="643" w:firstLineChars="200"/>
        <w:outlineLvl w:val="2"/>
        <w:rPr>
          <w:rFonts w:hint="eastAsia" w:ascii="Times New Roman" w:hAnsi="Times New Roman" w:eastAsia="仿宋_GB2312" w:cs="仿宋_GB2312"/>
          <w:b/>
          <w:color w:val="000000" w:themeColor="text1"/>
          <w:sz w:val="32"/>
          <w:szCs w:val="32"/>
          <w14:textFill>
            <w14:solidFill>
              <w14:schemeClr w14:val="tx1"/>
            </w14:solidFill>
          </w14:textFill>
        </w:rPr>
      </w:pPr>
      <w:bookmarkStart w:id="294" w:name="_Toc4559"/>
      <w:bookmarkStart w:id="295" w:name="_Toc13941"/>
      <w:bookmarkStart w:id="296" w:name="_Toc14220"/>
      <w:bookmarkStart w:id="297" w:name="_Toc15629"/>
      <w:bookmarkStart w:id="298" w:name="_Toc32208"/>
      <w:bookmarkStart w:id="299" w:name="_Toc30783"/>
      <w:r>
        <w:rPr>
          <w:rFonts w:hint="eastAsia" w:ascii="Times New Roman" w:hAnsi="Times New Roman" w:eastAsia="仿宋_GB2312" w:cs="仿宋_GB2312"/>
          <w:b/>
          <w:color w:val="000000" w:themeColor="text1"/>
          <w:sz w:val="32"/>
          <w:szCs w:val="32"/>
          <w14:textFill>
            <w14:solidFill>
              <w14:schemeClr w14:val="tx1"/>
            </w14:solidFill>
          </w14:textFill>
        </w:rPr>
        <w:t>第二十三条</w:t>
      </w:r>
      <w:r>
        <w:rPr>
          <w:rFonts w:hint="eastAsia" w:ascii="Times New Roman" w:hAnsi="Times New Roman" w:eastAsia="仿宋_GB2312" w:cs="仿宋_GB2312"/>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
          <w:color w:val="000000" w:themeColor="text1"/>
          <w:sz w:val="32"/>
          <w:szCs w:val="32"/>
          <w14:textFill>
            <w14:solidFill>
              <w14:schemeClr w14:val="tx1"/>
            </w14:solidFill>
          </w14:textFill>
        </w:rPr>
        <w:t>医疗机构、疾病预防控制机构、检验检测机构未按照传染病检验检测技术规范和标准开展检验检测活动，或者出具虚假检验检测报告的</w:t>
      </w:r>
      <w:bookmarkEnd w:id="294"/>
      <w:bookmarkEnd w:id="295"/>
      <w:bookmarkEnd w:id="296"/>
      <w:bookmarkEnd w:id="297"/>
      <w:bookmarkEnd w:id="298"/>
      <w:bookmarkEnd w:id="299"/>
    </w:p>
    <w:p w14:paraId="3EA4193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1C702B41">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《中华人民共和国传染病防治法》第一百零八条第（三）项　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w:t>
      </w:r>
    </w:p>
    <w:p w14:paraId="459E44B1">
      <w:pPr>
        <w:widowControl w:val="0"/>
        <w:rPr>
          <w:rFonts w:ascii="Times New Roman" w:hAnsi="Times New Roman"/>
          <w:color w:val="000000" w:themeColor="text1"/>
          <w14:textFill>
            <w14:solidFill>
              <w14:schemeClr w14:val="tx1"/>
            </w14:solidFill>
          </w14:textFill>
        </w:rPr>
      </w:pPr>
    </w:p>
    <w:p w14:paraId="3C94A85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（三）医疗机构、疾病预防控制机构、检验检测机构未按照传染病检验检测技术规范和标准开展检验检测活动，或者出具虚假检验检测报告；</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0EDDBCA2">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53"/>
        <w:gridCol w:w="4819"/>
      </w:tblGrid>
      <w:tr w14:paraId="1A56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7746D4F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3" w:type="dxa"/>
            <w:vAlign w:val="center"/>
          </w:tcPr>
          <w:p w14:paraId="7E231E1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19" w:type="dxa"/>
            <w:vAlign w:val="center"/>
          </w:tcPr>
          <w:p w14:paraId="7454D5C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194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4B6FDA6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653" w:type="dxa"/>
            <w:vAlign w:val="center"/>
          </w:tcPr>
          <w:p w14:paraId="2E4741FD">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医疗机构、疾病预防控制机构、检验检测机构未按照传染病检验检测技术规范和标准开展检验检测活动的。</w:t>
            </w:r>
          </w:p>
        </w:tc>
        <w:tc>
          <w:tcPr>
            <w:tcW w:w="4819" w:type="dxa"/>
            <w:vAlign w:val="center"/>
          </w:tcPr>
          <w:p w14:paraId="378F6B95">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给予警告，没收违法所得，处一万元以下罚款。</w:t>
            </w:r>
          </w:p>
        </w:tc>
      </w:tr>
      <w:tr w14:paraId="6035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continue"/>
            <w:vAlign w:val="center"/>
          </w:tcPr>
          <w:p w14:paraId="75371F5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0EAEA2D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出具虚假检验检测报告的。</w:t>
            </w:r>
          </w:p>
        </w:tc>
        <w:tc>
          <w:tcPr>
            <w:tcW w:w="4819" w:type="dxa"/>
            <w:vAlign w:val="center"/>
          </w:tcPr>
          <w:p w14:paraId="027CCBF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给予警告，没收违法所得，处一万元以上三万元以下的罚款。</w:t>
            </w:r>
          </w:p>
        </w:tc>
      </w:tr>
      <w:tr w14:paraId="6BDF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18" w:type="dxa"/>
            <w:vMerge w:val="restart"/>
            <w:vAlign w:val="center"/>
          </w:tcPr>
          <w:p w14:paraId="3ACBB58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7653" w:type="dxa"/>
            <w:vAlign w:val="center"/>
          </w:tcPr>
          <w:p w14:paraId="294D0F54">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医疗机构、疾病预防控制机构、检验检测机构未按照传染病检验检测技术规范和标准开展检验检测活动，且出具虚假检验检测报告的。</w:t>
            </w:r>
          </w:p>
        </w:tc>
        <w:tc>
          <w:tcPr>
            <w:tcW w:w="4819" w:type="dxa"/>
            <w:vAlign w:val="center"/>
          </w:tcPr>
          <w:p w14:paraId="12F8AF4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给予警告，没收违法所得，处三万元以上五万元以下的罚款。</w:t>
            </w:r>
          </w:p>
        </w:tc>
      </w:tr>
      <w:tr w14:paraId="0494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18" w:type="dxa"/>
            <w:vMerge w:val="continue"/>
            <w:vAlign w:val="center"/>
          </w:tcPr>
          <w:p w14:paraId="47DBEDDA">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720EC21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医疗机构、疾病预防控制机构、检验检测机构未按照传染病检验检测技术规范和标准开展检验检测活动，或者出具虚假检验检测报告，造成第三类病原微生物的实验室感染和扩散的。</w:t>
            </w:r>
          </w:p>
        </w:tc>
        <w:tc>
          <w:tcPr>
            <w:tcW w:w="4819" w:type="dxa"/>
            <w:vAlign w:val="center"/>
          </w:tcPr>
          <w:p w14:paraId="0FE63B1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给予警告，没收违法所得，处五万元以上七万元以下的罚款。</w:t>
            </w:r>
          </w:p>
        </w:tc>
      </w:tr>
      <w:tr w14:paraId="608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418" w:type="dxa"/>
            <w:vMerge w:val="restart"/>
            <w:vAlign w:val="center"/>
          </w:tcPr>
          <w:p w14:paraId="11D56B0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7653" w:type="dxa"/>
            <w:vAlign w:val="center"/>
          </w:tcPr>
          <w:p w14:paraId="4F49641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医疗机构、疾病预防控制机构、检验检测机构未按照传染病检验检测技术规范和标准开展检验检测活动，或者出具虚假检验检测报告，造成第二类病原微生物的实验室感染和扩散的。</w:t>
            </w:r>
          </w:p>
        </w:tc>
        <w:tc>
          <w:tcPr>
            <w:tcW w:w="4819" w:type="dxa"/>
            <w:vAlign w:val="center"/>
          </w:tcPr>
          <w:p w14:paraId="2923FBA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通报批评，没收违法所得，处七万元以上八万元以下的罚款，可以由原发证部门责令有关责任人员暂停六个月以上一年以下执业活动直至依法吊销执业证书。</w:t>
            </w:r>
          </w:p>
        </w:tc>
      </w:tr>
      <w:tr w14:paraId="2F10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18" w:type="dxa"/>
            <w:vMerge w:val="continue"/>
            <w:vAlign w:val="center"/>
          </w:tcPr>
          <w:p w14:paraId="663297C9">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653" w:type="dxa"/>
            <w:vAlign w:val="center"/>
          </w:tcPr>
          <w:p w14:paraId="785E3AC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医疗机构、疾病预防控制机构、检验检测机构未按照传染病检验检测技术规范和标准开展检验检测活动，或者出具虚假检验检测报告，造成第一类病原微生物的实验室感染和扩散的。</w:t>
            </w:r>
          </w:p>
        </w:tc>
        <w:tc>
          <w:tcPr>
            <w:tcW w:w="4819" w:type="dxa"/>
            <w:vAlign w:val="center"/>
          </w:tcPr>
          <w:p w14:paraId="6C7FBAE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通报批评，没收违法所得，处八万元以上十万元以下的罚款，可以由原发证部门责令有关责任人员暂停六个月以上一年以下执业活动直至依法吊销执业证书。</w:t>
            </w:r>
          </w:p>
        </w:tc>
      </w:tr>
    </w:tbl>
    <w:p w14:paraId="27A72408">
      <w:pPr>
        <w:widowControl w:val="0"/>
        <w:spacing w:after="0" w:line="279" w:lineRule="auto"/>
        <w:ind w:firstLine="643" w:firstLineChars="200"/>
        <w:outlineLvl w:val="2"/>
        <w:rPr>
          <w:rFonts w:hint="eastAsia" w:ascii="Times New Roman" w:hAnsi="Times New Roman" w:eastAsia="仿宋_GB2312" w:cs="Times New Roman"/>
          <w:b/>
          <w:color w:val="000000" w:themeColor="text1"/>
          <w:sz w:val="32"/>
          <w:szCs w:val="32"/>
          <w14:textFill>
            <w14:solidFill>
              <w14:schemeClr w14:val="tx1"/>
            </w14:solidFill>
          </w14:textFill>
        </w:rPr>
      </w:pPr>
      <w:bookmarkStart w:id="300" w:name="_Toc17191"/>
      <w:bookmarkStart w:id="301" w:name="_Toc652"/>
      <w:bookmarkStart w:id="302" w:name="_Toc7481"/>
      <w:bookmarkStart w:id="303" w:name="_Toc8355"/>
      <w:bookmarkStart w:id="304" w:name="_Toc22035"/>
      <w:bookmarkStart w:id="305" w:name="_Toc21965"/>
      <w:r>
        <w:rPr>
          <w:rFonts w:hint="eastAsia" w:ascii="Times New Roman" w:hAnsi="Times New Roman" w:eastAsia="仿宋_GB2312" w:cs="Times New Roman"/>
          <w:b/>
          <w:color w:val="000000" w:themeColor="text1"/>
          <w:sz w:val="32"/>
          <w:szCs w:val="32"/>
          <w14:textFill>
            <w14:solidFill>
              <w14:schemeClr w14:val="tx1"/>
            </w14:solidFill>
          </w14:textFill>
        </w:rPr>
        <w:t>第二十四条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生产、销售应当备案而未备案的消毒剂、消毒器械以及抗（抑）菌剂的</w:t>
      </w:r>
      <w:bookmarkEnd w:id="300"/>
      <w:bookmarkEnd w:id="301"/>
      <w:bookmarkEnd w:id="302"/>
      <w:bookmarkEnd w:id="303"/>
      <w:bookmarkEnd w:id="304"/>
      <w:bookmarkEnd w:id="305"/>
    </w:p>
    <w:p w14:paraId="4633440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9541050">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《中华人民共和国传染病防治法》第一百零八条第（四）项　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w:t>
      </w:r>
    </w:p>
    <w:p w14:paraId="33F1091D">
      <w:pPr>
        <w:pStyle w:val="63"/>
        <w:widowControl w:val="0"/>
        <w:spacing w:after="0" w:line="600" w:lineRule="atLeast"/>
        <w:ind w:left="0" w:right="0"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（四）生产、销售应当备案而未备案的消毒剂、消毒器械以及抗（抑）菌剂；</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3452187D">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5712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410DB97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6795C31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230A82D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E97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3A6333F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5C3C2AEE">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生产、销售应当备案而未备案的消毒剂、消毒器械以及抗（抑）菌剂，违法所得不足三千元的。</w:t>
            </w:r>
          </w:p>
        </w:tc>
        <w:tc>
          <w:tcPr>
            <w:tcW w:w="6014" w:type="dxa"/>
            <w:vAlign w:val="center"/>
          </w:tcPr>
          <w:p w14:paraId="547CB7B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警告，没收违法所得，处一万元以下的罚款。</w:t>
            </w:r>
          </w:p>
        </w:tc>
      </w:tr>
      <w:tr w14:paraId="5E0A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2B5CA2FE">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514A6DD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生产、销售应当备案而未备案的消毒剂、消毒器械以及抗（抑）菌剂，违法所得三千元以上一万元以下的。</w:t>
            </w:r>
          </w:p>
        </w:tc>
        <w:tc>
          <w:tcPr>
            <w:tcW w:w="6014" w:type="dxa"/>
            <w:vAlign w:val="center"/>
          </w:tcPr>
          <w:p w14:paraId="0372A57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警告，没收违法所得，处一万元以上三万元以下的罚款。</w:t>
            </w:r>
          </w:p>
        </w:tc>
      </w:tr>
      <w:tr w14:paraId="4598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7F2087B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4BF1C56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生产、销售应当备案而未备案的消毒剂、消毒器械以及抗（抑）菌剂，违法所得一万元以上的。</w:t>
            </w:r>
          </w:p>
        </w:tc>
        <w:tc>
          <w:tcPr>
            <w:tcW w:w="6014" w:type="dxa"/>
            <w:vAlign w:val="center"/>
          </w:tcPr>
          <w:p w14:paraId="43214B3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警告，没收违法所得，处三万元以上六万元以下的罚款。</w:t>
            </w:r>
          </w:p>
        </w:tc>
      </w:tr>
      <w:tr w14:paraId="2EA6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restart"/>
            <w:vAlign w:val="center"/>
          </w:tcPr>
          <w:p w14:paraId="78EEC68D">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27CC989F">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生产、销售应当备案而未备案的消毒剂、消毒器械以及抗（抑）菌剂，造成或者可能造成传染病传播的。</w:t>
            </w:r>
          </w:p>
        </w:tc>
        <w:tc>
          <w:tcPr>
            <w:tcW w:w="6014" w:type="dxa"/>
            <w:shd w:val="clear" w:color="auto" w:fill="auto"/>
            <w:vAlign w:val="center"/>
          </w:tcPr>
          <w:p w14:paraId="7374B1C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通报批评，没收违法所得，处六万元以上八万元以下的罚款，可以由原发证部门责令有关责任人员暂停六个月以上一年以下执业活动直至依法吊销执业证书。</w:t>
            </w:r>
          </w:p>
        </w:tc>
      </w:tr>
      <w:tr w14:paraId="4B31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continue"/>
            <w:vAlign w:val="center"/>
          </w:tcPr>
          <w:p w14:paraId="4CA473D0">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7EDBF8A3">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生产、销售应当备案而未备案的消毒剂、消毒器械以及抗（抑）菌剂，造成或者可能造成传染病爆发、流行等严重后果的。</w:t>
            </w:r>
          </w:p>
        </w:tc>
        <w:tc>
          <w:tcPr>
            <w:tcW w:w="6014" w:type="dxa"/>
            <w:shd w:val="clear" w:color="auto" w:fill="auto"/>
            <w:vAlign w:val="center"/>
          </w:tcPr>
          <w:p w14:paraId="1F5F9BA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通报批评，没收违法所得，处八万元以上十万元以下的罚款，可以由原发证部门责令有关责任人员暂停六个月以上一年以下执业活动直至依法吊销执业证书。</w:t>
            </w:r>
          </w:p>
        </w:tc>
      </w:tr>
    </w:tbl>
    <w:p w14:paraId="70260AD9">
      <w:pPr>
        <w:widowControl w:val="0"/>
        <w:spacing w:after="0" w:line="279" w:lineRule="auto"/>
        <w:ind w:firstLine="643" w:firstLineChars="200"/>
        <w:outlineLvl w:val="2"/>
        <w:rPr>
          <w:rFonts w:hint="eastAsia" w:ascii="Times New Roman" w:hAnsi="Times New Roman" w:eastAsia="仿宋_GB2312" w:cs="仿宋_GB2312"/>
          <w:b/>
          <w:color w:val="000000" w:themeColor="text1"/>
          <w:sz w:val="32"/>
          <w:szCs w:val="32"/>
          <w14:textFill>
            <w14:solidFill>
              <w14:schemeClr w14:val="tx1"/>
            </w14:solidFill>
          </w14:textFill>
        </w:rPr>
      </w:pPr>
      <w:bookmarkStart w:id="306" w:name="_Toc17986"/>
      <w:bookmarkStart w:id="307" w:name="_Toc31192"/>
      <w:bookmarkStart w:id="308" w:name="_Toc12660"/>
      <w:bookmarkStart w:id="309" w:name="_Toc3857"/>
      <w:bookmarkStart w:id="310" w:name="_Toc27335"/>
      <w:bookmarkStart w:id="311" w:name="_Toc19104"/>
      <w:r>
        <w:rPr>
          <w:rFonts w:hint="eastAsia" w:ascii="Times New Roman" w:hAnsi="Times New Roman" w:eastAsia="仿宋_GB2312" w:cs="仿宋_GB2312"/>
          <w:b/>
          <w:color w:val="000000" w:themeColor="text1"/>
          <w:sz w:val="32"/>
          <w:szCs w:val="32"/>
          <w14:textFill>
            <w14:solidFill>
              <w14:schemeClr w14:val="tx1"/>
            </w14:solidFill>
          </w14:textFill>
        </w:rPr>
        <w:t>第二十五条 在国家确认的自然疫源地兴建水利、交通、旅游、能源等大型建设项目，未经卫生调查进行施工，或者未按照疾病预防控制机构的意见采取必要的传染病预防、控制措施的</w:t>
      </w:r>
      <w:bookmarkEnd w:id="306"/>
      <w:bookmarkEnd w:id="307"/>
      <w:bookmarkEnd w:id="308"/>
      <w:bookmarkEnd w:id="309"/>
      <w:bookmarkEnd w:id="310"/>
      <w:bookmarkEnd w:id="311"/>
    </w:p>
    <w:p w14:paraId="52D813B8">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2745572">
      <w:pPr>
        <w:widowControl w:val="0"/>
        <w:spacing w:after="0" w:line="440" w:lineRule="exact"/>
        <w:ind w:firstLineChars="200"/>
        <w:rPr>
          <w:rFonts w:ascii="Times New Roman" w:hAnsi="Times New Roman"/>
          <w:color w:val="000000" w:themeColor="text1"/>
          <w14:textFill>
            <w14:solidFill>
              <w14:schemeClr w14:val="tx1"/>
            </w14:solidFill>
          </w14:textFill>
        </w:rPr>
      </w:pPr>
      <w:bookmarkStart w:id="312" w:name="_Toc13036"/>
      <w:bookmarkStart w:id="313" w:name="_Toc27852"/>
      <w:bookmarkStart w:id="314" w:name="_Toc32688"/>
      <w:r>
        <w:rPr>
          <w:rFonts w:hint="eastAsia" w:ascii="Times New Roman" w:hAnsi="Times New Roman" w:eastAsia="仿宋_GB2312" w:cs="Times New Roman"/>
          <w:b w:val="0"/>
          <w:color w:val="000000" w:themeColor="text1"/>
          <w:sz w:val="32"/>
          <w:szCs w:val="32"/>
          <w14:textFill>
            <w14:solidFill>
              <w14:schemeClr w14:val="tx1"/>
            </w14:solidFill>
          </w14:textFill>
        </w:rPr>
        <w:t>《中华人民共和国传染病防治法》第一百零九条　违反本法规定，在国家确认的自然疫源地兴建水利、交通、旅游、能源等大型建设项目，未经卫生调查进行施工，或者未按照疾病预防控制机构的意见采取必要的传染病预防、控制措施的，由县级以上人民政府疾病预防控制部门责令限期改正，给予警告，并处十万元以上五十万元以下罚款；逾期不改正的，处五十万元以上一百万元以下罚款，提请有关人民政府依据职责权限责令停建、拆除，对直接负责的主管人员和其他直接责任人员依法给予处分。</w:t>
      </w:r>
      <w:bookmarkEnd w:id="312"/>
      <w:bookmarkEnd w:id="313"/>
      <w:bookmarkEnd w:id="314"/>
    </w:p>
    <w:p w14:paraId="0682B945">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4293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70AB999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3AD34B9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63976F2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0DF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restart"/>
            <w:vAlign w:val="center"/>
          </w:tcPr>
          <w:p w14:paraId="620783A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077237A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在国家确认的自然疫源地兴建水利、交通、旅游、能源等大型建设项目，未经卫生调查进行施工的。</w:t>
            </w:r>
          </w:p>
        </w:tc>
        <w:tc>
          <w:tcPr>
            <w:tcW w:w="6014" w:type="dxa"/>
            <w:vAlign w:val="center"/>
          </w:tcPr>
          <w:p w14:paraId="4F56D1E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警告，并处十万元以上二十万元以下的罚款。</w:t>
            </w:r>
          </w:p>
        </w:tc>
      </w:tr>
      <w:tr w14:paraId="671E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6E8E182D">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5C58E6C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在国家确认的自然疫源地兴建水利、交通、旅游、能源等大型建设项目未按照疾病预防控制机构的意见采取必要的传染病预防、控制措施的。</w:t>
            </w:r>
          </w:p>
        </w:tc>
        <w:tc>
          <w:tcPr>
            <w:tcW w:w="6014" w:type="dxa"/>
            <w:vAlign w:val="center"/>
          </w:tcPr>
          <w:p w14:paraId="54B5239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警告，并处二十万元以上三十万元以下的罚款。</w:t>
            </w:r>
          </w:p>
        </w:tc>
      </w:tr>
      <w:tr w14:paraId="5A53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05F0E263">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195F23B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在国家确认的自然疫源地兴建水利、交通、旅游、能源等大型建设项目，未经卫生调查进行施工，且未按照疾病预防控制机构的意见采取必要的传染病预防、控制措施的。</w:t>
            </w:r>
          </w:p>
        </w:tc>
        <w:tc>
          <w:tcPr>
            <w:tcW w:w="6014" w:type="dxa"/>
            <w:vAlign w:val="center"/>
          </w:tcPr>
          <w:p w14:paraId="1DE109B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警告，并处三十万元以上五十万元以下的罚款。</w:t>
            </w:r>
          </w:p>
        </w:tc>
      </w:tr>
      <w:tr w14:paraId="098F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1817D212">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37E302D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在国家确认的自然疫源地兴建水利、交通、旅游、能源等大型建设项目，未经卫生调查进行施工，或者未按照疾病预防控制机构的意见采取必要的传染病预防、控制措施，逾期不改正的。</w:t>
            </w:r>
          </w:p>
        </w:tc>
        <w:tc>
          <w:tcPr>
            <w:tcW w:w="6014" w:type="dxa"/>
            <w:vAlign w:val="center"/>
          </w:tcPr>
          <w:p w14:paraId="432A5613">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处五十万元以上六十万元以下罚款。</w:t>
            </w:r>
          </w:p>
        </w:tc>
      </w:tr>
      <w:tr w14:paraId="21BA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continue"/>
            <w:vAlign w:val="center"/>
          </w:tcPr>
          <w:p w14:paraId="7BB253C5">
            <w:pPr>
              <w:widowControl w:val="0"/>
              <w:spacing w:after="0" w:line="44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2AF2674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在国家确认的自然疫源地兴建水利、交通、旅游、能源等大型建设项目，未经卫生调查进行施工，或者未按照疾病预防控制机构的意见采取必要的传染病预防、控制措施，逾期不改正，造成或者可能造成传染病传播的。</w:t>
            </w:r>
          </w:p>
        </w:tc>
        <w:tc>
          <w:tcPr>
            <w:tcW w:w="6014" w:type="dxa"/>
            <w:shd w:val="clear" w:color="auto" w:fill="auto"/>
            <w:vAlign w:val="center"/>
          </w:tcPr>
          <w:p w14:paraId="43F1449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处六十万元以上八十万元以下罚款。</w:t>
            </w:r>
          </w:p>
        </w:tc>
      </w:tr>
      <w:tr w14:paraId="3E8E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18" w:type="dxa"/>
            <w:vMerge w:val="continue"/>
            <w:vAlign w:val="center"/>
          </w:tcPr>
          <w:p w14:paraId="4893B214">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5BD961E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在国家确认的自然疫源地兴建水利、交通、旅游、能源等大型建设项目，未经卫生调查进行施工，或者未按照疾病预防控制机构的意见采取必要的传染病预防、控制措施，逾期不改正，造成或者可能造成传染病爆发、流行等严重后果的。</w:t>
            </w:r>
          </w:p>
        </w:tc>
        <w:tc>
          <w:tcPr>
            <w:tcW w:w="6014" w:type="dxa"/>
            <w:shd w:val="clear" w:color="auto" w:fill="auto"/>
            <w:vAlign w:val="center"/>
          </w:tcPr>
          <w:p w14:paraId="69ADD29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处八十万元以上一百万元以下罚款。</w:t>
            </w:r>
          </w:p>
        </w:tc>
      </w:tr>
    </w:tbl>
    <w:p w14:paraId="7DA4DC6A">
      <w:pPr>
        <w:widowControl w:val="0"/>
        <w:spacing w:after="0" w:line="279" w:lineRule="auto"/>
        <w:ind w:firstLine="643" w:firstLineChars="200"/>
        <w:outlineLvl w:val="2"/>
        <w:rPr>
          <w:rFonts w:hint="eastAsia" w:ascii="Times New Roman" w:hAnsi="Times New Roman" w:eastAsia="仿宋_GB2312" w:cs="仿宋_GB2312"/>
          <w:b/>
          <w:color w:val="000000" w:themeColor="text1"/>
          <w:sz w:val="32"/>
          <w:szCs w:val="32"/>
          <w14:textFill>
            <w14:solidFill>
              <w14:schemeClr w14:val="tx1"/>
            </w14:solidFill>
          </w14:textFill>
        </w:rPr>
      </w:pPr>
      <w:bookmarkStart w:id="315" w:name="_Toc27701"/>
      <w:bookmarkStart w:id="316" w:name="_Toc14801"/>
      <w:bookmarkStart w:id="317" w:name="_Toc12764"/>
      <w:bookmarkStart w:id="318" w:name="_Toc13840"/>
      <w:bookmarkStart w:id="319" w:name="_Toc5299"/>
      <w:bookmarkStart w:id="320" w:name="_Toc1229"/>
      <w:r>
        <w:rPr>
          <w:rFonts w:hint="eastAsia" w:ascii="Times New Roman" w:hAnsi="Times New Roman" w:eastAsia="仿宋_GB2312" w:cs="仿宋_GB2312"/>
          <w:b/>
          <w:color w:val="000000" w:themeColor="text1"/>
          <w:sz w:val="32"/>
          <w:szCs w:val="32"/>
          <w14:textFill>
            <w14:solidFill>
              <w14:schemeClr w14:val="tx1"/>
            </w14:solidFill>
          </w14:textFill>
        </w:rPr>
        <w:t>第二十六条</w:t>
      </w:r>
      <w:r>
        <w:rPr>
          <w:rFonts w:hint="eastAsia" w:ascii="Times New Roman" w:hAnsi="Times New Roman" w:eastAsia="仿宋_GB2312" w:cs="仿宋_GB2312"/>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
          <w:color w:val="000000" w:themeColor="text1"/>
          <w:sz w:val="32"/>
          <w:szCs w:val="32"/>
          <w14:textFill>
            <w14:solidFill>
              <w14:schemeClr w14:val="tx1"/>
            </w14:solidFill>
          </w14:textFill>
        </w:rPr>
        <w:t>医疗机构、疾病预防控制机构泄露传染病患者、病原携带者、疑似患者或者上述人员的密切接触者的个人隐私或者个人信息的</w:t>
      </w:r>
      <w:bookmarkEnd w:id="315"/>
      <w:bookmarkEnd w:id="316"/>
      <w:bookmarkEnd w:id="317"/>
      <w:bookmarkEnd w:id="318"/>
      <w:bookmarkEnd w:id="319"/>
      <w:bookmarkEnd w:id="320"/>
    </w:p>
    <w:p w14:paraId="1651637C">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2851659">
      <w:pPr>
        <w:pStyle w:val="63"/>
        <w:widowControl w:val="0"/>
        <w:spacing w:after="0" w:line="600" w:lineRule="atLeas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《中华人民共和国传染病防治法》第一百一十条第二款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疾病预防控制机构泄露传染病患者、病原携带者、疑似患者或者上述人员的密切接触者的个人隐私或者个人信息的，由县级以上人民政府卫生健康主管部门、疾病预防控制部门依据职责责令改正，给予警告或者通报批评，可以并处五万元以下罚款，对直接负责的主管人员和其他直接责任人员依法给予处分，对有关责任人员依照有关医师、护士管理等法律、行政法规规定追究法律责任。</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393484FC">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156C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002A974D">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20E1517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4F42895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87C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Align w:val="center"/>
          </w:tcPr>
          <w:p w14:paraId="589E4BE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6F7A7A15">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医疗机构、疾病预防控制机构泄露传染病患者、病原携带者、疑似患者或者上述人员的密切接触者的个人隐私或者个人信息的。</w:t>
            </w:r>
          </w:p>
        </w:tc>
        <w:tc>
          <w:tcPr>
            <w:tcW w:w="6014" w:type="dxa"/>
            <w:vAlign w:val="center"/>
          </w:tcPr>
          <w:p w14:paraId="471925A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警告，并处一万元以下的罚款。</w:t>
            </w:r>
          </w:p>
        </w:tc>
      </w:tr>
      <w:tr w14:paraId="47A8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trPr>
        <w:tc>
          <w:tcPr>
            <w:tcW w:w="1418" w:type="dxa"/>
            <w:vMerge w:val="restart"/>
            <w:vAlign w:val="center"/>
          </w:tcPr>
          <w:p w14:paraId="37C7605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265CBA9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医疗机构、疾病预防控制机构泄露传染病患者、病原携带者、疑似患者或者上述人员的密切接触者的个人隐私或者个人信息，造成上述人员权益受损的。</w:t>
            </w:r>
          </w:p>
        </w:tc>
        <w:tc>
          <w:tcPr>
            <w:tcW w:w="6014" w:type="dxa"/>
            <w:vAlign w:val="center"/>
          </w:tcPr>
          <w:p w14:paraId="5BC61CF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通报，并处一万元以上三万元以下的罚款，对有关责任人员依照有关医师、护士管理等法律、行政法规规定追究法律责任。</w:t>
            </w:r>
          </w:p>
        </w:tc>
      </w:tr>
      <w:tr w14:paraId="77CA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60A51488">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153F783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医疗机构、疾病预防控制机构泄露传染病患者、病原携带者、疑似患者或者上述人员的密切接触者的个人隐私或者个人信息，造成社会不良影响的。</w:t>
            </w:r>
          </w:p>
        </w:tc>
        <w:tc>
          <w:tcPr>
            <w:tcW w:w="6014" w:type="dxa"/>
            <w:vAlign w:val="center"/>
          </w:tcPr>
          <w:p w14:paraId="64B42AC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通报，没收违法所得，处三万元以上五万元以下的罚款，对有关责任人员依照有关医师、护士管理等法律、行政法规规定追究法律责任。</w:t>
            </w:r>
          </w:p>
        </w:tc>
      </w:tr>
    </w:tbl>
    <w:p w14:paraId="6F187BF6">
      <w:pPr>
        <w:widowControl w:val="0"/>
        <w:spacing w:after="0" w:line="279" w:lineRule="auto"/>
        <w:ind w:firstLine="643" w:firstLineChars="200"/>
        <w:outlineLvl w:val="2"/>
        <w:rPr>
          <w:rFonts w:hint="eastAsia" w:ascii="Times New Roman" w:hAnsi="Times New Roman" w:eastAsia="仿宋_GB2312" w:cs="仿宋_GB2312"/>
          <w:b/>
          <w:color w:val="000000" w:themeColor="text1"/>
          <w:sz w:val="32"/>
          <w:szCs w:val="32"/>
          <w14:textFill>
            <w14:solidFill>
              <w14:schemeClr w14:val="tx1"/>
            </w14:solidFill>
          </w14:textFill>
        </w:rPr>
      </w:pPr>
      <w:bookmarkStart w:id="321" w:name="_Toc21637"/>
      <w:bookmarkStart w:id="322" w:name="_Toc19790"/>
      <w:bookmarkStart w:id="323" w:name="_Toc25565"/>
      <w:bookmarkStart w:id="324" w:name="_Toc23999"/>
      <w:bookmarkStart w:id="325" w:name="_Toc16823"/>
      <w:bookmarkStart w:id="326" w:name="_Toc3572"/>
      <w:r>
        <w:rPr>
          <w:rFonts w:hint="eastAsia" w:ascii="Times New Roman" w:hAnsi="Times New Roman" w:eastAsia="仿宋_GB2312" w:cs="仿宋_GB2312"/>
          <w:b/>
          <w:color w:val="000000" w:themeColor="text1"/>
          <w:sz w:val="32"/>
          <w:szCs w:val="32"/>
          <w14:textFill>
            <w14:solidFill>
              <w14:schemeClr w14:val="tx1"/>
            </w14:solidFill>
          </w14:textFill>
        </w:rPr>
        <w:t>第二十七条</w:t>
      </w:r>
      <w:r>
        <w:rPr>
          <w:rFonts w:hint="eastAsia" w:ascii="Times New Roman" w:hAnsi="Times New Roman" w:eastAsia="仿宋_GB2312" w:cs="仿宋_GB2312"/>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
          <w:color w:val="000000" w:themeColor="text1"/>
          <w:sz w:val="32"/>
          <w:szCs w:val="32"/>
          <w14:textFill>
            <w14:solidFill>
              <w14:schemeClr w14:val="tx1"/>
            </w14:solidFill>
          </w14:textFill>
        </w:rPr>
        <w:t>拒不执行人民政府及其有关部门依法采取的传染病疫情防控措施的</w:t>
      </w:r>
      <w:bookmarkEnd w:id="321"/>
      <w:bookmarkEnd w:id="322"/>
      <w:bookmarkEnd w:id="323"/>
      <w:bookmarkEnd w:id="324"/>
      <w:bookmarkEnd w:id="325"/>
      <w:bookmarkEnd w:id="326"/>
    </w:p>
    <w:p w14:paraId="70A6605E">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C0A92EE">
      <w:pPr>
        <w:pStyle w:val="63"/>
        <w:widowControl w:val="0"/>
        <w:spacing w:after="0" w:line="600" w:lineRule="atLeas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《中华人民共和国传染病防治法》第一百一十一条第一款第（一）项　违反本法规定，有下列情形之一的，由县级以上人民政府疾病预防控制部门责令改正，给予警告，对违法的单位可以并处二万元以下罚款，对违法的个人可以并处一千元以下罚款；情节严重的，由原发证部门依法吊销相关许可证或者营业执照：</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3082401F">
      <w:pPr>
        <w:pStyle w:val="63"/>
        <w:widowControl w:val="0"/>
        <w:spacing w:after="0" w:line="600" w:lineRule="atLeast"/>
        <w:ind w:right="375"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（一）拒不执行人民政府及其有关部门依法采取的传染病疫情防控措施；</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501DE919">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1A48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050EEF1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3478ED4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0714A95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255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Align w:val="center"/>
          </w:tcPr>
          <w:p w14:paraId="75B8D4F0">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1FF917B7">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拒不执行人民政府及其有关部门依法采取的传染病疫情防控措施的。</w:t>
            </w:r>
          </w:p>
        </w:tc>
        <w:tc>
          <w:tcPr>
            <w:tcW w:w="6014" w:type="dxa"/>
            <w:vAlign w:val="center"/>
          </w:tcPr>
          <w:p w14:paraId="022BAD4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警告，对违法的单位并处五千元以下罚款，对违法的个人可以并处二百元以下罚款。</w:t>
            </w:r>
          </w:p>
        </w:tc>
      </w:tr>
      <w:tr w14:paraId="1CED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418" w:type="dxa"/>
            <w:vAlign w:val="center"/>
          </w:tcPr>
          <w:p w14:paraId="7C4960DD">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6458" w:type="dxa"/>
            <w:vAlign w:val="center"/>
          </w:tcPr>
          <w:p w14:paraId="325D7A0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拒不执行人民政府及其有关部门依法采取的传染病疫情防控措施，逾期不改正的。</w:t>
            </w:r>
          </w:p>
        </w:tc>
        <w:tc>
          <w:tcPr>
            <w:tcW w:w="6014" w:type="dxa"/>
            <w:vAlign w:val="center"/>
          </w:tcPr>
          <w:p w14:paraId="6892119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警告，对违法的单位并处五千元以上一万元以下罚款，对违法的个人可以并处二百元以上五百元以下罚款。</w:t>
            </w:r>
          </w:p>
        </w:tc>
      </w:tr>
      <w:tr w14:paraId="15D6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18" w:type="dxa"/>
            <w:vMerge w:val="restart"/>
            <w:vAlign w:val="center"/>
          </w:tcPr>
          <w:p w14:paraId="0285BDA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7D7FD01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拒不执行人民政府及其有关部门依法采取的传染病疫情防控措施，造成或者可能造成传染病传播的。</w:t>
            </w:r>
          </w:p>
        </w:tc>
        <w:tc>
          <w:tcPr>
            <w:tcW w:w="6014" w:type="dxa"/>
            <w:vAlign w:val="center"/>
          </w:tcPr>
          <w:p w14:paraId="539B61A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警告，对违法的单位并处一万元以上一万五千元以下罚款，对违法的个人可以并处五百元以上八百元以下罚款，由原发证部门依法吊销相关许可证或者营业执照。</w:t>
            </w:r>
          </w:p>
        </w:tc>
      </w:tr>
      <w:tr w14:paraId="7C70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18" w:type="dxa"/>
            <w:vMerge w:val="continue"/>
            <w:vAlign w:val="center"/>
          </w:tcPr>
          <w:p w14:paraId="0E72C2E6">
            <w:pPr>
              <w:widowControl w:val="0"/>
              <w:spacing w:line="44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1F27A97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拒不执行人民政府及其有关部门依法采取的传染病疫情防控措施，造成或者可能造成传染病爆发、流行等严重后果的。</w:t>
            </w:r>
          </w:p>
        </w:tc>
        <w:tc>
          <w:tcPr>
            <w:tcW w:w="6014" w:type="dxa"/>
            <w:vAlign w:val="center"/>
          </w:tcPr>
          <w:p w14:paraId="779F0AB3">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警告，对违法的单位并处一万五千元以上二万元以下罚款，对违法的个人可以并处八百元以上一千元以下罚款，由原发证部门依法吊销相关许可证或者营业执照。</w:t>
            </w:r>
          </w:p>
        </w:tc>
      </w:tr>
    </w:tbl>
    <w:p w14:paraId="48473A97">
      <w:pPr>
        <w:widowControl w:val="0"/>
        <w:spacing w:after="0" w:line="560" w:lineRule="exact"/>
        <w:ind w:firstLine="643" w:firstLineChars="200"/>
        <w:outlineLvl w:val="2"/>
        <w:rPr>
          <w:rFonts w:hint="eastAsia" w:ascii="Times New Roman" w:hAnsi="Times New Roman" w:eastAsia="仿宋_GB2312" w:cs="Times New Roman"/>
          <w:b/>
          <w:color w:val="000000" w:themeColor="text1"/>
          <w:sz w:val="32"/>
          <w:szCs w:val="32"/>
          <w14:textFill>
            <w14:solidFill>
              <w14:schemeClr w14:val="tx1"/>
            </w14:solidFill>
          </w14:textFill>
        </w:rPr>
      </w:pPr>
      <w:bookmarkStart w:id="327" w:name="_Toc31289"/>
      <w:bookmarkStart w:id="328" w:name="_Toc5476"/>
      <w:bookmarkStart w:id="329" w:name="_Toc4892"/>
      <w:bookmarkStart w:id="330" w:name="_Toc17228"/>
      <w:bookmarkStart w:id="331" w:name="_Toc3279"/>
      <w:bookmarkStart w:id="332" w:name="_Toc7418"/>
      <w:r>
        <w:rPr>
          <w:rFonts w:hint="eastAsia" w:ascii="Times New Roman" w:hAnsi="Times New Roman" w:eastAsia="仿宋_GB2312" w:cs="Times New Roman"/>
          <w:b/>
          <w:color w:val="000000" w:themeColor="text1"/>
          <w:sz w:val="32"/>
          <w:szCs w:val="32"/>
          <w14:textFill>
            <w14:solidFill>
              <w14:schemeClr w14:val="tx1"/>
            </w14:solidFill>
          </w14:textFill>
        </w:rPr>
        <w:t>第二十八条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拒不接受和配合疾病预防控制机构依法采取的传染病疫情防控措施的</w:t>
      </w:r>
      <w:bookmarkEnd w:id="327"/>
      <w:bookmarkEnd w:id="328"/>
      <w:bookmarkEnd w:id="329"/>
      <w:bookmarkEnd w:id="330"/>
      <w:bookmarkEnd w:id="331"/>
      <w:bookmarkEnd w:id="332"/>
    </w:p>
    <w:p w14:paraId="3E5BD8A1">
      <w:pPr>
        <w:widowControl w:val="0"/>
        <w:spacing w:after="0"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63ED39F">
      <w:pPr>
        <w:pStyle w:val="63"/>
        <w:widowControl w:val="0"/>
        <w:spacing w:after="0" w:line="560" w:lineRule="exac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《中华人民共和国传染病防治法》第一百一十一条第一款第（二）项　违反本法规定，有下列情形之一的，由县级以上人民政府疾病预防控制部门责令改正，给予警告，对违法的单位可以并处二万元以下罚款，对违法的个人可以并处一千元以下罚款；情节严重的，由原发证部门依法吊销相关许可证或者营业执照：</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603444D7">
      <w:pPr>
        <w:pStyle w:val="63"/>
        <w:widowControl w:val="0"/>
        <w:spacing w:after="0" w:line="560" w:lineRule="exact"/>
        <w:ind w:right="375"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（二）拒不接受和配合疾病预防控制机构依法采取的传染病疫情防控措施；</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0F6008C5">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p>
    <w:p w14:paraId="141C08A8">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p>
    <w:p w14:paraId="111387FB">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70DA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6DCB8C4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2A82EF5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031BB2A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1AD5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Align w:val="center"/>
          </w:tcPr>
          <w:p w14:paraId="6220BF1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3016CA21">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拒不接受和配合疾病预防控制机构依法采取的传染病疫情防控措施的。</w:t>
            </w:r>
          </w:p>
        </w:tc>
        <w:tc>
          <w:tcPr>
            <w:tcW w:w="6014" w:type="dxa"/>
            <w:vAlign w:val="center"/>
          </w:tcPr>
          <w:p w14:paraId="2794744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警告，对违法的单位并处五千元以下罚款，对违法的个人可以并处二百元以下罚款。</w:t>
            </w:r>
          </w:p>
        </w:tc>
      </w:tr>
      <w:tr w14:paraId="2AA1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Align w:val="center"/>
          </w:tcPr>
          <w:p w14:paraId="4629037A">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6458" w:type="dxa"/>
            <w:vAlign w:val="center"/>
          </w:tcPr>
          <w:p w14:paraId="284622F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拒不接受和配合疾病预防控制机构依法采取的传染病疫情防控措施，逾期不改正的。</w:t>
            </w:r>
          </w:p>
        </w:tc>
        <w:tc>
          <w:tcPr>
            <w:tcW w:w="6014" w:type="dxa"/>
            <w:vAlign w:val="center"/>
          </w:tcPr>
          <w:p w14:paraId="766D70B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警告，对违法的单位并处五千元以上一万元以下罚款，对违法的个人可以并处二百元以上五百元以下罚款。</w:t>
            </w:r>
          </w:p>
        </w:tc>
      </w:tr>
      <w:tr w14:paraId="63AF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0817E12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69A0746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拒不接受和配合疾病预防控制机构依法采取的传染病疫情防控措施，造成或者可能造成传染病传播的。</w:t>
            </w:r>
          </w:p>
        </w:tc>
        <w:tc>
          <w:tcPr>
            <w:tcW w:w="6014" w:type="dxa"/>
            <w:vAlign w:val="center"/>
          </w:tcPr>
          <w:p w14:paraId="5957D80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警告，对违法的单位并处一万元以上一万五千元以下罚款，对违法的个人可以并处五百元以上八百元以下罚款，由原发证部门依法吊销相关许可证或者营业执照。</w:t>
            </w:r>
          </w:p>
        </w:tc>
      </w:tr>
      <w:tr w14:paraId="06F2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02279594">
            <w:pPr>
              <w:widowControl w:val="0"/>
              <w:spacing w:line="44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152D497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拒不接受和配合疾病预防控制机构依法采取的传染病疫情防控措施，造成或者可能造成传染病爆发、流行等严重后果的。</w:t>
            </w:r>
          </w:p>
        </w:tc>
        <w:tc>
          <w:tcPr>
            <w:tcW w:w="6014" w:type="dxa"/>
            <w:vAlign w:val="center"/>
          </w:tcPr>
          <w:p w14:paraId="06DC915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警告，对违法的单位并处一万五千元以上二万元以下罚款，对违法的个人可以并处八百元以上一千元以下罚款，由原发证部门依法吊销相关许可证或者营业执照。</w:t>
            </w:r>
          </w:p>
        </w:tc>
      </w:tr>
    </w:tbl>
    <w:p w14:paraId="564D2944">
      <w:pPr>
        <w:widowControl w:val="0"/>
        <w:spacing w:after="0" w:line="279" w:lineRule="auto"/>
        <w:ind w:firstLine="643" w:firstLineChars="200"/>
        <w:outlineLvl w:val="2"/>
        <w:rPr>
          <w:rFonts w:ascii="Times New Roman" w:hAnsi="Times New Roman" w:eastAsia="仿宋_GB2312" w:cs="Times New Roman"/>
          <w:b/>
          <w:color w:val="000000" w:themeColor="text1"/>
          <w:sz w:val="32"/>
          <w:szCs w:val="32"/>
          <w14:textFill>
            <w14:solidFill>
              <w14:schemeClr w14:val="tx1"/>
            </w14:solidFill>
          </w14:textFill>
        </w:rPr>
      </w:pPr>
      <w:bookmarkStart w:id="333" w:name="_Toc4465"/>
      <w:bookmarkStart w:id="334" w:name="_Toc14402"/>
      <w:bookmarkStart w:id="335" w:name="_Toc16501"/>
      <w:bookmarkStart w:id="336" w:name="_Toc547"/>
      <w:bookmarkStart w:id="337" w:name="_Toc20845"/>
      <w:bookmarkStart w:id="338" w:name="_Toc8051"/>
      <w:r>
        <w:rPr>
          <w:rFonts w:hint="eastAsia" w:ascii="Times New Roman" w:hAnsi="Times New Roman" w:eastAsia="仿宋_GB2312" w:cs="Times New Roman"/>
          <w:b/>
          <w:color w:val="000000" w:themeColor="text1"/>
          <w:sz w:val="32"/>
          <w:szCs w:val="32"/>
          <w14:textFill>
            <w14:solidFill>
              <w14:schemeClr w14:val="tx1"/>
            </w14:solidFill>
          </w14:textFill>
        </w:rPr>
        <w:t>第二十九条 拒不接受和配合疾病预防控制机构开展的流行病学调查，或者在流行病学调查中故意隐瞒传染病病情、传染病接触史或者传染病暴发、流行地区旅行史的</w:t>
      </w:r>
      <w:bookmarkEnd w:id="333"/>
      <w:bookmarkEnd w:id="334"/>
      <w:bookmarkEnd w:id="335"/>
      <w:bookmarkEnd w:id="336"/>
      <w:bookmarkEnd w:id="337"/>
      <w:bookmarkEnd w:id="338"/>
    </w:p>
    <w:p w14:paraId="29D70947">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DA9C5F4">
      <w:pPr>
        <w:pStyle w:val="63"/>
        <w:widowControl w:val="0"/>
        <w:spacing w:after="0" w:line="600" w:lineRule="atLeas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《中华人民共和国传染病防治法》第一百一十一条第一款第（三）项　违反本法规定，有下列情形之一的，由县级以上人民政府疾病预防控制部门责令改正，给予警告，对违法的单位可以并处二万元以下罚款，对违法的个人可以并处一千元以下罚款；情节严重的，由原发证部门依法吊销相关许可证或者营业执照：</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7ED16AB0">
      <w:pPr>
        <w:pStyle w:val="63"/>
        <w:widowControl w:val="0"/>
        <w:spacing w:after="0" w:line="600" w:lineRule="atLeast"/>
        <w:ind w:right="375"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（三）拒不接受和配合疾病预防控制机构开展的流行病学调查，或者在流行病学调查中故意隐瞒传染病病情、传染病接触史或者传染病暴发、流行地区旅行史；</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5ACAC103">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6A60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39ECC17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31CD86D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46E9646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59D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Align w:val="center"/>
          </w:tcPr>
          <w:p w14:paraId="48032ADC">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405D608B">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拒不接受和配合疾病预防控制机构开展的流行病学调查的。</w:t>
            </w:r>
          </w:p>
        </w:tc>
        <w:tc>
          <w:tcPr>
            <w:tcW w:w="6014" w:type="dxa"/>
            <w:vAlign w:val="center"/>
          </w:tcPr>
          <w:p w14:paraId="73F90A8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警告，对违法的单位并处五千元以下罚款，对违法的个人可以并处二百元以下罚款。</w:t>
            </w:r>
          </w:p>
        </w:tc>
      </w:tr>
      <w:tr w14:paraId="32ED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Align w:val="center"/>
          </w:tcPr>
          <w:p w14:paraId="72183FCB">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6458" w:type="dxa"/>
            <w:vAlign w:val="center"/>
          </w:tcPr>
          <w:p w14:paraId="7816229F">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在流行病学调查中故意隐瞒传染病病情、传染病接触史或者传染病暴发、流行地区旅行史的。</w:t>
            </w:r>
          </w:p>
        </w:tc>
        <w:tc>
          <w:tcPr>
            <w:tcW w:w="6014" w:type="dxa"/>
            <w:vAlign w:val="center"/>
          </w:tcPr>
          <w:p w14:paraId="276E65F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警告，对违法的单位并处五千元以上一万元以下罚款，对违法的个人可以并处二百元以上五百元以下罚款。</w:t>
            </w:r>
          </w:p>
        </w:tc>
      </w:tr>
      <w:tr w14:paraId="2FF5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5341C579">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78A03DD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拒不接受和配合疾病预防控制机构开展的流行病学调查，或者在流行病学调查中故意隐瞒传染病病情、传染病接触史或者传染病暴发、流行地区旅行史，造成或者可能造成传染病传播的。</w:t>
            </w:r>
          </w:p>
        </w:tc>
        <w:tc>
          <w:tcPr>
            <w:tcW w:w="6014" w:type="dxa"/>
            <w:vAlign w:val="center"/>
          </w:tcPr>
          <w:p w14:paraId="1626727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警告，对违法的单位并处一万元以上一万五千元以下罚款，对违法的个人可以并处五百元以上八百元以下罚款，由原发证部门依法吊销相关许可证或者营业执照。</w:t>
            </w:r>
          </w:p>
        </w:tc>
      </w:tr>
      <w:tr w14:paraId="3554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01951EF8">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40281AFF">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拒不接受和配合疾病预防控制机构开展的流行病学调查，或者在流行病学调查中故意隐瞒传染病病情、传染病接触史或者传染病暴发、流行地区旅行史，造成或者可能造成传染病爆发、流行等严重后果的。</w:t>
            </w:r>
          </w:p>
        </w:tc>
        <w:tc>
          <w:tcPr>
            <w:tcW w:w="6014" w:type="dxa"/>
            <w:vAlign w:val="center"/>
          </w:tcPr>
          <w:p w14:paraId="2F444B1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警告，对违法的单位并处一万五千元以上二万元以下罚款，对违法的个人可以并处八百元以上一千元以下罚款，由原发证部门依法吊销相关许可证或者营业执照。</w:t>
            </w:r>
          </w:p>
        </w:tc>
      </w:tr>
    </w:tbl>
    <w:p w14:paraId="02E6960C">
      <w:pPr>
        <w:widowControl w:val="0"/>
        <w:spacing w:after="0" w:line="279" w:lineRule="auto"/>
        <w:ind w:firstLine="643" w:firstLineChars="200"/>
        <w:jc w:val="both"/>
        <w:outlineLvl w:val="2"/>
        <w:rPr>
          <w:rFonts w:hint="eastAsia" w:ascii="Times New Roman" w:hAnsi="Times New Roman" w:eastAsia="仿宋_GB2312" w:cs="Times New Roman"/>
          <w:b/>
          <w:color w:val="000000" w:themeColor="text1"/>
          <w:sz w:val="32"/>
          <w:szCs w:val="32"/>
          <w14:textFill>
            <w14:solidFill>
              <w14:schemeClr w14:val="tx1"/>
            </w14:solidFill>
          </w14:textFill>
        </w:rPr>
      </w:pPr>
      <w:bookmarkStart w:id="339" w:name="_Toc18289"/>
      <w:bookmarkStart w:id="340" w:name="_Toc20295"/>
      <w:bookmarkStart w:id="341" w:name="_Toc24095"/>
      <w:bookmarkStart w:id="342" w:name="_Toc32118"/>
      <w:bookmarkStart w:id="343" w:name="_Toc10285"/>
      <w:bookmarkStart w:id="344" w:name="_Toc6572"/>
      <w:r>
        <w:rPr>
          <w:rFonts w:hint="eastAsia" w:ascii="Times New Roman" w:hAnsi="Times New Roman" w:eastAsia="仿宋_GB2312" w:cs="Times New Roman"/>
          <w:b/>
          <w:color w:val="000000" w:themeColor="text1"/>
          <w:sz w:val="32"/>
          <w:szCs w:val="32"/>
          <w14:textFill>
            <w14:solidFill>
              <w14:schemeClr w14:val="tx1"/>
            </w14:solidFill>
          </w14:textFill>
        </w:rPr>
        <w:t>第三十条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甲类传染病患者、病原携带者、疑似患者或者上述人员的密切接触者拒绝接受和配合依法采取的隔离治疗、医学观察措施，或者隔离治疗、医学观察的期限未满擅自脱离的</w:t>
      </w:r>
      <w:bookmarkEnd w:id="339"/>
      <w:bookmarkEnd w:id="340"/>
      <w:bookmarkEnd w:id="341"/>
      <w:bookmarkEnd w:id="342"/>
      <w:bookmarkEnd w:id="343"/>
      <w:bookmarkEnd w:id="344"/>
    </w:p>
    <w:p w14:paraId="75861CB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43583BC">
      <w:pPr>
        <w:pStyle w:val="63"/>
        <w:widowControl w:val="0"/>
        <w:spacing w:after="0" w:line="600" w:lineRule="atLeas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《中华人民共和国传染病防治法》第一百一十一条第一款第（四）项　违反本法规定，有下列情形之一的，由县级以上人民政府疾病预防控制部门责令改正，给予警告，对违法的单位可以并处二万元以下罚款，对违法的个人可以并处一千元以下罚款；情节严重的，由原发证部门依法吊销相关许可证或者营业执照：</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4158278F">
      <w:pPr>
        <w:pStyle w:val="63"/>
        <w:widowControl w:val="0"/>
        <w:spacing w:after="0" w:line="600" w:lineRule="atLeast"/>
        <w:ind w:right="375"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（四）甲类传染病患者、病原携带者、疑似患者或者上述人员的密切接触者拒绝接受和配合依法采取的隔离治疗、医学观察措施，或者隔离治疗、医学观察的期限未满擅自脱离；</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301EEB21">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65E1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18" w:type="dxa"/>
            <w:vAlign w:val="center"/>
          </w:tcPr>
          <w:p w14:paraId="5EFC7CE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4E04944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49A2F7F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530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4FD03716">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2E170F8B">
            <w:pPr>
              <w:widowControl w:val="0"/>
              <w:spacing w:after="0" w:line="320" w:lineRule="exact"/>
              <w:rPr>
                <w:rFonts w:hint="eastAsia" w:ascii="Times New Roman" w:hAnsi="Times New Roman" w:eastAsia="仿宋_GB2312" w:cs="Times New Roman"/>
                <w:bCs w:val="0"/>
                <w:color w:val="000000" w:themeColor="text1"/>
                <w:spacing w:val="-6"/>
                <w:sz w:val="24"/>
                <w:szCs w:val="22"/>
                <w14:textFill>
                  <w14:solidFill>
                    <w14:schemeClr w14:val="tx1"/>
                  </w14:solidFill>
                </w14:textFill>
              </w:rPr>
            </w:pPr>
            <w:r>
              <w:rPr>
                <w:rFonts w:hint="eastAsia" w:ascii="Times New Roman" w:hAnsi="Times New Roman" w:eastAsia="仿宋_GB2312" w:cs="Times New Roman"/>
                <w:color w:val="000000" w:themeColor="text1"/>
                <w:spacing w:val="-6"/>
                <w:sz w:val="24"/>
                <w:szCs w:val="22"/>
                <w14:textFill>
                  <w14:solidFill>
                    <w14:schemeClr w14:val="tx1"/>
                  </w14:solidFill>
                </w14:textFill>
              </w:rPr>
              <w:t>甲类传染病患者、病原携带者、疑似患者或者上述人员的密切接触者拒绝接受和配合依法采取的隔离治疗、医学观察措施的。</w:t>
            </w:r>
          </w:p>
        </w:tc>
        <w:tc>
          <w:tcPr>
            <w:tcW w:w="6014" w:type="dxa"/>
            <w:vAlign w:val="center"/>
          </w:tcPr>
          <w:p w14:paraId="1BD248BE">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警告，对违法的单位并处五千元以下罚款，对违法的个人可以并处二百元以下罚款。</w:t>
            </w:r>
          </w:p>
        </w:tc>
      </w:tr>
      <w:tr w14:paraId="654D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65237149">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295FFC7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甲类传染病患者、病原携带者、疑似患者或者上述人员的密切接触者隔离治疗、医学观察的期限未满擅自脱离的。</w:t>
            </w:r>
          </w:p>
        </w:tc>
        <w:tc>
          <w:tcPr>
            <w:tcW w:w="6014" w:type="dxa"/>
            <w:vAlign w:val="center"/>
          </w:tcPr>
          <w:p w14:paraId="0326AFB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警告，对违法的单位并处五千元以上一万元以下罚款，对违法的个人可以并处二百元以上五百元以下罚款。</w:t>
            </w:r>
          </w:p>
        </w:tc>
      </w:tr>
      <w:tr w14:paraId="04D5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152B887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1D77F6BF">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甲类传染病患者、病原携带者、疑似患者或者上述人员的密切接触者拒绝接受和配合依法采取的隔离治疗、医学观察措施，或者隔离治疗、医学观察的期限未满擅自脱离，造成或者可能造成传染病传播的。</w:t>
            </w:r>
          </w:p>
        </w:tc>
        <w:tc>
          <w:tcPr>
            <w:tcW w:w="6014" w:type="dxa"/>
            <w:vAlign w:val="center"/>
          </w:tcPr>
          <w:p w14:paraId="537391E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警告，对违法的单位并处一万元以上一万五千元以下罚款，对违法的个人可以并处五百元以上八百元以下罚款，由原发证部门依法吊销相关许可证或者营业执照。</w:t>
            </w:r>
          </w:p>
        </w:tc>
      </w:tr>
      <w:tr w14:paraId="3205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32643BCF">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5954A17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甲类传染病患者、病原携带者、疑似患者或者上述人员的密切接触者拒绝接受和配合依法采取的隔离治疗、医学观察措施，或者隔离治疗、医学观察的期限未满擅自脱离，造成或者可能造成传染病爆发、流行等严重后果的。</w:t>
            </w:r>
          </w:p>
        </w:tc>
        <w:tc>
          <w:tcPr>
            <w:tcW w:w="6014" w:type="dxa"/>
            <w:vAlign w:val="center"/>
          </w:tcPr>
          <w:p w14:paraId="52432CF8">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警告，对违法的单位并处一万五千元以上二万元以下罚款，对违法的个人可以并处八百元以上一千元以下罚款，由原发证部门依法吊销相关许可证或者营业执照。</w:t>
            </w:r>
          </w:p>
        </w:tc>
      </w:tr>
    </w:tbl>
    <w:p w14:paraId="4DCD1057">
      <w:pPr>
        <w:widowControl w:val="0"/>
        <w:spacing w:after="0" w:line="279" w:lineRule="auto"/>
        <w:ind w:firstLine="643" w:firstLineChars="200"/>
        <w:jc w:val="both"/>
        <w:outlineLvl w:val="2"/>
        <w:rPr>
          <w:rFonts w:hint="eastAsia" w:ascii="Times New Roman" w:hAnsi="Times New Roman" w:eastAsia="仿宋_GB2312" w:cs="Times New Roman"/>
          <w:b/>
          <w:color w:val="000000" w:themeColor="text1"/>
          <w:sz w:val="32"/>
          <w:szCs w:val="32"/>
          <w14:textFill>
            <w14:solidFill>
              <w14:schemeClr w14:val="tx1"/>
            </w14:solidFill>
          </w14:textFill>
        </w:rPr>
      </w:pPr>
      <w:bookmarkStart w:id="345" w:name="_Toc7231"/>
      <w:bookmarkStart w:id="346" w:name="_Toc12108"/>
      <w:bookmarkStart w:id="347" w:name="_Toc13873"/>
      <w:bookmarkStart w:id="348" w:name="_Toc29535"/>
      <w:bookmarkStart w:id="349" w:name="_Toc15423"/>
      <w:bookmarkStart w:id="350" w:name="_Toc14440"/>
      <w:r>
        <w:rPr>
          <w:rFonts w:hint="eastAsia" w:ascii="Times New Roman" w:hAnsi="Times New Roman" w:eastAsia="仿宋_GB2312" w:cs="Times New Roman"/>
          <w:b/>
          <w:color w:val="000000" w:themeColor="text1"/>
          <w:sz w:val="32"/>
          <w:szCs w:val="32"/>
          <w14:textFill>
            <w14:solidFill>
              <w14:schemeClr w14:val="tx1"/>
            </w14:solidFill>
          </w14:textFill>
        </w:rPr>
        <w:t>第三十一条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故意传播传染病的</w:t>
      </w:r>
      <w:bookmarkEnd w:id="345"/>
      <w:bookmarkEnd w:id="346"/>
      <w:bookmarkEnd w:id="347"/>
      <w:bookmarkEnd w:id="348"/>
      <w:bookmarkEnd w:id="349"/>
      <w:bookmarkEnd w:id="350"/>
    </w:p>
    <w:p w14:paraId="62298A60">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4B663EC2">
      <w:pPr>
        <w:pStyle w:val="63"/>
        <w:widowControl w:val="0"/>
        <w:spacing w:after="0" w:line="600" w:lineRule="atLeas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《中华人民共和国传染病防治法》第一百一十一条第一款第（五）项　违反本法规定，有下列情形之一的，由县级以上人民政府疾病预防控制部门责令改正，给予警告，对违法的单位可以并处二万元以下罚款，对违法的个人可以并处一千元以下罚款；情节严重的，由原发证部门依法吊销相关许可证或者营业执照：</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7E426635">
      <w:pPr>
        <w:pStyle w:val="63"/>
        <w:widowControl w:val="0"/>
        <w:spacing w:after="0" w:line="600" w:lineRule="atLeast"/>
        <w:ind w:right="375"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（五）故意传播传染病；</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144C410C">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2D42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5CE4847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035DF21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058D527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3AF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restart"/>
            <w:vAlign w:val="center"/>
          </w:tcPr>
          <w:p w14:paraId="088BA2E8">
            <w:pPr>
              <w:widowControl w:val="0"/>
              <w:spacing w:after="0" w:line="28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1113D540">
            <w:pPr>
              <w:widowControl w:val="0"/>
              <w:spacing w:after="0" w:line="320" w:lineRule="exact"/>
              <w:rPr>
                <w:rFonts w:hint="eastAsia" w:ascii="Times New Roman" w:hAnsi="Times New Roman" w:eastAsia="仿宋_GB2312" w:cs="Times New Roman"/>
                <w:bCs w:val="0"/>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故意传播丙类传染病的。</w:t>
            </w:r>
          </w:p>
        </w:tc>
        <w:tc>
          <w:tcPr>
            <w:tcW w:w="6014" w:type="dxa"/>
            <w:vAlign w:val="center"/>
          </w:tcPr>
          <w:p w14:paraId="5CEB399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警告，对违法的单位并处五千元以下罚款，对违法的个人可以并处二百元以下罚款。</w:t>
            </w:r>
          </w:p>
        </w:tc>
      </w:tr>
      <w:tr w14:paraId="0F0C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Merge w:val="continue"/>
            <w:vAlign w:val="center"/>
          </w:tcPr>
          <w:p w14:paraId="3D1D1937">
            <w:pPr>
              <w:widowControl w:val="0"/>
              <w:spacing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59DB3584">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故意传播乙类传染病的。</w:t>
            </w:r>
          </w:p>
        </w:tc>
        <w:tc>
          <w:tcPr>
            <w:tcW w:w="6014" w:type="dxa"/>
            <w:vAlign w:val="center"/>
          </w:tcPr>
          <w:p w14:paraId="1B6A623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警告，对违法的单位并处五千元以上一万元以下罚款，对违法的个人可以并处二百元以上五百元以下罚款。</w:t>
            </w:r>
          </w:p>
        </w:tc>
      </w:tr>
    </w:tbl>
    <w:p w14:paraId="461AB1AE">
      <w:pPr>
        <w:widowControl w:val="0"/>
        <w:spacing w:after="0" w:line="550" w:lineRule="exact"/>
        <w:ind w:firstLine="643" w:firstLineChars="200"/>
        <w:jc w:val="both"/>
        <w:outlineLvl w:val="2"/>
        <w:rPr>
          <w:rFonts w:hint="eastAsia" w:ascii="Times New Roman" w:hAnsi="Times New Roman" w:eastAsia="仿宋_GB2312" w:cs="Times New Roman"/>
          <w:b/>
          <w:color w:val="000000" w:themeColor="text1"/>
          <w:sz w:val="32"/>
          <w:szCs w:val="32"/>
          <w14:textFill>
            <w14:solidFill>
              <w14:schemeClr w14:val="tx1"/>
            </w14:solidFill>
          </w14:textFill>
        </w:rPr>
      </w:pPr>
      <w:bookmarkStart w:id="351" w:name="_Toc13599"/>
      <w:bookmarkStart w:id="352" w:name="_Toc30246"/>
      <w:bookmarkStart w:id="353" w:name="_Toc5330"/>
      <w:bookmarkStart w:id="354" w:name="_Toc1776"/>
      <w:bookmarkStart w:id="355" w:name="_Toc17366"/>
      <w:bookmarkStart w:id="356" w:name="_Toc13549"/>
      <w:r>
        <w:rPr>
          <w:rFonts w:hint="eastAsia" w:ascii="Times New Roman" w:hAnsi="Times New Roman" w:eastAsia="仿宋_GB2312" w:cs="Times New Roman"/>
          <w:b/>
          <w:color w:val="000000" w:themeColor="text1"/>
          <w:sz w:val="32"/>
          <w:szCs w:val="32"/>
          <w14:textFill>
            <w14:solidFill>
              <w14:schemeClr w14:val="tx1"/>
            </w14:solidFill>
          </w14:textFill>
        </w:rPr>
        <w:t>第三十二条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故意编造、散布虚假传染病疫情信息的</w:t>
      </w:r>
      <w:bookmarkEnd w:id="351"/>
      <w:bookmarkEnd w:id="352"/>
      <w:bookmarkEnd w:id="353"/>
      <w:bookmarkEnd w:id="354"/>
      <w:bookmarkEnd w:id="355"/>
      <w:bookmarkEnd w:id="356"/>
    </w:p>
    <w:p w14:paraId="7251CF47">
      <w:pPr>
        <w:widowControl w:val="0"/>
        <w:spacing w:after="0" w:line="55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468A8BD">
      <w:pPr>
        <w:pStyle w:val="63"/>
        <w:widowControl w:val="0"/>
        <w:spacing w:after="0" w:line="550" w:lineRule="exac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《中华人民共和国传染病防治法》第一百一十一条第一款第（六）项　违反本法规定，有下列情形之一的，由县级以上人民政府疾病预防控制部门责令改正，给予警告，对违法的单位可以并处二万元以下罚款，对违法的个人可以并处一千元以下罚款；情节严重的，由原发证部门依法吊销相关许可证或者营业执照：</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58FE8D0B">
      <w:pPr>
        <w:pStyle w:val="63"/>
        <w:widowControl w:val="0"/>
        <w:spacing w:after="0" w:line="550" w:lineRule="exact"/>
        <w:ind w:right="375"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（六）故意编造、散布虚假传染病疫情信息；</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321FD724">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33E3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8" w:type="dxa"/>
            <w:vAlign w:val="center"/>
          </w:tcPr>
          <w:p w14:paraId="5A18299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2CD2A02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0CB15B5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18F4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18" w:type="dxa"/>
            <w:vMerge w:val="restart"/>
            <w:vAlign w:val="center"/>
          </w:tcPr>
          <w:p w14:paraId="18198D14">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589E999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故意编造、散布虚假丙类传染病疫情信息的。</w:t>
            </w:r>
          </w:p>
        </w:tc>
        <w:tc>
          <w:tcPr>
            <w:tcW w:w="6014" w:type="dxa"/>
            <w:vAlign w:val="center"/>
          </w:tcPr>
          <w:p w14:paraId="2C68D03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警告，对违法的单位并处五千元以下罚款，对违法的个人可以并处二百元以下罚款。</w:t>
            </w:r>
          </w:p>
        </w:tc>
      </w:tr>
      <w:tr w14:paraId="5290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18" w:type="dxa"/>
            <w:vMerge w:val="continue"/>
            <w:vAlign w:val="center"/>
          </w:tcPr>
          <w:p w14:paraId="6C7C6AFA">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43A85025">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故意编造、散布虚假乙类传染病疫情信息的。</w:t>
            </w:r>
          </w:p>
        </w:tc>
        <w:tc>
          <w:tcPr>
            <w:tcW w:w="6014" w:type="dxa"/>
            <w:vAlign w:val="center"/>
          </w:tcPr>
          <w:p w14:paraId="5A4D595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警告，对违法的单位并处五千元以上一万元以下罚款，对违法的个人可以并处二百元以上五百元以下罚款。</w:t>
            </w:r>
          </w:p>
        </w:tc>
      </w:tr>
      <w:tr w14:paraId="6D23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3FA9965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7EBD279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故意编造、散布甲类虚假传染病疫情信息的。</w:t>
            </w:r>
          </w:p>
        </w:tc>
        <w:tc>
          <w:tcPr>
            <w:tcW w:w="6014" w:type="dxa"/>
            <w:vAlign w:val="center"/>
          </w:tcPr>
          <w:p w14:paraId="2F86C51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警告，对违法的单位并处一万元以上一万五千元以下罚款，对违法的个人可以并处五百元以上八百元以下罚款，由原发证部门依法吊销相关许可证或者营业执照。</w:t>
            </w:r>
          </w:p>
        </w:tc>
      </w:tr>
      <w:tr w14:paraId="0FAF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52FCD715">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36F71349">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故意编造、散布虚假传染病疫情信息，造成社会不良影响的。</w:t>
            </w:r>
          </w:p>
        </w:tc>
        <w:tc>
          <w:tcPr>
            <w:tcW w:w="6014" w:type="dxa"/>
            <w:vAlign w:val="center"/>
          </w:tcPr>
          <w:p w14:paraId="21C90D3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警告，对违法的单位并处一万五千元以上二万元以下罚款，对违法的个人可以并处八百元以上一千元以下罚款，由原发证部门依法吊销相关许可证或者营业执照。</w:t>
            </w:r>
          </w:p>
        </w:tc>
      </w:tr>
    </w:tbl>
    <w:p w14:paraId="22621841">
      <w:pPr>
        <w:widowControl w:val="0"/>
        <w:spacing w:after="0" w:line="279" w:lineRule="auto"/>
        <w:ind w:firstLine="643" w:firstLineChars="200"/>
        <w:jc w:val="both"/>
        <w:outlineLvl w:val="2"/>
        <w:rPr>
          <w:rFonts w:hint="eastAsia" w:ascii="Times New Roman" w:hAnsi="Times New Roman" w:eastAsia="仿宋_GB2312" w:cs="Times New Roman"/>
          <w:b/>
          <w:color w:val="000000" w:themeColor="text1"/>
          <w:sz w:val="32"/>
          <w:szCs w:val="32"/>
          <w14:textFill>
            <w14:solidFill>
              <w14:schemeClr w14:val="tx1"/>
            </w14:solidFill>
          </w14:textFill>
        </w:rPr>
      </w:pPr>
      <w:bookmarkStart w:id="357" w:name="_Toc10038"/>
      <w:bookmarkStart w:id="358" w:name="_Toc8449"/>
      <w:bookmarkStart w:id="359" w:name="_Toc15327"/>
      <w:bookmarkStart w:id="360" w:name="_Toc29825"/>
      <w:bookmarkStart w:id="361" w:name="_Toc4497"/>
      <w:bookmarkStart w:id="362" w:name="_Toc18295"/>
      <w:r>
        <w:rPr>
          <w:rFonts w:hint="eastAsia" w:ascii="Times New Roman" w:hAnsi="Times New Roman" w:eastAsia="仿宋_GB2312" w:cs="Times New Roman"/>
          <w:b/>
          <w:color w:val="000000" w:themeColor="text1"/>
          <w:sz w:val="32"/>
          <w:szCs w:val="32"/>
          <w14:textFill>
            <w14:solidFill>
              <w14:schemeClr w14:val="tx1"/>
            </w14:solidFill>
          </w14:textFill>
        </w:rPr>
        <w:t>第三十三条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其他妨害依法采取的传染病疫情防控措施的行为的</w:t>
      </w:r>
      <w:bookmarkEnd w:id="357"/>
      <w:bookmarkEnd w:id="358"/>
      <w:bookmarkEnd w:id="359"/>
      <w:bookmarkEnd w:id="360"/>
      <w:bookmarkEnd w:id="361"/>
      <w:bookmarkEnd w:id="362"/>
    </w:p>
    <w:p w14:paraId="193C98BE">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36B1096">
      <w:pPr>
        <w:pStyle w:val="63"/>
        <w:widowControl w:val="0"/>
        <w:spacing w:after="0" w:line="600" w:lineRule="atLeas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《中华人民共和国传染病防治法》第一百一十一条第一款第（七）项　违反本法规定，有下列情形之一的，由县级以上人民政府疾病预防控制部门责令改正，给予警告，对违法的单位可以并处二万元以下罚款，对违法的个人可以并处一千元以下罚款；情节严重的，由原发证部门依法吊销相关许可证或者营业执照：</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66992A24">
      <w:pPr>
        <w:pStyle w:val="63"/>
        <w:widowControl w:val="0"/>
        <w:spacing w:after="0" w:line="600" w:lineRule="atLeast"/>
        <w:ind w:right="375"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（七）其他妨害依法采取的传染病疫情防控措施的行为。</w:t>
      </w:r>
    </w:p>
    <w:p w14:paraId="3EBC80E2">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29F4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6B84844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7921724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06DD0D8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4CC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10160EC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1866337D">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因甲类、乙类传染病发生重大传染病疫情时，妨害对进入或者离开本行政区域受影响的相关区域的人员、物资和交通工具实施卫生检疫的。</w:t>
            </w:r>
          </w:p>
        </w:tc>
        <w:tc>
          <w:tcPr>
            <w:tcW w:w="6014" w:type="dxa"/>
            <w:vAlign w:val="center"/>
          </w:tcPr>
          <w:p w14:paraId="11A706B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警告，对违法的单位并处五千元以下罚款，对违法的个人可以并处二百元以下罚款。</w:t>
            </w:r>
          </w:p>
        </w:tc>
      </w:tr>
      <w:tr w14:paraId="3FD6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5596D537">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71BEC28E">
            <w:pPr>
              <w:widowControl w:val="0"/>
              <w:spacing w:after="100" w:afterAutospacing="1" w:line="320" w:lineRule="exact"/>
              <w:ind w:right="375"/>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传染病暴发、流行时妨害政府采取紧急措施的。</w:t>
            </w:r>
          </w:p>
        </w:tc>
        <w:tc>
          <w:tcPr>
            <w:tcW w:w="6014" w:type="dxa"/>
            <w:vAlign w:val="center"/>
          </w:tcPr>
          <w:p w14:paraId="59314DF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警告，对违法的单位并处五千元以上一万元以下罚款，对违法的个人可以并处二百元以上五百元以下罚款。</w:t>
            </w:r>
          </w:p>
        </w:tc>
      </w:tr>
      <w:tr w14:paraId="395E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restart"/>
            <w:vAlign w:val="center"/>
          </w:tcPr>
          <w:p w14:paraId="3532094F">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2DAA643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传染病暴发、流行时妨害政府采取紧急措施，或者因甲类、乙类传染病发生重大传染病疫情时，妨害对进入或者离开本行政区域受影响的相关区域的人员、物资和交通工具实施卫生检疫，造成丙类传染病疫情范围进一步扩散的。</w:t>
            </w:r>
          </w:p>
        </w:tc>
        <w:tc>
          <w:tcPr>
            <w:tcW w:w="6014" w:type="dxa"/>
            <w:vAlign w:val="center"/>
          </w:tcPr>
          <w:p w14:paraId="28DE075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警告，对违法的单位并处一万元以上一万三千元以下罚款，对违法的个人可以并处五百元以上八百元以下罚款，由原发证部门依法吊销相关许可证或者营业执照。</w:t>
            </w:r>
          </w:p>
        </w:tc>
      </w:tr>
      <w:tr w14:paraId="404E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30635408">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4D2727F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传染病暴发、流行时妨害政府采取紧急措施，或者因甲类、乙类传染病发生重大传染病疫情时，妨害对进入或者离开本行政区域受影响的相关区域的人员、物资和交通工具实施卫生检疫，造成乙类传染病疫情范围进一步扩散的。</w:t>
            </w:r>
          </w:p>
        </w:tc>
        <w:tc>
          <w:tcPr>
            <w:tcW w:w="6014" w:type="dxa"/>
            <w:vAlign w:val="center"/>
          </w:tcPr>
          <w:p w14:paraId="53481A1C">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警告，对违法的单位并处一万三千元以上一万六千元以下罚款，对违法的个人可以并处五百元以上八百元以下罚款，由原发证部门依法吊销相关许可证或者营业执照。</w:t>
            </w:r>
          </w:p>
        </w:tc>
      </w:tr>
      <w:tr w14:paraId="0E88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8" w:type="dxa"/>
            <w:vMerge w:val="continue"/>
            <w:vAlign w:val="center"/>
          </w:tcPr>
          <w:p w14:paraId="36A290EF">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6458" w:type="dxa"/>
            <w:vAlign w:val="center"/>
          </w:tcPr>
          <w:p w14:paraId="6C563FF0">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传染病暴发、流行时妨害政府采取紧急措施，或者因甲类、乙类传染病发生重大传染病疫情时，妨害对进入或者离开本行政区域受影响的相关区域的人员、物资和交通工具实施卫生检疫，造成甲类传染病疫情范围进一步扩散的。</w:t>
            </w:r>
          </w:p>
        </w:tc>
        <w:tc>
          <w:tcPr>
            <w:tcW w:w="6014" w:type="dxa"/>
            <w:vAlign w:val="center"/>
          </w:tcPr>
          <w:p w14:paraId="638A2561">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警告，对违法的单位并处一万六千元以上二万元以下罚款，对违法的个人可以并处八百元以上一千元以下罚款，由原发证部门依法吊销相关许可证或者营业执照。</w:t>
            </w:r>
          </w:p>
        </w:tc>
      </w:tr>
    </w:tbl>
    <w:p w14:paraId="4035481A">
      <w:pPr>
        <w:widowControl w:val="0"/>
        <w:spacing w:after="0" w:line="279" w:lineRule="auto"/>
        <w:ind w:firstLine="643" w:firstLineChars="200"/>
        <w:jc w:val="both"/>
        <w:outlineLvl w:val="2"/>
        <w:rPr>
          <w:rFonts w:hint="eastAsia" w:ascii="Times New Roman" w:hAnsi="Times New Roman" w:eastAsia="仿宋_GB2312" w:cs="Times New Roman"/>
          <w:b/>
          <w:color w:val="000000" w:themeColor="text1"/>
          <w:sz w:val="32"/>
          <w:szCs w:val="32"/>
          <w14:textFill>
            <w14:solidFill>
              <w14:schemeClr w14:val="tx1"/>
            </w14:solidFill>
          </w14:textFill>
        </w:rPr>
      </w:pPr>
      <w:bookmarkStart w:id="363" w:name="_Toc15432"/>
      <w:bookmarkStart w:id="364" w:name="_Toc9290"/>
      <w:bookmarkStart w:id="365" w:name="_Toc13886"/>
      <w:bookmarkStart w:id="366" w:name="_Toc2373"/>
      <w:bookmarkStart w:id="367" w:name="_Toc5101"/>
      <w:bookmarkStart w:id="368" w:name="_Toc32502"/>
      <w:r>
        <w:rPr>
          <w:rFonts w:hint="eastAsia" w:ascii="Times New Roman" w:hAnsi="Times New Roman" w:eastAsia="仿宋_GB2312" w:cs="Times New Roman"/>
          <w:b/>
          <w:color w:val="000000" w:themeColor="text1"/>
          <w:sz w:val="32"/>
          <w:szCs w:val="32"/>
          <w14:textFill>
            <w14:solidFill>
              <w14:schemeClr w14:val="tx1"/>
            </w14:solidFill>
          </w14:textFill>
        </w:rPr>
        <w:t>第三十四条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安排传染病患者、病原携带者、疑似患者从事法律、行政法规和国务院疾病预防控制部门规定禁止从事的易使该传染病扩散的工作的</w:t>
      </w:r>
      <w:bookmarkEnd w:id="363"/>
      <w:bookmarkEnd w:id="364"/>
      <w:bookmarkEnd w:id="365"/>
      <w:bookmarkEnd w:id="366"/>
      <w:bookmarkEnd w:id="367"/>
      <w:bookmarkEnd w:id="368"/>
    </w:p>
    <w:p w14:paraId="0CD77DD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EF7458B">
      <w:pPr>
        <w:widowControl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《中华人民共和国传染病防治法》第一百一十一条第二款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安排传染病患者、病原携带者、疑似患者从事法律、行政法规和国务院疾病预防控制部门规定禁止从事的易使该传染病扩散的工作的，由县级以上人民政府疾病预防控制部门责令改正，给予警告，可以并处二万元以下罚款；法律、行政法规另有规定的，依照其规定。</w:t>
      </w:r>
    </w:p>
    <w:p w14:paraId="3314A73A">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6014"/>
      </w:tblGrid>
      <w:tr w14:paraId="4B56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Align w:val="center"/>
          </w:tcPr>
          <w:p w14:paraId="1751DFF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58" w:type="dxa"/>
            <w:vAlign w:val="center"/>
          </w:tcPr>
          <w:p w14:paraId="0DA0F57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14" w:type="dxa"/>
            <w:vAlign w:val="center"/>
          </w:tcPr>
          <w:p w14:paraId="65369A6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4FF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8" w:type="dxa"/>
            <w:vMerge w:val="restart"/>
            <w:vAlign w:val="center"/>
          </w:tcPr>
          <w:p w14:paraId="35D4D0A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6458" w:type="dxa"/>
            <w:vAlign w:val="center"/>
          </w:tcPr>
          <w:p w14:paraId="26BA321F">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安排丙类传染病患者、病原携带者、疑似患者从事法律、行政法规和国务院疾病预防控制部门规定禁止从事的易使该传染病扩散的工作，查出人数不足3人的。</w:t>
            </w:r>
          </w:p>
        </w:tc>
        <w:tc>
          <w:tcPr>
            <w:tcW w:w="6014" w:type="dxa"/>
            <w:vAlign w:val="center"/>
          </w:tcPr>
          <w:p w14:paraId="5F5F7B4D">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警告，并处三千元以下罚款。</w:t>
            </w:r>
          </w:p>
        </w:tc>
      </w:tr>
      <w:tr w14:paraId="71A7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8" w:type="dxa"/>
            <w:vMerge w:val="continue"/>
            <w:vAlign w:val="center"/>
          </w:tcPr>
          <w:p w14:paraId="5CAFE6E8">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68007AEF">
            <w:pPr>
              <w:widowControl w:val="0"/>
              <w:spacing w:after="100" w:afterAutospacing="1" w:line="320" w:lineRule="exact"/>
              <w:ind w:right="374"/>
              <w:rPr>
                <w:rFonts w:hint="eastAsia"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安排丙类传染病患者、病原携带者、疑似患者从事法律、行政法规和国务院疾病预防控制部门规定禁止从事的易使该传染病扩散的工作，查出人数3人以上的。</w:t>
            </w:r>
          </w:p>
        </w:tc>
        <w:tc>
          <w:tcPr>
            <w:tcW w:w="6014" w:type="dxa"/>
            <w:vAlign w:val="center"/>
          </w:tcPr>
          <w:p w14:paraId="2163A8C8">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警告，并处三千元以上五千元以下罚款。</w:t>
            </w:r>
          </w:p>
        </w:tc>
      </w:tr>
      <w:tr w14:paraId="38B5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8" w:type="dxa"/>
            <w:vMerge w:val="restart"/>
            <w:vAlign w:val="center"/>
          </w:tcPr>
          <w:p w14:paraId="538FF065">
            <w:pPr>
              <w:widowControl w:val="0"/>
              <w:spacing w:after="0" w:line="280" w:lineRule="exact"/>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较重</w:t>
            </w:r>
          </w:p>
        </w:tc>
        <w:tc>
          <w:tcPr>
            <w:tcW w:w="6458" w:type="dxa"/>
            <w:vAlign w:val="center"/>
          </w:tcPr>
          <w:p w14:paraId="309969A6">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安排乙类传染病患者、病原携带者、疑似患者从事法律、行政法规和国务院疾病预防控制部门规定禁止从事的易使该传染病扩散的工作，查出人数不足3人的。</w:t>
            </w:r>
          </w:p>
        </w:tc>
        <w:tc>
          <w:tcPr>
            <w:tcW w:w="6014" w:type="dxa"/>
            <w:vAlign w:val="center"/>
          </w:tcPr>
          <w:p w14:paraId="3FB3133D">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警告，并处五千元以上八千元以下罚款。</w:t>
            </w:r>
          </w:p>
        </w:tc>
      </w:tr>
      <w:tr w14:paraId="6CD4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8" w:type="dxa"/>
            <w:vMerge w:val="continue"/>
            <w:vAlign w:val="center"/>
          </w:tcPr>
          <w:p w14:paraId="5163FD1C">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404674DB">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安排乙类传染病患者、病原携带者、疑似患者从事法律、行政法规和国务院疾病预防控制部门规定禁止从事的易使该传染病扩散的工作，查出人数3人以上的。</w:t>
            </w:r>
          </w:p>
        </w:tc>
        <w:tc>
          <w:tcPr>
            <w:tcW w:w="6014" w:type="dxa"/>
            <w:vAlign w:val="center"/>
          </w:tcPr>
          <w:p w14:paraId="17C21336">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警告，并处八千元以上一万三千元以下罚款。</w:t>
            </w:r>
          </w:p>
        </w:tc>
      </w:tr>
      <w:tr w14:paraId="07AE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8" w:type="dxa"/>
            <w:vMerge w:val="restart"/>
            <w:vAlign w:val="center"/>
          </w:tcPr>
          <w:p w14:paraId="2B3C664D">
            <w:pPr>
              <w:widowControl w:val="0"/>
              <w:spacing w:after="0" w:line="28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严重</w:t>
            </w:r>
          </w:p>
        </w:tc>
        <w:tc>
          <w:tcPr>
            <w:tcW w:w="6458" w:type="dxa"/>
            <w:vAlign w:val="center"/>
          </w:tcPr>
          <w:p w14:paraId="3172AE9A">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安排甲类传染病患者、病原携带者、疑似患者从事法律、行政法规和国务院疾病预防控制部门规定禁止从事的易使该传染病扩散的工作，查出人数不足3人的。</w:t>
            </w:r>
          </w:p>
        </w:tc>
        <w:tc>
          <w:tcPr>
            <w:tcW w:w="6014" w:type="dxa"/>
            <w:vAlign w:val="center"/>
          </w:tcPr>
          <w:p w14:paraId="027552B4">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警告，并处一万三千元以上一万六千元以下罚款。</w:t>
            </w:r>
          </w:p>
        </w:tc>
      </w:tr>
      <w:tr w14:paraId="465F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8" w:type="dxa"/>
            <w:vMerge w:val="continue"/>
            <w:vAlign w:val="center"/>
          </w:tcPr>
          <w:p w14:paraId="3A57B9F2">
            <w:pPr>
              <w:widowControl w:val="0"/>
              <w:spacing w:after="0" w:line="440" w:lineRule="exact"/>
              <w:rPr>
                <w:rFonts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30A17A92">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安排甲类传染病患者、病原携带者、疑似患者从事法律、行政法规和国务院疾病预防控制部门规定禁止从事的易使该传染病扩散的工作，查出人数3人以上的。</w:t>
            </w:r>
          </w:p>
        </w:tc>
        <w:tc>
          <w:tcPr>
            <w:tcW w:w="6014" w:type="dxa"/>
            <w:vAlign w:val="center"/>
          </w:tcPr>
          <w:p w14:paraId="42EB9CC1">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警告，并处一万六千元以上一万八千元以下罚款。</w:t>
            </w:r>
          </w:p>
        </w:tc>
      </w:tr>
      <w:tr w14:paraId="693B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8" w:type="dxa"/>
            <w:vMerge w:val="continue"/>
            <w:vAlign w:val="center"/>
          </w:tcPr>
          <w:p w14:paraId="66CF8002">
            <w:pPr>
              <w:widowControl w:val="0"/>
              <w:spacing w:after="0" w:line="440" w:lineRule="exact"/>
              <w:rPr>
                <w:rFonts w:ascii="Times New Roman" w:hAnsi="Times New Roman" w:eastAsia="仿宋_GB2312" w:cs="Times New Roman"/>
                <w:b/>
                <w:bCs/>
                <w:color w:val="000000" w:themeColor="text1"/>
                <w:sz w:val="24"/>
                <w:szCs w:val="24"/>
                <w14:textFill>
                  <w14:solidFill>
                    <w14:schemeClr w14:val="tx1"/>
                  </w14:solidFill>
                </w14:textFill>
              </w:rPr>
            </w:pPr>
          </w:p>
        </w:tc>
        <w:tc>
          <w:tcPr>
            <w:tcW w:w="6458" w:type="dxa"/>
            <w:vAlign w:val="center"/>
          </w:tcPr>
          <w:p w14:paraId="62797F77">
            <w:pPr>
              <w:widowControl w:val="0"/>
              <w:spacing w:after="0" w:line="320" w:lineRule="exac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安排传染病患者、病原携带者、疑似患者从事法律、行政法规和国务院疾病预防控制部门规定禁止从事的易使该传染病扩散的工作，造成传染病传播、流行等严重后果的。</w:t>
            </w:r>
          </w:p>
        </w:tc>
        <w:tc>
          <w:tcPr>
            <w:tcW w:w="6014" w:type="dxa"/>
            <w:vAlign w:val="center"/>
          </w:tcPr>
          <w:p w14:paraId="22E38602">
            <w:pPr>
              <w:widowControl w:val="0"/>
              <w:spacing w:after="0" w:line="320" w:lineRule="exact"/>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警告，并处一万八千元以上二万元以下罚款。</w:t>
            </w:r>
          </w:p>
        </w:tc>
      </w:tr>
    </w:tbl>
    <w:p w14:paraId="39923136">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369" w:name="_Toc20184"/>
      <w:bookmarkStart w:id="370" w:name="_Toc6849"/>
      <w:bookmarkStart w:id="371" w:name="_Toc25566"/>
      <w:bookmarkStart w:id="372" w:name="_Toc1780"/>
      <w:bookmarkStart w:id="373" w:name="_Toc22174"/>
      <w:bookmarkStart w:id="374" w:name="_Toc21236"/>
      <w:bookmarkStart w:id="375" w:name="_Toc26719"/>
      <w:bookmarkStart w:id="376" w:name="_Toc14434"/>
      <w:bookmarkStart w:id="377" w:name="_Toc9172"/>
      <w:bookmarkStart w:id="378" w:name="_Toc14005"/>
      <w:bookmarkStart w:id="379" w:name="_Toc21674"/>
      <w:bookmarkStart w:id="380" w:name="_Toc2525"/>
      <w:bookmarkStart w:id="381" w:name="_Toc28600"/>
      <w:r>
        <w:rPr>
          <w:rFonts w:hint="eastAsia" w:ascii="Times New Roman" w:hAnsi="Times New Roman" w:eastAsia="楷体_GB2312" w:cs="楷体_GB2312"/>
          <w:color w:val="000000" w:themeColor="text1"/>
          <w14:textFill>
            <w14:solidFill>
              <w14:schemeClr w14:val="tx1"/>
            </w14:solidFill>
          </w14:textFill>
        </w:rPr>
        <w:t>（四）《中华人民共和国传染病防治法实施办法》</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456E95B2">
      <w:pPr>
        <w:widowControl w:val="0"/>
        <w:spacing w:line="279" w:lineRule="auto"/>
        <w:ind w:firstLine="642"/>
        <w:jc w:val="both"/>
        <w:outlineLvl w:val="2"/>
        <w:rPr>
          <w:rFonts w:hint="eastAsia" w:ascii="Times New Roman" w:hAnsi="Times New Roman" w:eastAsia="仿宋_GB2312" w:cs="Times New Roman"/>
          <w:b/>
          <w:bCs w:val="0"/>
          <w:color w:val="000000" w:themeColor="text1"/>
          <w:sz w:val="32"/>
          <w:szCs w:val="32"/>
          <w14:textFill>
            <w14:solidFill>
              <w14:schemeClr w14:val="tx1"/>
            </w14:solidFill>
          </w14:textFill>
        </w:rPr>
      </w:pPr>
      <w:bookmarkStart w:id="382" w:name="_Toc27317"/>
      <w:bookmarkStart w:id="383" w:name="_Toc3547"/>
      <w:bookmarkStart w:id="384" w:name="_Toc3644"/>
      <w:bookmarkStart w:id="385" w:name="_Toc28977"/>
      <w:bookmarkStart w:id="386" w:name="_Toc32332"/>
      <w:bookmarkStart w:id="387" w:name="_Toc14432"/>
      <w:r>
        <w:rPr>
          <w:rFonts w:hint="eastAsia" w:ascii="Times New Roman" w:hAnsi="Times New Roman" w:eastAsia="仿宋_GB2312" w:cs="Times New Roman"/>
          <w:b/>
          <w:color w:val="000000" w:themeColor="text1"/>
          <w:sz w:val="32"/>
          <w:szCs w:val="32"/>
          <w14:textFill>
            <w14:solidFill>
              <w14:schemeClr w14:val="tx1"/>
            </w14:solidFill>
          </w14:textFill>
        </w:rPr>
        <w:t>第三十五条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bCs w:val="0"/>
          <w:color w:val="000000" w:themeColor="text1"/>
          <w:sz w:val="32"/>
          <w:szCs w:val="32"/>
          <w14:textFill>
            <w14:solidFill>
              <w14:schemeClr w14:val="tx1"/>
            </w14:solidFill>
          </w14:textFill>
        </w:rPr>
        <w:t>单位自备水源未经批准与城镇供水系统连接的</w:t>
      </w:r>
      <w:bookmarkEnd w:id="382"/>
      <w:bookmarkEnd w:id="383"/>
      <w:bookmarkEnd w:id="384"/>
      <w:bookmarkEnd w:id="385"/>
      <w:bookmarkEnd w:id="386"/>
      <w:bookmarkEnd w:id="387"/>
    </w:p>
    <w:p w14:paraId="1A40CF6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7E0CA1A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《中华人民共和国传染病防治法实施办法》第六十六条第一款第（二）项、第二款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14:paraId="1AA1BBE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（二）单位自备水源未经批准与城镇供水系统连接的；</w:t>
      </w:r>
    </w:p>
    <w:p w14:paraId="6C54967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前款所称情节较严重的，是指下列情形之一： </w:t>
      </w:r>
    </w:p>
    <w:p w14:paraId="549431D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（一）造成甲类传染病、艾滋病、肺炭疽传播危险的； </w:t>
      </w:r>
    </w:p>
    <w:p w14:paraId="748E353D">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374A1E6D">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4A82790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0E9D683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79"/>
        <w:gridCol w:w="5760"/>
        <w:gridCol w:w="5035"/>
      </w:tblGrid>
      <w:tr w14:paraId="14440246">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6CF068E6">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08E7418A">
        <w:tblPrEx>
          <w:tblCellMar>
            <w:top w:w="0" w:type="dxa"/>
            <w:left w:w="108" w:type="dxa"/>
            <w:bottom w:w="0" w:type="dxa"/>
            <w:right w:w="108" w:type="dxa"/>
          </w:tblCellMar>
        </w:tblPrEx>
        <w:trPr>
          <w:trHeight w:val="680" w:hRule="atLeast"/>
        </w:trPr>
        <w:tc>
          <w:tcPr>
            <w:tcW w:w="1192" w:type="pct"/>
            <w:tcBorders>
              <w:top w:val="single" w:color="auto" w:sz="4" w:space="0"/>
              <w:left w:val="single" w:color="auto" w:sz="4" w:space="0"/>
              <w:bottom w:val="single" w:color="auto" w:sz="4" w:space="0"/>
              <w:right w:val="single" w:color="auto" w:sz="4" w:space="0"/>
            </w:tcBorders>
            <w:vAlign w:val="center"/>
          </w:tcPr>
          <w:p w14:paraId="169520F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2032" w:type="pct"/>
            <w:tcBorders>
              <w:top w:val="single" w:color="auto" w:sz="4" w:space="0"/>
              <w:left w:val="single" w:color="auto" w:sz="4" w:space="0"/>
              <w:bottom w:val="single" w:color="auto" w:sz="4" w:space="0"/>
              <w:right w:val="single" w:color="auto" w:sz="4" w:space="0"/>
            </w:tcBorders>
            <w:vAlign w:val="center"/>
          </w:tcPr>
          <w:p w14:paraId="42563F0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1775" w:type="pct"/>
            <w:tcBorders>
              <w:top w:val="single" w:color="auto" w:sz="4" w:space="0"/>
              <w:left w:val="single" w:color="auto" w:sz="4" w:space="0"/>
              <w:bottom w:val="single" w:color="auto" w:sz="4" w:space="0"/>
              <w:right w:val="single" w:color="auto" w:sz="4" w:space="0"/>
            </w:tcBorders>
            <w:vAlign w:val="center"/>
          </w:tcPr>
          <w:p w14:paraId="741BE59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B2BF0D4">
        <w:tblPrEx>
          <w:tblCellMar>
            <w:top w:w="0" w:type="dxa"/>
            <w:left w:w="108" w:type="dxa"/>
            <w:bottom w:w="0" w:type="dxa"/>
            <w:right w:w="108" w:type="dxa"/>
          </w:tblCellMar>
        </w:tblPrEx>
        <w:trPr>
          <w:trHeight w:val="890" w:hRule="atLeast"/>
        </w:trPr>
        <w:tc>
          <w:tcPr>
            <w:tcW w:w="1192" w:type="pct"/>
            <w:tcBorders>
              <w:top w:val="single" w:color="auto" w:sz="4" w:space="0"/>
              <w:left w:val="single" w:color="auto" w:sz="4" w:space="0"/>
              <w:bottom w:val="single" w:color="auto" w:sz="4" w:space="0"/>
              <w:right w:val="single" w:color="auto" w:sz="4" w:space="0"/>
            </w:tcBorders>
            <w:vAlign w:val="center"/>
          </w:tcPr>
          <w:p w14:paraId="4B99095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2032" w:type="pct"/>
            <w:tcBorders>
              <w:top w:val="single" w:color="auto" w:sz="4" w:space="0"/>
              <w:left w:val="single" w:color="auto" w:sz="4" w:space="0"/>
              <w:bottom w:val="single" w:color="auto" w:sz="4" w:space="0"/>
              <w:right w:val="single" w:color="auto" w:sz="4" w:space="0"/>
            </w:tcBorders>
            <w:vAlign w:val="center"/>
          </w:tcPr>
          <w:p w14:paraId="73744386">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单位自备水源未经批准与城镇供水系统连接，时间不足1个月的。</w:t>
            </w:r>
          </w:p>
        </w:tc>
        <w:tc>
          <w:tcPr>
            <w:tcW w:w="1775" w:type="pct"/>
            <w:tcBorders>
              <w:top w:val="single" w:color="auto" w:sz="4" w:space="0"/>
              <w:left w:val="single" w:color="auto" w:sz="4" w:space="0"/>
              <w:bottom w:val="single" w:color="auto" w:sz="4" w:space="0"/>
              <w:right w:val="single" w:color="auto" w:sz="4" w:space="0"/>
            </w:tcBorders>
            <w:vAlign w:val="center"/>
          </w:tcPr>
          <w:p w14:paraId="4C898C1D">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可以处二千元以下罚款。</w:t>
            </w:r>
          </w:p>
        </w:tc>
      </w:tr>
      <w:tr w14:paraId="09C00E9C">
        <w:tblPrEx>
          <w:tblCellMar>
            <w:top w:w="0" w:type="dxa"/>
            <w:left w:w="108" w:type="dxa"/>
            <w:bottom w:w="0" w:type="dxa"/>
            <w:right w:w="108" w:type="dxa"/>
          </w:tblCellMar>
        </w:tblPrEx>
        <w:trPr>
          <w:trHeight w:val="794" w:hRule="atLeast"/>
        </w:trPr>
        <w:tc>
          <w:tcPr>
            <w:tcW w:w="1192" w:type="pct"/>
            <w:tcBorders>
              <w:top w:val="single" w:color="auto" w:sz="4" w:space="0"/>
              <w:left w:val="single" w:color="auto" w:sz="4" w:space="0"/>
              <w:bottom w:val="single" w:color="auto" w:sz="4" w:space="0"/>
              <w:right w:val="single" w:color="auto" w:sz="4" w:space="0"/>
            </w:tcBorders>
            <w:vAlign w:val="center"/>
          </w:tcPr>
          <w:p w14:paraId="2246708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032" w:type="pct"/>
            <w:tcBorders>
              <w:top w:val="single" w:color="auto" w:sz="4" w:space="0"/>
              <w:left w:val="single" w:color="auto" w:sz="4" w:space="0"/>
              <w:bottom w:val="single" w:color="auto" w:sz="4" w:space="0"/>
              <w:right w:val="single" w:color="auto" w:sz="4" w:space="0"/>
            </w:tcBorders>
            <w:vAlign w:val="center"/>
          </w:tcPr>
          <w:p w14:paraId="35E12AD3">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单位自备水源未经批准与城镇供水系统连接，时间在1个月以上的。</w:t>
            </w:r>
          </w:p>
        </w:tc>
        <w:tc>
          <w:tcPr>
            <w:tcW w:w="1775" w:type="pct"/>
            <w:tcBorders>
              <w:top w:val="single" w:color="auto" w:sz="4" w:space="0"/>
              <w:left w:val="single" w:color="auto" w:sz="4" w:space="0"/>
              <w:bottom w:val="single" w:color="auto" w:sz="4" w:space="0"/>
              <w:right w:val="single" w:color="auto" w:sz="4" w:space="0"/>
            </w:tcBorders>
            <w:vAlign w:val="center"/>
          </w:tcPr>
          <w:p w14:paraId="5F4F25C1">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可以处二千元以上五千元以下罚款。</w:t>
            </w:r>
          </w:p>
        </w:tc>
      </w:tr>
      <w:tr w14:paraId="5B0D4384">
        <w:tblPrEx>
          <w:tblCellMar>
            <w:top w:w="0" w:type="dxa"/>
            <w:left w:w="108" w:type="dxa"/>
            <w:bottom w:w="0" w:type="dxa"/>
            <w:right w:w="108" w:type="dxa"/>
          </w:tblCellMar>
        </w:tblPrEx>
        <w:trPr>
          <w:trHeight w:val="829" w:hRule="atLeast"/>
        </w:trPr>
        <w:tc>
          <w:tcPr>
            <w:tcW w:w="1192" w:type="pct"/>
            <w:tcBorders>
              <w:top w:val="single" w:color="auto" w:sz="4" w:space="0"/>
              <w:left w:val="single" w:color="auto" w:sz="4" w:space="0"/>
              <w:bottom w:val="single" w:color="auto" w:sz="4" w:space="0"/>
              <w:right w:val="single" w:color="auto" w:sz="4" w:space="0"/>
            </w:tcBorders>
            <w:vAlign w:val="center"/>
          </w:tcPr>
          <w:p w14:paraId="7BC7B0D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032" w:type="pct"/>
            <w:tcBorders>
              <w:top w:val="single" w:color="auto" w:sz="4" w:space="0"/>
              <w:left w:val="single" w:color="auto" w:sz="4" w:space="0"/>
              <w:bottom w:val="single" w:color="auto" w:sz="4" w:space="0"/>
              <w:right w:val="single" w:color="auto" w:sz="4" w:space="0"/>
            </w:tcBorders>
            <w:vAlign w:val="center"/>
          </w:tcPr>
          <w:p w14:paraId="7D696F9F">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单位自备水源未经批准与城镇供水系统连接，造成本办法第六十六条第二款规定的情形之一的行为的。</w:t>
            </w:r>
          </w:p>
        </w:tc>
        <w:tc>
          <w:tcPr>
            <w:tcW w:w="1775" w:type="pct"/>
            <w:tcBorders>
              <w:top w:val="single" w:color="auto" w:sz="4" w:space="0"/>
              <w:left w:val="single" w:color="auto" w:sz="4" w:space="0"/>
              <w:bottom w:val="single" w:color="auto" w:sz="4" w:space="0"/>
              <w:right w:val="single" w:color="auto" w:sz="4" w:space="0"/>
            </w:tcBorders>
            <w:vAlign w:val="center"/>
          </w:tcPr>
          <w:p w14:paraId="3A7B315C">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可以处五千元以上二万元以下罚款。</w:t>
            </w:r>
          </w:p>
        </w:tc>
      </w:tr>
    </w:tbl>
    <w:p w14:paraId="78EBE25B">
      <w:pPr>
        <w:widowControl w:val="0"/>
        <w:spacing w:after="0" w:line="279" w:lineRule="auto"/>
        <w:ind w:firstLine="641"/>
        <w:jc w:val="both"/>
        <w:outlineLvl w:val="2"/>
        <w:rPr>
          <w:rFonts w:hint="eastAsia" w:ascii="Times New Roman" w:hAnsi="Times New Roman" w:eastAsia="仿宋_GB2312" w:cs="Times New Roman"/>
          <w:b/>
          <w:bCs w:val="0"/>
          <w:color w:val="000000" w:themeColor="text1"/>
          <w:sz w:val="32"/>
          <w:szCs w:val="32"/>
          <w14:textFill>
            <w14:solidFill>
              <w14:schemeClr w14:val="tx1"/>
            </w14:solidFill>
          </w14:textFill>
        </w:rPr>
      </w:pPr>
      <w:bookmarkStart w:id="388" w:name="_Toc653"/>
      <w:bookmarkStart w:id="389" w:name="_Toc8268"/>
      <w:bookmarkStart w:id="390" w:name="_Toc4515"/>
      <w:bookmarkStart w:id="391" w:name="_Toc22867"/>
      <w:bookmarkStart w:id="392" w:name="_Toc23548"/>
      <w:bookmarkStart w:id="393" w:name="_Toc18064"/>
      <w:r>
        <w:rPr>
          <w:rFonts w:hint="eastAsia" w:ascii="Times New Roman" w:hAnsi="Times New Roman" w:eastAsia="仿宋_GB2312" w:cs="Times New Roman"/>
          <w:b/>
          <w:color w:val="000000" w:themeColor="text1"/>
          <w:sz w:val="32"/>
          <w:szCs w:val="32"/>
          <w14:textFill>
            <w14:solidFill>
              <w14:schemeClr w14:val="tx1"/>
            </w14:solidFill>
          </w14:textFill>
        </w:rPr>
        <w:t>第三十六条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未按城市环境卫生设施标准修建公共卫生设施致使垃圾、粪便、污水不能进行无害化处理</w:t>
      </w:r>
      <w:r>
        <w:rPr>
          <w:rFonts w:hint="eastAsia" w:ascii="Times New Roman" w:hAnsi="Times New Roman" w:eastAsia="仿宋_GB2312" w:cs="Times New Roman"/>
          <w:b/>
          <w:bCs w:val="0"/>
          <w:color w:val="000000" w:themeColor="text1"/>
          <w:sz w:val="32"/>
          <w:szCs w:val="32"/>
          <w14:textFill>
            <w14:solidFill>
              <w14:schemeClr w14:val="tx1"/>
            </w14:solidFill>
          </w14:textFill>
        </w:rPr>
        <w:t>的</w:t>
      </w:r>
      <w:bookmarkEnd w:id="388"/>
      <w:bookmarkEnd w:id="389"/>
      <w:bookmarkEnd w:id="390"/>
      <w:bookmarkEnd w:id="391"/>
      <w:bookmarkEnd w:id="392"/>
      <w:bookmarkEnd w:id="393"/>
    </w:p>
    <w:p w14:paraId="71C8ED1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0048763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《中华人民共和国传染病防治法实施办法》第六十六条第一款第（三）项、第二款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14:paraId="6E04E622">
      <w:pPr>
        <w:widowControl w:val="0"/>
        <w:spacing w:after="0" w:line="440" w:lineRule="exact"/>
        <w:ind w:firstLine="640" w:firstLineChars="200"/>
        <w:jc w:val="both"/>
        <w:rPr>
          <w:rFonts w:hint="eastAsia" w:ascii="Times New Roman" w:hAnsi="Times New Roman" w:eastAsia="方正仿宋_GB2312" w:cs="方正仿宋_GB2312"/>
          <w:color w:val="000000" w:themeColor="text1"/>
          <w:spacing w:val="-6"/>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未按城市环境卫生设施标准修建公共卫生设施致使垃圾、粪便、污水不能进行无害化处理的；</w:t>
      </w:r>
    </w:p>
    <w:p w14:paraId="407CA53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前款所称情节较严重的，是指下列情形之一： </w:t>
      </w:r>
    </w:p>
    <w:p w14:paraId="4A8AECA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（一）造成甲类传染病、艾滋病、肺炭疽传播危险的； </w:t>
      </w:r>
    </w:p>
    <w:p w14:paraId="00E0FDC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3741D62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1487DBE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7D7BDB8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82"/>
        <w:gridCol w:w="5811"/>
        <w:gridCol w:w="4981"/>
      </w:tblGrid>
      <w:tr w14:paraId="64FA538B">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3CBC1F0D">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52C5A482">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4597738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2050" w:type="pct"/>
            <w:tcBorders>
              <w:top w:val="single" w:color="auto" w:sz="4" w:space="0"/>
              <w:left w:val="single" w:color="auto" w:sz="4" w:space="0"/>
              <w:bottom w:val="single" w:color="auto" w:sz="4" w:space="0"/>
              <w:right w:val="single" w:color="auto" w:sz="4" w:space="0"/>
            </w:tcBorders>
            <w:vAlign w:val="center"/>
          </w:tcPr>
          <w:p w14:paraId="291C45C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1756" w:type="pct"/>
            <w:tcBorders>
              <w:top w:val="single" w:color="auto" w:sz="4" w:space="0"/>
              <w:left w:val="single" w:color="auto" w:sz="4" w:space="0"/>
              <w:bottom w:val="single" w:color="auto" w:sz="4" w:space="0"/>
              <w:right w:val="single" w:color="auto" w:sz="4" w:space="0"/>
            </w:tcBorders>
            <w:vAlign w:val="center"/>
          </w:tcPr>
          <w:p w14:paraId="37E8529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1974F3EA">
        <w:tblPrEx>
          <w:tblCellMar>
            <w:top w:w="0" w:type="dxa"/>
            <w:left w:w="108" w:type="dxa"/>
            <w:bottom w:w="0" w:type="dxa"/>
            <w:right w:w="108" w:type="dxa"/>
          </w:tblCellMar>
        </w:tblPrEx>
        <w:trPr>
          <w:trHeight w:val="890" w:hRule="atLeast"/>
        </w:trPr>
        <w:tc>
          <w:tcPr>
            <w:tcW w:w="1193" w:type="pct"/>
            <w:tcBorders>
              <w:top w:val="single" w:color="auto" w:sz="4" w:space="0"/>
              <w:left w:val="single" w:color="auto" w:sz="4" w:space="0"/>
              <w:bottom w:val="single" w:color="auto" w:sz="4" w:space="0"/>
              <w:right w:val="single" w:color="auto" w:sz="4" w:space="0"/>
            </w:tcBorders>
            <w:vAlign w:val="center"/>
          </w:tcPr>
          <w:p w14:paraId="388B395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2050" w:type="pct"/>
            <w:tcBorders>
              <w:top w:val="single" w:color="auto" w:sz="4" w:space="0"/>
              <w:left w:val="single" w:color="auto" w:sz="4" w:space="0"/>
              <w:bottom w:val="single" w:color="auto" w:sz="4" w:space="0"/>
              <w:right w:val="single" w:color="auto" w:sz="4" w:space="0"/>
            </w:tcBorders>
            <w:vAlign w:val="center"/>
          </w:tcPr>
          <w:p w14:paraId="4BB436D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未按城市环境卫生设施标准修建公共卫生设施致使垃圾、粪便、污水不能进行无害化处理，时间不足1个月的。</w:t>
            </w:r>
          </w:p>
        </w:tc>
        <w:tc>
          <w:tcPr>
            <w:tcW w:w="1756" w:type="pct"/>
            <w:tcBorders>
              <w:top w:val="single" w:color="auto" w:sz="4" w:space="0"/>
              <w:left w:val="single" w:color="auto" w:sz="4" w:space="0"/>
              <w:bottom w:val="single" w:color="auto" w:sz="4" w:space="0"/>
              <w:right w:val="single" w:color="auto" w:sz="4" w:space="0"/>
            </w:tcBorders>
            <w:vAlign w:val="center"/>
          </w:tcPr>
          <w:p w14:paraId="2FF172A3">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处二千元以下罚款。</w:t>
            </w:r>
          </w:p>
        </w:tc>
      </w:tr>
      <w:tr w14:paraId="2168DA05">
        <w:tblPrEx>
          <w:tblCellMar>
            <w:top w:w="0" w:type="dxa"/>
            <w:left w:w="108" w:type="dxa"/>
            <w:bottom w:w="0" w:type="dxa"/>
            <w:right w:w="108" w:type="dxa"/>
          </w:tblCellMar>
        </w:tblPrEx>
        <w:trPr>
          <w:trHeight w:val="1065" w:hRule="atLeast"/>
        </w:trPr>
        <w:tc>
          <w:tcPr>
            <w:tcW w:w="1193" w:type="pct"/>
            <w:tcBorders>
              <w:top w:val="single" w:color="auto" w:sz="4" w:space="0"/>
              <w:left w:val="single" w:color="auto" w:sz="4" w:space="0"/>
              <w:bottom w:val="single" w:color="auto" w:sz="4" w:space="0"/>
              <w:right w:val="single" w:color="auto" w:sz="4" w:space="0"/>
            </w:tcBorders>
            <w:vAlign w:val="center"/>
          </w:tcPr>
          <w:p w14:paraId="295334E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050" w:type="pct"/>
            <w:tcBorders>
              <w:top w:val="single" w:color="auto" w:sz="4" w:space="0"/>
              <w:left w:val="single" w:color="auto" w:sz="4" w:space="0"/>
              <w:bottom w:val="single" w:color="auto" w:sz="4" w:space="0"/>
              <w:right w:val="single" w:color="auto" w:sz="4" w:space="0"/>
            </w:tcBorders>
            <w:vAlign w:val="center"/>
          </w:tcPr>
          <w:p w14:paraId="5013EA1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未按城市环境卫生设施标准修建公共卫生设施致使垃圾、粪便、污水不能进行无害化处理，时间在1个月以上的。</w:t>
            </w:r>
          </w:p>
        </w:tc>
        <w:tc>
          <w:tcPr>
            <w:tcW w:w="1756" w:type="pct"/>
            <w:tcBorders>
              <w:top w:val="single" w:color="auto" w:sz="4" w:space="0"/>
              <w:left w:val="single" w:color="auto" w:sz="4" w:space="0"/>
              <w:bottom w:val="single" w:color="auto" w:sz="4" w:space="0"/>
              <w:right w:val="single" w:color="auto" w:sz="4" w:space="0"/>
            </w:tcBorders>
            <w:vAlign w:val="center"/>
          </w:tcPr>
          <w:p w14:paraId="64C4A5A5">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处二千元以上五千元以下罚款。</w:t>
            </w:r>
          </w:p>
        </w:tc>
      </w:tr>
      <w:tr w14:paraId="26CCB90C">
        <w:tblPrEx>
          <w:tblCellMar>
            <w:top w:w="0" w:type="dxa"/>
            <w:left w:w="108" w:type="dxa"/>
            <w:bottom w:w="0" w:type="dxa"/>
            <w:right w:w="108" w:type="dxa"/>
          </w:tblCellMar>
        </w:tblPrEx>
        <w:trPr>
          <w:trHeight w:val="829" w:hRule="atLeast"/>
        </w:trPr>
        <w:tc>
          <w:tcPr>
            <w:tcW w:w="1193" w:type="pct"/>
            <w:tcBorders>
              <w:top w:val="single" w:color="auto" w:sz="4" w:space="0"/>
              <w:left w:val="single" w:color="auto" w:sz="4" w:space="0"/>
              <w:bottom w:val="single" w:color="auto" w:sz="4" w:space="0"/>
              <w:right w:val="single" w:color="auto" w:sz="4" w:space="0"/>
            </w:tcBorders>
            <w:vAlign w:val="center"/>
          </w:tcPr>
          <w:p w14:paraId="536CF72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050" w:type="pct"/>
            <w:tcBorders>
              <w:top w:val="single" w:color="auto" w:sz="4" w:space="0"/>
              <w:left w:val="single" w:color="auto" w:sz="4" w:space="0"/>
              <w:bottom w:val="single" w:color="auto" w:sz="4" w:space="0"/>
              <w:right w:val="single" w:color="auto" w:sz="4" w:space="0"/>
            </w:tcBorders>
            <w:vAlign w:val="center"/>
          </w:tcPr>
          <w:p w14:paraId="4C53BDB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单位自备水源未经批准与城镇供水系统连接，造成本办法第六十六条第二款规定的情形之一的行为的。</w:t>
            </w:r>
          </w:p>
        </w:tc>
        <w:tc>
          <w:tcPr>
            <w:tcW w:w="1756" w:type="pct"/>
            <w:tcBorders>
              <w:top w:val="single" w:color="auto" w:sz="4" w:space="0"/>
              <w:left w:val="single" w:color="auto" w:sz="4" w:space="0"/>
              <w:bottom w:val="single" w:color="auto" w:sz="4" w:space="0"/>
              <w:right w:val="single" w:color="auto" w:sz="4" w:space="0"/>
            </w:tcBorders>
            <w:vAlign w:val="center"/>
          </w:tcPr>
          <w:p w14:paraId="30757C30">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处五千元以上二万元以下罚款。</w:t>
            </w:r>
          </w:p>
        </w:tc>
      </w:tr>
    </w:tbl>
    <w:p w14:paraId="06E7BA4E">
      <w:pPr>
        <w:widowControl w:val="0"/>
        <w:spacing w:after="0" w:line="279" w:lineRule="auto"/>
        <w:ind w:firstLine="641"/>
        <w:jc w:val="both"/>
        <w:outlineLvl w:val="2"/>
        <w:rPr>
          <w:rFonts w:hint="eastAsia" w:ascii="Times New Roman" w:hAnsi="Times New Roman" w:eastAsia="仿宋_GB2312" w:cs="Times New Roman"/>
          <w:b/>
          <w:color w:val="000000" w:themeColor="text1"/>
          <w:sz w:val="32"/>
          <w:szCs w:val="32"/>
          <w14:textFill>
            <w14:solidFill>
              <w14:schemeClr w14:val="tx1"/>
            </w14:solidFill>
          </w14:textFill>
        </w:rPr>
      </w:pPr>
      <w:bookmarkStart w:id="394" w:name="_Toc24049"/>
      <w:bookmarkStart w:id="395" w:name="_Toc11562"/>
      <w:bookmarkStart w:id="396" w:name="_Toc16008"/>
      <w:bookmarkStart w:id="397" w:name="_Toc3917"/>
      <w:bookmarkStart w:id="398" w:name="_Toc31928"/>
      <w:bookmarkStart w:id="399" w:name="_Toc28408"/>
      <w:r>
        <w:rPr>
          <w:rFonts w:hint="eastAsia" w:ascii="Times New Roman" w:hAnsi="Times New Roman" w:eastAsia="仿宋_GB2312" w:cs="Times New Roman"/>
          <w:b/>
          <w:color w:val="000000" w:themeColor="text1"/>
          <w:sz w:val="32"/>
          <w:szCs w:val="32"/>
          <w14:textFill>
            <w14:solidFill>
              <w14:schemeClr w14:val="tx1"/>
            </w14:solidFill>
          </w14:textFill>
        </w:rPr>
        <w:t>第三十七条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对被传染病病原体污染的污水、污物、粪便不按规定进行消毒处理的</w:t>
      </w:r>
      <w:bookmarkEnd w:id="394"/>
      <w:bookmarkEnd w:id="395"/>
      <w:bookmarkEnd w:id="396"/>
      <w:bookmarkEnd w:id="397"/>
      <w:bookmarkEnd w:id="398"/>
      <w:bookmarkEnd w:id="399"/>
    </w:p>
    <w:p w14:paraId="49CCD76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65A8CC7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《中华人民共和国传染病防治法实施办法》第六十六条第一款第（四）项、第二款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14:paraId="152C705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（四）对被传染病病原体污染的污水、污物、粪便不按规定进行消毒处理的；</w:t>
      </w:r>
    </w:p>
    <w:p w14:paraId="1B092B1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前款所称情节较严重的，是指下列情形之一： </w:t>
      </w:r>
    </w:p>
    <w:p w14:paraId="5D5E1FA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（一）造成甲类传染病、艾滋病、肺炭疽传播危险的； </w:t>
      </w:r>
    </w:p>
    <w:p w14:paraId="19FECA0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4333913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41F40F0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0B97875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79"/>
        <w:gridCol w:w="5760"/>
        <w:gridCol w:w="5035"/>
      </w:tblGrid>
      <w:tr w14:paraId="7D89CBAE">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4CAD3B20">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547A6FDA">
        <w:tblPrEx>
          <w:tblCellMar>
            <w:top w:w="0" w:type="dxa"/>
            <w:left w:w="108" w:type="dxa"/>
            <w:bottom w:w="0" w:type="dxa"/>
            <w:right w:w="108" w:type="dxa"/>
          </w:tblCellMar>
        </w:tblPrEx>
        <w:trPr>
          <w:trHeight w:val="567" w:hRule="atLeast"/>
        </w:trPr>
        <w:tc>
          <w:tcPr>
            <w:tcW w:w="1192" w:type="pct"/>
            <w:tcBorders>
              <w:top w:val="single" w:color="auto" w:sz="4" w:space="0"/>
              <w:left w:val="single" w:color="auto" w:sz="4" w:space="0"/>
              <w:bottom w:val="single" w:color="auto" w:sz="4" w:space="0"/>
              <w:right w:val="single" w:color="auto" w:sz="4" w:space="0"/>
            </w:tcBorders>
            <w:vAlign w:val="center"/>
          </w:tcPr>
          <w:p w14:paraId="4D0B9B2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2032" w:type="pct"/>
            <w:tcBorders>
              <w:top w:val="single" w:color="auto" w:sz="4" w:space="0"/>
              <w:left w:val="single" w:color="auto" w:sz="4" w:space="0"/>
              <w:bottom w:val="single" w:color="auto" w:sz="4" w:space="0"/>
              <w:right w:val="single" w:color="auto" w:sz="4" w:space="0"/>
            </w:tcBorders>
            <w:vAlign w:val="center"/>
          </w:tcPr>
          <w:p w14:paraId="325A994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1775" w:type="pct"/>
            <w:tcBorders>
              <w:top w:val="single" w:color="auto" w:sz="4" w:space="0"/>
              <w:left w:val="single" w:color="auto" w:sz="4" w:space="0"/>
              <w:bottom w:val="single" w:color="auto" w:sz="4" w:space="0"/>
              <w:right w:val="single" w:color="auto" w:sz="4" w:space="0"/>
            </w:tcBorders>
            <w:vAlign w:val="center"/>
          </w:tcPr>
          <w:p w14:paraId="38962B2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7DCC0B7D">
        <w:tblPrEx>
          <w:tblCellMar>
            <w:top w:w="0" w:type="dxa"/>
            <w:left w:w="108" w:type="dxa"/>
            <w:bottom w:w="0" w:type="dxa"/>
            <w:right w:w="108" w:type="dxa"/>
          </w:tblCellMar>
        </w:tblPrEx>
        <w:trPr>
          <w:trHeight w:val="624" w:hRule="atLeast"/>
        </w:trPr>
        <w:tc>
          <w:tcPr>
            <w:tcW w:w="1192" w:type="pct"/>
            <w:tcBorders>
              <w:top w:val="single" w:color="auto" w:sz="4" w:space="0"/>
              <w:left w:val="single" w:color="auto" w:sz="4" w:space="0"/>
              <w:bottom w:val="single" w:color="auto" w:sz="4" w:space="0"/>
              <w:right w:val="single" w:color="auto" w:sz="4" w:space="0"/>
            </w:tcBorders>
            <w:vAlign w:val="center"/>
          </w:tcPr>
          <w:p w14:paraId="59E5925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2032" w:type="pct"/>
            <w:tcBorders>
              <w:top w:val="single" w:color="auto" w:sz="4" w:space="0"/>
              <w:left w:val="single" w:color="auto" w:sz="4" w:space="0"/>
              <w:bottom w:val="single" w:color="auto" w:sz="4" w:space="0"/>
              <w:right w:val="single" w:color="auto" w:sz="4" w:space="0"/>
            </w:tcBorders>
            <w:vAlign w:val="center"/>
          </w:tcPr>
          <w:p w14:paraId="5CFB3BB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对被传染病病原体污染的污水、污物、粪便不按规定进行消毒处理，时间不足1个月的。</w:t>
            </w:r>
          </w:p>
        </w:tc>
        <w:tc>
          <w:tcPr>
            <w:tcW w:w="1775" w:type="pct"/>
            <w:tcBorders>
              <w:top w:val="single" w:color="auto" w:sz="4" w:space="0"/>
              <w:left w:val="single" w:color="auto" w:sz="4" w:space="0"/>
              <w:bottom w:val="single" w:color="auto" w:sz="4" w:space="0"/>
              <w:right w:val="single" w:color="auto" w:sz="4" w:space="0"/>
            </w:tcBorders>
            <w:vAlign w:val="center"/>
          </w:tcPr>
          <w:p w14:paraId="5A02F57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可以处2000元以下罚款。</w:t>
            </w:r>
          </w:p>
        </w:tc>
      </w:tr>
      <w:tr w14:paraId="7C00FA23">
        <w:tblPrEx>
          <w:tblCellMar>
            <w:top w:w="0" w:type="dxa"/>
            <w:left w:w="108" w:type="dxa"/>
            <w:bottom w:w="0" w:type="dxa"/>
            <w:right w:w="108" w:type="dxa"/>
          </w:tblCellMar>
        </w:tblPrEx>
        <w:trPr>
          <w:trHeight w:val="624" w:hRule="atLeast"/>
        </w:trPr>
        <w:tc>
          <w:tcPr>
            <w:tcW w:w="1192" w:type="pct"/>
            <w:tcBorders>
              <w:top w:val="single" w:color="auto" w:sz="4" w:space="0"/>
              <w:left w:val="single" w:color="auto" w:sz="4" w:space="0"/>
              <w:bottom w:val="single" w:color="auto" w:sz="4" w:space="0"/>
              <w:right w:val="single" w:color="auto" w:sz="4" w:space="0"/>
            </w:tcBorders>
            <w:vAlign w:val="center"/>
          </w:tcPr>
          <w:p w14:paraId="2AFD655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032" w:type="pct"/>
            <w:tcBorders>
              <w:top w:val="single" w:color="auto" w:sz="4" w:space="0"/>
              <w:left w:val="single" w:color="auto" w:sz="4" w:space="0"/>
              <w:bottom w:val="single" w:color="auto" w:sz="4" w:space="0"/>
              <w:right w:val="single" w:color="auto" w:sz="4" w:space="0"/>
            </w:tcBorders>
            <w:vAlign w:val="center"/>
          </w:tcPr>
          <w:p w14:paraId="4280D16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对被传染病病原体污染的污水、污物、粪便不按规定进行消毒处理，时间在1个月以上的。</w:t>
            </w:r>
          </w:p>
        </w:tc>
        <w:tc>
          <w:tcPr>
            <w:tcW w:w="1775" w:type="pct"/>
            <w:tcBorders>
              <w:top w:val="single" w:color="auto" w:sz="4" w:space="0"/>
              <w:left w:val="single" w:color="auto" w:sz="4" w:space="0"/>
              <w:bottom w:val="single" w:color="auto" w:sz="4" w:space="0"/>
              <w:right w:val="single" w:color="auto" w:sz="4" w:space="0"/>
            </w:tcBorders>
            <w:vAlign w:val="center"/>
          </w:tcPr>
          <w:p w14:paraId="3CECBCA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可以处2000元以上5000元以下罚款。</w:t>
            </w:r>
          </w:p>
        </w:tc>
      </w:tr>
      <w:tr w14:paraId="3C4B2E0F">
        <w:tblPrEx>
          <w:tblCellMar>
            <w:top w:w="0" w:type="dxa"/>
            <w:left w:w="108" w:type="dxa"/>
            <w:bottom w:w="0" w:type="dxa"/>
            <w:right w:w="108" w:type="dxa"/>
          </w:tblCellMar>
        </w:tblPrEx>
        <w:trPr>
          <w:trHeight w:val="510" w:hRule="atLeast"/>
        </w:trPr>
        <w:tc>
          <w:tcPr>
            <w:tcW w:w="1192" w:type="pct"/>
            <w:tcBorders>
              <w:top w:val="single" w:color="auto" w:sz="4" w:space="0"/>
              <w:left w:val="single" w:color="auto" w:sz="4" w:space="0"/>
              <w:bottom w:val="single" w:color="auto" w:sz="4" w:space="0"/>
              <w:right w:val="single" w:color="auto" w:sz="4" w:space="0"/>
            </w:tcBorders>
            <w:vAlign w:val="center"/>
          </w:tcPr>
          <w:p w14:paraId="7BA121C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032" w:type="pct"/>
            <w:tcBorders>
              <w:top w:val="single" w:color="auto" w:sz="4" w:space="0"/>
              <w:left w:val="single" w:color="auto" w:sz="4" w:space="0"/>
              <w:bottom w:val="single" w:color="auto" w:sz="4" w:space="0"/>
              <w:right w:val="single" w:color="auto" w:sz="4" w:space="0"/>
            </w:tcBorders>
            <w:vAlign w:val="center"/>
          </w:tcPr>
          <w:p w14:paraId="42014E8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本办法第六十六条第二款规定的情形之一的行为的。</w:t>
            </w:r>
          </w:p>
        </w:tc>
        <w:tc>
          <w:tcPr>
            <w:tcW w:w="1775" w:type="pct"/>
            <w:tcBorders>
              <w:top w:val="single" w:color="auto" w:sz="4" w:space="0"/>
              <w:left w:val="single" w:color="auto" w:sz="4" w:space="0"/>
              <w:bottom w:val="single" w:color="auto" w:sz="4" w:space="0"/>
              <w:right w:val="single" w:color="auto" w:sz="4" w:space="0"/>
            </w:tcBorders>
            <w:vAlign w:val="center"/>
          </w:tcPr>
          <w:p w14:paraId="38B37BA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可以处5000元以上2万元以下罚款。</w:t>
            </w:r>
          </w:p>
        </w:tc>
      </w:tr>
    </w:tbl>
    <w:p w14:paraId="0D51BF3B">
      <w:pPr>
        <w:widowControl w:val="0"/>
        <w:spacing w:after="0" w:line="279" w:lineRule="auto"/>
        <w:ind w:firstLine="641"/>
        <w:jc w:val="both"/>
        <w:outlineLvl w:val="2"/>
        <w:rPr>
          <w:rFonts w:hint="eastAsia" w:ascii="Times New Roman" w:hAnsi="Times New Roman" w:eastAsia="仿宋_GB2312" w:cs="Times New Roman"/>
          <w:b/>
          <w:bCs w:val="0"/>
          <w:color w:val="000000" w:themeColor="text1"/>
          <w:sz w:val="32"/>
          <w:szCs w:val="32"/>
          <w14:textFill>
            <w14:solidFill>
              <w14:schemeClr w14:val="tx1"/>
            </w14:solidFill>
          </w14:textFill>
        </w:rPr>
      </w:pPr>
      <w:bookmarkStart w:id="400" w:name="_Toc4044"/>
      <w:bookmarkStart w:id="401" w:name="_Toc26022"/>
      <w:bookmarkStart w:id="402" w:name="_Toc21175"/>
      <w:bookmarkStart w:id="403" w:name="_Toc8604"/>
      <w:bookmarkStart w:id="404" w:name="_Toc30836"/>
      <w:bookmarkStart w:id="405" w:name="_Toc22368"/>
      <w:r>
        <w:rPr>
          <w:rFonts w:hint="eastAsia" w:ascii="Times New Roman" w:hAnsi="Times New Roman" w:eastAsia="仿宋_GB2312" w:cs="Times New Roman"/>
          <w:b/>
          <w:color w:val="000000" w:themeColor="text1"/>
          <w:sz w:val="32"/>
          <w:szCs w:val="32"/>
          <w14:textFill>
            <w14:solidFill>
              <w14:schemeClr w14:val="tx1"/>
            </w14:solidFill>
          </w14:textFill>
        </w:rPr>
        <w:t>第三十八条</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对被甲类和乙类传染病病人、病原携带者、疑似传染病病人污染的场所、物品未按照卫生防疫机构的要求实施必要的卫生处理的</w:t>
      </w:r>
      <w:bookmarkEnd w:id="400"/>
      <w:bookmarkEnd w:id="401"/>
      <w:bookmarkEnd w:id="402"/>
      <w:bookmarkEnd w:id="403"/>
      <w:bookmarkEnd w:id="404"/>
      <w:bookmarkEnd w:id="405"/>
    </w:p>
    <w:p w14:paraId="27AD954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C9EECC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《中华人民共和国传染病防治法实施办法》第六十六条第一款第（五）项、第二款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14:paraId="35DBFDD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（五）对被甲类和乙类传染病病人、病原携带者、疑似传染病病人污染的场所、物品未按照卫生防疫机构的要求实施必要的卫生处理的；</w:t>
      </w:r>
    </w:p>
    <w:p w14:paraId="21893CB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前款所称情节较严重的，是指下列情形之一： </w:t>
      </w:r>
    </w:p>
    <w:p w14:paraId="1F20BF7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（一）造成甲类传染病、艾滋病、肺炭疽传播危险的； </w:t>
      </w:r>
    </w:p>
    <w:p w14:paraId="60022494">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45835E64">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294CCDC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477A111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82"/>
        <w:gridCol w:w="6789"/>
        <w:gridCol w:w="4003"/>
      </w:tblGrid>
      <w:tr w14:paraId="6B21A836">
        <w:tblPrEx>
          <w:tblCellMar>
            <w:top w:w="0" w:type="dxa"/>
            <w:left w:w="108" w:type="dxa"/>
            <w:bottom w:w="0" w:type="dxa"/>
            <w:right w:w="108" w:type="dxa"/>
          </w:tblCellMar>
        </w:tblPrEx>
        <w:trPr>
          <w:trHeight w:val="680" w:hRule="atLeast"/>
        </w:trPr>
        <w:tc>
          <w:tcPr>
            <w:tcW w:w="5000" w:type="pct"/>
            <w:gridSpan w:val="3"/>
            <w:tcBorders>
              <w:top w:val="nil"/>
              <w:left w:val="nil"/>
              <w:bottom w:val="single" w:color="auto" w:sz="4" w:space="0"/>
              <w:right w:val="nil"/>
            </w:tcBorders>
            <w:noWrap/>
            <w:vAlign w:val="center"/>
          </w:tcPr>
          <w:p w14:paraId="403EE7B8">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1A3F0CB7">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1F0364A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2395" w:type="pct"/>
            <w:tcBorders>
              <w:top w:val="single" w:color="auto" w:sz="4" w:space="0"/>
              <w:left w:val="single" w:color="auto" w:sz="4" w:space="0"/>
              <w:bottom w:val="single" w:color="auto" w:sz="4" w:space="0"/>
              <w:right w:val="single" w:color="auto" w:sz="4" w:space="0"/>
            </w:tcBorders>
            <w:vAlign w:val="center"/>
          </w:tcPr>
          <w:p w14:paraId="17311E8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1411" w:type="pct"/>
            <w:tcBorders>
              <w:top w:val="single" w:color="auto" w:sz="4" w:space="0"/>
              <w:left w:val="single" w:color="auto" w:sz="4" w:space="0"/>
              <w:bottom w:val="single" w:color="auto" w:sz="4" w:space="0"/>
              <w:right w:val="single" w:color="auto" w:sz="4" w:space="0"/>
            </w:tcBorders>
            <w:vAlign w:val="center"/>
          </w:tcPr>
          <w:p w14:paraId="2690A1B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5F141EE">
        <w:tblPrEx>
          <w:tblCellMar>
            <w:top w:w="0" w:type="dxa"/>
            <w:left w:w="108" w:type="dxa"/>
            <w:bottom w:w="0" w:type="dxa"/>
            <w:right w:w="108" w:type="dxa"/>
          </w:tblCellMar>
        </w:tblPrEx>
        <w:trPr>
          <w:trHeight w:val="1127" w:hRule="atLeast"/>
        </w:trPr>
        <w:tc>
          <w:tcPr>
            <w:tcW w:w="1193" w:type="pct"/>
            <w:tcBorders>
              <w:top w:val="single" w:color="auto" w:sz="4" w:space="0"/>
              <w:left w:val="single" w:color="auto" w:sz="4" w:space="0"/>
              <w:bottom w:val="single" w:color="auto" w:sz="4" w:space="0"/>
              <w:right w:val="single" w:color="auto" w:sz="4" w:space="0"/>
            </w:tcBorders>
            <w:vAlign w:val="center"/>
          </w:tcPr>
          <w:p w14:paraId="2B8B05F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2395" w:type="pct"/>
            <w:tcBorders>
              <w:top w:val="single" w:color="auto" w:sz="4" w:space="0"/>
              <w:left w:val="single" w:color="auto" w:sz="4" w:space="0"/>
              <w:bottom w:val="single" w:color="auto" w:sz="4" w:space="0"/>
              <w:right w:val="single" w:color="auto" w:sz="4" w:space="0"/>
            </w:tcBorders>
            <w:vAlign w:val="center"/>
          </w:tcPr>
          <w:p w14:paraId="17101EC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对被甲类和乙类传染病病人、病原携带者、疑似传染病病人污染的场所、物品未按照卫生防疫机构的要求实施必要的卫生处理，未造成传染病传播的。</w:t>
            </w:r>
          </w:p>
        </w:tc>
        <w:tc>
          <w:tcPr>
            <w:tcW w:w="1411" w:type="pct"/>
            <w:tcBorders>
              <w:top w:val="single" w:color="auto" w:sz="4" w:space="0"/>
              <w:left w:val="single" w:color="auto" w:sz="4" w:space="0"/>
              <w:bottom w:val="single" w:color="auto" w:sz="4" w:space="0"/>
              <w:right w:val="single" w:color="auto" w:sz="4" w:space="0"/>
            </w:tcBorders>
            <w:vAlign w:val="center"/>
          </w:tcPr>
          <w:p w14:paraId="23D5D1E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以处2000元以下罚款。</w:t>
            </w:r>
          </w:p>
        </w:tc>
      </w:tr>
      <w:tr w14:paraId="4BEAEC1B">
        <w:tblPrEx>
          <w:tblCellMar>
            <w:top w:w="0" w:type="dxa"/>
            <w:left w:w="108" w:type="dxa"/>
            <w:bottom w:w="0" w:type="dxa"/>
            <w:right w:w="108" w:type="dxa"/>
          </w:tblCellMar>
        </w:tblPrEx>
        <w:trPr>
          <w:trHeight w:val="1128" w:hRule="atLeast"/>
        </w:trPr>
        <w:tc>
          <w:tcPr>
            <w:tcW w:w="1193" w:type="pct"/>
            <w:tcBorders>
              <w:top w:val="single" w:color="auto" w:sz="4" w:space="0"/>
              <w:left w:val="single" w:color="auto" w:sz="4" w:space="0"/>
              <w:bottom w:val="single" w:color="auto" w:sz="4" w:space="0"/>
              <w:right w:val="single" w:color="auto" w:sz="4" w:space="0"/>
            </w:tcBorders>
            <w:vAlign w:val="center"/>
          </w:tcPr>
          <w:p w14:paraId="348B418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395" w:type="pct"/>
            <w:tcBorders>
              <w:top w:val="single" w:color="auto" w:sz="4" w:space="0"/>
              <w:left w:val="single" w:color="auto" w:sz="4" w:space="0"/>
              <w:bottom w:val="single" w:color="auto" w:sz="4" w:space="0"/>
              <w:right w:val="single" w:color="auto" w:sz="4" w:space="0"/>
            </w:tcBorders>
            <w:vAlign w:val="center"/>
          </w:tcPr>
          <w:p w14:paraId="60A141F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对被甲类和乙类传染病病人、病原携带者、疑似传染病病人污染的场所、物品未按照卫生防疫机构的要求实施必要的卫生处理，造成甲类或乙类传染病传播的。</w:t>
            </w:r>
          </w:p>
        </w:tc>
        <w:tc>
          <w:tcPr>
            <w:tcW w:w="1411" w:type="pct"/>
            <w:tcBorders>
              <w:top w:val="single" w:color="auto" w:sz="4" w:space="0"/>
              <w:left w:val="single" w:color="auto" w:sz="4" w:space="0"/>
              <w:bottom w:val="single" w:color="auto" w:sz="4" w:space="0"/>
              <w:right w:val="single" w:color="auto" w:sz="4" w:space="0"/>
            </w:tcBorders>
            <w:vAlign w:val="center"/>
          </w:tcPr>
          <w:p w14:paraId="02B44DD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可以处2000元以上5000元以下罚款。</w:t>
            </w:r>
          </w:p>
        </w:tc>
      </w:tr>
      <w:tr w14:paraId="042642DB">
        <w:tblPrEx>
          <w:tblCellMar>
            <w:top w:w="0" w:type="dxa"/>
            <w:left w:w="108" w:type="dxa"/>
            <w:bottom w:w="0" w:type="dxa"/>
            <w:right w:w="108" w:type="dxa"/>
          </w:tblCellMar>
        </w:tblPrEx>
        <w:trPr>
          <w:trHeight w:val="567" w:hRule="atLeast"/>
        </w:trPr>
        <w:tc>
          <w:tcPr>
            <w:tcW w:w="1193" w:type="pct"/>
            <w:tcBorders>
              <w:top w:val="single" w:color="auto" w:sz="4" w:space="0"/>
              <w:left w:val="single" w:color="auto" w:sz="4" w:space="0"/>
              <w:bottom w:val="single" w:color="auto" w:sz="4" w:space="0"/>
              <w:right w:val="single" w:color="auto" w:sz="4" w:space="0"/>
            </w:tcBorders>
            <w:vAlign w:val="center"/>
          </w:tcPr>
          <w:p w14:paraId="26B1794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395" w:type="pct"/>
            <w:tcBorders>
              <w:top w:val="single" w:color="auto" w:sz="4" w:space="0"/>
              <w:left w:val="single" w:color="auto" w:sz="4" w:space="0"/>
              <w:bottom w:val="single" w:color="auto" w:sz="4" w:space="0"/>
              <w:right w:val="single" w:color="auto" w:sz="4" w:space="0"/>
            </w:tcBorders>
            <w:vAlign w:val="center"/>
          </w:tcPr>
          <w:p w14:paraId="7CF78DC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本办法第六十六条第二款规定的情形之一的行为的。</w:t>
            </w:r>
          </w:p>
        </w:tc>
        <w:tc>
          <w:tcPr>
            <w:tcW w:w="1411" w:type="pct"/>
            <w:tcBorders>
              <w:top w:val="single" w:color="auto" w:sz="4" w:space="0"/>
              <w:left w:val="single" w:color="auto" w:sz="4" w:space="0"/>
              <w:bottom w:val="single" w:color="auto" w:sz="4" w:space="0"/>
              <w:right w:val="single" w:color="auto" w:sz="4" w:space="0"/>
            </w:tcBorders>
            <w:vAlign w:val="center"/>
          </w:tcPr>
          <w:p w14:paraId="4A29EEC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可以处5000元以上2万元以下罚款。</w:t>
            </w:r>
          </w:p>
        </w:tc>
      </w:tr>
    </w:tbl>
    <w:p w14:paraId="07CE57FD">
      <w:pPr>
        <w:pStyle w:val="4"/>
        <w:widowControl w:val="0"/>
        <w:ind w:firstLine="640"/>
        <w:jc w:val="both"/>
        <w:rPr>
          <w:rFonts w:hint="eastAsia" w:ascii="Times New Roman" w:hAnsi="Times New Roman" w:eastAsia="方正仿宋_GB2312" w:cs="方正仿宋_GB2312"/>
          <w:bCs/>
          <w:color w:val="000000" w:themeColor="text1"/>
          <w14:textFill>
            <w14:solidFill>
              <w14:schemeClr w14:val="tx1"/>
            </w14:solidFill>
          </w14:textFill>
        </w:rPr>
      </w:pPr>
      <w:bookmarkStart w:id="406" w:name="_Toc19508"/>
      <w:bookmarkStart w:id="407" w:name="_Toc21158"/>
      <w:bookmarkStart w:id="408" w:name="_Toc22567"/>
      <w:bookmarkStart w:id="409" w:name="_Toc23237"/>
      <w:bookmarkStart w:id="410" w:name="_Toc17400"/>
      <w:bookmarkStart w:id="411" w:name="_Toc19835"/>
      <w:bookmarkStart w:id="412" w:name="_Toc29432"/>
      <w:bookmarkStart w:id="413" w:name="_Toc2365"/>
      <w:bookmarkStart w:id="414" w:name="_Toc7648"/>
      <w:bookmarkStart w:id="415" w:name="_Toc6822"/>
      <w:bookmarkStart w:id="416" w:name="_Toc20963"/>
      <w:r>
        <w:rPr>
          <w:rFonts w:hint="eastAsia"/>
          <w:color w:val="000000" w:themeColor="text1"/>
          <w14:textFill>
            <w14:solidFill>
              <w14:schemeClr w14:val="tx1"/>
            </w14:solidFill>
          </w14:textFill>
        </w:rPr>
        <w:t>第三十九条</w:t>
      </w:r>
      <w:r>
        <w:rPr>
          <w:rFonts w:hint="eastAsia" w:cs="Times New Roman"/>
          <w:color w:val="000000" w:themeColor="text1"/>
          <w:lang w:eastAsia="zh-CN"/>
          <w14:textFill>
            <w14:solidFill>
              <w14:schemeClr w14:val="tx1"/>
            </w14:solidFill>
          </w14:textFill>
        </w:rPr>
        <w:t xml:space="preserve"> </w:t>
      </w:r>
      <w:r>
        <w:rPr>
          <w:rFonts w:hint="eastAsia"/>
          <w:color w:val="000000" w:themeColor="text1"/>
          <w14:textFill>
            <w14:solidFill>
              <w14:schemeClr w14:val="tx1"/>
            </w14:solidFill>
          </w14:textFill>
        </w:rPr>
        <w:t>造成传染病的医源性感染、医院内感染、实验室感染和致病性微生物扩散的</w:t>
      </w:r>
      <w:bookmarkEnd w:id="406"/>
      <w:bookmarkEnd w:id="407"/>
      <w:bookmarkEnd w:id="408"/>
      <w:bookmarkEnd w:id="409"/>
      <w:bookmarkEnd w:id="410"/>
      <w:bookmarkEnd w:id="411"/>
      <w:bookmarkEnd w:id="412"/>
      <w:bookmarkEnd w:id="413"/>
      <w:bookmarkEnd w:id="414"/>
      <w:bookmarkEnd w:id="415"/>
      <w:bookmarkEnd w:id="416"/>
    </w:p>
    <w:p w14:paraId="1F05AE3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17CCC4B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《中华人民共和国传染病防治法实施办法》第六十六条第一款第（六）项、第二款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14:paraId="6568DBC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（六）造成传染病的医源性感染、医院内感染、实验室感染和致病性微生物扩散的； </w:t>
      </w:r>
    </w:p>
    <w:p w14:paraId="535BCC4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前款所称情节较严重的，是指下列情形之一： </w:t>
      </w:r>
    </w:p>
    <w:p w14:paraId="76EF304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（一）造成甲类传染病、艾滋病、肺炭疽传播危险的； </w:t>
      </w:r>
    </w:p>
    <w:p w14:paraId="1B1C65C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02D144D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65DE476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6376997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82"/>
        <w:gridCol w:w="5976"/>
        <w:gridCol w:w="4816"/>
      </w:tblGrid>
      <w:tr w14:paraId="166A57B1">
        <w:tblPrEx>
          <w:tblCellMar>
            <w:top w:w="0" w:type="dxa"/>
            <w:left w:w="108" w:type="dxa"/>
            <w:bottom w:w="0" w:type="dxa"/>
            <w:right w:w="108" w:type="dxa"/>
          </w:tblCellMar>
        </w:tblPrEx>
        <w:trPr>
          <w:trHeight w:val="283" w:hRule="atLeast"/>
        </w:trPr>
        <w:tc>
          <w:tcPr>
            <w:tcW w:w="5000" w:type="pct"/>
            <w:gridSpan w:val="3"/>
            <w:tcBorders>
              <w:top w:val="nil"/>
              <w:left w:val="nil"/>
              <w:bottom w:val="single" w:color="auto" w:sz="4" w:space="0"/>
              <w:right w:val="nil"/>
            </w:tcBorders>
            <w:noWrap/>
            <w:vAlign w:val="center"/>
          </w:tcPr>
          <w:p w14:paraId="75FB0156">
            <w:pPr>
              <w:widowControl w:val="0"/>
              <w:spacing w:after="100" w:afterAutospacing="1"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E08F89C">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01A7DFE4">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108" w:type="pct"/>
            <w:tcBorders>
              <w:top w:val="single" w:color="auto" w:sz="4" w:space="0"/>
              <w:left w:val="single" w:color="auto" w:sz="4" w:space="0"/>
              <w:bottom w:val="single" w:color="auto" w:sz="4" w:space="0"/>
              <w:right w:val="single" w:color="auto" w:sz="4" w:space="0"/>
            </w:tcBorders>
            <w:vAlign w:val="center"/>
          </w:tcPr>
          <w:p w14:paraId="447CF05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699" w:type="pct"/>
            <w:tcBorders>
              <w:top w:val="single" w:color="auto" w:sz="4" w:space="0"/>
              <w:left w:val="single" w:color="auto" w:sz="4" w:space="0"/>
              <w:bottom w:val="single" w:color="auto" w:sz="4" w:space="0"/>
              <w:right w:val="single" w:color="auto" w:sz="4" w:space="0"/>
            </w:tcBorders>
            <w:vAlign w:val="center"/>
          </w:tcPr>
          <w:p w14:paraId="3CE7A8D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AA245D4">
        <w:tblPrEx>
          <w:tblCellMar>
            <w:top w:w="0" w:type="dxa"/>
            <w:left w:w="108" w:type="dxa"/>
            <w:bottom w:w="0" w:type="dxa"/>
            <w:right w:w="108" w:type="dxa"/>
          </w:tblCellMar>
        </w:tblPrEx>
        <w:trPr>
          <w:trHeight w:val="90" w:hRule="atLeast"/>
        </w:trPr>
        <w:tc>
          <w:tcPr>
            <w:tcW w:w="1193" w:type="pct"/>
            <w:vMerge w:val="restart"/>
            <w:tcBorders>
              <w:top w:val="single" w:color="auto" w:sz="4" w:space="0"/>
              <w:left w:val="single" w:color="auto" w:sz="4" w:space="0"/>
              <w:bottom w:val="single" w:color="auto" w:sz="4" w:space="0"/>
              <w:right w:val="single" w:color="auto" w:sz="4" w:space="0"/>
            </w:tcBorders>
            <w:vAlign w:val="center"/>
          </w:tcPr>
          <w:p w14:paraId="07C4FB0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2108" w:type="pct"/>
            <w:tcBorders>
              <w:top w:val="single" w:color="auto" w:sz="4" w:space="0"/>
              <w:left w:val="single" w:color="auto" w:sz="4" w:space="0"/>
              <w:bottom w:val="single" w:color="auto" w:sz="4" w:space="0"/>
              <w:right w:val="single" w:color="auto" w:sz="4" w:space="0"/>
            </w:tcBorders>
            <w:vAlign w:val="center"/>
          </w:tcPr>
          <w:p w14:paraId="0D5C9B2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造成丙类传染病的医源性感染、医院内感染、实验室感染，累计人数3人以下的。</w:t>
            </w:r>
          </w:p>
        </w:tc>
        <w:tc>
          <w:tcPr>
            <w:tcW w:w="1699" w:type="pct"/>
            <w:tcBorders>
              <w:top w:val="single" w:color="auto" w:sz="4" w:space="0"/>
              <w:left w:val="single" w:color="auto" w:sz="4" w:space="0"/>
              <w:bottom w:val="single" w:color="auto" w:sz="4" w:space="0"/>
              <w:right w:val="single" w:color="auto" w:sz="4" w:space="0"/>
            </w:tcBorders>
            <w:vAlign w:val="center"/>
          </w:tcPr>
          <w:p w14:paraId="7EB3B6D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处一千元以下罚款。</w:t>
            </w:r>
          </w:p>
        </w:tc>
      </w:tr>
      <w:tr w14:paraId="79DE003F">
        <w:tblPrEx>
          <w:tblCellMar>
            <w:top w:w="0" w:type="dxa"/>
            <w:left w:w="108" w:type="dxa"/>
            <w:bottom w:w="0" w:type="dxa"/>
            <w:right w:w="108" w:type="dxa"/>
          </w:tblCellMar>
        </w:tblPrEx>
        <w:trPr>
          <w:trHeight w:val="90"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32D4E5C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108" w:type="pct"/>
            <w:tcBorders>
              <w:top w:val="single" w:color="auto" w:sz="4" w:space="0"/>
              <w:left w:val="single" w:color="auto" w:sz="4" w:space="0"/>
              <w:bottom w:val="single" w:color="auto" w:sz="4" w:space="0"/>
              <w:right w:val="single" w:color="auto" w:sz="4" w:space="0"/>
            </w:tcBorders>
            <w:vAlign w:val="center"/>
          </w:tcPr>
          <w:p w14:paraId="2558C06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造成丙类传染病的医源性感染、医院内感染、实验室感染，累计人数3人以上的。</w:t>
            </w:r>
          </w:p>
        </w:tc>
        <w:tc>
          <w:tcPr>
            <w:tcW w:w="1699" w:type="pct"/>
            <w:tcBorders>
              <w:top w:val="single" w:color="auto" w:sz="4" w:space="0"/>
              <w:left w:val="single" w:color="auto" w:sz="4" w:space="0"/>
              <w:bottom w:val="single" w:color="auto" w:sz="4" w:space="0"/>
              <w:right w:val="single" w:color="auto" w:sz="4" w:space="0"/>
            </w:tcBorders>
            <w:vAlign w:val="center"/>
          </w:tcPr>
          <w:p w14:paraId="199E11D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处二千元以下罚款。</w:t>
            </w:r>
          </w:p>
        </w:tc>
      </w:tr>
      <w:tr w14:paraId="5C61D033">
        <w:tblPrEx>
          <w:tblCellMar>
            <w:top w:w="0" w:type="dxa"/>
            <w:left w:w="108" w:type="dxa"/>
            <w:bottom w:w="0" w:type="dxa"/>
            <w:right w:w="108" w:type="dxa"/>
          </w:tblCellMar>
        </w:tblPrEx>
        <w:trPr>
          <w:trHeight w:val="737" w:hRule="atLeast"/>
        </w:trPr>
        <w:tc>
          <w:tcPr>
            <w:tcW w:w="1193" w:type="pct"/>
            <w:vMerge w:val="restart"/>
            <w:tcBorders>
              <w:top w:val="single" w:color="auto" w:sz="4" w:space="0"/>
              <w:left w:val="single" w:color="auto" w:sz="4" w:space="0"/>
              <w:bottom w:val="single" w:color="auto" w:sz="4" w:space="0"/>
              <w:right w:val="single" w:color="auto" w:sz="4" w:space="0"/>
            </w:tcBorders>
            <w:vAlign w:val="center"/>
          </w:tcPr>
          <w:p w14:paraId="77D79A2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108" w:type="pct"/>
            <w:tcBorders>
              <w:top w:val="single" w:color="auto" w:sz="4" w:space="0"/>
              <w:left w:val="single" w:color="auto" w:sz="4" w:space="0"/>
              <w:bottom w:val="single" w:color="auto" w:sz="4" w:space="0"/>
              <w:right w:val="single" w:color="auto" w:sz="4" w:space="0"/>
            </w:tcBorders>
            <w:vAlign w:val="center"/>
          </w:tcPr>
          <w:p w14:paraId="3F0A5B1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造成除艾滋病、肺炭疽之外的乙类传染病的医源性感染、医院内感染、实验室感染，累计人数3人以下的。</w:t>
            </w:r>
          </w:p>
        </w:tc>
        <w:tc>
          <w:tcPr>
            <w:tcW w:w="1699" w:type="pct"/>
            <w:tcBorders>
              <w:top w:val="single" w:color="auto" w:sz="4" w:space="0"/>
              <w:left w:val="single" w:color="auto" w:sz="4" w:space="0"/>
              <w:bottom w:val="single" w:color="auto" w:sz="4" w:space="0"/>
              <w:right w:val="single" w:color="auto" w:sz="4" w:space="0"/>
            </w:tcBorders>
            <w:vAlign w:val="center"/>
          </w:tcPr>
          <w:p w14:paraId="3603A57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处二千元以上三千元以下罚款。</w:t>
            </w:r>
          </w:p>
        </w:tc>
      </w:tr>
      <w:tr w14:paraId="5C7AAE75">
        <w:tblPrEx>
          <w:tblCellMar>
            <w:top w:w="0" w:type="dxa"/>
            <w:left w:w="108" w:type="dxa"/>
            <w:bottom w:w="0" w:type="dxa"/>
            <w:right w:w="108" w:type="dxa"/>
          </w:tblCellMar>
        </w:tblPrEx>
        <w:trPr>
          <w:trHeight w:val="737"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7230C25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108" w:type="pct"/>
            <w:tcBorders>
              <w:top w:val="single" w:color="auto" w:sz="4" w:space="0"/>
              <w:left w:val="single" w:color="auto" w:sz="4" w:space="0"/>
              <w:bottom w:val="single" w:color="auto" w:sz="4" w:space="0"/>
              <w:right w:val="single" w:color="auto" w:sz="4" w:space="0"/>
            </w:tcBorders>
            <w:vAlign w:val="center"/>
          </w:tcPr>
          <w:p w14:paraId="303B35C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造成除艾滋病、肺炭疽之外的乙类传染病的医源性感染、医院内感染、实验室感染，累计人数3人以上的。</w:t>
            </w:r>
          </w:p>
        </w:tc>
        <w:tc>
          <w:tcPr>
            <w:tcW w:w="1699" w:type="pct"/>
            <w:tcBorders>
              <w:top w:val="single" w:color="auto" w:sz="4" w:space="0"/>
              <w:left w:val="single" w:color="auto" w:sz="4" w:space="0"/>
              <w:bottom w:val="single" w:color="auto" w:sz="4" w:space="0"/>
              <w:right w:val="single" w:color="auto" w:sz="4" w:space="0"/>
            </w:tcBorders>
            <w:vAlign w:val="center"/>
          </w:tcPr>
          <w:p w14:paraId="60D102C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处三千元以上五千元以下罚款。</w:t>
            </w:r>
          </w:p>
        </w:tc>
      </w:tr>
      <w:tr w14:paraId="4DF32C2D">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49B9A2A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108" w:type="pct"/>
            <w:tcBorders>
              <w:top w:val="single" w:color="auto" w:sz="4" w:space="0"/>
              <w:left w:val="single" w:color="auto" w:sz="4" w:space="0"/>
              <w:bottom w:val="single" w:color="auto" w:sz="4" w:space="0"/>
              <w:right w:val="single" w:color="auto" w:sz="4" w:space="0"/>
            </w:tcBorders>
            <w:vAlign w:val="center"/>
          </w:tcPr>
          <w:p w14:paraId="7EB9E83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本办法第六十六条第二款规定的情形之一的行为的。</w:t>
            </w:r>
          </w:p>
        </w:tc>
        <w:tc>
          <w:tcPr>
            <w:tcW w:w="1699" w:type="pct"/>
            <w:tcBorders>
              <w:top w:val="single" w:color="auto" w:sz="4" w:space="0"/>
              <w:left w:val="single" w:color="auto" w:sz="4" w:space="0"/>
              <w:bottom w:val="single" w:color="auto" w:sz="4" w:space="0"/>
              <w:right w:val="single" w:color="auto" w:sz="4" w:space="0"/>
            </w:tcBorders>
            <w:vAlign w:val="center"/>
          </w:tcPr>
          <w:p w14:paraId="22A2FC6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处五千元以上二万元以下罚款。</w:t>
            </w:r>
          </w:p>
        </w:tc>
      </w:tr>
    </w:tbl>
    <w:p w14:paraId="78DEE6F1">
      <w:pPr>
        <w:pStyle w:val="4"/>
        <w:widowControl w:val="0"/>
        <w:ind w:firstLine="640"/>
        <w:jc w:val="both"/>
        <w:rPr>
          <w:rFonts w:hint="eastAsia" w:ascii="Times New Roman" w:hAnsi="Times New Roman" w:eastAsia="仿宋_GB2312" w:cs="Times New Roman"/>
          <w:bCs w:val="0"/>
          <w:color w:val="000000" w:themeColor="text1"/>
          <w14:textFill>
            <w14:solidFill>
              <w14:schemeClr w14:val="tx1"/>
            </w14:solidFill>
          </w14:textFill>
        </w:rPr>
      </w:pPr>
      <w:bookmarkStart w:id="417" w:name="_Toc9577"/>
      <w:bookmarkStart w:id="418" w:name="_Toc21286"/>
      <w:bookmarkStart w:id="419" w:name="_Toc28298"/>
      <w:bookmarkStart w:id="420" w:name="_Toc8659"/>
      <w:bookmarkStart w:id="421" w:name="_Toc32279"/>
      <w:bookmarkStart w:id="422" w:name="_Toc12829"/>
      <w:bookmarkStart w:id="423" w:name="_Toc11229"/>
      <w:bookmarkStart w:id="424" w:name="_Toc20712"/>
      <w:bookmarkStart w:id="425" w:name="_Toc25246"/>
      <w:bookmarkStart w:id="426" w:name="_Toc21629"/>
      <w:bookmarkStart w:id="427" w:name="_Toc27622"/>
      <w:r>
        <w:rPr>
          <w:rFonts w:hint="eastAsia"/>
          <w:color w:val="000000" w:themeColor="text1"/>
          <w14:textFill>
            <w14:solidFill>
              <w14:schemeClr w14:val="tx1"/>
            </w14:solidFill>
          </w14:textFill>
        </w:rPr>
        <w:t>第四十条 使用消毒药剂和消毒器械不符合国家卫生标准，可能造成传染病的传播、扩散或者造成传染病的传播、扩散；或者生产、经营、使用卫生用品、卫生材料、一次性医疗器材、隐形眼镜、人造器官等不符合国家卫生标准，可能造成传染病的传播、扩散或者造成传染病的传播、扩散的</w:t>
      </w:r>
      <w:bookmarkEnd w:id="417"/>
      <w:bookmarkEnd w:id="418"/>
      <w:bookmarkEnd w:id="419"/>
      <w:bookmarkEnd w:id="420"/>
      <w:bookmarkEnd w:id="421"/>
      <w:bookmarkEnd w:id="422"/>
      <w:bookmarkEnd w:id="423"/>
      <w:bookmarkEnd w:id="424"/>
      <w:bookmarkEnd w:id="425"/>
      <w:bookmarkEnd w:id="426"/>
      <w:bookmarkEnd w:id="427"/>
    </w:p>
    <w:p w14:paraId="734DF19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18BEAE5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《中华人民共和国传染病防治法实施办法》第六十六条第一款第（七）项、第二款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14:paraId="50D97C7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（七）生产、经营、使用消毒药剂和消毒器械、卫生用品、卫生材料、一次性医疗器材、隐形眼镜、人造器官等不符合国家卫生标准，可能造成传染病的传播、扩散或者造成传染病的传播、扩散的；</w:t>
      </w:r>
    </w:p>
    <w:p w14:paraId="3DC9E8E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前款所称情节较严重的，是指下列情形之一： </w:t>
      </w:r>
    </w:p>
    <w:p w14:paraId="1EFCEBA4">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（一）造成甲类传染病、艾滋病、肺炭疽传播危险的； </w:t>
      </w:r>
    </w:p>
    <w:p w14:paraId="599F1A1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7743EDA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2FAC664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7AF6F0A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82"/>
        <w:gridCol w:w="6951"/>
        <w:gridCol w:w="3841"/>
      </w:tblGrid>
      <w:tr w14:paraId="658A4D36">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510ACF7A">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43134F1F">
        <w:tblPrEx>
          <w:tblCellMar>
            <w:top w:w="0" w:type="dxa"/>
            <w:left w:w="108" w:type="dxa"/>
            <w:bottom w:w="0" w:type="dxa"/>
            <w:right w:w="108" w:type="dxa"/>
          </w:tblCellMar>
        </w:tblPrEx>
        <w:trPr>
          <w:trHeight w:val="567" w:hRule="atLeast"/>
        </w:trPr>
        <w:tc>
          <w:tcPr>
            <w:tcW w:w="1193" w:type="pct"/>
            <w:tcBorders>
              <w:top w:val="single" w:color="auto" w:sz="4" w:space="0"/>
              <w:left w:val="single" w:color="auto" w:sz="4" w:space="0"/>
              <w:bottom w:val="single" w:color="auto" w:sz="4" w:space="0"/>
              <w:right w:val="single" w:color="auto" w:sz="4" w:space="0"/>
            </w:tcBorders>
            <w:vAlign w:val="center"/>
          </w:tcPr>
          <w:p w14:paraId="003E72D2">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452" w:type="pct"/>
            <w:tcBorders>
              <w:top w:val="single" w:color="auto" w:sz="4" w:space="0"/>
              <w:left w:val="single" w:color="auto" w:sz="4" w:space="0"/>
              <w:bottom w:val="single" w:color="auto" w:sz="4" w:space="0"/>
              <w:right w:val="single" w:color="auto" w:sz="4" w:space="0"/>
            </w:tcBorders>
            <w:vAlign w:val="center"/>
          </w:tcPr>
          <w:p w14:paraId="2563DD3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354" w:type="pct"/>
            <w:tcBorders>
              <w:top w:val="single" w:color="auto" w:sz="4" w:space="0"/>
              <w:left w:val="single" w:color="auto" w:sz="4" w:space="0"/>
              <w:bottom w:val="single" w:color="auto" w:sz="4" w:space="0"/>
              <w:right w:val="single" w:color="auto" w:sz="4" w:space="0"/>
            </w:tcBorders>
            <w:vAlign w:val="center"/>
          </w:tcPr>
          <w:p w14:paraId="72046DE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32127C0">
        <w:tblPrEx>
          <w:tblCellMar>
            <w:top w:w="0" w:type="dxa"/>
            <w:left w:w="108" w:type="dxa"/>
            <w:bottom w:w="0" w:type="dxa"/>
            <w:right w:w="108" w:type="dxa"/>
          </w:tblCellMar>
        </w:tblPrEx>
        <w:trPr>
          <w:trHeight w:val="885" w:hRule="atLeast"/>
        </w:trPr>
        <w:tc>
          <w:tcPr>
            <w:tcW w:w="1193" w:type="pct"/>
            <w:vMerge w:val="restart"/>
            <w:tcBorders>
              <w:top w:val="single" w:color="auto" w:sz="4" w:space="0"/>
              <w:left w:val="single" w:color="auto" w:sz="4" w:space="0"/>
              <w:bottom w:val="single" w:color="auto" w:sz="4" w:space="0"/>
              <w:right w:val="single" w:color="auto" w:sz="4" w:space="0"/>
            </w:tcBorders>
            <w:vAlign w:val="center"/>
          </w:tcPr>
          <w:p w14:paraId="0800A4B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2452" w:type="pct"/>
            <w:tcBorders>
              <w:top w:val="single" w:color="auto" w:sz="4" w:space="0"/>
              <w:left w:val="single" w:color="auto" w:sz="4" w:space="0"/>
              <w:bottom w:val="single" w:color="auto" w:sz="4" w:space="0"/>
              <w:right w:val="single" w:color="auto" w:sz="4" w:space="0"/>
            </w:tcBorders>
            <w:vAlign w:val="center"/>
          </w:tcPr>
          <w:p w14:paraId="4D3A819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使用消毒药剂和消毒器械1项指标不符合国家卫生标准，可能造成传染病的传播、扩散或者造成传染病的传播、扩散的。</w:t>
            </w:r>
          </w:p>
        </w:tc>
        <w:tc>
          <w:tcPr>
            <w:tcW w:w="1354" w:type="pct"/>
            <w:vMerge w:val="restart"/>
            <w:tcBorders>
              <w:top w:val="single" w:color="auto" w:sz="4" w:space="0"/>
              <w:left w:val="single" w:color="auto" w:sz="4" w:space="0"/>
              <w:bottom w:val="single" w:color="auto" w:sz="4" w:space="0"/>
              <w:right w:val="single" w:color="auto" w:sz="4" w:space="0"/>
            </w:tcBorders>
            <w:vAlign w:val="center"/>
          </w:tcPr>
          <w:p w14:paraId="005A9DA6">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处二千元以下罚款。</w:t>
            </w:r>
          </w:p>
        </w:tc>
      </w:tr>
      <w:tr w14:paraId="34480165">
        <w:tblPrEx>
          <w:tblCellMar>
            <w:top w:w="0" w:type="dxa"/>
            <w:left w:w="108" w:type="dxa"/>
            <w:bottom w:w="0" w:type="dxa"/>
            <w:right w:w="108" w:type="dxa"/>
          </w:tblCellMar>
        </w:tblPrEx>
        <w:trPr>
          <w:trHeight w:val="833"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52387F7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452" w:type="pct"/>
            <w:tcBorders>
              <w:top w:val="single" w:color="auto" w:sz="4" w:space="0"/>
              <w:left w:val="single" w:color="auto" w:sz="4" w:space="0"/>
              <w:bottom w:val="single" w:color="auto" w:sz="4" w:space="0"/>
              <w:right w:val="single" w:color="auto" w:sz="4" w:space="0"/>
            </w:tcBorders>
            <w:shd w:val="clear" w:color="auto" w:fill="auto"/>
            <w:vAlign w:val="center"/>
          </w:tcPr>
          <w:p w14:paraId="5E8D3FE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生产、经营、使用卫生用品、卫生材料、一次性医疗器材、隐形眼镜、人造器官等有1项指标不符合国家卫生标准，可能造成传染病的传播、扩散或者造成传染病的传播、扩散的。</w:t>
            </w:r>
          </w:p>
        </w:tc>
        <w:tc>
          <w:tcPr>
            <w:tcW w:w="1354" w:type="pct"/>
            <w:vMerge w:val="continue"/>
            <w:tcBorders>
              <w:top w:val="single" w:color="auto" w:sz="4" w:space="0"/>
              <w:left w:val="single" w:color="auto" w:sz="4" w:space="0"/>
              <w:bottom w:val="single" w:color="auto" w:sz="4" w:space="0"/>
              <w:right w:val="single" w:color="auto" w:sz="4" w:space="0"/>
            </w:tcBorders>
            <w:vAlign w:val="center"/>
          </w:tcPr>
          <w:p w14:paraId="2CBA35E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0E3FABF6">
        <w:tblPrEx>
          <w:tblCellMar>
            <w:top w:w="0" w:type="dxa"/>
            <w:left w:w="108" w:type="dxa"/>
            <w:bottom w:w="0" w:type="dxa"/>
            <w:right w:w="108" w:type="dxa"/>
          </w:tblCellMar>
        </w:tblPrEx>
        <w:trPr>
          <w:trHeight w:val="475" w:hRule="atLeast"/>
        </w:trPr>
        <w:tc>
          <w:tcPr>
            <w:tcW w:w="1193" w:type="pct"/>
            <w:vMerge w:val="restart"/>
            <w:tcBorders>
              <w:top w:val="single" w:color="auto" w:sz="4" w:space="0"/>
              <w:left w:val="single" w:color="auto" w:sz="4" w:space="0"/>
              <w:bottom w:val="single" w:color="auto" w:sz="4" w:space="0"/>
              <w:right w:val="single" w:color="auto" w:sz="4" w:space="0"/>
            </w:tcBorders>
            <w:vAlign w:val="center"/>
          </w:tcPr>
          <w:p w14:paraId="7B8B63C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452" w:type="pct"/>
            <w:tcBorders>
              <w:top w:val="single" w:color="auto" w:sz="4" w:space="0"/>
              <w:left w:val="single" w:color="auto" w:sz="4" w:space="0"/>
              <w:bottom w:val="single" w:color="auto" w:sz="4" w:space="0"/>
              <w:right w:val="single" w:color="auto" w:sz="4" w:space="0"/>
            </w:tcBorders>
            <w:vAlign w:val="center"/>
          </w:tcPr>
          <w:p w14:paraId="605D696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使用消毒药剂和消毒器械2项以上指标不符合国家卫生标准，可能造成传染病的传播、扩散或者造成传染病的传播、扩散的。</w:t>
            </w:r>
          </w:p>
        </w:tc>
        <w:tc>
          <w:tcPr>
            <w:tcW w:w="1354" w:type="pct"/>
            <w:vMerge w:val="restart"/>
            <w:tcBorders>
              <w:top w:val="single" w:color="auto" w:sz="4" w:space="0"/>
              <w:left w:val="single" w:color="auto" w:sz="4" w:space="0"/>
              <w:bottom w:val="single" w:color="auto" w:sz="4" w:space="0"/>
              <w:right w:val="single" w:color="auto" w:sz="4" w:space="0"/>
            </w:tcBorders>
            <w:vAlign w:val="center"/>
          </w:tcPr>
          <w:p w14:paraId="12043057">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处二千元以上五千元以下罚款。</w:t>
            </w:r>
          </w:p>
        </w:tc>
      </w:tr>
      <w:tr w14:paraId="7ECD4B0E">
        <w:tblPrEx>
          <w:tblCellMar>
            <w:top w:w="0" w:type="dxa"/>
            <w:left w:w="108" w:type="dxa"/>
            <w:bottom w:w="0" w:type="dxa"/>
            <w:right w:w="108" w:type="dxa"/>
          </w:tblCellMar>
        </w:tblPrEx>
        <w:trPr>
          <w:trHeight w:val="720"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3FD3C9C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452" w:type="pct"/>
            <w:tcBorders>
              <w:top w:val="single" w:color="auto" w:sz="4" w:space="0"/>
              <w:left w:val="single" w:color="auto" w:sz="4" w:space="0"/>
              <w:bottom w:val="single" w:color="auto" w:sz="4" w:space="0"/>
              <w:right w:val="single" w:color="auto" w:sz="4" w:space="0"/>
            </w:tcBorders>
            <w:vAlign w:val="center"/>
          </w:tcPr>
          <w:p w14:paraId="27F3027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生产、经营、使用卫生用品、卫生材料、一次性医疗器材、隐形眼镜、人造器官等有2项以上指标不符合国家卫生标准，可能造成传染病的传播、扩散或者造成传染病的传播、扩散的。</w:t>
            </w:r>
          </w:p>
        </w:tc>
        <w:tc>
          <w:tcPr>
            <w:tcW w:w="1354" w:type="pct"/>
            <w:vMerge w:val="continue"/>
            <w:tcBorders>
              <w:top w:val="single" w:color="auto" w:sz="4" w:space="0"/>
              <w:left w:val="single" w:color="auto" w:sz="4" w:space="0"/>
              <w:bottom w:val="single" w:color="auto" w:sz="4" w:space="0"/>
              <w:right w:val="single" w:color="auto" w:sz="4" w:space="0"/>
            </w:tcBorders>
            <w:vAlign w:val="center"/>
          </w:tcPr>
          <w:p w14:paraId="777119BE">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4B82B3B3">
        <w:tblPrEx>
          <w:tblCellMar>
            <w:top w:w="0" w:type="dxa"/>
            <w:left w:w="108" w:type="dxa"/>
            <w:bottom w:w="0" w:type="dxa"/>
            <w:right w:w="108" w:type="dxa"/>
          </w:tblCellMar>
        </w:tblPrEx>
        <w:trPr>
          <w:trHeight w:val="737" w:hRule="atLeast"/>
        </w:trPr>
        <w:tc>
          <w:tcPr>
            <w:tcW w:w="1193" w:type="pct"/>
            <w:tcBorders>
              <w:top w:val="single" w:color="auto" w:sz="4" w:space="0"/>
              <w:left w:val="single" w:color="auto" w:sz="4" w:space="0"/>
              <w:bottom w:val="single" w:color="auto" w:sz="4" w:space="0"/>
              <w:right w:val="single" w:color="auto" w:sz="4" w:space="0"/>
            </w:tcBorders>
            <w:vAlign w:val="center"/>
          </w:tcPr>
          <w:p w14:paraId="24F7B2DF">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452" w:type="pct"/>
            <w:tcBorders>
              <w:top w:val="single" w:color="auto" w:sz="4" w:space="0"/>
              <w:left w:val="single" w:color="auto" w:sz="4" w:space="0"/>
              <w:bottom w:val="single" w:color="auto" w:sz="4" w:space="0"/>
              <w:right w:val="single" w:color="auto" w:sz="4" w:space="0"/>
            </w:tcBorders>
            <w:vAlign w:val="center"/>
          </w:tcPr>
          <w:p w14:paraId="3E4BFD1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办法第六十六条第二款规定的情形之一的行为的。</w:t>
            </w:r>
          </w:p>
        </w:tc>
        <w:tc>
          <w:tcPr>
            <w:tcW w:w="1354" w:type="pct"/>
            <w:tcBorders>
              <w:top w:val="single" w:color="auto" w:sz="4" w:space="0"/>
              <w:left w:val="single" w:color="auto" w:sz="4" w:space="0"/>
              <w:bottom w:val="single" w:color="auto" w:sz="4" w:space="0"/>
              <w:right w:val="single" w:color="auto" w:sz="4" w:space="0"/>
            </w:tcBorders>
            <w:vAlign w:val="center"/>
          </w:tcPr>
          <w:p w14:paraId="09F91643">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处五千元以上二万元以下罚款。</w:t>
            </w:r>
          </w:p>
        </w:tc>
      </w:tr>
    </w:tbl>
    <w:p w14:paraId="3D2C7A08">
      <w:pPr>
        <w:pStyle w:val="4"/>
        <w:widowControl w:val="0"/>
        <w:ind w:firstLine="640"/>
        <w:jc w:val="both"/>
        <w:rPr>
          <w:rFonts w:hint="eastAsia" w:ascii="Times New Roman" w:hAnsi="Times New Roman" w:eastAsia="仿宋_GB2312" w:cs="Times New Roman"/>
          <w:bCs w:val="0"/>
          <w:color w:val="000000" w:themeColor="text1"/>
          <w14:textFill>
            <w14:solidFill>
              <w14:schemeClr w14:val="tx1"/>
            </w14:solidFill>
          </w14:textFill>
        </w:rPr>
      </w:pPr>
      <w:bookmarkStart w:id="428" w:name="_Toc18997"/>
      <w:bookmarkStart w:id="429" w:name="_Toc24579"/>
      <w:bookmarkStart w:id="430" w:name="_Toc20658"/>
      <w:bookmarkStart w:id="431" w:name="_Toc31553"/>
      <w:bookmarkStart w:id="432" w:name="_Toc6560"/>
      <w:bookmarkStart w:id="433" w:name="_Toc15968"/>
      <w:bookmarkStart w:id="434" w:name="_Toc4731"/>
      <w:bookmarkStart w:id="435" w:name="_Toc28531"/>
      <w:bookmarkStart w:id="436" w:name="_Toc2829"/>
      <w:bookmarkStart w:id="437" w:name="_Toc31990"/>
      <w:bookmarkStart w:id="438" w:name="_Toc19495"/>
      <w:r>
        <w:rPr>
          <w:rFonts w:hint="eastAsia"/>
          <w:color w:val="000000" w:themeColor="text1"/>
          <w14:textFill>
            <w14:solidFill>
              <w14:schemeClr w14:val="tx1"/>
            </w14:solidFill>
          </w14:textFill>
        </w:rPr>
        <w:t>第四十一条 乙类传染病中艾滋病、肺炭疽病人拒绝进行隔离治疗的</w:t>
      </w:r>
      <w:bookmarkEnd w:id="428"/>
      <w:bookmarkEnd w:id="429"/>
      <w:bookmarkEnd w:id="430"/>
      <w:bookmarkEnd w:id="431"/>
      <w:bookmarkEnd w:id="432"/>
      <w:bookmarkEnd w:id="433"/>
      <w:bookmarkEnd w:id="434"/>
      <w:bookmarkEnd w:id="435"/>
      <w:bookmarkEnd w:id="436"/>
      <w:bookmarkEnd w:id="437"/>
      <w:bookmarkEnd w:id="438"/>
    </w:p>
    <w:p w14:paraId="20BD707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0DE59CB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《中华人民共和国传染病防治法实施办法》第六十六条第一款第（十）项、第二款</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有下列行为之一的，由县级以上政府卫生行政部门责令限期改正，可以处五千元以下的罚款；情节较严重的，可以处五千元以上二万元以下的罚款，对主管人员和直接责任人</w:t>
      </w:r>
    </w:p>
    <w:p w14:paraId="7DDEA5CC">
      <w:pPr>
        <w:widowControl w:val="0"/>
        <w:spacing w:after="0" w:line="440" w:lineRule="exact"/>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员由其所在单位或者上级机关给予行政处分：</w:t>
      </w:r>
    </w:p>
    <w:p w14:paraId="02B0D81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（十）甲类传染病病人、病原携带者或者疑似传染病病人，乙类传染病中艾滋病、肺炭疽病人拒绝进行隔离治疗的； </w:t>
      </w:r>
    </w:p>
    <w:p w14:paraId="7E338908">
      <w:pPr>
        <w:widowControl w:val="0"/>
        <w:spacing w:after="0" w:line="440" w:lineRule="exact"/>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　　 前款所称情节较严重的，是指下列情形之一： </w:t>
      </w:r>
    </w:p>
    <w:p w14:paraId="27BB0E7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（一）造成甲类传染病、艾滋病、肺炭疽传播危险的； </w:t>
      </w:r>
    </w:p>
    <w:p w14:paraId="1FA387E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39A4186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3BD8F1FD">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05564B7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82"/>
        <w:gridCol w:w="5723"/>
        <w:gridCol w:w="5069"/>
      </w:tblGrid>
      <w:tr w14:paraId="7783651B">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0CB088B8">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50A23FA6">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6C87569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2019" w:type="pct"/>
            <w:tcBorders>
              <w:top w:val="single" w:color="auto" w:sz="4" w:space="0"/>
              <w:left w:val="single" w:color="auto" w:sz="4" w:space="0"/>
              <w:bottom w:val="single" w:color="auto" w:sz="4" w:space="0"/>
              <w:right w:val="single" w:color="auto" w:sz="4" w:space="0"/>
            </w:tcBorders>
            <w:vAlign w:val="center"/>
          </w:tcPr>
          <w:p w14:paraId="61C654D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1787" w:type="pct"/>
            <w:tcBorders>
              <w:top w:val="single" w:color="auto" w:sz="4" w:space="0"/>
              <w:left w:val="single" w:color="auto" w:sz="4" w:space="0"/>
              <w:bottom w:val="single" w:color="auto" w:sz="4" w:space="0"/>
              <w:right w:val="single" w:color="auto" w:sz="4" w:space="0"/>
            </w:tcBorders>
            <w:vAlign w:val="center"/>
          </w:tcPr>
          <w:p w14:paraId="7BD0636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283C145">
        <w:tblPrEx>
          <w:tblCellMar>
            <w:top w:w="0" w:type="dxa"/>
            <w:left w:w="108" w:type="dxa"/>
            <w:bottom w:w="0" w:type="dxa"/>
            <w:right w:w="108" w:type="dxa"/>
          </w:tblCellMar>
        </w:tblPrEx>
        <w:trPr>
          <w:trHeight w:val="582" w:hRule="atLeast"/>
        </w:trPr>
        <w:tc>
          <w:tcPr>
            <w:tcW w:w="1193" w:type="pct"/>
            <w:tcBorders>
              <w:top w:val="single" w:color="auto" w:sz="4" w:space="0"/>
              <w:left w:val="single" w:color="auto" w:sz="4" w:space="0"/>
              <w:bottom w:val="single" w:color="auto" w:sz="4" w:space="0"/>
              <w:right w:val="single" w:color="auto" w:sz="4" w:space="0"/>
            </w:tcBorders>
            <w:vAlign w:val="center"/>
          </w:tcPr>
          <w:p w14:paraId="0D54F2C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019" w:type="pct"/>
            <w:tcBorders>
              <w:top w:val="single" w:color="auto" w:sz="4" w:space="0"/>
              <w:left w:val="single" w:color="auto" w:sz="4" w:space="0"/>
              <w:bottom w:val="single" w:color="auto" w:sz="4" w:space="0"/>
              <w:right w:val="single" w:color="auto" w:sz="4" w:space="0"/>
            </w:tcBorders>
            <w:vAlign w:val="center"/>
          </w:tcPr>
          <w:p w14:paraId="74A8EB88">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乙类传染病中艾滋病、肺炭疽病人拒绝进行隔离治疗的。</w:t>
            </w:r>
          </w:p>
        </w:tc>
        <w:tc>
          <w:tcPr>
            <w:tcW w:w="1787" w:type="pct"/>
            <w:tcBorders>
              <w:top w:val="single" w:color="auto" w:sz="4" w:space="0"/>
              <w:left w:val="single" w:color="auto" w:sz="4" w:space="0"/>
              <w:bottom w:val="single" w:color="auto" w:sz="4" w:space="0"/>
              <w:right w:val="single" w:color="auto" w:sz="4" w:space="0"/>
            </w:tcBorders>
            <w:vAlign w:val="center"/>
          </w:tcPr>
          <w:p w14:paraId="4226E025">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处5000元以下罚款。</w:t>
            </w:r>
          </w:p>
        </w:tc>
      </w:tr>
      <w:tr w14:paraId="0414DB5A">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7102B07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019" w:type="pct"/>
            <w:tcBorders>
              <w:top w:val="single" w:color="auto" w:sz="4" w:space="0"/>
              <w:left w:val="single" w:color="auto" w:sz="4" w:space="0"/>
              <w:bottom w:val="single" w:color="auto" w:sz="4" w:space="0"/>
              <w:right w:val="single" w:color="auto" w:sz="4" w:space="0"/>
            </w:tcBorders>
            <w:vAlign w:val="center"/>
          </w:tcPr>
          <w:p w14:paraId="2C254F86">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本办法第六十六条第二款规定的情形之一的行为的。</w:t>
            </w:r>
          </w:p>
        </w:tc>
        <w:tc>
          <w:tcPr>
            <w:tcW w:w="1787" w:type="pct"/>
            <w:tcBorders>
              <w:top w:val="single" w:color="auto" w:sz="4" w:space="0"/>
              <w:left w:val="single" w:color="auto" w:sz="4" w:space="0"/>
              <w:bottom w:val="single" w:color="auto" w:sz="4" w:space="0"/>
              <w:right w:val="single" w:color="auto" w:sz="4" w:space="0"/>
            </w:tcBorders>
            <w:vAlign w:val="center"/>
          </w:tcPr>
          <w:p w14:paraId="4FC499C4">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处5000元以上2万元以下罚款。</w:t>
            </w:r>
          </w:p>
        </w:tc>
      </w:tr>
    </w:tbl>
    <w:p w14:paraId="0C6C249E">
      <w:pPr>
        <w:pStyle w:val="4"/>
        <w:widowControl w:val="0"/>
        <w:ind w:firstLine="640"/>
        <w:jc w:val="both"/>
        <w:rPr>
          <w:rFonts w:hint="eastAsia"/>
          <w:color w:val="000000" w:themeColor="text1"/>
          <w14:textFill>
            <w14:solidFill>
              <w14:schemeClr w14:val="tx1"/>
            </w14:solidFill>
          </w14:textFill>
        </w:rPr>
      </w:pPr>
      <w:bookmarkStart w:id="439" w:name="_Toc2332"/>
      <w:bookmarkStart w:id="440" w:name="_Toc9695"/>
      <w:bookmarkStart w:id="441" w:name="_Toc28091"/>
      <w:bookmarkStart w:id="442" w:name="_Toc7615"/>
      <w:bookmarkStart w:id="443" w:name="_Toc30738"/>
      <w:bookmarkStart w:id="444" w:name="_Toc9159"/>
      <w:bookmarkStart w:id="445" w:name="_Toc16834"/>
      <w:bookmarkStart w:id="446" w:name="_Toc31134"/>
      <w:bookmarkStart w:id="447" w:name="_Toc6859"/>
      <w:bookmarkStart w:id="448" w:name="_Toc12557"/>
      <w:bookmarkStart w:id="449" w:name="_Toc20309"/>
      <w:r>
        <w:rPr>
          <w:rFonts w:hint="eastAsia"/>
          <w:color w:val="000000" w:themeColor="text1"/>
          <w14:textFill>
            <w14:solidFill>
              <w14:schemeClr w14:val="tx1"/>
            </w14:solidFill>
          </w14:textFill>
        </w:rPr>
        <w:t>第四十二条 招用流动人员的用工单位，未向卫生防疫机构报告并未采取卫生措施，造成传染病传播、流行的</w:t>
      </w:r>
      <w:bookmarkEnd w:id="439"/>
      <w:bookmarkEnd w:id="440"/>
      <w:bookmarkEnd w:id="441"/>
      <w:bookmarkEnd w:id="442"/>
      <w:bookmarkEnd w:id="443"/>
      <w:bookmarkEnd w:id="444"/>
      <w:bookmarkEnd w:id="445"/>
      <w:bookmarkEnd w:id="446"/>
      <w:bookmarkEnd w:id="447"/>
      <w:bookmarkEnd w:id="448"/>
      <w:bookmarkEnd w:id="449"/>
    </w:p>
    <w:p w14:paraId="74915D3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3C7B086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《中华人民共和国传染病防治法实施办法》第六十六条第一款第（十一）项、第二款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14:paraId="08A8DB8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（十一）招用流动人员的用工单位，未向卫生防疫机构报告并未采取卫生措施，造成传染病传播、流行的；</w:t>
      </w:r>
    </w:p>
    <w:p w14:paraId="20F40F7D">
      <w:pPr>
        <w:widowControl w:val="0"/>
        <w:spacing w:after="0" w:line="440" w:lineRule="exact"/>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w:t>
      </w:r>
      <w:r>
        <w:rPr>
          <w:rFonts w:hint="eastAsia" w:ascii="Times New Roman" w:hAnsi="Times New Roman"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前款所称情节较严重的，是指下列情形之一： </w:t>
      </w:r>
    </w:p>
    <w:p w14:paraId="14F37B5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（一）造成甲类传染病、艾滋病、肺炭疽传播危险的；</w:t>
      </w:r>
    </w:p>
    <w:p w14:paraId="50DC116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6A62E62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41F491D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344CFDA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82"/>
        <w:gridCol w:w="6064"/>
        <w:gridCol w:w="4728"/>
      </w:tblGrid>
      <w:tr w14:paraId="4ACDDE8C">
        <w:tblPrEx>
          <w:tblCellMar>
            <w:top w:w="0" w:type="dxa"/>
            <w:left w:w="108" w:type="dxa"/>
            <w:bottom w:w="0" w:type="dxa"/>
            <w:right w:w="108" w:type="dxa"/>
          </w:tblCellMar>
        </w:tblPrEx>
        <w:trPr>
          <w:trHeight w:val="624" w:hRule="atLeast"/>
        </w:trPr>
        <w:tc>
          <w:tcPr>
            <w:tcW w:w="5000" w:type="pct"/>
            <w:gridSpan w:val="3"/>
            <w:tcBorders>
              <w:top w:val="nil"/>
              <w:left w:val="nil"/>
              <w:bottom w:val="single" w:color="auto" w:sz="4" w:space="0"/>
              <w:right w:val="nil"/>
            </w:tcBorders>
            <w:noWrap/>
            <w:vAlign w:val="center"/>
          </w:tcPr>
          <w:p w14:paraId="3040ABF3">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7BEF38AF">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0131660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2139" w:type="pct"/>
            <w:tcBorders>
              <w:top w:val="single" w:color="auto" w:sz="4" w:space="0"/>
              <w:left w:val="single" w:color="auto" w:sz="4" w:space="0"/>
              <w:bottom w:val="single" w:color="auto" w:sz="4" w:space="0"/>
              <w:right w:val="single" w:color="auto" w:sz="4" w:space="0"/>
            </w:tcBorders>
            <w:vAlign w:val="center"/>
          </w:tcPr>
          <w:p w14:paraId="50B05E6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1667" w:type="pct"/>
            <w:tcBorders>
              <w:top w:val="single" w:color="auto" w:sz="4" w:space="0"/>
              <w:left w:val="single" w:color="auto" w:sz="4" w:space="0"/>
              <w:bottom w:val="single" w:color="auto" w:sz="4" w:space="0"/>
              <w:right w:val="single" w:color="auto" w:sz="4" w:space="0"/>
            </w:tcBorders>
            <w:vAlign w:val="center"/>
          </w:tcPr>
          <w:p w14:paraId="4776D8D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9C63DED">
        <w:tblPrEx>
          <w:tblCellMar>
            <w:top w:w="0" w:type="dxa"/>
            <w:left w:w="108" w:type="dxa"/>
            <w:bottom w:w="0" w:type="dxa"/>
            <w:right w:w="108" w:type="dxa"/>
          </w:tblCellMar>
        </w:tblPrEx>
        <w:trPr>
          <w:trHeight w:val="850" w:hRule="atLeast"/>
        </w:trPr>
        <w:tc>
          <w:tcPr>
            <w:tcW w:w="1193" w:type="pct"/>
            <w:vMerge w:val="restart"/>
            <w:tcBorders>
              <w:top w:val="single" w:color="auto" w:sz="4" w:space="0"/>
              <w:left w:val="single" w:color="auto" w:sz="4" w:space="0"/>
              <w:bottom w:val="single" w:color="auto" w:sz="4" w:space="0"/>
              <w:right w:val="single" w:color="auto" w:sz="4" w:space="0"/>
            </w:tcBorders>
            <w:vAlign w:val="center"/>
          </w:tcPr>
          <w:p w14:paraId="32C67AD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139" w:type="pct"/>
            <w:tcBorders>
              <w:top w:val="single" w:color="auto" w:sz="4" w:space="0"/>
              <w:left w:val="single" w:color="auto" w:sz="4" w:space="0"/>
              <w:bottom w:val="single" w:color="auto" w:sz="4" w:space="0"/>
              <w:right w:val="single" w:color="auto" w:sz="4" w:space="0"/>
            </w:tcBorders>
            <w:vAlign w:val="center"/>
          </w:tcPr>
          <w:p w14:paraId="0CEF0A9E">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招用流动人员的用工单位，未向卫生防疫机构报告并未采取卫生措施，造成丙类传染病传播人数不足3人的。</w:t>
            </w:r>
          </w:p>
        </w:tc>
        <w:tc>
          <w:tcPr>
            <w:tcW w:w="1667" w:type="pct"/>
            <w:tcBorders>
              <w:top w:val="single" w:color="auto" w:sz="4" w:space="0"/>
              <w:left w:val="single" w:color="auto" w:sz="4" w:space="0"/>
              <w:bottom w:val="single" w:color="auto" w:sz="4" w:space="0"/>
              <w:right w:val="single" w:color="auto" w:sz="4" w:space="0"/>
            </w:tcBorders>
            <w:vAlign w:val="center"/>
          </w:tcPr>
          <w:p w14:paraId="352CFFC2">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14:textFill>
                  <w14:solidFill>
                    <w14:schemeClr w14:val="tx1"/>
                  </w14:solidFill>
                </w14:textFill>
              </w:rPr>
              <w:t>处一千元以下罚款。</w:t>
            </w:r>
          </w:p>
        </w:tc>
      </w:tr>
      <w:tr w14:paraId="10229D16">
        <w:tblPrEx>
          <w:tblCellMar>
            <w:top w:w="0" w:type="dxa"/>
            <w:left w:w="108" w:type="dxa"/>
            <w:bottom w:w="0" w:type="dxa"/>
            <w:right w:w="108" w:type="dxa"/>
          </w:tblCellMar>
        </w:tblPrEx>
        <w:trPr>
          <w:trHeight w:val="57"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5771BB0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139" w:type="pct"/>
            <w:tcBorders>
              <w:top w:val="single" w:color="auto" w:sz="4" w:space="0"/>
              <w:left w:val="single" w:color="auto" w:sz="4" w:space="0"/>
              <w:bottom w:val="single" w:color="auto" w:sz="4" w:space="0"/>
              <w:right w:val="single" w:color="auto" w:sz="4" w:space="0"/>
            </w:tcBorders>
            <w:vAlign w:val="center"/>
          </w:tcPr>
          <w:p w14:paraId="14B665A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招用流动人员的用工单位，未向卫生防疫机构报告并未采取卫生措施，造成丙类传染病传播人数3人以上5人以下的。</w:t>
            </w:r>
          </w:p>
        </w:tc>
        <w:tc>
          <w:tcPr>
            <w:tcW w:w="1667" w:type="pct"/>
            <w:tcBorders>
              <w:top w:val="single" w:color="auto" w:sz="4" w:space="0"/>
              <w:left w:val="single" w:color="auto" w:sz="4" w:space="0"/>
              <w:bottom w:val="single" w:color="auto" w:sz="4" w:space="0"/>
              <w:right w:val="single" w:color="auto" w:sz="4" w:space="0"/>
            </w:tcBorders>
            <w:vAlign w:val="center"/>
          </w:tcPr>
          <w:p w14:paraId="0B2B4D1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处一千元以上二千元以下罚款。</w:t>
            </w:r>
          </w:p>
        </w:tc>
      </w:tr>
      <w:tr w14:paraId="4E8D4E03">
        <w:tblPrEx>
          <w:tblCellMar>
            <w:top w:w="0" w:type="dxa"/>
            <w:left w:w="108" w:type="dxa"/>
            <w:bottom w:w="0" w:type="dxa"/>
            <w:right w:w="108" w:type="dxa"/>
          </w:tblCellMar>
        </w:tblPrEx>
        <w:trPr>
          <w:trHeight w:val="57"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22048467">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139" w:type="pct"/>
            <w:tcBorders>
              <w:top w:val="single" w:color="auto" w:sz="4" w:space="0"/>
              <w:left w:val="single" w:color="auto" w:sz="4" w:space="0"/>
              <w:bottom w:val="single" w:color="auto" w:sz="4" w:space="0"/>
              <w:right w:val="single" w:color="auto" w:sz="4" w:space="0"/>
            </w:tcBorders>
            <w:vAlign w:val="center"/>
          </w:tcPr>
          <w:p w14:paraId="0A82CF8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招用流动人员的用工单位，未向卫生防疫机构报告并未采取卫生措施，造成除艾滋病、肺炭疽之外的乙类传染病传播人数不足3人的。</w:t>
            </w:r>
          </w:p>
        </w:tc>
        <w:tc>
          <w:tcPr>
            <w:tcW w:w="1667" w:type="pct"/>
            <w:tcBorders>
              <w:top w:val="single" w:color="auto" w:sz="4" w:space="0"/>
              <w:left w:val="single" w:color="auto" w:sz="4" w:space="0"/>
              <w:bottom w:val="single" w:color="auto" w:sz="4" w:space="0"/>
              <w:right w:val="single" w:color="auto" w:sz="4" w:space="0"/>
            </w:tcBorders>
            <w:vAlign w:val="center"/>
          </w:tcPr>
          <w:p w14:paraId="09085EC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处二千元以上三千元以下罚款。</w:t>
            </w:r>
          </w:p>
        </w:tc>
      </w:tr>
      <w:tr w14:paraId="7CB6FED7">
        <w:tblPrEx>
          <w:tblCellMar>
            <w:top w:w="0" w:type="dxa"/>
            <w:left w:w="108" w:type="dxa"/>
            <w:bottom w:w="0" w:type="dxa"/>
            <w:right w:w="108" w:type="dxa"/>
          </w:tblCellMar>
        </w:tblPrEx>
        <w:trPr>
          <w:trHeight w:val="57"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7C5703D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139" w:type="pct"/>
            <w:tcBorders>
              <w:top w:val="single" w:color="auto" w:sz="4" w:space="0"/>
              <w:left w:val="single" w:color="auto" w:sz="4" w:space="0"/>
              <w:bottom w:val="single" w:color="auto" w:sz="4" w:space="0"/>
              <w:right w:val="single" w:color="auto" w:sz="4" w:space="0"/>
            </w:tcBorders>
            <w:vAlign w:val="center"/>
          </w:tcPr>
          <w:p w14:paraId="2F3E397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招用流动人员的用工单位，未向卫生防疫机构报告并未采取卫生措施，造成除艾滋病、肺炭疽之外的乙类传染病传播人数3人以上5人以下的。</w:t>
            </w:r>
          </w:p>
        </w:tc>
        <w:tc>
          <w:tcPr>
            <w:tcW w:w="1667" w:type="pct"/>
            <w:tcBorders>
              <w:top w:val="single" w:color="auto" w:sz="4" w:space="0"/>
              <w:left w:val="single" w:color="auto" w:sz="4" w:space="0"/>
              <w:bottom w:val="single" w:color="auto" w:sz="4" w:space="0"/>
              <w:right w:val="single" w:color="auto" w:sz="4" w:space="0"/>
            </w:tcBorders>
            <w:vAlign w:val="center"/>
          </w:tcPr>
          <w:p w14:paraId="0619DA3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处三千元以上五千元以下罚款。</w:t>
            </w:r>
          </w:p>
        </w:tc>
      </w:tr>
      <w:tr w14:paraId="78C8955D">
        <w:tblPrEx>
          <w:tblCellMar>
            <w:top w:w="0" w:type="dxa"/>
            <w:left w:w="108" w:type="dxa"/>
            <w:bottom w:w="0" w:type="dxa"/>
            <w:right w:w="108" w:type="dxa"/>
          </w:tblCellMar>
        </w:tblPrEx>
        <w:trPr>
          <w:trHeight w:val="57" w:hRule="atLeast"/>
        </w:trPr>
        <w:tc>
          <w:tcPr>
            <w:tcW w:w="1193" w:type="pct"/>
            <w:tcBorders>
              <w:top w:val="single" w:color="auto" w:sz="4" w:space="0"/>
              <w:left w:val="single" w:color="auto" w:sz="4" w:space="0"/>
              <w:bottom w:val="single" w:color="auto" w:sz="4" w:space="0"/>
              <w:right w:val="single" w:color="auto" w:sz="4" w:space="0"/>
            </w:tcBorders>
            <w:vAlign w:val="center"/>
          </w:tcPr>
          <w:p w14:paraId="291966D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139" w:type="pct"/>
            <w:tcBorders>
              <w:top w:val="single" w:color="auto" w:sz="4" w:space="0"/>
              <w:left w:val="single" w:color="auto" w:sz="4" w:space="0"/>
              <w:bottom w:val="single" w:color="auto" w:sz="4" w:space="0"/>
              <w:right w:val="single" w:color="auto" w:sz="4" w:space="0"/>
            </w:tcBorders>
            <w:vAlign w:val="center"/>
          </w:tcPr>
          <w:p w14:paraId="3B8B518C">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招用流动人员的用工单位，未向卫生防疫机构报告并未采取卫生措施，造成本办法第六十六条第二款规定的情形之一的。</w:t>
            </w:r>
          </w:p>
        </w:tc>
        <w:tc>
          <w:tcPr>
            <w:tcW w:w="1667" w:type="pct"/>
            <w:tcBorders>
              <w:top w:val="single" w:color="auto" w:sz="4" w:space="0"/>
              <w:left w:val="single" w:color="auto" w:sz="4" w:space="0"/>
              <w:bottom w:val="single" w:color="auto" w:sz="4" w:space="0"/>
              <w:right w:val="single" w:color="auto" w:sz="4" w:space="0"/>
            </w:tcBorders>
            <w:vAlign w:val="center"/>
          </w:tcPr>
          <w:p w14:paraId="19758D9F">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处五千元以上二万元以下罚款。</w:t>
            </w:r>
          </w:p>
        </w:tc>
      </w:tr>
    </w:tbl>
    <w:p w14:paraId="672379FE">
      <w:pPr>
        <w:pStyle w:val="4"/>
        <w:widowControl w:val="0"/>
        <w:ind w:firstLine="640"/>
        <w:rPr>
          <w:color w:val="000000" w:themeColor="text1"/>
          <w14:textFill>
            <w14:solidFill>
              <w14:schemeClr w14:val="tx1"/>
            </w14:solidFill>
          </w14:textFill>
        </w:rPr>
      </w:pPr>
      <w:bookmarkStart w:id="450" w:name="_Toc8810"/>
      <w:bookmarkStart w:id="451" w:name="_Toc29495"/>
      <w:bookmarkStart w:id="452" w:name="_Toc24077"/>
      <w:bookmarkStart w:id="453" w:name="_Toc15651"/>
      <w:bookmarkStart w:id="454" w:name="_Toc29443"/>
      <w:bookmarkStart w:id="455" w:name="_Toc12723"/>
      <w:bookmarkStart w:id="456" w:name="_Toc8980"/>
      <w:bookmarkStart w:id="457" w:name="_Toc7122"/>
      <w:bookmarkStart w:id="458" w:name="_Toc31368"/>
      <w:bookmarkStart w:id="459" w:name="_Toc15677"/>
      <w:bookmarkStart w:id="460" w:name="_Toc4656"/>
      <w:r>
        <w:rPr>
          <w:rFonts w:hint="eastAsia"/>
          <w:color w:val="000000" w:themeColor="text1"/>
          <w14:textFill>
            <w14:solidFill>
              <w14:schemeClr w14:val="tx1"/>
            </w14:solidFill>
          </w14:textFill>
        </w:rPr>
        <w:t>第四十三条 违章养犬或者拒绝、阻挠捕杀违章犬，造成咬伤他人或者导致人群中发生狂犬病的</w:t>
      </w:r>
      <w:bookmarkEnd w:id="450"/>
      <w:bookmarkEnd w:id="451"/>
      <w:bookmarkEnd w:id="452"/>
      <w:bookmarkEnd w:id="453"/>
      <w:bookmarkEnd w:id="454"/>
      <w:bookmarkEnd w:id="455"/>
      <w:bookmarkEnd w:id="456"/>
      <w:bookmarkEnd w:id="457"/>
      <w:bookmarkEnd w:id="458"/>
      <w:bookmarkEnd w:id="459"/>
      <w:bookmarkEnd w:id="460"/>
    </w:p>
    <w:p w14:paraId="3D2FEF2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548E318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《中华人民共和国传染病防治法实施办法》第六十六条第一款第（十二）项、第二款　 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14:paraId="56168EB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（十二）违章养犬或者拒绝、阻挠捕杀违章犬，造成咬伤他人或者导致人群中发生狂犬病的。</w:t>
      </w:r>
    </w:p>
    <w:p w14:paraId="23E52BFE">
      <w:pPr>
        <w:widowControl w:val="0"/>
        <w:spacing w:after="0" w:line="440" w:lineRule="exact"/>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　　 前款所称情节较严重的，是指下列情形之一： </w:t>
      </w:r>
    </w:p>
    <w:p w14:paraId="59A9E21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（一）造成甲类传染病、艾滋病、肺炭疽传播危险的；</w:t>
      </w:r>
    </w:p>
    <w:p w14:paraId="376AEADD">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（二）造成除艾滋病、肺炭疽之外的乙、丙类传染病暴发、流行的；</w:t>
      </w:r>
    </w:p>
    <w:p w14:paraId="0371C17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（三）造成传染病菌（毒）种扩散的；</w:t>
      </w:r>
    </w:p>
    <w:p w14:paraId="52DAF0D4">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（四）造成病人残废、死亡的； </w:t>
      </w:r>
    </w:p>
    <w:p w14:paraId="79969EE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（五）拒绝执行《传染病防治法》及本办法的规定，屡经教育仍继续违法的。</w:t>
      </w:r>
    </w:p>
    <w:tbl>
      <w:tblPr>
        <w:tblStyle w:val="24"/>
        <w:tblW w:w="5000" w:type="pct"/>
        <w:tblInd w:w="0" w:type="dxa"/>
        <w:tblLayout w:type="autofit"/>
        <w:tblCellMar>
          <w:top w:w="0" w:type="dxa"/>
          <w:left w:w="108" w:type="dxa"/>
          <w:bottom w:w="0" w:type="dxa"/>
          <w:right w:w="108" w:type="dxa"/>
        </w:tblCellMar>
      </w:tblPr>
      <w:tblGrid>
        <w:gridCol w:w="3382"/>
        <w:gridCol w:w="6064"/>
        <w:gridCol w:w="4728"/>
      </w:tblGrid>
      <w:tr w14:paraId="72ABC63D">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2814C054">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c>
      </w:tr>
      <w:tr w14:paraId="2FB0BEF3">
        <w:tblPrEx>
          <w:tblCellMar>
            <w:top w:w="0" w:type="dxa"/>
            <w:left w:w="108" w:type="dxa"/>
            <w:bottom w:w="0" w:type="dxa"/>
            <w:right w:w="108" w:type="dxa"/>
          </w:tblCellMar>
        </w:tblPrEx>
        <w:trPr>
          <w:trHeight w:val="825" w:hRule="atLeast"/>
        </w:trPr>
        <w:tc>
          <w:tcPr>
            <w:tcW w:w="1193" w:type="pct"/>
            <w:tcBorders>
              <w:top w:val="single" w:color="auto" w:sz="4" w:space="0"/>
              <w:left w:val="single" w:color="auto" w:sz="4" w:space="0"/>
              <w:bottom w:val="single" w:color="auto" w:sz="4" w:space="0"/>
              <w:right w:val="single" w:color="auto" w:sz="4" w:space="0"/>
            </w:tcBorders>
            <w:vAlign w:val="center"/>
          </w:tcPr>
          <w:p w14:paraId="104DBE2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2139" w:type="pct"/>
            <w:tcBorders>
              <w:top w:val="single" w:color="auto" w:sz="4" w:space="0"/>
              <w:left w:val="single" w:color="auto" w:sz="4" w:space="0"/>
              <w:bottom w:val="single" w:color="auto" w:sz="4" w:space="0"/>
              <w:right w:val="single" w:color="auto" w:sz="4" w:space="0"/>
            </w:tcBorders>
            <w:vAlign w:val="center"/>
          </w:tcPr>
          <w:p w14:paraId="27ACF49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1667" w:type="pct"/>
            <w:tcBorders>
              <w:top w:val="single" w:color="auto" w:sz="4" w:space="0"/>
              <w:left w:val="single" w:color="auto" w:sz="4" w:space="0"/>
              <w:bottom w:val="single" w:color="auto" w:sz="4" w:space="0"/>
              <w:right w:val="single" w:color="auto" w:sz="4" w:space="0"/>
            </w:tcBorders>
            <w:vAlign w:val="center"/>
          </w:tcPr>
          <w:p w14:paraId="6C7CAB5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A812345">
        <w:tblPrEx>
          <w:tblCellMar>
            <w:top w:w="0" w:type="dxa"/>
            <w:left w:w="108" w:type="dxa"/>
            <w:bottom w:w="0" w:type="dxa"/>
            <w:right w:w="108" w:type="dxa"/>
          </w:tblCellMar>
        </w:tblPrEx>
        <w:trPr>
          <w:trHeight w:val="454" w:hRule="atLeast"/>
        </w:trPr>
        <w:tc>
          <w:tcPr>
            <w:tcW w:w="1193" w:type="pct"/>
            <w:vMerge w:val="restart"/>
            <w:tcBorders>
              <w:top w:val="single" w:color="auto" w:sz="4" w:space="0"/>
              <w:left w:val="single" w:color="auto" w:sz="4" w:space="0"/>
              <w:bottom w:val="single" w:color="auto" w:sz="4" w:space="0"/>
              <w:right w:val="single" w:color="auto" w:sz="4" w:space="0"/>
            </w:tcBorders>
            <w:vAlign w:val="center"/>
          </w:tcPr>
          <w:p w14:paraId="71C96C4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139" w:type="pct"/>
            <w:tcBorders>
              <w:top w:val="single" w:color="auto" w:sz="4" w:space="0"/>
              <w:left w:val="single" w:color="auto" w:sz="4" w:space="0"/>
              <w:bottom w:val="single" w:color="auto" w:sz="4" w:space="0"/>
              <w:right w:val="single" w:color="auto" w:sz="4" w:space="0"/>
            </w:tcBorders>
            <w:vAlign w:val="center"/>
          </w:tcPr>
          <w:p w14:paraId="077F57AF">
            <w:pPr>
              <w:widowControl w:val="0"/>
              <w:spacing w:after="0" w:line="320" w:lineRule="exact"/>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拒绝、阻挠捕杀违章犬的。</w:t>
            </w:r>
          </w:p>
        </w:tc>
        <w:tc>
          <w:tcPr>
            <w:tcW w:w="1667" w:type="pct"/>
            <w:tcBorders>
              <w:top w:val="single" w:color="auto" w:sz="4" w:space="0"/>
              <w:left w:val="single" w:color="auto" w:sz="4" w:space="0"/>
              <w:bottom w:val="single" w:color="auto" w:sz="4" w:space="0"/>
              <w:right w:val="single" w:color="auto" w:sz="4" w:space="0"/>
            </w:tcBorders>
            <w:vAlign w:val="center"/>
          </w:tcPr>
          <w:p w14:paraId="3BE7944A">
            <w:pPr>
              <w:widowControl w:val="0"/>
              <w:spacing w:after="0" w:line="320" w:lineRule="exact"/>
              <w:jc w:val="left"/>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处一千元以下罚款。</w:t>
            </w:r>
          </w:p>
        </w:tc>
      </w:tr>
      <w:tr w14:paraId="7CC5DC1C">
        <w:tblPrEx>
          <w:tblCellMar>
            <w:top w:w="0" w:type="dxa"/>
            <w:left w:w="108" w:type="dxa"/>
            <w:bottom w:w="0" w:type="dxa"/>
            <w:right w:w="108" w:type="dxa"/>
          </w:tblCellMar>
        </w:tblPrEx>
        <w:trPr>
          <w:trHeight w:val="454"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16D5BBB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139" w:type="pct"/>
            <w:tcBorders>
              <w:top w:val="single" w:color="auto" w:sz="4" w:space="0"/>
              <w:left w:val="single" w:color="auto" w:sz="4" w:space="0"/>
              <w:bottom w:val="single" w:color="auto" w:sz="4" w:space="0"/>
              <w:right w:val="single" w:color="auto" w:sz="4" w:space="0"/>
            </w:tcBorders>
            <w:vAlign w:val="center"/>
          </w:tcPr>
          <w:p w14:paraId="0199699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违章养犬，造成咬伤他人，累计人数不足3人的。</w:t>
            </w:r>
          </w:p>
        </w:tc>
        <w:tc>
          <w:tcPr>
            <w:tcW w:w="1667" w:type="pct"/>
            <w:tcBorders>
              <w:top w:val="single" w:color="auto" w:sz="4" w:space="0"/>
              <w:left w:val="single" w:color="auto" w:sz="4" w:space="0"/>
              <w:bottom w:val="single" w:color="auto" w:sz="4" w:space="0"/>
              <w:right w:val="single" w:color="auto" w:sz="4" w:space="0"/>
            </w:tcBorders>
            <w:vAlign w:val="center"/>
          </w:tcPr>
          <w:p w14:paraId="5E3BF323">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处一千元以上三千元以下罚款。</w:t>
            </w:r>
          </w:p>
        </w:tc>
      </w:tr>
      <w:tr w14:paraId="6896FD22">
        <w:tblPrEx>
          <w:tblCellMar>
            <w:top w:w="0" w:type="dxa"/>
            <w:left w:w="108" w:type="dxa"/>
            <w:bottom w:w="0" w:type="dxa"/>
            <w:right w:w="108" w:type="dxa"/>
          </w:tblCellMar>
        </w:tblPrEx>
        <w:trPr>
          <w:trHeight w:val="454"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5D2F404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139" w:type="pct"/>
            <w:tcBorders>
              <w:top w:val="single" w:color="auto" w:sz="4" w:space="0"/>
              <w:left w:val="single" w:color="auto" w:sz="4" w:space="0"/>
              <w:bottom w:val="single" w:color="auto" w:sz="4" w:space="0"/>
              <w:right w:val="single" w:color="auto" w:sz="4" w:space="0"/>
            </w:tcBorders>
            <w:vAlign w:val="center"/>
          </w:tcPr>
          <w:p w14:paraId="17E0230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违章养犬，造成咬伤他人，累计人数3人以上的。</w:t>
            </w:r>
          </w:p>
        </w:tc>
        <w:tc>
          <w:tcPr>
            <w:tcW w:w="1667" w:type="pct"/>
            <w:tcBorders>
              <w:top w:val="single" w:color="auto" w:sz="4" w:space="0"/>
              <w:left w:val="single" w:color="auto" w:sz="4" w:space="0"/>
              <w:bottom w:val="single" w:color="auto" w:sz="4" w:space="0"/>
              <w:right w:val="single" w:color="auto" w:sz="4" w:space="0"/>
            </w:tcBorders>
            <w:vAlign w:val="center"/>
          </w:tcPr>
          <w:p w14:paraId="338F6798">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处三千元以上四千元以下罚款。</w:t>
            </w:r>
          </w:p>
        </w:tc>
      </w:tr>
      <w:tr w14:paraId="29D85F92">
        <w:tblPrEx>
          <w:tblCellMar>
            <w:top w:w="0" w:type="dxa"/>
            <w:left w:w="108" w:type="dxa"/>
            <w:bottom w:w="0" w:type="dxa"/>
            <w:right w:w="108" w:type="dxa"/>
          </w:tblCellMar>
        </w:tblPrEx>
        <w:trPr>
          <w:trHeight w:val="454"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6F7A930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139" w:type="pct"/>
            <w:tcBorders>
              <w:top w:val="single" w:color="auto" w:sz="4" w:space="0"/>
              <w:left w:val="single" w:color="auto" w:sz="4" w:space="0"/>
              <w:bottom w:val="single" w:color="auto" w:sz="4" w:space="0"/>
              <w:right w:val="single" w:color="auto" w:sz="4" w:space="0"/>
            </w:tcBorders>
            <w:vAlign w:val="center"/>
          </w:tcPr>
          <w:p w14:paraId="493F569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违章养犬或者拒绝、阻挠捕杀违章犬，导致人群中发生狂犬病的。</w:t>
            </w:r>
          </w:p>
        </w:tc>
        <w:tc>
          <w:tcPr>
            <w:tcW w:w="1667" w:type="pct"/>
            <w:tcBorders>
              <w:top w:val="single" w:color="auto" w:sz="4" w:space="0"/>
              <w:left w:val="single" w:color="auto" w:sz="4" w:space="0"/>
              <w:bottom w:val="single" w:color="auto" w:sz="4" w:space="0"/>
              <w:right w:val="single" w:color="auto" w:sz="4" w:space="0"/>
            </w:tcBorders>
            <w:vAlign w:val="center"/>
          </w:tcPr>
          <w:p w14:paraId="485E5B03">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处四千元以上五千元以下罚款。</w:t>
            </w:r>
          </w:p>
        </w:tc>
      </w:tr>
      <w:tr w14:paraId="34B03A75">
        <w:tblPrEx>
          <w:tblCellMar>
            <w:top w:w="0" w:type="dxa"/>
            <w:left w:w="108" w:type="dxa"/>
            <w:bottom w:w="0" w:type="dxa"/>
            <w:right w:w="108" w:type="dxa"/>
          </w:tblCellMar>
        </w:tblPrEx>
        <w:trPr>
          <w:trHeight w:val="454" w:hRule="atLeast"/>
        </w:trPr>
        <w:tc>
          <w:tcPr>
            <w:tcW w:w="1193" w:type="pct"/>
            <w:tcBorders>
              <w:top w:val="single" w:color="auto" w:sz="4" w:space="0"/>
              <w:left w:val="single" w:color="auto" w:sz="4" w:space="0"/>
              <w:bottom w:val="single" w:color="auto" w:sz="4" w:space="0"/>
              <w:right w:val="single" w:color="auto" w:sz="4" w:space="0"/>
            </w:tcBorders>
            <w:vAlign w:val="center"/>
          </w:tcPr>
          <w:p w14:paraId="52102A0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139" w:type="pct"/>
            <w:tcBorders>
              <w:top w:val="single" w:color="auto" w:sz="4" w:space="0"/>
              <w:left w:val="single" w:color="auto" w:sz="4" w:space="0"/>
              <w:bottom w:val="single" w:color="auto" w:sz="4" w:space="0"/>
              <w:right w:val="single" w:color="auto" w:sz="4" w:space="0"/>
            </w:tcBorders>
            <w:vAlign w:val="center"/>
          </w:tcPr>
          <w:p w14:paraId="445C1E1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本办法第六十六条第二款规定的情形之一的行为的。</w:t>
            </w:r>
          </w:p>
        </w:tc>
        <w:tc>
          <w:tcPr>
            <w:tcW w:w="1667" w:type="pct"/>
            <w:tcBorders>
              <w:top w:val="single" w:color="auto" w:sz="4" w:space="0"/>
              <w:left w:val="single" w:color="auto" w:sz="4" w:space="0"/>
              <w:bottom w:val="single" w:color="auto" w:sz="4" w:space="0"/>
              <w:right w:val="single" w:color="auto" w:sz="4" w:space="0"/>
            </w:tcBorders>
            <w:vAlign w:val="center"/>
          </w:tcPr>
          <w:p w14:paraId="05E2F127">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处五千元以上二万元以下罚款。</w:t>
            </w:r>
          </w:p>
        </w:tc>
      </w:tr>
    </w:tbl>
    <w:p w14:paraId="0B4B6921">
      <w:pPr>
        <w:pStyle w:val="4"/>
        <w:widowControl w:val="0"/>
        <w:ind w:firstLine="640"/>
        <w:jc w:val="both"/>
        <w:rPr>
          <w:rFonts w:hint="eastAsia" w:ascii="Times New Roman" w:hAnsi="Times New Roman" w:eastAsia="仿宋_GB2312" w:cs="Times New Roman"/>
          <w:bCs w:val="0"/>
          <w:color w:val="000000" w:themeColor="text1"/>
          <w14:textFill>
            <w14:solidFill>
              <w14:schemeClr w14:val="tx1"/>
            </w14:solidFill>
          </w14:textFill>
        </w:rPr>
      </w:pPr>
      <w:bookmarkStart w:id="461" w:name="_Toc14775"/>
      <w:bookmarkStart w:id="462" w:name="_Toc9220"/>
      <w:bookmarkStart w:id="463" w:name="_Toc21802"/>
      <w:bookmarkStart w:id="464" w:name="_Toc25815"/>
      <w:bookmarkStart w:id="465" w:name="_Toc17106"/>
      <w:bookmarkStart w:id="466" w:name="_Toc17387"/>
      <w:bookmarkStart w:id="467" w:name="_Toc19652"/>
      <w:bookmarkStart w:id="468" w:name="_Toc25482"/>
      <w:bookmarkStart w:id="469" w:name="_Toc18034"/>
      <w:bookmarkStart w:id="470" w:name="_Toc13033"/>
      <w:bookmarkStart w:id="471" w:name="_Toc18584"/>
      <w:r>
        <w:rPr>
          <w:rFonts w:hint="eastAsia"/>
          <w:color w:val="000000" w:themeColor="text1"/>
          <w14:textFill>
            <w14:solidFill>
              <w14:schemeClr w14:val="tx1"/>
            </w14:solidFill>
          </w14:textFill>
        </w:rPr>
        <w:t>第四十四条 单位和个人非法经营、出售用于预防传染病菌苗、疫苗等生物制品的</w:t>
      </w:r>
      <w:bookmarkEnd w:id="461"/>
      <w:bookmarkEnd w:id="462"/>
      <w:bookmarkEnd w:id="463"/>
      <w:bookmarkEnd w:id="464"/>
      <w:bookmarkEnd w:id="465"/>
      <w:bookmarkEnd w:id="466"/>
      <w:bookmarkEnd w:id="467"/>
      <w:bookmarkEnd w:id="468"/>
      <w:bookmarkEnd w:id="469"/>
      <w:bookmarkEnd w:id="470"/>
      <w:bookmarkEnd w:id="471"/>
    </w:p>
    <w:p w14:paraId="67DCB91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337B55B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《中华人民共和国传染病防治法实施办法》第六十九条　 单位和个人非法经营、出售用于预防传染病菌苗、疫苗等生物制品的，县级以上政府卫生行政部门可以处相当出售金额三倍以下的罚款，危害严重，出售金额不满五千元，以五千元计算；对主管人员和直接责任人员由所在单位或者上级机关根据情节，可以给予行政处分。 </w:t>
      </w:r>
    </w:p>
    <w:tbl>
      <w:tblPr>
        <w:tblStyle w:val="24"/>
        <w:tblW w:w="5000" w:type="pct"/>
        <w:tblInd w:w="0" w:type="dxa"/>
        <w:tblLayout w:type="autofit"/>
        <w:tblCellMar>
          <w:top w:w="0" w:type="dxa"/>
          <w:left w:w="108" w:type="dxa"/>
          <w:bottom w:w="0" w:type="dxa"/>
          <w:right w:w="108" w:type="dxa"/>
        </w:tblCellMar>
      </w:tblPr>
      <w:tblGrid>
        <w:gridCol w:w="3382"/>
        <w:gridCol w:w="6699"/>
        <w:gridCol w:w="4093"/>
      </w:tblGrid>
      <w:tr w14:paraId="65830CCE">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365ED527">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A3F9F33">
        <w:tblPrEx>
          <w:tblCellMar>
            <w:top w:w="0" w:type="dxa"/>
            <w:left w:w="108" w:type="dxa"/>
            <w:bottom w:w="0" w:type="dxa"/>
            <w:right w:w="108" w:type="dxa"/>
          </w:tblCellMar>
        </w:tblPrEx>
        <w:trPr>
          <w:trHeight w:val="825" w:hRule="atLeast"/>
        </w:trPr>
        <w:tc>
          <w:tcPr>
            <w:tcW w:w="1193" w:type="pct"/>
            <w:tcBorders>
              <w:top w:val="single" w:color="auto" w:sz="4" w:space="0"/>
              <w:left w:val="single" w:color="auto" w:sz="4" w:space="0"/>
              <w:bottom w:val="single" w:color="auto" w:sz="4" w:space="0"/>
              <w:right w:val="single" w:color="auto" w:sz="4" w:space="0"/>
            </w:tcBorders>
            <w:vAlign w:val="center"/>
          </w:tcPr>
          <w:p w14:paraId="4C7ABB74">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363" w:type="pct"/>
            <w:tcBorders>
              <w:top w:val="single" w:color="auto" w:sz="4" w:space="0"/>
              <w:left w:val="single" w:color="auto" w:sz="4" w:space="0"/>
              <w:bottom w:val="single" w:color="auto" w:sz="4" w:space="0"/>
              <w:right w:val="single" w:color="auto" w:sz="4" w:space="0"/>
            </w:tcBorders>
            <w:vAlign w:val="center"/>
          </w:tcPr>
          <w:p w14:paraId="60153B3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443" w:type="pct"/>
            <w:tcBorders>
              <w:top w:val="single" w:color="auto" w:sz="4" w:space="0"/>
              <w:left w:val="single" w:color="auto" w:sz="4" w:space="0"/>
              <w:bottom w:val="single" w:color="auto" w:sz="4" w:space="0"/>
              <w:right w:val="single" w:color="auto" w:sz="4" w:space="0"/>
            </w:tcBorders>
            <w:vAlign w:val="center"/>
          </w:tcPr>
          <w:p w14:paraId="3518EEC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96F70EA">
        <w:tblPrEx>
          <w:tblCellMar>
            <w:top w:w="0" w:type="dxa"/>
            <w:left w:w="108" w:type="dxa"/>
            <w:bottom w:w="0" w:type="dxa"/>
            <w:right w:w="108" w:type="dxa"/>
          </w:tblCellMar>
        </w:tblPrEx>
        <w:trPr>
          <w:trHeight w:val="794" w:hRule="atLeast"/>
        </w:trPr>
        <w:tc>
          <w:tcPr>
            <w:tcW w:w="1193" w:type="pct"/>
            <w:vMerge w:val="restart"/>
            <w:tcBorders>
              <w:top w:val="single" w:color="auto" w:sz="4" w:space="0"/>
              <w:left w:val="single" w:color="auto" w:sz="4" w:space="0"/>
              <w:bottom w:val="single" w:color="auto" w:sz="4" w:space="0"/>
              <w:right w:val="single" w:color="auto" w:sz="4" w:space="0"/>
            </w:tcBorders>
            <w:vAlign w:val="center"/>
          </w:tcPr>
          <w:p w14:paraId="3B31DE0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363" w:type="pct"/>
            <w:tcBorders>
              <w:top w:val="single" w:color="auto" w:sz="4" w:space="0"/>
              <w:left w:val="single" w:color="auto" w:sz="4" w:space="0"/>
              <w:bottom w:val="single" w:color="auto" w:sz="4" w:space="0"/>
              <w:right w:val="single" w:color="auto" w:sz="4" w:space="0"/>
            </w:tcBorders>
            <w:vAlign w:val="center"/>
          </w:tcPr>
          <w:p w14:paraId="7364042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单位和个人非法经营、出售用于预防传染病菌苗、疫苗等生物制品，出售金额不足5000元的。</w:t>
            </w:r>
          </w:p>
        </w:tc>
        <w:tc>
          <w:tcPr>
            <w:tcW w:w="1443" w:type="pct"/>
            <w:tcBorders>
              <w:top w:val="single" w:color="auto" w:sz="4" w:space="0"/>
              <w:left w:val="single" w:color="auto" w:sz="4" w:space="0"/>
              <w:bottom w:val="single" w:color="auto" w:sz="4" w:space="0"/>
              <w:right w:val="single" w:color="auto" w:sz="4" w:space="0"/>
            </w:tcBorders>
            <w:vAlign w:val="center"/>
          </w:tcPr>
          <w:p w14:paraId="794E7A9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处出售金额一倍的罚款。</w:t>
            </w:r>
          </w:p>
        </w:tc>
      </w:tr>
      <w:tr w14:paraId="7836EF3A">
        <w:tblPrEx>
          <w:tblCellMar>
            <w:top w:w="0" w:type="dxa"/>
            <w:left w:w="108" w:type="dxa"/>
            <w:bottom w:w="0" w:type="dxa"/>
            <w:right w:w="108" w:type="dxa"/>
          </w:tblCellMar>
        </w:tblPrEx>
        <w:trPr>
          <w:trHeight w:val="794"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3C8163E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363" w:type="pct"/>
            <w:tcBorders>
              <w:top w:val="single" w:color="auto" w:sz="4" w:space="0"/>
              <w:left w:val="single" w:color="auto" w:sz="4" w:space="0"/>
              <w:bottom w:val="single" w:color="auto" w:sz="4" w:space="0"/>
              <w:right w:val="single" w:color="auto" w:sz="4" w:space="0"/>
            </w:tcBorders>
            <w:vAlign w:val="center"/>
          </w:tcPr>
          <w:p w14:paraId="642BE0C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单位和个人非法经营、出售用于预防传染病菌苗、疫苗等生物制品，出售金额5000以上的。</w:t>
            </w:r>
          </w:p>
        </w:tc>
        <w:tc>
          <w:tcPr>
            <w:tcW w:w="1443" w:type="pct"/>
            <w:tcBorders>
              <w:top w:val="single" w:color="auto" w:sz="4" w:space="0"/>
              <w:left w:val="single" w:color="auto" w:sz="4" w:space="0"/>
              <w:bottom w:val="single" w:color="auto" w:sz="4" w:space="0"/>
              <w:right w:val="single" w:color="auto" w:sz="4" w:space="0"/>
            </w:tcBorders>
            <w:vAlign w:val="center"/>
          </w:tcPr>
          <w:p w14:paraId="4AC6472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处出售金额二倍的罚款。</w:t>
            </w:r>
          </w:p>
        </w:tc>
      </w:tr>
      <w:tr w14:paraId="7C8380A4">
        <w:tblPrEx>
          <w:tblCellMar>
            <w:top w:w="0" w:type="dxa"/>
            <w:left w:w="108" w:type="dxa"/>
            <w:bottom w:w="0" w:type="dxa"/>
            <w:right w:w="108" w:type="dxa"/>
          </w:tblCellMar>
        </w:tblPrEx>
        <w:trPr>
          <w:trHeight w:val="794" w:hRule="atLeast"/>
        </w:trPr>
        <w:tc>
          <w:tcPr>
            <w:tcW w:w="1193" w:type="pct"/>
            <w:tcBorders>
              <w:top w:val="single" w:color="auto" w:sz="4" w:space="0"/>
              <w:left w:val="single" w:color="auto" w:sz="4" w:space="0"/>
              <w:bottom w:val="single" w:color="auto" w:sz="4" w:space="0"/>
              <w:right w:val="single" w:color="auto" w:sz="4" w:space="0"/>
            </w:tcBorders>
            <w:vAlign w:val="center"/>
          </w:tcPr>
          <w:p w14:paraId="6161578F">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363" w:type="pct"/>
            <w:tcBorders>
              <w:top w:val="single" w:color="auto" w:sz="4" w:space="0"/>
              <w:left w:val="single" w:color="auto" w:sz="4" w:space="0"/>
              <w:bottom w:val="single" w:color="auto" w:sz="4" w:space="0"/>
              <w:right w:val="single" w:color="auto" w:sz="4" w:space="0"/>
            </w:tcBorders>
            <w:vAlign w:val="center"/>
          </w:tcPr>
          <w:p w14:paraId="72513F4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单位和个人非法经营、出售用于预防传染病菌苗、疫苗等生物制品，造成接种者死亡、传染病防控失效等严重后果的。</w:t>
            </w:r>
          </w:p>
        </w:tc>
        <w:tc>
          <w:tcPr>
            <w:tcW w:w="1443" w:type="pct"/>
            <w:tcBorders>
              <w:top w:val="single" w:color="auto" w:sz="4" w:space="0"/>
              <w:left w:val="single" w:color="auto" w:sz="4" w:space="0"/>
              <w:bottom w:val="single" w:color="auto" w:sz="4" w:space="0"/>
              <w:right w:val="single" w:color="auto" w:sz="4" w:space="0"/>
            </w:tcBorders>
            <w:vAlign w:val="center"/>
          </w:tcPr>
          <w:p w14:paraId="1E130B2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处出售金额三倍的罚款。</w:t>
            </w:r>
          </w:p>
        </w:tc>
      </w:tr>
    </w:tbl>
    <w:p w14:paraId="3DDF6EDD">
      <w:pPr>
        <w:pStyle w:val="4"/>
        <w:widowControl w:val="0"/>
        <w:ind w:firstLine="640"/>
        <w:jc w:val="both"/>
        <w:rPr>
          <w:rFonts w:hint="eastAsia" w:ascii="Times New Roman" w:hAnsi="Times New Roman" w:eastAsia="仿宋_GB2312" w:cs="Times New Roman"/>
          <w:bCs w:val="0"/>
          <w:color w:val="000000" w:themeColor="text1"/>
          <w14:textFill>
            <w14:solidFill>
              <w14:schemeClr w14:val="tx1"/>
            </w14:solidFill>
          </w14:textFill>
        </w:rPr>
      </w:pPr>
      <w:bookmarkStart w:id="472" w:name="_Toc14334"/>
      <w:bookmarkStart w:id="473" w:name="_Toc3193"/>
      <w:bookmarkStart w:id="474" w:name="_Toc30042"/>
      <w:bookmarkStart w:id="475" w:name="_Toc6358"/>
      <w:bookmarkStart w:id="476" w:name="_Toc21587"/>
      <w:bookmarkStart w:id="477" w:name="_Toc17957"/>
      <w:bookmarkStart w:id="478" w:name="_Toc16247"/>
      <w:bookmarkStart w:id="479" w:name="_Toc565"/>
      <w:bookmarkStart w:id="480" w:name="_Toc2148"/>
      <w:bookmarkStart w:id="481" w:name="_Toc29906"/>
      <w:bookmarkStart w:id="482" w:name="_Toc2454"/>
      <w:r>
        <w:rPr>
          <w:rFonts w:hint="eastAsia"/>
          <w:color w:val="000000" w:themeColor="text1"/>
          <w14:textFill>
            <w14:solidFill>
              <w14:schemeClr w14:val="tx1"/>
            </w14:solidFill>
          </w14:textFill>
        </w:rPr>
        <w:t>第四十五条 个体行医人员在执行职务时，不报、漏报、迟报传染病疫情的</w:t>
      </w:r>
      <w:bookmarkEnd w:id="472"/>
      <w:bookmarkEnd w:id="473"/>
      <w:bookmarkEnd w:id="474"/>
      <w:bookmarkEnd w:id="475"/>
      <w:bookmarkEnd w:id="476"/>
      <w:bookmarkEnd w:id="477"/>
      <w:bookmarkEnd w:id="478"/>
      <w:bookmarkEnd w:id="479"/>
      <w:bookmarkEnd w:id="480"/>
      <w:bookmarkEnd w:id="481"/>
      <w:bookmarkEnd w:id="482"/>
    </w:p>
    <w:p w14:paraId="66B3E7F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12B21FAD">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《中华人民共和国传染病防治法实施办法》第七十一条第二款 　个体行医人员在执行职务时，不报、漏报、迟报传染病疫情的，由县级以上政府卫生行政部门责令限期改正，限期内不改的，可以处一百元以上五百元以下罚款；对造成传染病传播流行的，可以处二百元以上二千元以下罚款。</w:t>
      </w:r>
    </w:p>
    <w:tbl>
      <w:tblPr>
        <w:tblStyle w:val="24"/>
        <w:tblW w:w="5000" w:type="pct"/>
        <w:tblInd w:w="0" w:type="dxa"/>
        <w:tblLayout w:type="autofit"/>
        <w:tblCellMar>
          <w:top w:w="0" w:type="dxa"/>
          <w:left w:w="108" w:type="dxa"/>
          <w:bottom w:w="0" w:type="dxa"/>
          <w:right w:w="108" w:type="dxa"/>
        </w:tblCellMar>
      </w:tblPr>
      <w:tblGrid>
        <w:gridCol w:w="3381"/>
        <w:gridCol w:w="5826"/>
        <w:gridCol w:w="4967"/>
      </w:tblGrid>
      <w:tr w14:paraId="6E424824">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067B35F3">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5A81E566">
        <w:tblPrEx>
          <w:tblCellMar>
            <w:top w:w="0" w:type="dxa"/>
            <w:left w:w="108" w:type="dxa"/>
            <w:bottom w:w="0" w:type="dxa"/>
            <w:right w:w="108" w:type="dxa"/>
          </w:tblCellMar>
        </w:tblPrEx>
        <w:trPr>
          <w:trHeight w:val="825" w:hRule="atLeast"/>
        </w:trPr>
        <w:tc>
          <w:tcPr>
            <w:tcW w:w="1193" w:type="pct"/>
            <w:tcBorders>
              <w:top w:val="single" w:color="auto" w:sz="4" w:space="0"/>
              <w:left w:val="single" w:color="auto" w:sz="4" w:space="0"/>
              <w:bottom w:val="single" w:color="auto" w:sz="4" w:space="0"/>
              <w:right w:val="single" w:color="auto" w:sz="4" w:space="0"/>
            </w:tcBorders>
            <w:vAlign w:val="center"/>
          </w:tcPr>
          <w:p w14:paraId="4A08380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055" w:type="pct"/>
            <w:tcBorders>
              <w:top w:val="single" w:color="auto" w:sz="4" w:space="0"/>
              <w:left w:val="single" w:color="auto" w:sz="4" w:space="0"/>
              <w:bottom w:val="single" w:color="auto" w:sz="4" w:space="0"/>
              <w:right w:val="single" w:color="auto" w:sz="4" w:space="0"/>
            </w:tcBorders>
            <w:vAlign w:val="center"/>
          </w:tcPr>
          <w:p w14:paraId="05989CF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751" w:type="pct"/>
            <w:tcBorders>
              <w:top w:val="single" w:color="auto" w:sz="4" w:space="0"/>
              <w:left w:val="single" w:color="auto" w:sz="4" w:space="0"/>
              <w:bottom w:val="single" w:color="auto" w:sz="4" w:space="0"/>
              <w:right w:val="single" w:color="auto" w:sz="4" w:space="0"/>
            </w:tcBorders>
            <w:vAlign w:val="center"/>
          </w:tcPr>
          <w:p w14:paraId="0B4CC41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45700C2">
        <w:tblPrEx>
          <w:tblCellMar>
            <w:top w:w="0" w:type="dxa"/>
            <w:left w:w="108" w:type="dxa"/>
            <w:bottom w:w="0" w:type="dxa"/>
            <w:right w:w="108" w:type="dxa"/>
          </w:tblCellMar>
        </w:tblPrEx>
        <w:trPr>
          <w:trHeight w:val="528" w:hRule="atLeast"/>
        </w:trPr>
        <w:tc>
          <w:tcPr>
            <w:tcW w:w="1193" w:type="pct"/>
            <w:tcBorders>
              <w:top w:val="single" w:color="auto" w:sz="4" w:space="0"/>
              <w:left w:val="single" w:color="auto" w:sz="4" w:space="0"/>
              <w:bottom w:val="single" w:color="auto" w:sz="4" w:space="0"/>
              <w:right w:val="single" w:color="auto" w:sz="4" w:space="0"/>
            </w:tcBorders>
            <w:vAlign w:val="center"/>
          </w:tcPr>
          <w:p w14:paraId="5E843E77">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2055" w:type="pct"/>
            <w:tcBorders>
              <w:top w:val="single" w:color="auto" w:sz="4" w:space="0"/>
              <w:left w:val="single" w:color="auto" w:sz="4" w:space="0"/>
              <w:bottom w:val="single" w:color="auto" w:sz="4" w:space="0"/>
              <w:right w:val="single" w:color="auto" w:sz="4" w:space="0"/>
            </w:tcBorders>
            <w:vAlign w:val="center"/>
          </w:tcPr>
          <w:p w14:paraId="744B51BD">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首次发现违法行为，未造成传染病传播流行的。</w:t>
            </w:r>
          </w:p>
        </w:tc>
        <w:tc>
          <w:tcPr>
            <w:tcW w:w="1751" w:type="pct"/>
            <w:tcBorders>
              <w:top w:val="single" w:color="auto" w:sz="4" w:space="0"/>
              <w:left w:val="single" w:color="auto" w:sz="4" w:space="0"/>
              <w:bottom w:val="single" w:color="auto" w:sz="4" w:space="0"/>
              <w:right w:val="single" w:color="auto" w:sz="4" w:space="0"/>
            </w:tcBorders>
            <w:vAlign w:val="center"/>
          </w:tcPr>
          <w:p w14:paraId="3F7A62F3">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w:t>
            </w:r>
          </w:p>
        </w:tc>
      </w:tr>
      <w:tr w14:paraId="11828BCA">
        <w:tblPrEx>
          <w:tblCellMar>
            <w:top w:w="0" w:type="dxa"/>
            <w:left w:w="108" w:type="dxa"/>
            <w:bottom w:w="0" w:type="dxa"/>
            <w:right w:w="108" w:type="dxa"/>
          </w:tblCellMar>
        </w:tblPrEx>
        <w:trPr>
          <w:trHeight w:val="665" w:hRule="atLeast"/>
        </w:trPr>
        <w:tc>
          <w:tcPr>
            <w:tcW w:w="1193" w:type="pct"/>
            <w:tcBorders>
              <w:top w:val="single" w:color="auto" w:sz="4" w:space="0"/>
              <w:left w:val="single" w:color="auto" w:sz="4" w:space="0"/>
              <w:bottom w:val="single" w:color="auto" w:sz="4" w:space="0"/>
              <w:right w:val="single" w:color="auto" w:sz="4" w:space="0"/>
            </w:tcBorders>
            <w:vAlign w:val="center"/>
          </w:tcPr>
          <w:p w14:paraId="56181B7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055" w:type="pct"/>
            <w:tcBorders>
              <w:top w:val="single" w:color="auto" w:sz="4" w:space="0"/>
              <w:left w:val="single" w:color="auto" w:sz="4" w:space="0"/>
              <w:bottom w:val="single" w:color="auto" w:sz="4" w:space="0"/>
              <w:right w:val="single" w:color="auto" w:sz="4" w:space="0"/>
            </w:tcBorders>
            <w:vAlign w:val="center"/>
          </w:tcPr>
          <w:p w14:paraId="2CC1E267">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责令限期改正，限期内不改的。</w:t>
            </w:r>
          </w:p>
        </w:tc>
        <w:tc>
          <w:tcPr>
            <w:tcW w:w="1751" w:type="pct"/>
            <w:tcBorders>
              <w:top w:val="single" w:color="auto" w:sz="4" w:space="0"/>
              <w:left w:val="single" w:color="auto" w:sz="4" w:space="0"/>
              <w:bottom w:val="single" w:color="auto" w:sz="4" w:space="0"/>
              <w:right w:val="single" w:color="auto" w:sz="4" w:space="0"/>
            </w:tcBorders>
            <w:vAlign w:val="center"/>
          </w:tcPr>
          <w:p w14:paraId="380A0127">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处100元以上500元以下罚款。</w:t>
            </w:r>
          </w:p>
        </w:tc>
      </w:tr>
      <w:tr w14:paraId="46C1108D">
        <w:tblPrEx>
          <w:tblCellMar>
            <w:top w:w="0" w:type="dxa"/>
            <w:left w:w="108" w:type="dxa"/>
            <w:bottom w:w="0" w:type="dxa"/>
            <w:right w:w="108" w:type="dxa"/>
          </w:tblCellMar>
        </w:tblPrEx>
        <w:trPr>
          <w:trHeight w:val="760" w:hRule="atLeast"/>
        </w:trPr>
        <w:tc>
          <w:tcPr>
            <w:tcW w:w="1193" w:type="pct"/>
            <w:tcBorders>
              <w:top w:val="single" w:color="auto" w:sz="4" w:space="0"/>
              <w:left w:val="single" w:color="auto" w:sz="4" w:space="0"/>
              <w:bottom w:val="single" w:color="auto" w:sz="4" w:space="0"/>
              <w:right w:val="single" w:color="auto" w:sz="4" w:space="0"/>
            </w:tcBorders>
            <w:vAlign w:val="center"/>
          </w:tcPr>
          <w:p w14:paraId="7B9CABB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2055" w:type="pct"/>
            <w:tcBorders>
              <w:top w:val="single" w:color="auto" w:sz="4" w:space="0"/>
              <w:left w:val="single" w:color="auto" w:sz="4" w:space="0"/>
              <w:bottom w:val="single" w:color="auto" w:sz="4" w:space="0"/>
              <w:right w:val="single" w:color="auto" w:sz="4" w:space="0"/>
            </w:tcBorders>
            <w:vAlign w:val="center"/>
          </w:tcPr>
          <w:p w14:paraId="669895C7">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责令限期改正，限期内不改，造成传染病传播流行的。</w:t>
            </w:r>
          </w:p>
        </w:tc>
        <w:tc>
          <w:tcPr>
            <w:tcW w:w="1751" w:type="pct"/>
            <w:tcBorders>
              <w:top w:val="single" w:color="auto" w:sz="4" w:space="0"/>
              <w:left w:val="single" w:color="auto" w:sz="4" w:space="0"/>
              <w:bottom w:val="single" w:color="auto" w:sz="4" w:space="0"/>
              <w:right w:val="single" w:color="auto" w:sz="4" w:space="0"/>
            </w:tcBorders>
            <w:vAlign w:val="center"/>
          </w:tcPr>
          <w:p w14:paraId="7238401A">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处500元以上2000元以下罚款。</w:t>
            </w:r>
          </w:p>
        </w:tc>
      </w:tr>
    </w:tbl>
    <w:p w14:paraId="4643F855">
      <w:pPr>
        <w:pStyle w:val="3"/>
        <w:keepNext w:val="0"/>
        <w:keepLines w:val="0"/>
        <w:widowControl w:val="0"/>
        <w:numPr>
          <w:ilvl w:val="0"/>
          <w:numId w:val="0"/>
        </w:numPr>
        <w:spacing w:before="157" w:beforeLines="50" w:after="157" w:afterLines="5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483" w:name="_Toc10204"/>
      <w:bookmarkStart w:id="484" w:name="_Toc27824"/>
      <w:bookmarkStart w:id="485" w:name="_Toc15830"/>
      <w:bookmarkStart w:id="486" w:name="_Toc23801"/>
      <w:bookmarkStart w:id="487" w:name="_Toc4764"/>
      <w:bookmarkStart w:id="488" w:name="_Toc25458"/>
      <w:bookmarkStart w:id="489" w:name="_Toc27032"/>
      <w:bookmarkStart w:id="490" w:name="_Toc156"/>
      <w:bookmarkStart w:id="491" w:name="_Toc12215"/>
      <w:bookmarkStart w:id="492" w:name="_Toc6523"/>
      <w:bookmarkStart w:id="493" w:name="_Toc9214"/>
      <w:bookmarkStart w:id="494" w:name="_Toc16825"/>
      <w:bookmarkStart w:id="495" w:name="_Toc1888"/>
      <w:r>
        <w:rPr>
          <w:rFonts w:hint="eastAsia" w:ascii="Times New Roman" w:hAnsi="Times New Roman" w:eastAsia="楷体_GB2312" w:cs="楷体_GB2312"/>
          <w:b/>
          <w:bCs/>
          <w:color w:val="000000" w:themeColor="text1"/>
          <w:sz w:val="32"/>
          <w:szCs w:val="32"/>
          <w:lang w:val="en-US" w:eastAsia="zh-CN" w:bidi="ar-SA"/>
          <w14:textFill>
            <w14:solidFill>
              <w14:schemeClr w14:val="tx1"/>
            </w14:solidFill>
          </w14:textFill>
        </w:rPr>
        <w:t>（五）</w:t>
      </w:r>
      <w:r>
        <w:rPr>
          <w:rFonts w:hint="eastAsia" w:ascii="Times New Roman" w:hAnsi="Times New Roman" w:eastAsia="楷体_GB2312" w:cs="楷体_GB2312"/>
          <w:color w:val="000000" w:themeColor="text1"/>
          <w14:textFill>
            <w14:solidFill>
              <w14:schemeClr w14:val="tx1"/>
            </w14:solidFill>
          </w14:textFill>
        </w:rPr>
        <w:t>《中华人民共和国疫苗管理法》</w:t>
      </w:r>
      <w:bookmarkEnd w:id="483"/>
      <w:bookmarkEnd w:id="484"/>
      <w:bookmarkEnd w:id="485"/>
      <w:bookmarkEnd w:id="486"/>
      <w:bookmarkEnd w:id="487"/>
      <w:bookmarkEnd w:id="488"/>
      <w:bookmarkEnd w:id="489"/>
      <w:bookmarkEnd w:id="490"/>
      <w:bookmarkEnd w:id="491"/>
      <w:bookmarkEnd w:id="492"/>
      <w:bookmarkEnd w:id="493"/>
      <w:bookmarkEnd w:id="494"/>
      <w:bookmarkEnd w:id="495"/>
    </w:p>
    <w:p w14:paraId="467AF687">
      <w:pPr>
        <w:pStyle w:val="4"/>
        <w:widowControl w:val="0"/>
        <w:ind w:firstLine="640"/>
        <w:jc w:val="both"/>
        <w:rPr>
          <w:rFonts w:hint="eastAsia"/>
          <w:color w:val="000000" w:themeColor="text1"/>
          <w14:textFill>
            <w14:solidFill>
              <w14:schemeClr w14:val="tx1"/>
            </w14:solidFill>
          </w14:textFill>
        </w:rPr>
      </w:pPr>
      <w:bookmarkStart w:id="496" w:name="_Toc7432"/>
      <w:bookmarkStart w:id="497" w:name="_Toc5527"/>
      <w:bookmarkStart w:id="498" w:name="_Toc1260"/>
      <w:bookmarkStart w:id="499" w:name="_Toc1749"/>
      <w:bookmarkStart w:id="500" w:name="_Toc18194"/>
      <w:bookmarkStart w:id="501" w:name="_Toc30055"/>
      <w:bookmarkStart w:id="502" w:name="_Toc16975"/>
      <w:bookmarkStart w:id="503" w:name="_Toc11449"/>
      <w:bookmarkStart w:id="504" w:name="_Toc28053"/>
      <w:bookmarkStart w:id="505" w:name="_Toc21946"/>
      <w:bookmarkStart w:id="506" w:name="_Toc22359"/>
      <w:r>
        <w:rPr>
          <w:rFonts w:hint="eastAsia"/>
          <w:color w:val="000000" w:themeColor="text1"/>
          <w14:textFill>
            <w14:solidFill>
              <w14:schemeClr w14:val="tx1"/>
            </w14:solidFill>
          </w14:textFill>
        </w:rPr>
        <w:t>第四十六条 疾病预防控制机构、接种单位违反疫苗储存、运输管理规范有关冷链储存、运输要求的</w:t>
      </w:r>
      <w:bookmarkEnd w:id="496"/>
      <w:bookmarkEnd w:id="497"/>
      <w:bookmarkEnd w:id="498"/>
      <w:bookmarkEnd w:id="499"/>
      <w:bookmarkEnd w:id="500"/>
      <w:bookmarkEnd w:id="501"/>
      <w:bookmarkEnd w:id="502"/>
      <w:bookmarkEnd w:id="503"/>
      <w:bookmarkEnd w:id="504"/>
      <w:bookmarkEnd w:id="505"/>
      <w:bookmarkEnd w:id="506"/>
      <w:r>
        <w:rPr>
          <w:rFonts w:hint="eastAsia"/>
          <w:color w:val="000000" w:themeColor="text1"/>
          <w14:textFill>
            <w14:solidFill>
              <w14:schemeClr w14:val="tx1"/>
            </w14:solidFill>
          </w14:textFill>
        </w:rPr>
        <w:t xml:space="preserve"> </w:t>
      </w:r>
    </w:p>
    <w:p w14:paraId="470F6A8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202051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《中华人民共和国疫苗管理法》第八十五条第二款</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疾病预防控制机构、接种单位有前款规定违法行为的，由县级以上人民政府卫生健康主管部门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并可以吊销接种单位的接种资格，由原发证部门吊销负有责任的医疗卫生人员的执业证书。</w:t>
      </w:r>
    </w:p>
    <w:tbl>
      <w:tblPr>
        <w:tblStyle w:val="24"/>
        <w:tblW w:w="5000" w:type="pct"/>
        <w:tblInd w:w="0" w:type="dxa"/>
        <w:tblLayout w:type="autofit"/>
        <w:tblCellMar>
          <w:top w:w="0" w:type="dxa"/>
          <w:left w:w="108" w:type="dxa"/>
          <w:bottom w:w="0" w:type="dxa"/>
          <w:right w:w="108" w:type="dxa"/>
        </w:tblCellMar>
      </w:tblPr>
      <w:tblGrid>
        <w:gridCol w:w="3382"/>
        <w:gridCol w:w="5395"/>
        <w:gridCol w:w="5397"/>
      </w:tblGrid>
      <w:tr w14:paraId="5CF4FB0B">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2AE21D13">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30B29720">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7C05070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1903" w:type="pct"/>
            <w:tcBorders>
              <w:top w:val="single" w:color="auto" w:sz="4" w:space="0"/>
              <w:left w:val="single" w:color="auto" w:sz="4" w:space="0"/>
              <w:bottom w:val="single" w:color="auto" w:sz="4" w:space="0"/>
              <w:right w:val="single" w:color="auto" w:sz="4" w:space="0"/>
            </w:tcBorders>
            <w:vAlign w:val="center"/>
          </w:tcPr>
          <w:p w14:paraId="7140BE63">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903" w:type="pct"/>
            <w:tcBorders>
              <w:top w:val="single" w:color="auto" w:sz="4" w:space="0"/>
              <w:left w:val="single" w:color="auto" w:sz="4" w:space="0"/>
              <w:bottom w:val="single" w:color="auto" w:sz="4" w:space="0"/>
              <w:right w:val="single" w:color="auto" w:sz="4" w:space="0"/>
            </w:tcBorders>
            <w:vAlign w:val="center"/>
          </w:tcPr>
          <w:p w14:paraId="69B8DED4">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0A687BA">
        <w:tblPrEx>
          <w:tblCellMar>
            <w:top w:w="0" w:type="dxa"/>
            <w:left w:w="108" w:type="dxa"/>
            <w:bottom w:w="0" w:type="dxa"/>
            <w:right w:w="108" w:type="dxa"/>
          </w:tblCellMar>
        </w:tblPrEx>
        <w:trPr>
          <w:trHeight w:val="583" w:hRule="atLeast"/>
        </w:trPr>
        <w:tc>
          <w:tcPr>
            <w:tcW w:w="1193" w:type="pct"/>
            <w:tcBorders>
              <w:top w:val="single" w:color="auto" w:sz="4" w:space="0"/>
              <w:left w:val="single" w:color="auto" w:sz="4" w:space="0"/>
              <w:bottom w:val="single" w:color="auto" w:sz="4" w:space="0"/>
              <w:right w:val="single" w:color="auto" w:sz="4" w:space="0"/>
            </w:tcBorders>
            <w:vAlign w:val="center"/>
          </w:tcPr>
          <w:p w14:paraId="3F76924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1903" w:type="pct"/>
            <w:tcBorders>
              <w:top w:val="single" w:color="auto" w:sz="4" w:space="0"/>
              <w:left w:val="single" w:color="auto" w:sz="4" w:space="0"/>
              <w:bottom w:val="single" w:color="auto" w:sz="4" w:space="0"/>
              <w:right w:val="single" w:color="auto" w:sz="4" w:space="0"/>
            </w:tcBorders>
            <w:vAlign w:val="center"/>
          </w:tcPr>
          <w:p w14:paraId="2D420DB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疾病预防控制机构、接种单位违反疫苗储存、运输管理规范有关冷链储存、运输要求，涉及疫苗种类一至五种的。</w:t>
            </w:r>
          </w:p>
        </w:tc>
        <w:tc>
          <w:tcPr>
            <w:tcW w:w="1903" w:type="pct"/>
            <w:tcBorders>
              <w:top w:val="single" w:color="auto" w:sz="4" w:space="0"/>
              <w:left w:val="single" w:color="auto" w:sz="4" w:space="0"/>
              <w:bottom w:val="single" w:color="auto" w:sz="4" w:space="0"/>
              <w:right w:val="single" w:color="auto" w:sz="4" w:space="0"/>
            </w:tcBorders>
            <w:vAlign w:val="center"/>
          </w:tcPr>
          <w:p w14:paraId="199693F9">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责令负有责任的医疗卫生人员暂停一年以上十五个月以下执业活动。</w:t>
            </w:r>
          </w:p>
        </w:tc>
      </w:tr>
      <w:tr w14:paraId="3E3B5228">
        <w:tblPrEx>
          <w:tblCellMar>
            <w:top w:w="0" w:type="dxa"/>
            <w:left w:w="108" w:type="dxa"/>
            <w:bottom w:w="0" w:type="dxa"/>
            <w:right w:w="108" w:type="dxa"/>
          </w:tblCellMar>
        </w:tblPrEx>
        <w:trPr>
          <w:trHeight w:val="690" w:hRule="atLeast"/>
        </w:trPr>
        <w:tc>
          <w:tcPr>
            <w:tcW w:w="1193" w:type="pct"/>
            <w:tcBorders>
              <w:top w:val="single" w:color="auto" w:sz="4" w:space="0"/>
              <w:left w:val="single" w:color="auto" w:sz="4" w:space="0"/>
              <w:bottom w:val="single" w:color="auto" w:sz="4" w:space="0"/>
              <w:right w:val="single" w:color="auto" w:sz="4" w:space="0"/>
            </w:tcBorders>
            <w:vAlign w:val="center"/>
          </w:tcPr>
          <w:p w14:paraId="37CD5F3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1903" w:type="pct"/>
            <w:tcBorders>
              <w:top w:val="single" w:color="auto" w:sz="4" w:space="0"/>
              <w:left w:val="single" w:color="auto" w:sz="4" w:space="0"/>
              <w:bottom w:val="single" w:color="auto" w:sz="4" w:space="0"/>
              <w:right w:val="single" w:color="auto" w:sz="4" w:space="0"/>
            </w:tcBorders>
            <w:vAlign w:val="center"/>
          </w:tcPr>
          <w:p w14:paraId="326E1E2C">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疾病预防控制机构、接种单位违反疫苗储存、运输管理规范有关冷链储存、运输要求，涉及疫苗种类六种以上的。</w:t>
            </w:r>
          </w:p>
        </w:tc>
        <w:tc>
          <w:tcPr>
            <w:tcW w:w="1903" w:type="pct"/>
            <w:tcBorders>
              <w:top w:val="single" w:color="auto" w:sz="4" w:space="0"/>
              <w:left w:val="single" w:color="auto" w:sz="4" w:space="0"/>
              <w:bottom w:val="single" w:color="auto" w:sz="4" w:space="0"/>
              <w:right w:val="single" w:color="auto" w:sz="4" w:space="0"/>
            </w:tcBorders>
            <w:vAlign w:val="center"/>
          </w:tcPr>
          <w:p w14:paraId="651E22C3">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责令负有责任的医疗卫生人员暂停十五个月以上十八个月以下执业活动。</w:t>
            </w:r>
          </w:p>
        </w:tc>
      </w:tr>
      <w:tr w14:paraId="5D8FE50D">
        <w:tblPrEx>
          <w:tblCellMar>
            <w:top w:w="0" w:type="dxa"/>
            <w:left w:w="108" w:type="dxa"/>
            <w:bottom w:w="0" w:type="dxa"/>
            <w:right w:w="108" w:type="dxa"/>
          </w:tblCellMar>
        </w:tblPrEx>
        <w:trPr>
          <w:trHeight w:val="907" w:hRule="atLeast"/>
        </w:trPr>
        <w:tc>
          <w:tcPr>
            <w:tcW w:w="1193" w:type="pct"/>
            <w:tcBorders>
              <w:top w:val="single" w:color="auto" w:sz="4" w:space="0"/>
              <w:left w:val="single" w:color="auto" w:sz="4" w:space="0"/>
              <w:bottom w:val="single" w:color="auto" w:sz="4" w:space="0"/>
              <w:right w:val="single" w:color="auto" w:sz="4" w:space="0"/>
            </w:tcBorders>
            <w:vAlign w:val="center"/>
          </w:tcPr>
          <w:p w14:paraId="77AAA48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1903" w:type="pct"/>
            <w:tcBorders>
              <w:top w:val="single" w:color="auto" w:sz="4" w:space="0"/>
              <w:left w:val="single" w:color="auto" w:sz="4" w:space="0"/>
              <w:bottom w:val="single" w:color="auto" w:sz="4" w:space="0"/>
              <w:right w:val="single" w:color="auto" w:sz="4" w:space="0"/>
            </w:tcBorders>
            <w:vAlign w:val="center"/>
          </w:tcPr>
          <w:p w14:paraId="3A6A1DDD">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疾病预防控制机构、接种单位违反疫苗储存、运输管理规范有关冷链储存、运输要求，导致接种疫苗后造成人员伤残或死亡等严重后果的。</w:t>
            </w:r>
          </w:p>
        </w:tc>
        <w:tc>
          <w:tcPr>
            <w:tcW w:w="1903" w:type="pct"/>
            <w:tcBorders>
              <w:top w:val="single" w:color="auto" w:sz="4" w:space="0"/>
              <w:left w:val="single" w:color="auto" w:sz="4" w:space="0"/>
              <w:bottom w:val="single" w:color="auto" w:sz="4" w:space="0"/>
              <w:right w:val="single" w:color="auto" w:sz="4" w:space="0"/>
            </w:tcBorders>
            <w:vAlign w:val="center"/>
          </w:tcPr>
          <w:p w14:paraId="086556D1">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吊销接种单位的接种资格，由原发证部门吊销负有责任的医疗卫生人员的执业证书。</w:t>
            </w:r>
          </w:p>
        </w:tc>
      </w:tr>
    </w:tbl>
    <w:p w14:paraId="610E3384">
      <w:pPr>
        <w:pStyle w:val="4"/>
        <w:widowControl w:val="0"/>
        <w:ind w:firstLine="640"/>
        <w:jc w:val="both"/>
        <w:rPr>
          <w:rFonts w:hint="eastAsia" w:ascii="Times New Roman" w:hAnsi="Times New Roman" w:eastAsia="仿宋_GB2312" w:cs="Times New Roman"/>
          <w:bCs w:val="0"/>
          <w:color w:val="000000" w:themeColor="text1"/>
          <w14:textFill>
            <w14:solidFill>
              <w14:schemeClr w14:val="tx1"/>
            </w14:solidFill>
          </w14:textFill>
        </w:rPr>
      </w:pPr>
      <w:bookmarkStart w:id="507" w:name="_Toc28396"/>
      <w:bookmarkStart w:id="508" w:name="_Toc14331"/>
      <w:bookmarkStart w:id="509" w:name="_Toc21903"/>
      <w:bookmarkStart w:id="510" w:name="_Toc26177"/>
      <w:bookmarkStart w:id="511" w:name="_Toc22471"/>
      <w:bookmarkStart w:id="512" w:name="_Toc5247"/>
      <w:bookmarkStart w:id="513" w:name="_Toc13166"/>
      <w:bookmarkStart w:id="514" w:name="_Toc4563"/>
      <w:bookmarkStart w:id="515" w:name="_Toc15850"/>
      <w:bookmarkStart w:id="516" w:name="_Toc32345"/>
      <w:bookmarkStart w:id="517" w:name="_Toc21973"/>
      <w:r>
        <w:rPr>
          <w:rFonts w:hint="eastAsia"/>
          <w:color w:val="000000" w:themeColor="text1"/>
          <w14:textFill>
            <w14:solidFill>
              <w14:schemeClr w14:val="tx1"/>
            </w14:solidFill>
          </w14:textFill>
        </w:rPr>
        <w:t xml:space="preserve">第四十七条 </w:t>
      </w:r>
      <w:r>
        <w:rPr>
          <w:rStyle w:val="26"/>
          <w:rFonts w:hint="eastAsia" w:ascii="Times New Roman" w:hAnsi="Times New Roman" w:cs="Times New Roman"/>
          <w:b/>
          <w:color w:val="000000" w:themeColor="text1"/>
          <w14:textFill>
            <w14:solidFill>
              <w14:schemeClr w14:val="tx1"/>
            </w14:solidFill>
          </w14:textFill>
        </w:rPr>
        <w:t>疾病预防控制机构、接种单位有本法第八十五条规定以外的违反疫苗储存、运输管理规范行为的</w:t>
      </w:r>
      <w:bookmarkEnd w:id="507"/>
      <w:bookmarkEnd w:id="508"/>
      <w:bookmarkEnd w:id="509"/>
      <w:bookmarkEnd w:id="510"/>
      <w:bookmarkEnd w:id="511"/>
      <w:bookmarkEnd w:id="512"/>
      <w:bookmarkEnd w:id="513"/>
      <w:bookmarkEnd w:id="514"/>
      <w:bookmarkEnd w:id="515"/>
      <w:bookmarkEnd w:id="516"/>
      <w:bookmarkEnd w:id="517"/>
      <w:r>
        <w:rPr>
          <w:rFonts w:hint="eastAsia" w:cs="Times New Roman"/>
          <w:bCs w:val="0"/>
          <w:color w:val="000000" w:themeColor="text1"/>
          <w:lang w:eastAsia="zh-CN"/>
          <w14:textFill>
            <w14:solidFill>
              <w14:schemeClr w14:val="tx1"/>
            </w14:solidFill>
          </w14:textFill>
        </w:rPr>
        <w:t xml:space="preserve"> </w:t>
      </w:r>
    </w:p>
    <w:p w14:paraId="22A7AFD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57A8641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《中华人民共和国疫苗管理法》第八十六条第二款</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疾病预防控制机构、接种单位有前款规定违法行为的，县级以上人民政府卫生健康主管部门可以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tbl>
      <w:tblPr>
        <w:tblStyle w:val="24"/>
        <w:tblW w:w="5000" w:type="pct"/>
        <w:tblInd w:w="0" w:type="dxa"/>
        <w:tblLayout w:type="autofit"/>
        <w:tblCellMar>
          <w:top w:w="0" w:type="dxa"/>
          <w:left w:w="108" w:type="dxa"/>
          <w:bottom w:w="0" w:type="dxa"/>
          <w:right w:w="108" w:type="dxa"/>
        </w:tblCellMar>
      </w:tblPr>
      <w:tblGrid>
        <w:gridCol w:w="1970"/>
        <w:gridCol w:w="7209"/>
        <w:gridCol w:w="4995"/>
      </w:tblGrid>
      <w:tr w14:paraId="4A3E69F7">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1B73ACF1">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EA46A5E">
        <w:tblPrEx>
          <w:tblCellMar>
            <w:top w:w="0" w:type="dxa"/>
            <w:left w:w="108" w:type="dxa"/>
            <w:bottom w:w="0" w:type="dxa"/>
            <w:right w:w="108" w:type="dxa"/>
          </w:tblCellMar>
        </w:tblPrEx>
        <w:trPr>
          <w:trHeight w:val="567" w:hRule="atLeast"/>
        </w:trPr>
        <w:tc>
          <w:tcPr>
            <w:tcW w:w="695" w:type="pct"/>
            <w:tcBorders>
              <w:top w:val="single" w:color="auto" w:sz="4" w:space="0"/>
              <w:left w:val="single" w:color="auto" w:sz="4" w:space="0"/>
              <w:bottom w:val="single" w:color="auto" w:sz="4" w:space="0"/>
              <w:right w:val="single" w:color="auto" w:sz="4" w:space="0"/>
            </w:tcBorders>
            <w:vAlign w:val="center"/>
          </w:tcPr>
          <w:p w14:paraId="4AC6392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543" w:type="pct"/>
            <w:tcBorders>
              <w:top w:val="single" w:color="auto" w:sz="4" w:space="0"/>
              <w:left w:val="single" w:color="auto" w:sz="4" w:space="0"/>
              <w:bottom w:val="single" w:color="auto" w:sz="4" w:space="0"/>
              <w:right w:val="single" w:color="auto" w:sz="4" w:space="0"/>
            </w:tcBorders>
            <w:vAlign w:val="center"/>
          </w:tcPr>
          <w:p w14:paraId="0338EC1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761" w:type="pct"/>
            <w:tcBorders>
              <w:top w:val="single" w:color="auto" w:sz="4" w:space="0"/>
              <w:left w:val="single" w:color="auto" w:sz="4" w:space="0"/>
              <w:bottom w:val="single" w:color="auto" w:sz="4" w:space="0"/>
              <w:right w:val="single" w:color="auto" w:sz="4" w:space="0"/>
            </w:tcBorders>
            <w:vAlign w:val="center"/>
          </w:tcPr>
          <w:p w14:paraId="2439266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3E96987">
        <w:tblPrEx>
          <w:tblCellMar>
            <w:top w:w="0" w:type="dxa"/>
            <w:left w:w="108" w:type="dxa"/>
            <w:bottom w:w="0" w:type="dxa"/>
            <w:right w:w="108" w:type="dxa"/>
          </w:tblCellMar>
        </w:tblPrEx>
        <w:trPr>
          <w:trHeight w:val="850" w:hRule="atLeast"/>
        </w:trPr>
        <w:tc>
          <w:tcPr>
            <w:tcW w:w="695" w:type="pct"/>
            <w:tcBorders>
              <w:top w:val="single" w:color="auto" w:sz="4" w:space="0"/>
              <w:left w:val="single" w:color="auto" w:sz="4" w:space="0"/>
              <w:bottom w:val="single" w:color="auto" w:sz="4" w:space="0"/>
              <w:right w:val="single" w:color="auto" w:sz="4" w:space="0"/>
            </w:tcBorders>
            <w:vAlign w:val="center"/>
          </w:tcPr>
          <w:p w14:paraId="154EA13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2543" w:type="pct"/>
            <w:tcBorders>
              <w:top w:val="single" w:color="auto" w:sz="4" w:space="0"/>
              <w:left w:val="single" w:color="auto" w:sz="4" w:space="0"/>
              <w:bottom w:val="single" w:color="auto" w:sz="4" w:space="0"/>
              <w:right w:val="single" w:color="auto" w:sz="4" w:space="0"/>
            </w:tcBorders>
            <w:vAlign w:val="center"/>
          </w:tcPr>
          <w:p w14:paraId="7AE81F1E">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疾病预防控制机构、接种单位有本法第八十五条规定以外的违反疫苗储存、运输管理规范行为，涉及疫苗种类一至五种的。</w:t>
            </w:r>
          </w:p>
        </w:tc>
        <w:tc>
          <w:tcPr>
            <w:tcW w:w="1761" w:type="pct"/>
            <w:tcBorders>
              <w:top w:val="single" w:color="auto" w:sz="4" w:space="0"/>
              <w:left w:val="single" w:color="auto" w:sz="4" w:space="0"/>
              <w:bottom w:val="single" w:color="auto" w:sz="4" w:space="0"/>
              <w:right w:val="single" w:color="auto" w:sz="4" w:space="0"/>
            </w:tcBorders>
            <w:vAlign w:val="center"/>
          </w:tcPr>
          <w:p w14:paraId="09B06A93">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责令负有责任的医疗卫生人员暂停六个月以上九个月以下执业活动。</w:t>
            </w:r>
          </w:p>
        </w:tc>
      </w:tr>
      <w:tr w14:paraId="4F2F30F2">
        <w:tblPrEx>
          <w:tblCellMar>
            <w:top w:w="0" w:type="dxa"/>
            <w:left w:w="108" w:type="dxa"/>
            <w:bottom w:w="0" w:type="dxa"/>
            <w:right w:w="108" w:type="dxa"/>
          </w:tblCellMar>
        </w:tblPrEx>
        <w:trPr>
          <w:trHeight w:val="510" w:hRule="atLeast"/>
        </w:trPr>
        <w:tc>
          <w:tcPr>
            <w:tcW w:w="695" w:type="pct"/>
            <w:tcBorders>
              <w:top w:val="single" w:color="auto" w:sz="4" w:space="0"/>
              <w:left w:val="single" w:color="auto" w:sz="4" w:space="0"/>
              <w:bottom w:val="single" w:color="auto" w:sz="4" w:space="0"/>
              <w:right w:val="single" w:color="auto" w:sz="4" w:space="0"/>
            </w:tcBorders>
            <w:vAlign w:val="center"/>
          </w:tcPr>
          <w:p w14:paraId="58BD794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543" w:type="pct"/>
            <w:tcBorders>
              <w:top w:val="single" w:color="auto" w:sz="4" w:space="0"/>
              <w:left w:val="single" w:color="auto" w:sz="4" w:space="0"/>
              <w:bottom w:val="single" w:color="auto" w:sz="4" w:space="0"/>
              <w:right w:val="single" w:color="auto" w:sz="4" w:space="0"/>
            </w:tcBorders>
            <w:vAlign w:val="center"/>
          </w:tcPr>
          <w:p w14:paraId="5D95DE29">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疾病预防控制机构、接种单位有本法第八十五条规定以外的违反疫苗储存、运输管理规范行为，涉及疫苗种类六种以上的。</w:t>
            </w:r>
          </w:p>
        </w:tc>
        <w:tc>
          <w:tcPr>
            <w:tcW w:w="1761" w:type="pct"/>
            <w:tcBorders>
              <w:top w:val="single" w:color="auto" w:sz="4" w:space="0"/>
              <w:left w:val="single" w:color="auto" w:sz="4" w:space="0"/>
              <w:bottom w:val="single" w:color="auto" w:sz="4" w:space="0"/>
              <w:right w:val="single" w:color="auto" w:sz="4" w:space="0"/>
            </w:tcBorders>
            <w:vAlign w:val="center"/>
          </w:tcPr>
          <w:p w14:paraId="42F5F808">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责令负有责任的医疗卫生人员暂停九个月以上一年以下执业活动。</w:t>
            </w:r>
          </w:p>
        </w:tc>
      </w:tr>
      <w:tr w14:paraId="247CF660">
        <w:tblPrEx>
          <w:tblCellMar>
            <w:top w:w="0" w:type="dxa"/>
            <w:left w:w="108" w:type="dxa"/>
            <w:bottom w:w="0" w:type="dxa"/>
            <w:right w:w="108" w:type="dxa"/>
          </w:tblCellMar>
        </w:tblPrEx>
        <w:trPr>
          <w:trHeight w:val="57" w:hRule="atLeast"/>
        </w:trPr>
        <w:tc>
          <w:tcPr>
            <w:tcW w:w="695" w:type="pct"/>
            <w:tcBorders>
              <w:top w:val="single" w:color="auto" w:sz="4" w:space="0"/>
              <w:left w:val="single" w:color="auto" w:sz="4" w:space="0"/>
              <w:bottom w:val="single" w:color="auto" w:sz="4" w:space="0"/>
              <w:right w:val="single" w:color="auto" w:sz="4" w:space="0"/>
            </w:tcBorders>
            <w:vAlign w:val="center"/>
          </w:tcPr>
          <w:p w14:paraId="649DA8DF">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543" w:type="pct"/>
            <w:tcBorders>
              <w:top w:val="single" w:color="auto" w:sz="4" w:space="0"/>
              <w:left w:val="single" w:color="auto" w:sz="4" w:space="0"/>
              <w:bottom w:val="single" w:color="auto" w:sz="4" w:space="0"/>
              <w:right w:val="single" w:color="auto" w:sz="4" w:space="0"/>
            </w:tcBorders>
            <w:vAlign w:val="center"/>
          </w:tcPr>
          <w:p w14:paraId="4A618AB7">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疾病预防控制机构、接种单位有本法第八十五条规定以外的违反疫苗储存、运输管理规范行为，导致接种疫苗后造成人员伤残或死亡等严重后果的。</w:t>
            </w:r>
          </w:p>
        </w:tc>
        <w:tc>
          <w:tcPr>
            <w:tcW w:w="1761" w:type="pct"/>
            <w:tcBorders>
              <w:top w:val="single" w:color="auto" w:sz="4" w:space="0"/>
              <w:left w:val="single" w:color="auto" w:sz="4" w:space="0"/>
              <w:bottom w:val="single" w:color="auto" w:sz="4" w:space="0"/>
              <w:right w:val="single" w:color="auto" w:sz="4" w:space="0"/>
            </w:tcBorders>
            <w:vAlign w:val="center"/>
          </w:tcPr>
          <w:p w14:paraId="7C5874FC">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由原发证部门吊销负有责任的医疗卫生人员的执业证书。</w:t>
            </w:r>
          </w:p>
        </w:tc>
      </w:tr>
    </w:tbl>
    <w:p w14:paraId="539C9AB7">
      <w:pPr>
        <w:pStyle w:val="4"/>
        <w:widowControl w:val="0"/>
        <w:ind w:firstLine="640"/>
        <w:rPr>
          <w:rFonts w:hint="eastAsia" w:ascii="Times New Roman" w:hAnsi="Times New Roman" w:eastAsia="方正仿宋_GB2312" w:cs="方正仿宋_GB2312"/>
          <w:color w:val="000000" w:themeColor="text1"/>
          <w14:textFill>
            <w14:solidFill>
              <w14:schemeClr w14:val="tx1"/>
            </w14:solidFill>
          </w14:textFill>
        </w:rPr>
      </w:pPr>
      <w:bookmarkStart w:id="518" w:name="_Toc8943"/>
      <w:bookmarkStart w:id="519" w:name="_Toc1205"/>
      <w:bookmarkStart w:id="520" w:name="_Toc28965"/>
      <w:bookmarkStart w:id="521" w:name="_Toc10608"/>
      <w:bookmarkStart w:id="522" w:name="_Toc23730"/>
      <w:bookmarkStart w:id="523" w:name="_Toc31723"/>
      <w:bookmarkStart w:id="524" w:name="_Toc22349"/>
      <w:bookmarkStart w:id="525" w:name="_Toc12656"/>
      <w:bookmarkStart w:id="526" w:name="_Toc20504"/>
      <w:bookmarkStart w:id="527" w:name="_Toc10044"/>
      <w:bookmarkStart w:id="528" w:name="_Toc23621"/>
      <w:r>
        <w:rPr>
          <w:rFonts w:hint="eastAsia"/>
          <w:color w:val="000000" w:themeColor="text1"/>
          <w14:textFill>
            <w14:solidFill>
              <w14:schemeClr w14:val="tx1"/>
            </w14:solidFill>
          </w14:textFill>
        </w:rPr>
        <w:t xml:space="preserve">第四十八条 </w:t>
      </w:r>
      <w:r>
        <w:rPr>
          <w:rStyle w:val="26"/>
          <w:rFonts w:hint="eastAsia" w:ascii="Times New Roman" w:hAnsi="Times New Roman" w:cs="Times New Roman"/>
          <w:b/>
          <w:color w:val="000000" w:themeColor="text1"/>
          <w14:textFill>
            <w14:solidFill>
              <w14:schemeClr w14:val="tx1"/>
            </w14:solidFill>
          </w14:textFill>
        </w:rPr>
        <w:t>疾病预防控制机构、接种单位未按照规定供应、接收、采购疫苗</w:t>
      </w:r>
      <w:bookmarkEnd w:id="518"/>
      <w:bookmarkEnd w:id="519"/>
      <w:bookmarkEnd w:id="520"/>
      <w:bookmarkEnd w:id="521"/>
      <w:bookmarkEnd w:id="522"/>
      <w:bookmarkEnd w:id="523"/>
      <w:bookmarkEnd w:id="524"/>
      <w:bookmarkEnd w:id="525"/>
      <w:bookmarkEnd w:id="526"/>
      <w:bookmarkEnd w:id="527"/>
      <w:bookmarkEnd w:id="528"/>
      <w:r>
        <w:rPr>
          <w:rStyle w:val="33"/>
          <w:rFonts w:hint="eastAsia" w:eastAsia="方正仿宋_GB2312"/>
          <w:b/>
          <w:color w:val="000000" w:themeColor="text1"/>
          <w:lang w:eastAsia="zh-CN"/>
          <w14:textFill>
            <w14:solidFill>
              <w14:schemeClr w14:val="tx1"/>
            </w14:solidFill>
          </w14:textFill>
        </w:rPr>
        <w:t xml:space="preserve"> </w:t>
      </w:r>
    </w:p>
    <w:p w14:paraId="7B3EB85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9A57CA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《中华人民共和国疫苗管理法》第八十七条第（一）项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由原发证部门吊销负有责任的医疗卫生人员的执业证书：</w:t>
      </w:r>
    </w:p>
    <w:p w14:paraId="1AC8297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（一）未按照规定供应、接收、采购疫苗；</w:t>
      </w:r>
    </w:p>
    <w:tbl>
      <w:tblPr>
        <w:tblStyle w:val="24"/>
        <w:tblW w:w="5000" w:type="pct"/>
        <w:tblInd w:w="0" w:type="dxa"/>
        <w:tblLayout w:type="autofit"/>
        <w:tblCellMar>
          <w:top w:w="0" w:type="dxa"/>
          <w:left w:w="108" w:type="dxa"/>
          <w:bottom w:w="0" w:type="dxa"/>
          <w:right w:w="108" w:type="dxa"/>
        </w:tblCellMar>
      </w:tblPr>
      <w:tblGrid>
        <w:gridCol w:w="3382"/>
        <w:gridCol w:w="5653"/>
        <w:gridCol w:w="5139"/>
      </w:tblGrid>
      <w:tr w14:paraId="3E26C09F">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468D30E5">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1611D2F8">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20A3651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1994" w:type="pct"/>
            <w:tcBorders>
              <w:top w:val="single" w:color="auto" w:sz="4" w:space="0"/>
              <w:left w:val="single" w:color="auto" w:sz="4" w:space="0"/>
              <w:bottom w:val="single" w:color="auto" w:sz="4" w:space="0"/>
              <w:right w:val="single" w:color="auto" w:sz="4" w:space="0"/>
            </w:tcBorders>
            <w:vAlign w:val="center"/>
          </w:tcPr>
          <w:p w14:paraId="0134E83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812" w:type="pct"/>
            <w:tcBorders>
              <w:top w:val="single" w:color="auto" w:sz="4" w:space="0"/>
              <w:left w:val="single" w:color="auto" w:sz="4" w:space="0"/>
              <w:bottom w:val="single" w:color="auto" w:sz="4" w:space="0"/>
              <w:right w:val="single" w:color="auto" w:sz="4" w:space="0"/>
            </w:tcBorders>
            <w:vAlign w:val="center"/>
          </w:tcPr>
          <w:p w14:paraId="0F3BECFB">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8FD91F9">
        <w:tblPrEx>
          <w:tblCellMar>
            <w:top w:w="0" w:type="dxa"/>
            <w:left w:w="108" w:type="dxa"/>
            <w:bottom w:w="0" w:type="dxa"/>
            <w:right w:w="108" w:type="dxa"/>
          </w:tblCellMar>
        </w:tblPrEx>
        <w:trPr>
          <w:trHeight w:val="57" w:hRule="atLeast"/>
        </w:trPr>
        <w:tc>
          <w:tcPr>
            <w:tcW w:w="3382" w:type="dxa"/>
            <w:tcBorders>
              <w:top w:val="single" w:color="auto" w:sz="4" w:space="0"/>
              <w:left w:val="single" w:color="auto" w:sz="4" w:space="0"/>
              <w:bottom w:val="single" w:color="auto" w:sz="4" w:space="0"/>
              <w:right w:val="single" w:color="auto" w:sz="4" w:space="0"/>
            </w:tcBorders>
            <w:vAlign w:val="center"/>
          </w:tcPr>
          <w:p w14:paraId="6FAE555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1994" w:type="pct"/>
            <w:tcBorders>
              <w:top w:val="single" w:color="auto" w:sz="4" w:space="0"/>
              <w:left w:val="single" w:color="auto" w:sz="4" w:space="0"/>
              <w:bottom w:val="single" w:color="auto" w:sz="4" w:space="0"/>
              <w:right w:val="single" w:color="auto" w:sz="4" w:space="0"/>
            </w:tcBorders>
            <w:vAlign w:val="center"/>
          </w:tcPr>
          <w:p w14:paraId="3328E84B">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未按照规定供应、接收、采购疫苗，违法所得不足五万元的。</w:t>
            </w:r>
          </w:p>
        </w:tc>
        <w:tc>
          <w:tcPr>
            <w:tcW w:w="1812" w:type="pct"/>
            <w:tcBorders>
              <w:top w:val="single" w:color="auto" w:sz="4" w:space="0"/>
              <w:left w:val="single" w:color="auto" w:sz="4" w:space="0"/>
              <w:bottom w:val="single" w:color="auto" w:sz="4" w:space="0"/>
              <w:right w:val="single" w:color="auto" w:sz="4" w:space="0"/>
            </w:tcBorders>
            <w:vAlign w:val="center"/>
          </w:tcPr>
          <w:p w14:paraId="7BF1E58F">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给予警告，没收违法所得。</w:t>
            </w:r>
          </w:p>
        </w:tc>
      </w:tr>
      <w:tr w14:paraId="2EDB2D5F">
        <w:tblPrEx>
          <w:tblCellMar>
            <w:top w:w="0" w:type="dxa"/>
            <w:left w:w="108" w:type="dxa"/>
            <w:bottom w:w="0" w:type="dxa"/>
            <w:right w:w="108" w:type="dxa"/>
          </w:tblCellMar>
        </w:tblPrEx>
        <w:trPr>
          <w:trHeight w:val="57" w:hRule="atLeast"/>
        </w:trPr>
        <w:tc>
          <w:tcPr>
            <w:tcW w:w="3382" w:type="dxa"/>
            <w:vMerge w:val="restart"/>
            <w:tcBorders>
              <w:top w:val="single" w:color="auto" w:sz="4" w:space="0"/>
              <w:left w:val="single" w:color="auto" w:sz="4" w:space="0"/>
              <w:bottom w:val="single" w:color="auto" w:sz="4" w:space="0"/>
              <w:right w:val="single" w:color="auto" w:sz="4" w:space="0"/>
            </w:tcBorders>
            <w:vAlign w:val="center"/>
          </w:tcPr>
          <w:p w14:paraId="483D606E">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1994" w:type="pct"/>
            <w:tcBorders>
              <w:top w:val="single" w:color="auto" w:sz="4" w:space="0"/>
              <w:left w:val="single" w:color="auto" w:sz="4" w:space="0"/>
              <w:bottom w:val="single" w:color="auto" w:sz="4" w:space="0"/>
              <w:right w:val="single" w:color="auto" w:sz="4" w:space="0"/>
            </w:tcBorders>
            <w:vAlign w:val="center"/>
          </w:tcPr>
          <w:p w14:paraId="085AFBA7">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未按照规定供应、接收、采购疫苗，违法所得五万元以上十万元以下的。</w:t>
            </w:r>
          </w:p>
        </w:tc>
        <w:tc>
          <w:tcPr>
            <w:tcW w:w="1812" w:type="pct"/>
            <w:tcBorders>
              <w:top w:val="single" w:color="auto" w:sz="4" w:space="0"/>
              <w:left w:val="single" w:color="auto" w:sz="4" w:space="0"/>
              <w:bottom w:val="single" w:color="auto" w:sz="4" w:space="0"/>
              <w:right w:val="single" w:color="auto" w:sz="4" w:space="0"/>
            </w:tcBorders>
            <w:vAlign w:val="center"/>
          </w:tcPr>
          <w:p w14:paraId="31947C20">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给予警告，没收违法所得，责令负有责任的医疗卫生人员暂停一年以上十五个月以下执业活动。</w:t>
            </w:r>
          </w:p>
        </w:tc>
      </w:tr>
      <w:tr w14:paraId="1E19EA0F">
        <w:tblPrEx>
          <w:tblCellMar>
            <w:top w:w="0" w:type="dxa"/>
            <w:left w:w="108" w:type="dxa"/>
            <w:bottom w:w="0" w:type="dxa"/>
            <w:right w:w="108" w:type="dxa"/>
          </w:tblCellMar>
        </w:tblPrEx>
        <w:trPr>
          <w:trHeight w:val="57" w:hRule="atLeast"/>
        </w:trPr>
        <w:tc>
          <w:tcPr>
            <w:tcW w:w="1193" w:type="pct"/>
            <w:vMerge w:val="continue"/>
            <w:tcBorders>
              <w:top w:val="single" w:color="auto" w:sz="4" w:space="0"/>
              <w:left w:val="single" w:color="auto" w:sz="4" w:space="0"/>
              <w:bottom w:val="single" w:color="auto" w:sz="4" w:space="0"/>
              <w:right w:val="single" w:color="auto" w:sz="4" w:space="0"/>
            </w:tcBorders>
            <w:vAlign w:val="center"/>
          </w:tcPr>
          <w:p w14:paraId="405CE0A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1994" w:type="pct"/>
            <w:tcBorders>
              <w:top w:val="single" w:color="auto" w:sz="4" w:space="0"/>
              <w:left w:val="single" w:color="auto" w:sz="4" w:space="0"/>
              <w:bottom w:val="single" w:color="auto" w:sz="4" w:space="0"/>
              <w:right w:val="single" w:color="auto" w:sz="4" w:space="0"/>
            </w:tcBorders>
            <w:vAlign w:val="center"/>
          </w:tcPr>
          <w:p w14:paraId="3617A5B4">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未按照规定供应、接收、采购疫苗，违法所得十万元以上的。</w:t>
            </w:r>
          </w:p>
        </w:tc>
        <w:tc>
          <w:tcPr>
            <w:tcW w:w="1812" w:type="pct"/>
            <w:tcBorders>
              <w:top w:val="single" w:color="auto" w:sz="4" w:space="0"/>
              <w:left w:val="single" w:color="auto" w:sz="4" w:space="0"/>
              <w:bottom w:val="single" w:color="auto" w:sz="4" w:space="0"/>
              <w:right w:val="single" w:color="auto" w:sz="4" w:space="0"/>
            </w:tcBorders>
            <w:vAlign w:val="center"/>
          </w:tcPr>
          <w:p w14:paraId="18571D6A">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给予警告，没收违法所得，责令负有责任的医疗卫生人员暂停十五个月以上十八个月以下执业活动。</w:t>
            </w:r>
          </w:p>
        </w:tc>
      </w:tr>
      <w:tr w14:paraId="428EC369">
        <w:tblPrEx>
          <w:tblCellMar>
            <w:top w:w="0" w:type="dxa"/>
            <w:left w:w="108" w:type="dxa"/>
            <w:bottom w:w="0" w:type="dxa"/>
            <w:right w:w="108" w:type="dxa"/>
          </w:tblCellMar>
        </w:tblPrEx>
        <w:trPr>
          <w:trHeight w:val="57" w:hRule="atLeast"/>
        </w:trPr>
        <w:tc>
          <w:tcPr>
            <w:tcW w:w="3382" w:type="dxa"/>
            <w:tcBorders>
              <w:top w:val="single" w:color="auto" w:sz="4" w:space="0"/>
              <w:left w:val="single" w:color="auto" w:sz="4" w:space="0"/>
              <w:bottom w:val="single" w:color="auto" w:sz="4" w:space="0"/>
              <w:right w:val="single" w:color="auto" w:sz="4" w:space="0"/>
            </w:tcBorders>
            <w:vAlign w:val="center"/>
          </w:tcPr>
          <w:p w14:paraId="7980C72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1994" w:type="pct"/>
            <w:tcBorders>
              <w:top w:val="single" w:color="auto" w:sz="4" w:space="0"/>
              <w:left w:val="single" w:color="auto" w:sz="4" w:space="0"/>
              <w:bottom w:val="single" w:color="auto" w:sz="4" w:space="0"/>
              <w:right w:val="single" w:color="auto" w:sz="4" w:space="0"/>
            </w:tcBorders>
            <w:vAlign w:val="center"/>
          </w:tcPr>
          <w:p w14:paraId="129EEBEA">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造成在传染病传播或流行期间，影响群众预防接种等严重后果。</w:t>
            </w:r>
          </w:p>
        </w:tc>
        <w:tc>
          <w:tcPr>
            <w:tcW w:w="1812" w:type="pct"/>
            <w:tcBorders>
              <w:top w:val="single" w:color="auto" w:sz="4" w:space="0"/>
              <w:left w:val="single" w:color="auto" w:sz="4" w:space="0"/>
              <w:bottom w:val="single" w:color="auto" w:sz="4" w:space="0"/>
              <w:right w:val="single" w:color="auto" w:sz="4" w:space="0"/>
            </w:tcBorders>
            <w:vAlign w:val="center"/>
          </w:tcPr>
          <w:p w14:paraId="7D03E779">
            <w:pPr>
              <w:widowControl w:val="0"/>
              <w:spacing w:after="0" w:line="320" w:lineRule="exact"/>
              <w:textAlignment w:val="auto"/>
              <w:rPr>
                <w:rFonts w:hint="eastAsia" w:ascii="Times New Roman" w:hAnsi="Times New Roman" w:eastAsia="仿宋_GB2312" w:cs="Times New Roman"/>
                <w:color w:val="000000" w:themeColor="text1"/>
                <w:sz w:val="24"/>
                <w:szCs w:val="22"/>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给予警告，没收违法所得，由原发证部门吊销负有责任的医疗卫生人员的执业证书。</w:t>
            </w:r>
          </w:p>
        </w:tc>
      </w:tr>
    </w:tbl>
    <w:p w14:paraId="500F9E52">
      <w:pPr>
        <w:pStyle w:val="4"/>
        <w:widowControl w:val="0"/>
        <w:ind w:firstLine="640"/>
        <w:jc w:val="both"/>
        <w:rPr>
          <w:rFonts w:hint="eastAsia" w:ascii="Times New Roman" w:hAnsi="Times New Roman" w:eastAsia="仿宋_GB2312" w:cs="Times New Roman"/>
          <w:color w:val="000000" w:themeColor="text1"/>
          <w14:textFill>
            <w14:solidFill>
              <w14:schemeClr w14:val="tx1"/>
            </w14:solidFill>
          </w14:textFill>
        </w:rPr>
      </w:pPr>
      <w:bookmarkStart w:id="529" w:name="_Toc22282"/>
      <w:bookmarkStart w:id="530" w:name="_Toc28363"/>
      <w:bookmarkStart w:id="531" w:name="_Toc573"/>
      <w:bookmarkStart w:id="532" w:name="_Toc26279"/>
      <w:bookmarkStart w:id="533" w:name="_Toc18537"/>
      <w:bookmarkStart w:id="534" w:name="_Toc20561"/>
      <w:bookmarkStart w:id="535" w:name="_Toc31419"/>
      <w:bookmarkStart w:id="536" w:name="_Toc20948"/>
      <w:bookmarkStart w:id="537" w:name="_Toc5406"/>
      <w:bookmarkStart w:id="538" w:name="_Toc29173"/>
      <w:bookmarkStart w:id="539" w:name="_Toc23574"/>
      <w:r>
        <w:rPr>
          <w:rFonts w:hint="eastAsia"/>
          <w:color w:val="000000" w:themeColor="text1"/>
          <w14:textFill>
            <w14:solidFill>
              <w14:schemeClr w14:val="tx1"/>
            </w14:solidFill>
          </w14:textFill>
        </w:rPr>
        <w:t xml:space="preserve">第四十九条 </w:t>
      </w:r>
      <w:r>
        <w:rPr>
          <w:rStyle w:val="26"/>
          <w:rFonts w:hint="eastAsia" w:ascii="Times New Roman" w:hAnsi="Times New Roman" w:cs="Times New Roman"/>
          <w:b/>
          <w:color w:val="000000" w:themeColor="text1"/>
          <w14:textFill>
            <w14:solidFill>
              <w14:schemeClr w14:val="tx1"/>
            </w14:solidFill>
          </w14:textFill>
        </w:rPr>
        <w:t>疾病预防控制机构、接种单位接种疫苗未遵守预防接种工作规范、免疫程序、疫苗使用指导原则、接种方案的</w:t>
      </w:r>
      <w:bookmarkEnd w:id="529"/>
      <w:bookmarkEnd w:id="530"/>
      <w:bookmarkEnd w:id="531"/>
      <w:bookmarkEnd w:id="532"/>
      <w:bookmarkEnd w:id="533"/>
      <w:bookmarkEnd w:id="534"/>
      <w:bookmarkEnd w:id="535"/>
      <w:bookmarkEnd w:id="536"/>
      <w:bookmarkEnd w:id="537"/>
      <w:bookmarkEnd w:id="538"/>
      <w:bookmarkEnd w:id="539"/>
      <w:r>
        <w:rPr>
          <w:rFonts w:hint="eastAsia" w:cs="Times New Roman"/>
          <w:bCs w:val="0"/>
          <w:color w:val="000000" w:themeColor="text1"/>
          <w:lang w:eastAsia="zh-CN"/>
          <w14:textFill>
            <w14:solidFill>
              <w14:schemeClr w14:val="tx1"/>
            </w14:solidFill>
          </w14:textFill>
        </w:rPr>
        <w:t xml:space="preserve"> </w:t>
      </w:r>
    </w:p>
    <w:p w14:paraId="22C4E0B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73E2A7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《中华人民共和国疫苗管理法》第八十七条第（二）项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由原发证部门吊销负有责任的医疗卫生人员的执业证书：</w:t>
      </w:r>
    </w:p>
    <w:p w14:paraId="430CF93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（一）接种疫苗未遵守预防接种工作规范、免疫程序、疫苗使用指导原则、接种方案； </w:t>
      </w:r>
    </w:p>
    <w:tbl>
      <w:tblPr>
        <w:tblStyle w:val="24"/>
        <w:tblW w:w="5000" w:type="pct"/>
        <w:tblInd w:w="0" w:type="dxa"/>
        <w:tblLayout w:type="autofit"/>
        <w:tblCellMar>
          <w:top w:w="0" w:type="dxa"/>
          <w:left w:w="108" w:type="dxa"/>
          <w:bottom w:w="0" w:type="dxa"/>
          <w:right w:w="108" w:type="dxa"/>
        </w:tblCellMar>
      </w:tblPr>
      <w:tblGrid>
        <w:gridCol w:w="1585"/>
        <w:gridCol w:w="7192"/>
        <w:gridCol w:w="5397"/>
      </w:tblGrid>
      <w:tr w14:paraId="059857D1">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70AFE863">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A062242">
        <w:tblPrEx>
          <w:tblCellMar>
            <w:top w:w="0" w:type="dxa"/>
            <w:left w:w="108" w:type="dxa"/>
            <w:bottom w:w="0" w:type="dxa"/>
            <w:right w:w="108" w:type="dxa"/>
          </w:tblCellMar>
        </w:tblPrEx>
        <w:trPr>
          <w:trHeight w:val="680" w:hRule="atLeast"/>
        </w:trPr>
        <w:tc>
          <w:tcPr>
            <w:tcW w:w="559" w:type="pct"/>
            <w:tcBorders>
              <w:top w:val="single" w:color="auto" w:sz="4" w:space="0"/>
              <w:left w:val="single" w:color="auto" w:sz="4" w:space="0"/>
              <w:bottom w:val="single" w:color="auto" w:sz="4" w:space="0"/>
              <w:right w:val="single" w:color="auto" w:sz="4" w:space="0"/>
            </w:tcBorders>
            <w:vAlign w:val="center"/>
          </w:tcPr>
          <w:p w14:paraId="769EDE9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537" w:type="pct"/>
            <w:tcBorders>
              <w:top w:val="single" w:color="auto" w:sz="4" w:space="0"/>
              <w:left w:val="single" w:color="auto" w:sz="4" w:space="0"/>
              <w:bottom w:val="single" w:color="auto" w:sz="4" w:space="0"/>
              <w:right w:val="single" w:color="auto" w:sz="4" w:space="0"/>
            </w:tcBorders>
            <w:vAlign w:val="center"/>
          </w:tcPr>
          <w:p w14:paraId="7A57AE9E">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903" w:type="pct"/>
            <w:tcBorders>
              <w:top w:val="single" w:color="auto" w:sz="4" w:space="0"/>
              <w:left w:val="single" w:color="auto" w:sz="4" w:space="0"/>
              <w:bottom w:val="single" w:color="auto" w:sz="4" w:space="0"/>
              <w:right w:val="single" w:color="auto" w:sz="4" w:space="0"/>
            </w:tcBorders>
            <w:vAlign w:val="center"/>
          </w:tcPr>
          <w:p w14:paraId="379D8DEE">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C5E0379">
        <w:tblPrEx>
          <w:tblCellMar>
            <w:top w:w="0" w:type="dxa"/>
            <w:left w:w="108" w:type="dxa"/>
            <w:bottom w:w="0" w:type="dxa"/>
            <w:right w:w="108" w:type="dxa"/>
          </w:tblCellMar>
        </w:tblPrEx>
        <w:trPr>
          <w:trHeight w:val="737" w:hRule="atLeast"/>
        </w:trPr>
        <w:tc>
          <w:tcPr>
            <w:tcW w:w="1585" w:type="dxa"/>
            <w:tcBorders>
              <w:top w:val="single" w:color="auto" w:sz="4" w:space="0"/>
              <w:left w:val="single" w:color="auto" w:sz="4" w:space="0"/>
              <w:bottom w:val="single" w:color="auto" w:sz="4" w:space="0"/>
              <w:right w:val="single" w:color="auto" w:sz="4" w:space="0"/>
            </w:tcBorders>
            <w:vAlign w:val="center"/>
          </w:tcPr>
          <w:p w14:paraId="642A54E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537" w:type="pct"/>
            <w:tcBorders>
              <w:top w:val="single" w:color="auto" w:sz="4" w:space="0"/>
              <w:left w:val="single" w:color="auto" w:sz="4" w:space="0"/>
              <w:bottom w:val="single" w:color="auto" w:sz="4" w:space="0"/>
              <w:right w:val="single" w:color="auto" w:sz="4" w:space="0"/>
            </w:tcBorders>
            <w:vAlign w:val="center"/>
          </w:tcPr>
          <w:p w14:paraId="3D748E8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接种疫苗未遵守预防接种工作规范、免疫程序、疫苗使用指导原则、接种方案，违法所得不足五万元的。</w:t>
            </w:r>
          </w:p>
        </w:tc>
        <w:tc>
          <w:tcPr>
            <w:tcW w:w="1903" w:type="pct"/>
            <w:tcBorders>
              <w:top w:val="single" w:color="auto" w:sz="4" w:space="0"/>
              <w:left w:val="single" w:color="auto" w:sz="4" w:space="0"/>
              <w:bottom w:val="single" w:color="auto" w:sz="4" w:space="0"/>
              <w:right w:val="single" w:color="auto" w:sz="4" w:space="0"/>
            </w:tcBorders>
            <w:vAlign w:val="center"/>
          </w:tcPr>
          <w:p w14:paraId="7C30760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w:t>
            </w:r>
          </w:p>
        </w:tc>
      </w:tr>
      <w:tr w14:paraId="3919372E">
        <w:tblPrEx>
          <w:tblCellMar>
            <w:top w:w="0" w:type="dxa"/>
            <w:left w:w="108" w:type="dxa"/>
            <w:bottom w:w="0" w:type="dxa"/>
            <w:right w:w="108" w:type="dxa"/>
          </w:tblCellMar>
        </w:tblPrEx>
        <w:trPr>
          <w:trHeight w:val="737" w:hRule="atLeast"/>
        </w:trPr>
        <w:tc>
          <w:tcPr>
            <w:tcW w:w="1585" w:type="dxa"/>
            <w:vMerge w:val="restart"/>
            <w:tcBorders>
              <w:top w:val="single" w:color="auto" w:sz="4" w:space="0"/>
              <w:left w:val="single" w:color="auto" w:sz="4" w:space="0"/>
              <w:bottom w:val="single" w:color="auto" w:sz="4" w:space="0"/>
              <w:right w:val="single" w:color="auto" w:sz="4" w:space="0"/>
            </w:tcBorders>
            <w:vAlign w:val="center"/>
          </w:tcPr>
          <w:p w14:paraId="09B3CAD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537" w:type="pct"/>
            <w:tcBorders>
              <w:top w:val="single" w:color="auto" w:sz="4" w:space="0"/>
              <w:left w:val="single" w:color="auto" w:sz="4" w:space="0"/>
              <w:bottom w:val="single" w:color="auto" w:sz="4" w:space="0"/>
              <w:right w:val="single" w:color="auto" w:sz="4" w:space="0"/>
            </w:tcBorders>
            <w:vAlign w:val="center"/>
          </w:tcPr>
          <w:p w14:paraId="1847A2D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接种疫苗未遵守预防接种工作规范、免疫程序、疫苗使用指导原则、接种方案，违法所得五万元以上十万元以下的。</w:t>
            </w:r>
          </w:p>
        </w:tc>
        <w:tc>
          <w:tcPr>
            <w:tcW w:w="1903" w:type="pct"/>
            <w:tcBorders>
              <w:top w:val="single" w:color="auto" w:sz="4" w:space="0"/>
              <w:left w:val="single" w:color="auto" w:sz="4" w:space="0"/>
              <w:bottom w:val="single" w:color="auto" w:sz="4" w:space="0"/>
              <w:right w:val="single" w:color="auto" w:sz="4" w:space="0"/>
            </w:tcBorders>
            <w:vAlign w:val="center"/>
          </w:tcPr>
          <w:p w14:paraId="3B79EC2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警告，没收违法所得，责令负有责任的医疗卫生人员暂停一年以上十五个月以下执业活动。</w:t>
            </w:r>
          </w:p>
        </w:tc>
      </w:tr>
      <w:tr w14:paraId="584F6629">
        <w:tblPrEx>
          <w:tblCellMar>
            <w:top w:w="0" w:type="dxa"/>
            <w:left w:w="108" w:type="dxa"/>
            <w:bottom w:w="0" w:type="dxa"/>
            <w:right w:w="108" w:type="dxa"/>
          </w:tblCellMar>
        </w:tblPrEx>
        <w:trPr>
          <w:trHeight w:val="737" w:hRule="atLeast"/>
        </w:trPr>
        <w:tc>
          <w:tcPr>
            <w:tcW w:w="559" w:type="pct"/>
            <w:vMerge w:val="continue"/>
            <w:tcBorders>
              <w:top w:val="single" w:color="auto" w:sz="4" w:space="0"/>
              <w:left w:val="single" w:color="auto" w:sz="4" w:space="0"/>
              <w:bottom w:val="single" w:color="auto" w:sz="4" w:space="0"/>
              <w:right w:val="single" w:color="auto" w:sz="4" w:space="0"/>
            </w:tcBorders>
            <w:vAlign w:val="center"/>
          </w:tcPr>
          <w:p w14:paraId="4B270A8F">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537" w:type="pct"/>
            <w:tcBorders>
              <w:top w:val="single" w:color="auto" w:sz="4" w:space="0"/>
              <w:left w:val="single" w:color="auto" w:sz="4" w:space="0"/>
              <w:bottom w:val="single" w:color="auto" w:sz="4" w:space="0"/>
              <w:right w:val="single" w:color="auto" w:sz="4" w:space="0"/>
            </w:tcBorders>
            <w:vAlign w:val="center"/>
          </w:tcPr>
          <w:p w14:paraId="6AF73E8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接种疫苗未遵守预防接种工作规范、免疫程序、疫苗使用指导原则、接种方案，违法所得超过十万元。</w:t>
            </w:r>
          </w:p>
        </w:tc>
        <w:tc>
          <w:tcPr>
            <w:tcW w:w="1903" w:type="pct"/>
            <w:tcBorders>
              <w:top w:val="single" w:color="auto" w:sz="4" w:space="0"/>
              <w:left w:val="single" w:color="auto" w:sz="4" w:space="0"/>
              <w:bottom w:val="single" w:color="auto" w:sz="4" w:space="0"/>
              <w:right w:val="single" w:color="auto" w:sz="4" w:space="0"/>
            </w:tcBorders>
            <w:vAlign w:val="center"/>
          </w:tcPr>
          <w:p w14:paraId="1E539A5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警告，没收违法所得，责令负有责任的医疗卫生人员暂停十五个月以上十八个月以下执业活动。</w:t>
            </w:r>
          </w:p>
        </w:tc>
      </w:tr>
      <w:tr w14:paraId="09F87169">
        <w:tblPrEx>
          <w:tblCellMar>
            <w:top w:w="0" w:type="dxa"/>
            <w:left w:w="108" w:type="dxa"/>
            <w:bottom w:w="0" w:type="dxa"/>
            <w:right w:w="108" w:type="dxa"/>
          </w:tblCellMar>
        </w:tblPrEx>
        <w:trPr>
          <w:trHeight w:val="737" w:hRule="atLeast"/>
        </w:trPr>
        <w:tc>
          <w:tcPr>
            <w:tcW w:w="1585" w:type="dxa"/>
            <w:tcBorders>
              <w:top w:val="single" w:color="auto" w:sz="4" w:space="0"/>
              <w:left w:val="single" w:color="auto" w:sz="4" w:space="0"/>
              <w:bottom w:val="single" w:color="auto" w:sz="4" w:space="0"/>
              <w:right w:val="single" w:color="auto" w:sz="4" w:space="0"/>
            </w:tcBorders>
            <w:vAlign w:val="center"/>
          </w:tcPr>
          <w:p w14:paraId="027B6A9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2537" w:type="pct"/>
            <w:tcBorders>
              <w:top w:val="single" w:color="auto" w:sz="4" w:space="0"/>
              <w:left w:val="single" w:color="auto" w:sz="4" w:space="0"/>
              <w:bottom w:val="single" w:color="auto" w:sz="4" w:space="0"/>
              <w:right w:val="single" w:color="auto" w:sz="4" w:space="0"/>
            </w:tcBorders>
            <w:vAlign w:val="center"/>
          </w:tcPr>
          <w:p w14:paraId="035BF2B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接种疫苗未遵守预防接种工作规范、免疫程序、疫苗使用指导原则、接种方案，导致接种疫苗后造成人员伤残或死亡等严重后果。</w:t>
            </w:r>
          </w:p>
        </w:tc>
        <w:tc>
          <w:tcPr>
            <w:tcW w:w="1903" w:type="pct"/>
            <w:tcBorders>
              <w:top w:val="single" w:color="auto" w:sz="4" w:space="0"/>
              <w:left w:val="single" w:color="auto" w:sz="4" w:space="0"/>
              <w:bottom w:val="single" w:color="auto" w:sz="4" w:space="0"/>
              <w:right w:val="single" w:color="auto" w:sz="4" w:space="0"/>
            </w:tcBorders>
            <w:vAlign w:val="center"/>
          </w:tcPr>
          <w:p w14:paraId="1DFBE8C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警告，没收违法所得，由原发证部门吊销负有责任的医疗卫生人员的执业证书。</w:t>
            </w:r>
          </w:p>
        </w:tc>
      </w:tr>
    </w:tbl>
    <w:p w14:paraId="2B82C24D">
      <w:pPr>
        <w:pStyle w:val="4"/>
        <w:widowControl w:val="0"/>
        <w:ind w:firstLine="640"/>
        <w:rPr>
          <w:rFonts w:hint="eastAsia" w:ascii="Times New Roman" w:hAnsi="Times New Roman" w:eastAsia="方正仿宋_GB2312" w:cs="方正仿宋_GB2312"/>
          <w:bCs/>
          <w:color w:val="000000" w:themeColor="text1"/>
          <w14:textFill>
            <w14:solidFill>
              <w14:schemeClr w14:val="tx1"/>
            </w14:solidFill>
          </w14:textFill>
        </w:rPr>
      </w:pPr>
      <w:bookmarkStart w:id="540" w:name="_Toc9985"/>
      <w:bookmarkStart w:id="541" w:name="_Toc3986"/>
      <w:bookmarkStart w:id="542" w:name="_Toc14854"/>
      <w:bookmarkStart w:id="543" w:name="_Toc28388"/>
      <w:bookmarkStart w:id="544" w:name="_Toc32177"/>
      <w:bookmarkStart w:id="545" w:name="_Toc4192"/>
      <w:bookmarkStart w:id="546" w:name="_Toc6246"/>
      <w:bookmarkStart w:id="547" w:name="_Toc29668"/>
      <w:bookmarkStart w:id="548" w:name="_Toc21546"/>
      <w:bookmarkStart w:id="549" w:name="_Toc20306"/>
      <w:bookmarkStart w:id="550" w:name="_Toc18189"/>
      <w:r>
        <w:rPr>
          <w:rFonts w:hint="eastAsia"/>
          <w:color w:val="000000" w:themeColor="text1"/>
          <w14:textFill>
            <w14:solidFill>
              <w14:schemeClr w14:val="tx1"/>
            </w14:solidFill>
          </w14:textFill>
        </w:rPr>
        <w:t xml:space="preserve">第五十条 </w:t>
      </w:r>
      <w:r>
        <w:rPr>
          <w:rStyle w:val="33"/>
          <w:rFonts w:hint="eastAsia"/>
          <w:b/>
          <w:color w:val="000000" w:themeColor="text1"/>
          <w14:textFill>
            <w14:solidFill>
              <w14:schemeClr w14:val="tx1"/>
            </w14:solidFill>
          </w14:textFill>
        </w:rPr>
        <w:t>疾病预防控制机构、接种单位擅自进行群体性预防接种</w:t>
      </w:r>
      <w:bookmarkEnd w:id="540"/>
      <w:bookmarkEnd w:id="541"/>
      <w:bookmarkEnd w:id="542"/>
      <w:bookmarkEnd w:id="543"/>
      <w:bookmarkEnd w:id="544"/>
      <w:bookmarkEnd w:id="545"/>
      <w:bookmarkEnd w:id="546"/>
      <w:bookmarkEnd w:id="547"/>
      <w:bookmarkEnd w:id="548"/>
      <w:bookmarkEnd w:id="549"/>
      <w:bookmarkEnd w:id="550"/>
      <w:r>
        <w:rPr>
          <w:rFonts w:hint="eastAsia" w:ascii="Times New Roman" w:hAnsi="Times New Roman" w:eastAsia="方正仿宋_GB2312" w:cs="方正仿宋_GB2312"/>
          <w:bCs/>
          <w:color w:val="000000" w:themeColor="text1"/>
          <w14:textFill>
            <w14:solidFill>
              <w14:schemeClr w14:val="tx1"/>
            </w14:solidFill>
          </w14:textFill>
        </w:rPr>
        <w:t xml:space="preserve"> </w:t>
      </w:r>
    </w:p>
    <w:p w14:paraId="316FAA0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548EB34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《中华人民共和国疫苗管理法》第八十七条第（三）项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由原发证部门吊销负有责任的医疗卫生人员的执业证书：</w:t>
      </w:r>
    </w:p>
    <w:p w14:paraId="728A4E0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（三）擅自进行群体性预防接种。</w:t>
      </w:r>
    </w:p>
    <w:tbl>
      <w:tblPr>
        <w:tblStyle w:val="24"/>
        <w:tblW w:w="5000" w:type="pct"/>
        <w:tblInd w:w="0" w:type="dxa"/>
        <w:tblLayout w:type="autofit"/>
        <w:tblCellMar>
          <w:top w:w="0" w:type="dxa"/>
          <w:left w:w="108" w:type="dxa"/>
          <w:bottom w:w="0" w:type="dxa"/>
          <w:right w:w="108" w:type="dxa"/>
        </w:tblCellMar>
      </w:tblPr>
      <w:tblGrid>
        <w:gridCol w:w="2308"/>
        <w:gridCol w:w="6466"/>
        <w:gridCol w:w="5400"/>
      </w:tblGrid>
      <w:tr w14:paraId="77CBD3B9">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68A19387">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11FCC6D7">
        <w:tblPrEx>
          <w:tblCellMar>
            <w:top w:w="0" w:type="dxa"/>
            <w:left w:w="108" w:type="dxa"/>
            <w:bottom w:w="0" w:type="dxa"/>
            <w:right w:w="108" w:type="dxa"/>
          </w:tblCellMar>
        </w:tblPrEx>
        <w:trPr>
          <w:trHeight w:val="680" w:hRule="atLeast"/>
        </w:trPr>
        <w:tc>
          <w:tcPr>
            <w:tcW w:w="814" w:type="pct"/>
            <w:tcBorders>
              <w:top w:val="single" w:color="auto" w:sz="4" w:space="0"/>
              <w:left w:val="single" w:color="auto" w:sz="4" w:space="0"/>
              <w:bottom w:val="single" w:color="auto" w:sz="4" w:space="0"/>
              <w:right w:val="single" w:color="auto" w:sz="4" w:space="0"/>
            </w:tcBorders>
            <w:vAlign w:val="center"/>
          </w:tcPr>
          <w:p w14:paraId="4976FD6B">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281" w:type="pct"/>
            <w:tcBorders>
              <w:top w:val="single" w:color="auto" w:sz="4" w:space="0"/>
              <w:left w:val="single" w:color="auto" w:sz="4" w:space="0"/>
              <w:bottom w:val="single" w:color="auto" w:sz="4" w:space="0"/>
              <w:right w:val="single" w:color="auto" w:sz="4" w:space="0"/>
            </w:tcBorders>
            <w:vAlign w:val="center"/>
          </w:tcPr>
          <w:p w14:paraId="6C2B055E">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903" w:type="pct"/>
            <w:tcBorders>
              <w:top w:val="single" w:color="auto" w:sz="4" w:space="0"/>
              <w:left w:val="single" w:color="auto" w:sz="4" w:space="0"/>
              <w:bottom w:val="single" w:color="auto" w:sz="4" w:space="0"/>
              <w:right w:val="single" w:color="auto" w:sz="4" w:space="0"/>
            </w:tcBorders>
            <w:vAlign w:val="center"/>
          </w:tcPr>
          <w:p w14:paraId="3D90398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AF04F6B">
        <w:tblPrEx>
          <w:tblCellMar>
            <w:top w:w="0" w:type="dxa"/>
            <w:left w:w="108" w:type="dxa"/>
            <w:bottom w:w="0" w:type="dxa"/>
            <w:right w:w="108" w:type="dxa"/>
          </w:tblCellMar>
        </w:tblPrEx>
        <w:trPr>
          <w:trHeight w:val="765" w:hRule="atLeast"/>
        </w:trPr>
        <w:tc>
          <w:tcPr>
            <w:tcW w:w="2308" w:type="dxa"/>
            <w:tcBorders>
              <w:top w:val="single" w:color="auto" w:sz="4" w:space="0"/>
              <w:left w:val="single" w:color="auto" w:sz="4" w:space="0"/>
              <w:bottom w:val="single" w:color="auto" w:sz="4" w:space="0"/>
              <w:right w:val="single" w:color="auto" w:sz="4" w:space="0"/>
            </w:tcBorders>
            <w:vAlign w:val="center"/>
          </w:tcPr>
          <w:p w14:paraId="3A3C794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281" w:type="pct"/>
            <w:tcBorders>
              <w:top w:val="single" w:color="auto" w:sz="4" w:space="0"/>
              <w:left w:val="single" w:color="auto" w:sz="4" w:space="0"/>
              <w:bottom w:val="single" w:color="auto" w:sz="4" w:space="0"/>
              <w:right w:val="single" w:color="auto" w:sz="4" w:space="0"/>
            </w:tcBorders>
            <w:vAlign w:val="center"/>
          </w:tcPr>
          <w:p w14:paraId="6A933D5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擅自进行群体性预防接种不足三十人次的。</w:t>
            </w:r>
          </w:p>
        </w:tc>
        <w:tc>
          <w:tcPr>
            <w:tcW w:w="1903" w:type="pct"/>
            <w:tcBorders>
              <w:top w:val="single" w:color="auto" w:sz="4" w:space="0"/>
              <w:left w:val="single" w:color="auto" w:sz="4" w:space="0"/>
              <w:bottom w:val="single" w:color="auto" w:sz="4" w:space="0"/>
              <w:right w:val="single" w:color="auto" w:sz="4" w:space="0"/>
            </w:tcBorders>
            <w:vAlign w:val="center"/>
          </w:tcPr>
          <w:p w14:paraId="11B1AD9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w:t>
            </w:r>
          </w:p>
        </w:tc>
      </w:tr>
      <w:tr w14:paraId="5F62A1D4">
        <w:tblPrEx>
          <w:tblCellMar>
            <w:top w:w="0" w:type="dxa"/>
            <w:left w:w="108" w:type="dxa"/>
            <w:bottom w:w="0" w:type="dxa"/>
            <w:right w:w="108" w:type="dxa"/>
          </w:tblCellMar>
        </w:tblPrEx>
        <w:trPr>
          <w:trHeight w:val="665" w:hRule="atLeast"/>
        </w:trPr>
        <w:tc>
          <w:tcPr>
            <w:tcW w:w="2308" w:type="dxa"/>
            <w:vMerge w:val="restart"/>
            <w:tcBorders>
              <w:top w:val="single" w:color="auto" w:sz="4" w:space="0"/>
              <w:left w:val="single" w:color="auto" w:sz="4" w:space="0"/>
              <w:bottom w:val="single" w:color="auto" w:sz="4" w:space="0"/>
              <w:right w:val="single" w:color="auto" w:sz="4" w:space="0"/>
            </w:tcBorders>
            <w:vAlign w:val="center"/>
          </w:tcPr>
          <w:p w14:paraId="56B9A24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281" w:type="pct"/>
            <w:tcBorders>
              <w:top w:val="single" w:color="auto" w:sz="4" w:space="0"/>
              <w:left w:val="single" w:color="auto" w:sz="4" w:space="0"/>
              <w:bottom w:val="single" w:color="auto" w:sz="4" w:space="0"/>
              <w:right w:val="single" w:color="auto" w:sz="4" w:space="0"/>
            </w:tcBorders>
            <w:vAlign w:val="center"/>
          </w:tcPr>
          <w:p w14:paraId="5DD846F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擅自进行群体性预防接种三十至五十人次的。</w:t>
            </w:r>
          </w:p>
        </w:tc>
        <w:tc>
          <w:tcPr>
            <w:tcW w:w="1903" w:type="pct"/>
            <w:tcBorders>
              <w:top w:val="single" w:color="auto" w:sz="4" w:space="0"/>
              <w:left w:val="single" w:color="auto" w:sz="4" w:space="0"/>
              <w:bottom w:val="single" w:color="auto" w:sz="4" w:space="0"/>
              <w:right w:val="single" w:color="auto" w:sz="4" w:space="0"/>
            </w:tcBorders>
            <w:vAlign w:val="center"/>
          </w:tcPr>
          <w:p w14:paraId="2F3F77C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警告，没收违法所得，责令负有责任的医疗卫生人员暂停一年以上十五个月以下执业活动。</w:t>
            </w:r>
          </w:p>
        </w:tc>
      </w:tr>
      <w:tr w14:paraId="2BBB5D00">
        <w:tblPrEx>
          <w:tblCellMar>
            <w:top w:w="0" w:type="dxa"/>
            <w:left w:w="108" w:type="dxa"/>
            <w:bottom w:w="0" w:type="dxa"/>
            <w:right w:w="108" w:type="dxa"/>
          </w:tblCellMar>
        </w:tblPrEx>
        <w:trPr>
          <w:trHeight w:val="702" w:hRule="atLeast"/>
        </w:trPr>
        <w:tc>
          <w:tcPr>
            <w:tcW w:w="814" w:type="pct"/>
            <w:vMerge w:val="continue"/>
            <w:tcBorders>
              <w:top w:val="single" w:color="auto" w:sz="4" w:space="0"/>
              <w:left w:val="single" w:color="auto" w:sz="4" w:space="0"/>
              <w:bottom w:val="single" w:color="auto" w:sz="4" w:space="0"/>
              <w:right w:val="single" w:color="auto" w:sz="4" w:space="0"/>
            </w:tcBorders>
            <w:vAlign w:val="center"/>
          </w:tcPr>
          <w:p w14:paraId="6618326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281" w:type="pct"/>
            <w:tcBorders>
              <w:top w:val="single" w:color="auto" w:sz="4" w:space="0"/>
              <w:left w:val="single" w:color="auto" w:sz="4" w:space="0"/>
              <w:bottom w:val="single" w:color="auto" w:sz="4" w:space="0"/>
              <w:right w:val="single" w:color="auto" w:sz="4" w:space="0"/>
            </w:tcBorders>
            <w:vAlign w:val="center"/>
          </w:tcPr>
          <w:p w14:paraId="5E3A171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擅自进行群体性预防接种超过五十人次的。</w:t>
            </w:r>
          </w:p>
        </w:tc>
        <w:tc>
          <w:tcPr>
            <w:tcW w:w="1903" w:type="pct"/>
            <w:tcBorders>
              <w:top w:val="single" w:color="auto" w:sz="4" w:space="0"/>
              <w:left w:val="single" w:color="auto" w:sz="4" w:space="0"/>
              <w:bottom w:val="single" w:color="auto" w:sz="4" w:space="0"/>
              <w:right w:val="single" w:color="auto" w:sz="4" w:space="0"/>
            </w:tcBorders>
            <w:vAlign w:val="center"/>
          </w:tcPr>
          <w:p w14:paraId="29A475D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警告，没收违法所得，责令负有责任的医疗卫生人员暂停十五个月以上十八个月以下执业活动。</w:t>
            </w:r>
          </w:p>
        </w:tc>
      </w:tr>
      <w:tr w14:paraId="67C209ED">
        <w:tblPrEx>
          <w:tblCellMar>
            <w:top w:w="0" w:type="dxa"/>
            <w:left w:w="108" w:type="dxa"/>
            <w:bottom w:w="0" w:type="dxa"/>
            <w:right w:w="108" w:type="dxa"/>
          </w:tblCellMar>
        </w:tblPrEx>
        <w:trPr>
          <w:trHeight w:val="794" w:hRule="atLeast"/>
        </w:trPr>
        <w:tc>
          <w:tcPr>
            <w:tcW w:w="2308" w:type="dxa"/>
            <w:tcBorders>
              <w:top w:val="single" w:color="auto" w:sz="4" w:space="0"/>
              <w:left w:val="single" w:color="auto" w:sz="4" w:space="0"/>
              <w:bottom w:val="single" w:color="auto" w:sz="4" w:space="0"/>
              <w:right w:val="single" w:color="auto" w:sz="4" w:space="0"/>
            </w:tcBorders>
            <w:vAlign w:val="center"/>
          </w:tcPr>
          <w:p w14:paraId="6C0AEEEF">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2281" w:type="pct"/>
            <w:tcBorders>
              <w:top w:val="single" w:color="auto" w:sz="4" w:space="0"/>
              <w:left w:val="single" w:color="auto" w:sz="4" w:space="0"/>
              <w:bottom w:val="single" w:color="auto" w:sz="4" w:space="0"/>
              <w:right w:val="single" w:color="auto" w:sz="4" w:space="0"/>
            </w:tcBorders>
            <w:vAlign w:val="center"/>
          </w:tcPr>
          <w:p w14:paraId="3E6AD7E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擅自进行群体性预防接种，导致接种疫苗后造成人员伤残或死亡等严重后果。</w:t>
            </w:r>
          </w:p>
        </w:tc>
        <w:tc>
          <w:tcPr>
            <w:tcW w:w="1903" w:type="pct"/>
            <w:tcBorders>
              <w:top w:val="single" w:color="auto" w:sz="4" w:space="0"/>
              <w:left w:val="single" w:color="auto" w:sz="4" w:space="0"/>
              <w:bottom w:val="single" w:color="auto" w:sz="4" w:space="0"/>
              <w:right w:val="single" w:color="auto" w:sz="4" w:space="0"/>
            </w:tcBorders>
            <w:vAlign w:val="center"/>
          </w:tcPr>
          <w:p w14:paraId="4B67B60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警告，没收违法所得，由原发证部门吊销负有责任的医疗卫生人员的执业证书。</w:t>
            </w:r>
          </w:p>
        </w:tc>
      </w:tr>
    </w:tbl>
    <w:p w14:paraId="6100F2BF">
      <w:pPr>
        <w:pStyle w:val="4"/>
        <w:widowControl w:val="0"/>
        <w:ind w:firstLine="640"/>
        <w:rPr>
          <w:rFonts w:hint="eastAsia" w:ascii="Times New Roman" w:hAnsi="Times New Roman" w:eastAsia="方正仿宋_GB2312" w:cs="方正仿宋_GB2312"/>
          <w:bCs/>
          <w:color w:val="000000" w:themeColor="text1"/>
          <w14:textFill>
            <w14:solidFill>
              <w14:schemeClr w14:val="tx1"/>
            </w14:solidFill>
          </w14:textFill>
        </w:rPr>
      </w:pPr>
      <w:bookmarkStart w:id="551" w:name="_Toc7709"/>
      <w:bookmarkStart w:id="552" w:name="_Toc8982"/>
      <w:bookmarkStart w:id="553" w:name="_Toc4362"/>
      <w:bookmarkStart w:id="554" w:name="_Toc4284"/>
      <w:bookmarkStart w:id="555" w:name="_Toc15877"/>
      <w:bookmarkStart w:id="556" w:name="_Toc26054"/>
      <w:bookmarkStart w:id="557" w:name="_Toc12954"/>
      <w:bookmarkStart w:id="558" w:name="_Toc24678"/>
      <w:bookmarkStart w:id="559" w:name="_Toc18169"/>
      <w:bookmarkStart w:id="560" w:name="_Toc16083"/>
      <w:bookmarkStart w:id="561" w:name="_Toc15082"/>
      <w:r>
        <w:rPr>
          <w:rFonts w:hint="eastAsia"/>
          <w:color w:val="000000" w:themeColor="text1"/>
          <w14:textFill>
            <w14:solidFill>
              <w14:schemeClr w14:val="tx1"/>
            </w14:solidFill>
          </w14:textFill>
        </w:rPr>
        <w:t xml:space="preserve">第五十一条 </w:t>
      </w:r>
      <w:r>
        <w:rPr>
          <w:rStyle w:val="33"/>
          <w:rFonts w:hint="eastAsia"/>
          <w:b/>
          <w:color w:val="000000" w:themeColor="text1"/>
          <w14:textFill>
            <w14:solidFill>
              <w14:schemeClr w14:val="tx1"/>
            </w14:solidFill>
          </w14:textFill>
        </w:rPr>
        <w:t>疾病预防控制机构、接种单位未按照规定提供追溯信息</w:t>
      </w:r>
      <w:r>
        <w:rPr>
          <w:rFonts w:hint="eastAsia" w:ascii="Times New Roman" w:hAnsi="Times New Roman" w:eastAsia="方正仿宋_GB2312" w:cs="方正仿宋_GB2312"/>
          <w:bCs/>
          <w:color w:val="000000" w:themeColor="text1"/>
          <w14:textFill>
            <w14:solidFill>
              <w14:schemeClr w14:val="tx1"/>
            </w14:solidFill>
          </w14:textFill>
        </w:rPr>
        <w:t>的</w:t>
      </w:r>
      <w:bookmarkEnd w:id="551"/>
      <w:bookmarkEnd w:id="552"/>
      <w:bookmarkEnd w:id="553"/>
      <w:bookmarkEnd w:id="554"/>
      <w:bookmarkEnd w:id="555"/>
      <w:bookmarkEnd w:id="556"/>
      <w:bookmarkEnd w:id="557"/>
      <w:bookmarkEnd w:id="558"/>
      <w:bookmarkEnd w:id="559"/>
      <w:bookmarkEnd w:id="560"/>
      <w:bookmarkEnd w:id="561"/>
    </w:p>
    <w:p w14:paraId="46DAC2F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039A68B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《中华人民共和国疫苗管理法》第八十八条第（一）项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14:paraId="3A7B7902">
      <w:pPr>
        <w:widowControl w:val="0"/>
        <w:spacing w:after="0" w:line="440" w:lineRule="exact"/>
        <w:ind w:firstLine="640" w:firstLineChars="200"/>
        <w:jc w:val="both"/>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（一）未按照规定提供追溯信息； </w:t>
      </w:r>
    </w:p>
    <w:tbl>
      <w:tblPr>
        <w:tblStyle w:val="24"/>
        <w:tblW w:w="4961" w:type="pct"/>
        <w:tblInd w:w="108" w:type="dxa"/>
        <w:tblLayout w:type="autofit"/>
        <w:tblCellMar>
          <w:top w:w="0" w:type="dxa"/>
          <w:left w:w="108" w:type="dxa"/>
          <w:bottom w:w="0" w:type="dxa"/>
          <w:right w:w="108" w:type="dxa"/>
        </w:tblCellMar>
      </w:tblPr>
      <w:tblGrid>
        <w:gridCol w:w="1938"/>
        <w:gridCol w:w="7231"/>
        <w:gridCol w:w="4894"/>
      </w:tblGrid>
      <w:tr w14:paraId="0DAFF574">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446FCEBE">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6265CA5">
        <w:tblPrEx>
          <w:tblCellMar>
            <w:top w:w="0" w:type="dxa"/>
            <w:left w:w="108" w:type="dxa"/>
            <w:bottom w:w="0" w:type="dxa"/>
            <w:right w:w="108" w:type="dxa"/>
          </w:tblCellMar>
        </w:tblPrEx>
        <w:trPr>
          <w:trHeight w:val="680" w:hRule="atLeast"/>
        </w:trPr>
        <w:tc>
          <w:tcPr>
            <w:tcW w:w="689" w:type="pct"/>
            <w:tcBorders>
              <w:top w:val="single" w:color="auto" w:sz="4" w:space="0"/>
              <w:left w:val="single" w:color="auto" w:sz="4" w:space="0"/>
              <w:bottom w:val="single" w:color="auto" w:sz="4" w:space="0"/>
              <w:right w:val="single" w:color="auto" w:sz="4" w:space="0"/>
            </w:tcBorders>
            <w:vAlign w:val="center"/>
          </w:tcPr>
          <w:p w14:paraId="041765F2">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571" w:type="pct"/>
            <w:tcBorders>
              <w:top w:val="single" w:color="auto" w:sz="4" w:space="0"/>
              <w:left w:val="single" w:color="auto" w:sz="4" w:space="0"/>
              <w:bottom w:val="single" w:color="auto" w:sz="4" w:space="0"/>
              <w:right w:val="single" w:color="auto" w:sz="4" w:space="0"/>
            </w:tcBorders>
            <w:vAlign w:val="center"/>
          </w:tcPr>
          <w:p w14:paraId="5A2830B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739" w:type="pct"/>
            <w:tcBorders>
              <w:top w:val="single" w:color="auto" w:sz="4" w:space="0"/>
              <w:left w:val="single" w:color="auto" w:sz="4" w:space="0"/>
              <w:bottom w:val="single" w:color="auto" w:sz="4" w:space="0"/>
              <w:right w:val="single" w:color="auto" w:sz="4" w:space="0"/>
            </w:tcBorders>
            <w:vAlign w:val="center"/>
          </w:tcPr>
          <w:p w14:paraId="0E47253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B5EADDC">
        <w:tblPrEx>
          <w:tblCellMar>
            <w:top w:w="0" w:type="dxa"/>
            <w:left w:w="108" w:type="dxa"/>
            <w:bottom w:w="0" w:type="dxa"/>
            <w:right w:w="108" w:type="dxa"/>
          </w:tblCellMar>
        </w:tblPrEx>
        <w:trPr>
          <w:trHeight w:val="590" w:hRule="atLeast"/>
        </w:trPr>
        <w:tc>
          <w:tcPr>
            <w:tcW w:w="1938" w:type="dxa"/>
            <w:tcBorders>
              <w:top w:val="single" w:color="auto" w:sz="4" w:space="0"/>
              <w:left w:val="single" w:color="auto" w:sz="4" w:space="0"/>
              <w:bottom w:val="single" w:color="auto" w:sz="4" w:space="0"/>
              <w:right w:val="single" w:color="auto" w:sz="4" w:space="0"/>
            </w:tcBorders>
            <w:vAlign w:val="center"/>
          </w:tcPr>
          <w:p w14:paraId="3678B13E">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571" w:type="pct"/>
            <w:tcBorders>
              <w:top w:val="single" w:color="auto" w:sz="4" w:space="0"/>
              <w:left w:val="single" w:color="auto" w:sz="4" w:space="0"/>
              <w:bottom w:val="single" w:color="auto" w:sz="4" w:space="0"/>
              <w:right w:val="single" w:color="auto" w:sz="4" w:space="0"/>
            </w:tcBorders>
            <w:vAlign w:val="center"/>
          </w:tcPr>
          <w:p w14:paraId="3E82C38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未按照规定提供追溯信息，未造成不良后果的。</w:t>
            </w:r>
          </w:p>
        </w:tc>
        <w:tc>
          <w:tcPr>
            <w:tcW w:w="1739" w:type="pct"/>
            <w:tcBorders>
              <w:top w:val="single" w:color="auto" w:sz="4" w:space="0"/>
              <w:left w:val="single" w:color="auto" w:sz="4" w:space="0"/>
              <w:bottom w:val="single" w:color="auto" w:sz="4" w:space="0"/>
              <w:right w:val="single" w:color="auto" w:sz="4" w:space="0"/>
            </w:tcBorders>
            <w:vAlign w:val="center"/>
          </w:tcPr>
          <w:p w14:paraId="29AFF613">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3141AB02">
        <w:tblPrEx>
          <w:tblCellMar>
            <w:top w:w="0" w:type="dxa"/>
            <w:left w:w="108" w:type="dxa"/>
            <w:bottom w:w="0" w:type="dxa"/>
            <w:right w:w="108" w:type="dxa"/>
          </w:tblCellMar>
        </w:tblPrEx>
        <w:trPr>
          <w:trHeight w:val="57" w:hRule="atLeast"/>
        </w:trPr>
        <w:tc>
          <w:tcPr>
            <w:tcW w:w="1938" w:type="dxa"/>
            <w:tcBorders>
              <w:top w:val="single" w:color="auto" w:sz="4" w:space="0"/>
              <w:left w:val="single" w:color="auto" w:sz="4" w:space="0"/>
              <w:bottom w:val="single" w:color="auto" w:sz="4" w:space="0"/>
              <w:right w:val="single" w:color="auto" w:sz="4" w:space="0"/>
            </w:tcBorders>
            <w:vAlign w:val="center"/>
          </w:tcPr>
          <w:p w14:paraId="6C993AA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571" w:type="pct"/>
            <w:tcBorders>
              <w:top w:val="single" w:color="auto" w:sz="4" w:space="0"/>
              <w:left w:val="single" w:color="auto" w:sz="4" w:space="0"/>
              <w:bottom w:val="single" w:color="auto" w:sz="4" w:space="0"/>
              <w:right w:val="single" w:color="auto" w:sz="4" w:space="0"/>
            </w:tcBorders>
            <w:vAlign w:val="center"/>
          </w:tcPr>
          <w:p w14:paraId="34307FA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未按照规定提供追溯信息，影响对有预防接种异常反应的疫苗溯源工作的。</w:t>
            </w:r>
          </w:p>
        </w:tc>
        <w:tc>
          <w:tcPr>
            <w:tcW w:w="1739" w:type="pct"/>
            <w:tcBorders>
              <w:top w:val="single" w:color="auto" w:sz="4" w:space="0"/>
              <w:left w:val="single" w:color="auto" w:sz="4" w:space="0"/>
              <w:bottom w:val="single" w:color="auto" w:sz="4" w:space="0"/>
              <w:right w:val="single" w:color="auto" w:sz="4" w:space="0"/>
            </w:tcBorders>
            <w:vAlign w:val="center"/>
          </w:tcPr>
          <w:p w14:paraId="28B72FE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警告，责令负有责任的医疗卫生人员暂停六个月以上一年以下执业活动。</w:t>
            </w:r>
          </w:p>
        </w:tc>
      </w:tr>
      <w:tr w14:paraId="75714D20">
        <w:tblPrEx>
          <w:tblCellMar>
            <w:top w:w="0" w:type="dxa"/>
            <w:left w:w="108" w:type="dxa"/>
            <w:bottom w:w="0" w:type="dxa"/>
            <w:right w:w="108" w:type="dxa"/>
          </w:tblCellMar>
        </w:tblPrEx>
        <w:trPr>
          <w:trHeight w:val="57" w:hRule="atLeast"/>
        </w:trPr>
        <w:tc>
          <w:tcPr>
            <w:tcW w:w="1938" w:type="dxa"/>
            <w:tcBorders>
              <w:top w:val="single" w:color="auto" w:sz="4" w:space="0"/>
              <w:left w:val="single" w:color="auto" w:sz="4" w:space="0"/>
              <w:bottom w:val="single" w:color="auto" w:sz="4" w:space="0"/>
              <w:right w:val="single" w:color="auto" w:sz="4" w:space="0"/>
            </w:tcBorders>
            <w:vAlign w:val="center"/>
          </w:tcPr>
          <w:p w14:paraId="5897529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2571" w:type="pct"/>
            <w:tcBorders>
              <w:top w:val="single" w:color="auto" w:sz="4" w:space="0"/>
              <w:left w:val="single" w:color="auto" w:sz="4" w:space="0"/>
              <w:bottom w:val="single" w:color="auto" w:sz="4" w:space="0"/>
              <w:right w:val="single" w:color="auto" w:sz="4" w:space="0"/>
            </w:tcBorders>
            <w:vAlign w:val="center"/>
          </w:tcPr>
          <w:p w14:paraId="263003C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未按照规定提供追溯信息，严重影响对不合格疫苗的溯源工作，或造成其他严重后果的。</w:t>
            </w:r>
          </w:p>
        </w:tc>
        <w:tc>
          <w:tcPr>
            <w:tcW w:w="1739" w:type="pct"/>
            <w:tcBorders>
              <w:top w:val="single" w:color="auto" w:sz="4" w:space="0"/>
              <w:left w:val="single" w:color="auto" w:sz="4" w:space="0"/>
              <w:bottom w:val="single" w:color="auto" w:sz="4" w:space="0"/>
              <w:right w:val="single" w:color="auto" w:sz="4" w:space="0"/>
            </w:tcBorders>
            <w:vAlign w:val="center"/>
          </w:tcPr>
          <w:p w14:paraId="679CAED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给警告，由原发证部门吊销负有责任的医疗卫生人员的执业证书。</w:t>
            </w:r>
          </w:p>
        </w:tc>
      </w:tr>
    </w:tbl>
    <w:p w14:paraId="63BB7FE1">
      <w:pPr>
        <w:pStyle w:val="4"/>
        <w:widowControl w:val="0"/>
        <w:ind w:firstLine="640"/>
        <w:rPr>
          <w:rFonts w:hint="eastAsia" w:ascii="Times New Roman" w:hAnsi="Times New Roman" w:eastAsia="方正仿宋_GB2312" w:cs="方正仿宋_GB2312"/>
          <w:bCs/>
          <w:color w:val="000000" w:themeColor="text1"/>
          <w14:textFill>
            <w14:solidFill>
              <w14:schemeClr w14:val="tx1"/>
            </w14:solidFill>
          </w14:textFill>
        </w:rPr>
      </w:pPr>
      <w:bookmarkStart w:id="562" w:name="_Toc28932"/>
      <w:bookmarkStart w:id="563" w:name="_Toc548"/>
      <w:bookmarkStart w:id="564" w:name="_Toc11759"/>
      <w:bookmarkStart w:id="565" w:name="_Toc17272"/>
      <w:bookmarkStart w:id="566" w:name="_Toc29502"/>
      <w:bookmarkStart w:id="567" w:name="_Toc31882"/>
      <w:bookmarkStart w:id="568" w:name="_Toc16481"/>
      <w:bookmarkStart w:id="569" w:name="_Toc18231"/>
      <w:bookmarkStart w:id="570" w:name="_Toc29718"/>
      <w:bookmarkStart w:id="571" w:name="_Toc17924"/>
      <w:bookmarkStart w:id="572" w:name="_Toc4475"/>
      <w:r>
        <w:rPr>
          <w:rFonts w:hint="eastAsia"/>
          <w:color w:val="000000" w:themeColor="text1"/>
          <w14:textFill>
            <w14:solidFill>
              <w14:schemeClr w14:val="tx1"/>
            </w14:solidFill>
          </w14:textFill>
        </w:rPr>
        <w:t xml:space="preserve">第五十二条 </w:t>
      </w:r>
      <w:r>
        <w:rPr>
          <w:rStyle w:val="33"/>
          <w:rFonts w:hint="eastAsia"/>
          <w:b/>
          <w:color w:val="000000" w:themeColor="text1"/>
          <w14:textFill>
            <w14:solidFill>
              <w14:schemeClr w14:val="tx1"/>
            </w14:solidFill>
          </w14:textFill>
        </w:rPr>
        <w:t>疾病预防控制机构、接种单位接收或者购进疫苗时未按照规定索取并保存相关证明文件、温度监测记录</w:t>
      </w:r>
      <w:bookmarkEnd w:id="562"/>
      <w:bookmarkEnd w:id="563"/>
      <w:bookmarkEnd w:id="564"/>
      <w:bookmarkEnd w:id="565"/>
      <w:bookmarkEnd w:id="566"/>
      <w:bookmarkEnd w:id="567"/>
      <w:bookmarkEnd w:id="568"/>
      <w:bookmarkEnd w:id="569"/>
      <w:bookmarkEnd w:id="570"/>
      <w:bookmarkEnd w:id="571"/>
      <w:bookmarkEnd w:id="572"/>
      <w:r>
        <w:rPr>
          <w:rFonts w:hint="eastAsia" w:eastAsia="方正仿宋_GB2312" w:cs="方正仿宋_GB2312"/>
          <w:bCs/>
          <w:color w:val="000000" w:themeColor="text1"/>
          <w:lang w:eastAsia="zh-CN"/>
          <w14:textFill>
            <w14:solidFill>
              <w14:schemeClr w14:val="tx1"/>
            </w14:solidFill>
          </w14:textFill>
        </w:rPr>
        <w:t xml:space="preserve"> </w:t>
      </w:r>
    </w:p>
    <w:p w14:paraId="204DADE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5B76BA62">
      <w:pPr>
        <w:widowControl w:val="0"/>
        <w:spacing w:after="0" w:line="440" w:lineRule="exact"/>
        <w:ind w:firstLine="640" w:firstLineChars="200"/>
        <w:jc w:val="both"/>
        <w:rPr>
          <w:rFonts w:hint="eastAsia" w:ascii="Times New Roman" w:hAnsi="Times New Roman" w:eastAsia="方正仿宋_GB2312" w:cs="方正仿宋_GB2312"/>
          <w:color w:val="000000" w:themeColor="text1"/>
          <w:spacing w:val="-6"/>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《中华人民共和国疫苗管理法》第八十八条第（二）项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法规定，疾病预防控制机构、接种单位有下列情形之一的，由县级以上人民政府卫生健康主管部门责令改正，给予警告；情节严重的，对主要负责人、直接负责的主管人员和其他直接责任人员依法给予警告直至撤职处分，</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14:paraId="4032F5F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（二）接收或者购进疫苗时未按照规定索取并保存相关证明文件、温度监测记录； </w:t>
      </w:r>
    </w:p>
    <w:tbl>
      <w:tblPr>
        <w:tblStyle w:val="24"/>
        <w:tblW w:w="5000" w:type="pct"/>
        <w:tblInd w:w="0" w:type="dxa"/>
        <w:tblLayout w:type="autofit"/>
        <w:tblCellMar>
          <w:top w:w="0" w:type="dxa"/>
          <w:left w:w="108" w:type="dxa"/>
          <w:bottom w:w="0" w:type="dxa"/>
          <w:right w:w="108" w:type="dxa"/>
        </w:tblCellMar>
      </w:tblPr>
      <w:tblGrid>
        <w:gridCol w:w="3382"/>
        <w:gridCol w:w="5964"/>
        <w:gridCol w:w="4828"/>
      </w:tblGrid>
      <w:tr w14:paraId="5376A68B">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2284997D">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2DB5A64D">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2BB4E77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104" w:type="pct"/>
            <w:tcBorders>
              <w:top w:val="single" w:color="auto" w:sz="4" w:space="0"/>
              <w:left w:val="single" w:color="auto" w:sz="4" w:space="0"/>
              <w:bottom w:val="single" w:color="auto" w:sz="4" w:space="0"/>
              <w:right w:val="single" w:color="auto" w:sz="4" w:space="0"/>
            </w:tcBorders>
            <w:vAlign w:val="center"/>
          </w:tcPr>
          <w:p w14:paraId="68872B2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702" w:type="pct"/>
            <w:tcBorders>
              <w:top w:val="single" w:color="auto" w:sz="4" w:space="0"/>
              <w:left w:val="single" w:color="auto" w:sz="4" w:space="0"/>
              <w:bottom w:val="single" w:color="auto" w:sz="4" w:space="0"/>
              <w:right w:val="single" w:color="auto" w:sz="4" w:space="0"/>
            </w:tcBorders>
            <w:vAlign w:val="center"/>
          </w:tcPr>
          <w:p w14:paraId="071DDF0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BF8272E">
        <w:tblPrEx>
          <w:tblCellMar>
            <w:top w:w="0" w:type="dxa"/>
            <w:left w:w="108" w:type="dxa"/>
            <w:bottom w:w="0" w:type="dxa"/>
            <w:right w:w="108" w:type="dxa"/>
          </w:tblCellMar>
        </w:tblPrEx>
        <w:trPr>
          <w:trHeight w:val="57" w:hRule="atLeast"/>
        </w:trPr>
        <w:tc>
          <w:tcPr>
            <w:tcW w:w="3382" w:type="dxa"/>
            <w:tcBorders>
              <w:top w:val="single" w:color="auto" w:sz="4" w:space="0"/>
              <w:left w:val="single" w:color="auto" w:sz="4" w:space="0"/>
              <w:bottom w:val="single" w:color="auto" w:sz="4" w:space="0"/>
              <w:right w:val="single" w:color="auto" w:sz="4" w:space="0"/>
            </w:tcBorders>
            <w:vAlign w:val="center"/>
          </w:tcPr>
          <w:p w14:paraId="5839A16E">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104" w:type="pct"/>
            <w:tcBorders>
              <w:top w:val="single" w:color="auto" w:sz="4" w:space="0"/>
              <w:left w:val="single" w:color="auto" w:sz="4" w:space="0"/>
              <w:bottom w:val="single" w:color="auto" w:sz="4" w:space="0"/>
              <w:right w:val="single" w:color="auto" w:sz="4" w:space="0"/>
            </w:tcBorders>
            <w:vAlign w:val="center"/>
          </w:tcPr>
          <w:p w14:paraId="43C0346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接收或者购进疫苗时未按照规定索取并保存相关证明文件、温度监测记录，未造成不良后果的。</w:t>
            </w:r>
          </w:p>
        </w:tc>
        <w:tc>
          <w:tcPr>
            <w:tcW w:w="1702" w:type="pct"/>
            <w:tcBorders>
              <w:top w:val="single" w:color="auto" w:sz="4" w:space="0"/>
              <w:left w:val="single" w:color="auto" w:sz="4" w:space="0"/>
              <w:bottom w:val="single" w:color="auto" w:sz="4" w:space="0"/>
              <w:right w:val="single" w:color="auto" w:sz="4" w:space="0"/>
            </w:tcBorders>
            <w:vAlign w:val="center"/>
          </w:tcPr>
          <w:p w14:paraId="1F93938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39362DDA">
        <w:tblPrEx>
          <w:tblCellMar>
            <w:top w:w="0" w:type="dxa"/>
            <w:left w:w="108" w:type="dxa"/>
            <w:bottom w:w="0" w:type="dxa"/>
            <w:right w:w="108" w:type="dxa"/>
          </w:tblCellMar>
        </w:tblPrEx>
        <w:trPr>
          <w:trHeight w:val="57" w:hRule="atLeast"/>
        </w:trPr>
        <w:tc>
          <w:tcPr>
            <w:tcW w:w="3382" w:type="dxa"/>
            <w:tcBorders>
              <w:top w:val="single" w:color="auto" w:sz="4" w:space="0"/>
              <w:left w:val="single" w:color="auto" w:sz="4" w:space="0"/>
              <w:bottom w:val="single" w:color="auto" w:sz="4" w:space="0"/>
              <w:right w:val="single" w:color="auto" w:sz="4" w:space="0"/>
            </w:tcBorders>
            <w:vAlign w:val="center"/>
          </w:tcPr>
          <w:p w14:paraId="726F1FD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104" w:type="pct"/>
            <w:tcBorders>
              <w:top w:val="single" w:color="auto" w:sz="4" w:space="0"/>
              <w:left w:val="single" w:color="auto" w:sz="4" w:space="0"/>
              <w:bottom w:val="single" w:color="auto" w:sz="4" w:space="0"/>
              <w:right w:val="single" w:color="auto" w:sz="4" w:space="0"/>
            </w:tcBorders>
            <w:vAlign w:val="center"/>
          </w:tcPr>
          <w:p w14:paraId="20B6064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未按照规定索取并保存相关证明文件、温度监测记录，导致接收或者购进了不合格或失效的疫苗的。</w:t>
            </w:r>
          </w:p>
        </w:tc>
        <w:tc>
          <w:tcPr>
            <w:tcW w:w="1702" w:type="pct"/>
            <w:tcBorders>
              <w:top w:val="single" w:color="auto" w:sz="4" w:space="0"/>
              <w:left w:val="single" w:color="auto" w:sz="4" w:space="0"/>
              <w:bottom w:val="single" w:color="auto" w:sz="4" w:space="0"/>
              <w:right w:val="single" w:color="auto" w:sz="4" w:space="0"/>
            </w:tcBorders>
            <w:vAlign w:val="center"/>
          </w:tcPr>
          <w:p w14:paraId="1F83DA3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警告，责令负有责任的医疗卫生人员暂停六个月以上一年以下执业活动。</w:t>
            </w:r>
          </w:p>
        </w:tc>
      </w:tr>
      <w:tr w14:paraId="5BEB2F26">
        <w:tblPrEx>
          <w:tblCellMar>
            <w:top w:w="0" w:type="dxa"/>
            <w:left w:w="108" w:type="dxa"/>
            <w:bottom w:w="0" w:type="dxa"/>
            <w:right w:w="108" w:type="dxa"/>
          </w:tblCellMar>
        </w:tblPrEx>
        <w:trPr>
          <w:trHeight w:val="57" w:hRule="atLeast"/>
        </w:trPr>
        <w:tc>
          <w:tcPr>
            <w:tcW w:w="3382" w:type="dxa"/>
            <w:tcBorders>
              <w:top w:val="single" w:color="auto" w:sz="4" w:space="0"/>
              <w:left w:val="single" w:color="auto" w:sz="4" w:space="0"/>
              <w:bottom w:val="single" w:color="auto" w:sz="4" w:space="0"/>
              <w:right w:val="single" w:color="auto" w:sz="4" w:space="0"/>
            </w:tcBorders>
            <w:vAlign w:val="center"/>
          </w:tcPr>
          <w:p w14:paraId="75D9367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2104" w:type="pct"/>
            <w:tcBorders>
              <w:top w:val="single" w:color="auto" w:sz="4" w:space="0"/>
              <w:left w:val="single" w:color="auto" w:sz="4" w:space="0"/>
              <w:bottom w:val="single" w:color="auto" w:sz="4" w:space="0"/>
              <w:right w:val="single" w:color="auto" w:sz="4" w:space="0"/>
            </w:tcBorders>
            <w:vAlign w:val="center"/>
          </w:tcPr>
          <w:p w14:paraId="1ABE2F5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未按照规定索取并保存相关证明文件、温度监测记录，导致接收或者购进了未经药品监督管理部门批准生产的疫苗，或造成其他严重后果的。</w:t>
            </w:r>
          </w:p>
        </w:tc>
        <w:tc>
          <w:tcPr>
            <w:tcW w:w="1702" w:type="pct"/>
            <w:tcBorders>
              <w:top w:val="single" w:color="auto" w:sz="4" w:space="0"/>
              <w:left w:val="single" w:color="auto" w:sz="4" w:space="0"/>
              <w:bottom w:val="single" w:color="auto" w:sz="4" w:space="0"/>
              <w:right w:val="single" w:color="auto" w:sz="4" w:space="0"/>
            </w:tcBorders>
            <w:vAlign w:val="center"/>
          </w:tcPr>
          <w:p w14:paraId="7903BB2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警告，由原发证部门吊销负有责任的医疗卫生人员的执业证书。</w:t>
            </w:r>
          </w:p>
        </w:tc>
      </w:tr>
    </w:tbl>
    <w:p w14:paraId="6C326232">
      <w:pPr>
        <w:pStyle w:val="4"/>
        <w:widowControl w:val="0"/>
        <w:spacing w:line="500" w:lineRule="exact"/>
        <w:ind w:firstLine="640"/>
        <w:rPr>
          <w:color w:val="000000" w:themeColor="text1"/>
          <w14:textFill>
            <w14:solidFill>
              <w14:schemeClr w14:val="tx1"/>
            </w14:solidFill>
          </w14:textFill>
        </w:rPr>
      </w:pPr>
      <w:bookmarkStart w:id="573" w:name="_Toc27105"/>
      <w:bookmarkStart w:id="574" w:name="_Toc32312"/>
      <w:bookmarkStart w:id="575" w:name="_Toc14779"/>
      <w:bookmarkStart w:id="576" w:name="_Toc572"/>
      <w:bookmarkStart w:id="577" w:name="_Toc30221"/>
      <w:bookmarkStart w:id="578" w:name="_Toc30644"/>
      <w:bookmarkStart w:id="579" w:name="_Toc25269"/>
      <w:bookmarkStart w:id="580" w:name="_Toc14930"/>
      <w:bookmarkStart w:id="581" w:name="_Toc2119"/>
      <w:bookmarkStart w:id="582" w:name="_Toc13527"/>
      <w:bookmarkStart w:id="583" w:name="_Toc13295"/>
      <w:r>
        <w:rPr>
          <w:rFonts w:hint="eastAsia"/>
          <w:color w:val="000000" w:themeColor="text1"/>
          <w14:textFill>
            <w14:solidFill>
              <w14:schemeClr w14:val="tx1"/>
            </w14:solidFill>
          </w14:textFill>
        </w:rPr>
        <w:t>第五十三条 未按照规定建立并保存疫苗接收、购进、储存、配送、供应、接种、处置记录</w:t>
      </w:r>
      <w:bookmarkEnd w:id="573"/>
      <w:bookmarkEnd w:id="574"/>
      <w:bookmarkEnd w:id="575"/>
      <w:bookmarkEnd w:id="576"/>
      <w:bookmarkEnd w:id="577"/>
      <w:bookmarkEnd w:id="578"/>
      <w:bookmarkEnd w:id="579"/>
      <w:bookmarkEnd w:id="580"/>
      <w:bookmarkEnd w:id="581"/>
      <w:bookmarkEnd w:id="582"/>
      <w:bookmarkEnd w:id="583"/>
    </w:p>
    <w:p w14:paraId="53F75738">
      <w:pPr>
        <w:widowControl w:val="0"/>
        <w:spacing w:after="0" w:line="50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bookmarkStart w:id="584" w:name="_Toc11293"/>
      <w:bookmarkStart w:id="585" w:name="_Toc26796"/>
      <w:bookmarkStart w:id="586" w:name="_Toc17818"/>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bookmarkEnd w:id="584"/>
      <w:bookmarkEnd w:id="585"/>
      <w:bookmarkEnd w:id="586"/>
    </w:p>
    <w:p w14:paraId="7DA67A34">
      <w:pPr>
        <w:widowControl w:val="0"/>
        <w:spacing w:after="0" w:line="50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《中华人民共和国疫苗管理法》第八十八条第（三）项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14:paraId="7BD35046">
      <w:pPr>
        <w:widowControl w:val="0"/>
        <w:spacing w:after="0" w:line="50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（三）未按照规定建立并保存疫苗接收、购进、储存、配送、供应、接种、处置记录；</w:t>
      </w:r>
    </w:p>
    <w:tbl>
      <w:tblPr>
        <w:tblStyle w:val="24"/>
        <w:tblW w:w="5000" w:type="pct"/>
        <w:tblInd w:w="0" w:type="dxa"/>
        <w:tblLayout w:type="autofit"/>
        <w:tblCellMar>
          <w:top w:w="0" w:type="dxa"/>
          <w:left w:w="108" w:type="dxa"/>
          <w:bottom w:w="0" w:type="dxa"/>
          <w:right w:w="108" w:type="dxa"/>
        </w:tblCellMar>
      </w:tblPr>
      <w:tblGrid>
        <w:gridCol w:w="3382"/>
        <w:gridCol w:w="5862"/>
        <w:gridCol w:w="4930"/>
      </w:tblGrid>
      <w:tr w14:paraId="39322E31">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0A8B551A">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AF07538">
        <w:tblPrEx>
          <w:tblCellMar>
            <w:top w:w="0" w:type="dxa"/>
            <w:left w:w="108" w:type="dxa"/>
            <w:bottom w:w="0" w:type="dxa"/>
            <w:right w:w="108" w:type="dxa"/>
          </w:tblCellMar>
        </w:tblPrEx>
        <w:trPr>
          <w:trHeight w:val="680" w:hRule="atLeast"/>
        </w:trPr>
        <w:tc>
          <w:tcPr>
            <w:tcW w:w="1193" w:type="pct"/>
            <w:tcBorders>
              <w:top w:val="single" w:color="auto" w:sz="4" w:space="0"/>
              <w:left w:val="single" w:color="auto" w:sz="4" w:space="0"/>
              <w:bottom w:val="single" w:color="auto" w:sz="4" w:space="0"/>
              <w:right w:val="single" w:color="auto" w:sz="4" w:space="0"/>
            </w:tcBorders>
            <w:vAlign w:val="center"/>
          </w:tcPr>
          <w:p w14:paraId="4D48F69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068" w:type="pct"/>
            <w:tcBorders>
              <w:top w:val="single" w:color="auto" w:sz="4" w:space="0"/>
              <w:left w:val="single" w:color="auto" w:sz="4" w:space="0"/>
              <w:bottom w:val="single" w:color="auto" w:sz="4" w:space="0"/>
              <w:right w:val="single" w:color="auto" w:sz="4" w:space="0"/>
            </w:tcBorders>
            <w:vAlign w:val="center"/>
          </w:tcPr>
          <w:p w14:paraId="79326B6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738" w:type="pct"/>
            <w:tcBorders>
              <w:top w:val="single" w:color="auto" w:sz="4" w:space="0"/>
              <w:left w:val="single" w:color="auto" w:sz="4" w:space="0"/>
              <w:bottom w:val="single" w:color="auto" w:sz="4" w:space="0"/>
              <w:right w:val="single" w:color="auto" w:sz="4" w:space="0"/>
            </w:tcBorders>
            <w:vAlign w:val="center"/>
          </w:tcPr>
          <w:p w14:paraId="68A1258E">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5475A12">
        <w:tblPrEx>
          <w:tblCellMar>
            <w:top w:w="0" w:type="dxa"/>
            <w:left w:w="108" w:type="dxa"/>
            <w:bottom w:w="0" w:type="dxa"/>
            <w:right w:w="108" w:type="dxa"/>
          </w:tblCellMar>
        </w:tblPrEx>
        <w:trPr>
          <w:trHeight w:val="630" w:hRule="atLeast"/>
        </w:trPr>
        <w:tc>
          <w:tcPr>
            <w:tcW w:w="1193" w:type="pct"/>
            <w:tcBorders>
              <w:top w:val="single" w:color="auto" w:sz="4" w:space="0"/>
              <w:left w:val="single" w:color="auto" w:sz="4" w:space="0"/>
              <w:bottom w:val="single" w:color="auto" w:sz="4" w:space="0"/>
              <w:right w:val="single" w:color="auto" w:sz="4" w:space="0"/>
            </w:tcBorders>
            <w:vAlign w:val="center"/>
          </w:tcPr>
          <w:p w14:paraId="24F55EF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068" w:type="pct"/>
            <w:tcBorders>
              <w:top w:val="single" w:color="auto" w:sz="4" w:space="0"/>
              <w:left w:val="single" w:color="auto" w:sz="4" w:space="0"/>
              <w:bottom w:val="single" w:color="auto" w:sz="4" w:space="0"/>
              <w:right w:val="single" w:color="auto" w:sz="4" w:space="0"/>
            </w:tcBorders>
            <w:vAlign w:val="center"/>
          </w:tcPr>
          <w:p w14:paraId="07F603B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疫苗接收、购进、储存、配送、供应、接种、处置记录，保存时间在疫苗有效期满后少于五年的。</w:t>
            </w:r>
          </w:p>
        </w:tc>
        <w:tc>
          <w:tcPr>
            <w:tcW w:w="1738" w:type="pct"/>
            <w:tcBorders>
              <w:top w:val="single" w:color="auto" w:sz="4" w:space="0"/>
              <w:left w:val="single" w:color="auto" w:sz="4" w:space="0"/>
              <w:bottom w:val="single" w:color="auto" w:sz="4" w:space="0"/>
              <w:right w:val="single" w:color="auto" w:sz="4" w:space="0"/>
            </w:tcBorders>
            <w:vAlign w:val="center"/>
          </w:tcPr>
          <w:p w14:paraId="686626B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517C2AD8">
        <w:tblPrEx>
          <w:tblCellMar>
            <w:top w:w="0" w:type="dxa"/>
            <w:left w:w="108" w:type="dxa"/>
            <w:bottom w:w="0" w:type="dxa"/>
            <w:right w:w="108" w:type="dxa"/>
          </w:tblCellMar>
        </w:tblPrEx>
        <w:trPr>
          <w:trHeight w:val="567" w:hRule="atLeast"/>
        </w:trPr>
        <w:tc>
          <w:tcPr>
            <w:tcW w:w="1193" w:type="pct"/>
            <w:tcBorders>
              <w:top w:val="single" w:color="auto" w:sz="4" w:space="0"/>
              <w:left w:val="single" w:color="auto" w:sz="4" w:space="0"/>
              <w:bottom w:val="single" w:color="auto" w:sz="4" w:space="0"/>
              <w:right w:val="single" w:color="auto" w:sz="4" w:space="0"/>
            </w:tcBorders>
            <w:vAlign w:val="center"/>
          </w:tcPr>
          <w:p w14:paraId="307A602F">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068" w:type="pct"/>
            <w:tcBorders>
              <w:top w:val="single" w:color="auto" w:sz="4" w:space="0"/>
              <w:left w:val="single" w:color="auto" w:sz="4" w:space="0"/>
              <w:bottom w:val="single" w:color="auto" w:sz="4" w:space="0"/>
              <w:right w:val="single" w:color="auto" w:sz="4" w:space="0"/>
            </w:tcBorders>
            <w:vAlign w:val="center"/>
          </w:tcPr>
          <w:p w14:paraId="2F4FFF0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未按照规定建立疫苗接收、购进、储存、配送、供应、接种、处置记录的。</w:t>
            </w:r>
          </w:p>
        </w:tc>
        <w:tc>
          <w:tcPr>
            <w:tcW w:w="1738" w:type="pct"/>
            <w:tcBorders>
              <w:top w:val="single" w:color="auto" w:sz="4" w:space="0"/>
              <w:left w:val="single" w:color="auto" w:sz="4" w:space="0"/>
              <w:bottom w:val="single" w:color="auto" w:sz="4" w:space="0"/>
              <w:right w:val="single" w:color="auto" w:sz="4" w:space="0"/>
            </w:tcBorders>
            <w:vAlign w:val="center"/>
          </w:tcPr>
          <w:p w14:paraId="13B4541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警告，责令负有责任的医疗卫生人员暂停六个月以上一年以下执业活动。</w:t>
            </w:r>
          </w:p>
        </w:tc>
      </w:tr>
      <w:tr w14:paraId="1F74B9C1">
        <w:tblPrEx>
          <w:tblCellMar>
            <w:top w:w="0" w:type="dxa"/>
            <w:left w:w="108" w:type="dxa"/>
            <w:bottom w:w="0" w:type="dxa"/>
            <w:right w:w="108" w:type="dxa"/>
          </w:tblCellMar>
        </w:tblPrEx>
        <w:trPr>
          <w:trHeight w:val="673" w:hRule="atLeast"/>
        </w:trPr>
        <w:tc>
          <w:tcPr>
            <w:tcW w:w="1193" w:type="pct"/>
            <w:tcBorders>
              <w:top w:val="single" w:color="auto" w:sz="4" w:space="0"/>
              <w:left w:val="single" w:color="auto" w:sz="4" w:space="0"/>
              <w:bottom w:val="single" w:color="auto" w:sz="4" w:space="0"/>
              <w:right w:val="single" w:color="auto" w:sz="4" w:space="0"/>
            </w:tcBorders>
            <w:vAlign w:val="center"/>
          </w:tcPr>
          <w:p w14:paraId="6A9AC69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2068" w:type="pct"/>
            <w:tcBorders>
              <w:top w:val="single" w:color="auto" w:sz="4" w:space="0"/>
              <w:left w:val="single" w:color="auto" w:sz="4" w:space="0"/>
              <w:bottom w:val="single" w:color="auto" w:sz="4" w:space="0"/>
              <w:right w:val="single" w:color="auto" w:sz="4" w:space="0"/>
            </w:tcBorders>
            <w:vAlign w:val="center"/>
          </w:tcPr>
          <w:p w14:paraId="70150DE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未按照规定建立并保存疫苗接收、购进、储存、配送、供应、接种、处置记录，导致疫苗管理混乱或造成其他严重后果的。</w:t>
            </w:r>
          </w:p>
        </w:tc>
        <w:tc>
          <w:tcPr>
            <w:tcW w:w="1738" w:type="pct"/>
            <w:tcBorders>
              <w:top w:val="single" w:color="auto" w:sz="4" w:space="0"/>
              <w:left w:val="single" w:color="auto" w:sz="4" w:space="0"/>
              <w:bottom w:val="single" w:color="auto" w:sz="4" w:space="0"/>
              <w:right w:val="single" w:color="auto" w:sz="4" w:space="0"/>
            </w:tcBorders>
            <w:vAlign w:val="center"/>
          </w:tcPr>
          <w:p w14:paraId="31EBEAA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警告，由原发证部门吊销负有责任的医疗卫生人员的执业证书。</w:t>
            </w:r>
          </w:p>
        </w:tc>
      </w:tr>
    </w:tbl>
    <w:p w14:paraId="46268A92">
      <w:pPr>
        <w:pStyle w:val="4"/>
        <w:widowControl w:val="0"/>
        <w:ind w:firstLine="640"/>
        <w:rPr>
          <w:rFonts w:hint="eastAsia" w:eastAsia="仿宋_GB2312"/>
          <w:color w:val="000000" w:themeColor="text1"/>
          <w:lang w:eastAsia="zh-CN"/>
          <w14:textFill>
            <w14:solidFill>
              <w14:schemeClr w14:val="tx1"/>
            </w14:solidFill>
          </w14:textFill>
        </w:rPr>
      </w:pPr>
      <w:bookmarkStart w:id="587" w:name="_Toc29245"/>
      <w:bookmarkStart w:id="588" w:name="_Toc2173"/>
      <w:bookmarkStart w:id="589" w:name="_Toc10791"/>
      <w:bookmarkStart w:id="590" w:name="_Toc3613"/>
      <w:bookmarkStart w:id="591" w:name="_Toc18992"/>
      <w:bookmarkStart w:id="592" w:name="_Toc13646"/>
      <w:bookmarkStart w:id="593" w:name="_Toc20358"/>
      <w:bookmarkStart w:id="594" w:name="_Toc15784"/>
      <w:bookmarkStart w:id="595" w:name="_Toc31284"/>
      <w:bookmarkStart w:id="596" w:name="_Toc10847"/>
      <w:bookmarkStart w:id="597" w:name="_Toc25938"/>
      <w:r>
        <w:rPr>
          <w:rFonts w:hint="eastAsia"/>
          <w:color w:val="000000" w:themeColor="text1"/>
          <w14:textFill>
            <w14:solidFill>
              <w14:schemeClr w14:val="tx1"/>
            </w14:solidFill>
          </w14:textFill>
        </w:rPr>
        <w:t>第五十四条 未按照规定告知、询问受种者或者其监护人有关情况</w:t>
      </w:r>
      <w:bookmarkEnd w:id="587"/>
      <w:bookmarkEnd w:id="588"/>
      <w:bookmarkEnd w:id="589"/>
      <w:bookmarkEnd w:id="590"/>
      <w:bookmarkEnd w:id="591"/>
      <w:bookmarkEnd w:id="592"/>
      <w:bookmarkEnd w:id="593"/>
      <w:bookmarkEnd w:id="594"/>
      <w:bookmarkEnd w:id="595"/>
      <w:bookmarkEnd w:id="596"/>
      <w:bookmarkEnd w:id="597"/>
      <w:r>
        <w:rPr>
          <w:rFonts w:hint="eastAsia"/>
          <w:color w:val="000000" w:themeColor="text1"/>
          <w:lang w:eastAsia="zh-CN"/>
          <w14:textFill>
            <w14:solidFill>
              <w14:schemeClr w14:val="tx1"/>
            </w14:solidFill>
          </w14:textFill>
        </w:rPr>
        <w:t xml:space="preserve"> </w:t>
      </w:r>
    </w:p>
    <w:p w14:paraId="5C456AC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09558DF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《中华人民共和国疫苗管理法》第八十八条第（四）项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14:paraId="2E181E6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（四）未按照规定告知、询问受种者或者其监护人有关情况。</w:t>
      </w:r>
    </w:p>
    <w:tbl>
      <w:tblPr>
        <w:tblStyle w:val="24"/>
        <w:tblW w:w="5000" w:type="pct"/>
        <w:tblInd w:w="0" w:type="dxa"/>
        <w:tblLayout w:type="autofit"/>
        <w:tblCellMar>
          <w:top w:w="0" w:type="dxa"/>
          <w:left w:w="108" w:type="dxa"/>
          <w:bottom w:w="0" w:type="dxa"/>
          <w:right w:w="108" w:type="dxa"/>
        </w:tblCellMar>
      </w:tblPr>
      <w:tblGrid>
        <w:gridCol w:w="3376"/>
        <w:gridCol w:w="5848"/>
        <w:gridCol w:w="4950"/>
      </w:tblGrid>
      <w:tr w14:paraId="6AF3EF90">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73F10DC3">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25055575">
        <w:tblPrEx>
          <w:tblCellMar>
            <w:top w:w="0" w:type="dxa"/>
            <w:left w:w="108" w:type="dxa"/>
            <w:bottom w:w="0" w:type="dxa"/>
            <w:right w:w="108" w:type="dxa"/>
          </w:tblCellMar>
        </w:tblPrEx>
        <w:trPr>
          <w:trHeight w:val="680" w:hRule="atLeast"/>
        </w:trPr>
        <w:tc>
          <w:tcPr>
            <w:tcW w:w="1191" w:type="pct"/>
            <w:tcBorders>
              <w:top w:val="single" w:color="auto" w:sz="4" w:space="0"/>
              <w:left w:val="single" w:color="auto" w:sz="4" w:space="0"/>
              <w:bottom w:val="single" w:color="auto" w:sz="4" w:space="0"/>
              <w:right w:val="single" w:color="auto" w:sz="4" w:space="0"/>
            </w:tcBorders>
            <w:vAlign w:val="center"/>
          </w:tcPr>
          <w:p w14:paraId="241BD23B">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063" w:type="pct"/>
            <w:tcBorders>
              <w:top w:val="single" w:color="auto" w:sz="4" w:space="0"/>
              <w:left w:val="single" w:color="auto" w:sz="4" w:space="0"/>
              <w:bottom w:val="single" w:color="auto" w:sz="4" w:space="0"/>
              <w:right w:val="single" w:color="auto" w:sz="4" w:space="0"/>
            </w:tcBorders>
            <w:vAlign w:val="center"/>
          </w:tcPr>
          <w:p w14:paraId="20AD84D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744" w:type="pct"/>
            <w:tcBorders>
              <w:top w:val="single" w:color="auto" w:sz="4" w:space="0"/>
              <w:left w:val="single" w:color="auto" w:sz="4" w:space="0"/>
              <w:bottom w:val="single" w:color="auto" w:sz="4" w:space="0"/>
              <w:right w:val="single" w:color="auto" w:sz="4" w:space="0"/>
            </w:tcBorders>
            <w:vAlign w:val="center"/>
          </w:tcPr>
          <w:p w14:paraId="759AF45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8182393">
        <w:tblPrEx>
          <w:tblCellMar>
            <w:top w:w="0" w:type="dxa"/>
            <w:left w:w="108" w:type="dxa"/>
            <w:bottom w:w="0" w:type="dxa"/>
            <w:right w:w="108" w:type="dxa"/>
          </w:tblCellMar>
        </w:tblPrEx>
        <w:trPr>
          <w:trHeight w:val="533" w:hRule="atLeast"/>
        </w:trPr>
        <w:tc>
          <w:tcPr>
            <w:tcW w:w="1191" w:type="pct"/>
            <w:tcBorders>
              <w:top w:val="single" w:color="auto" w:sz="4" w:space="0"/>
              <w:left w:val="single" w:color="auto" w:sz="4" w:space="0"/>
              <w:bottom w:val="single" w:color="auto" w:sz="4" w:space="0"/>
              <w:right w:val="single" w:color="auto" w:sz="4" w:space="0"/>
            </w:tcBorders>
            <w:vAlign w:val="center"/>
          </w:tcPr>
          <w:p w14:paraId="2D46D82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063" w:type="pct"/>
            <w:tcBorders>
              <w:top w:val="single" w:color="auto" w:sz="4" w:space="0"/>
              <w:left w:val="single" w:color="auto" w:sz="4" w:space="0"/>
              <w:bottom w:val="single" w:color="auto" w:sz="4" w:space="0"/>
              <w:right w:val="single" w:color="auto" w:sz="4" w:space="0"/>
            </w:tcBorders>
            <w:vAlign w:val="center"/>
          </w:tcPr>
          <w:p w14:paraId="3C2C255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未按照规定告知所接种疫苗的品种、作用、禁忌、不良反应以及注意事项或未按照规定询问受种者的健康状况以及是否有接种禁忌等情况，未造成不良后果的。</w:t>
            </w:r>
          </w:p>
        </w:tc>
        <w:tc>
          <w:tcPr>
            <w:tcW w:w="1744" w:type="pct"/>
            <w:tcBorders>
              <w:top w:val="single" w:color="auto" w:sz="4" w:space="0"/>
              <w:left w:val="single" w:color="auto" w:sz="4" w:space="0"/>
              <w:bottom w:val="single" w:color="auto" w:sz="4" w:space="0"/>
              <w:right w:val="single" w:color="auto" w:sz="4" w:space="0"/>
            </w:tcBorders>
            <w:vAlign w:val="center"/>
          </w:tcPr>
          <w:p w14:paraId="1800F31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7DE4A267">
        <w:tblPrEx>
          <w:tblCellMar>
            <w:top w:w="0" w:type="dxa"/>
            <w:left w:w="108" w:type="dxa"/>
            <w:bottom w:w="0" w:type="dxa"/>
            <w:right w:w="108" w:type="dxa"/>
          </w:tblCellMar>
        </w:tblPrEx>
        <w:trPr>
          <w:trHeight w:val="940" w:hRule="atLeast"/>
        </w:trPr>
        <w:tc>
          <w:tcPr>
            <w:tcW w:w="1191" w:type="pct"/>
            <w:vMerge w:val="restart"/>
            <w:tcBorders>
              <w:top w:val="single" w:color="auto" w:sz="4" w:space="0"/>
              <w:left w:val="single" w:color="auto" w:sz="4" w:space="0"/>
              <w:bottom w:val="single" w:color="auto" w:sz="4" w:space="0"/>
              <w:right w:val="single" w:color="auto" w:sz="4" w:space="0"/>
            </w:tcBorders>
            <w:vAlign w:val="center"/>
          </w:tcPr>
          <w:p w14:paraId="6875B88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063" w:type="pct"/>
            <w:tcBorders>
              <w:top w:val="single" w:color="auto" w:sz="4" w:space="0"/>
              <w:left w:val="single" w:color="auto" w:sz="4" w:space="0"/>
              <w:bottom w:val="single" w:color="auto" w:sz="4" w:space="0"/>
              <w:right w:val="single" w:color="auto" w:sz="4" w:space="0"/>
            </w:tcBorders>
            <w:vAlign w:val="center"/>
          </w:tcPr>
          <w:p w14:paraId="53775F9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未按照规定告知、询问受种者或者其监护人有关情况，涉及受种者不足十人次的；</w:t>
            </w:r>
          </w:p>
        </w:tc>
        <w:tc>
          <w:tcPr>
            <w:tcW w:w="1744" w:type="pct"/>
            <w:tcBorders>
              <w:top w:val="single" w:color="auto" w:sz="4" w:space="0"/>
              <w:left w:val="single" w:color="auto" w:sz="4" w:space="0"/>
              <w:bottom w:val="single" w:color="auto" w:sz="4" w:space="0"/>
              <w:right w:val="single" w:color="auto" w:sz="4" w:space="0"/>
            </w:tcBorders>
            <w:vAlign w:val="center"/>
          </w:tcPr>
          <w:p w14:paraId="51B1E65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警告，责令负有责任的医疗卫生人员暂停六个月以上九个月以下执业活动。</w:t>
            </w:r>
          </w:p>
        </w:tc>
      </w:tr>
      <w:tr w14:paraId="4BA32C88">
        <w:tblPrEx>
          <w:tblCellMar>
            <w:top w:w="0" w:type="dxa"/>
            <w:left w:w="108" w:type="dxa"/>
            <w:bottom w:w="0" w:type="dxa"/>
            <w:right w:w="108" w:type="dxa"/>
          </w:tblCellMar>
        </w:tblPrEx>
        <w:trPr>
          <w:trHeight w:val="737" w:hRule="atLeast"/>
        </w:trPr>
        <w:tc>
          <w:tcPr>
            <w:tcW w:w="1191" w:type="pct"/>
            <w:vMerge w:val="continue"/>
            <w:tcBorders>
              <w:top w:val="single" w:color="auto" w:sz="4" w:space="0"/>
              <w:left w:val="single" w:color="auto" w:sz="4" w:space="0"/>
              <w:bottom w:val="single" w:color="auto" w:sz="4" w:space="0"/>
              <w:right w:val="single" w:color="auto" w:sz="4" w:space="0"/>
            </w:tcBorders>
            <w:vAlign w:val="center"/>
          </w:tcPr>
          <w:p w14:paraId="29F5C85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2063" w:type="pct"/>
            <w:tcBorders>
              <w:top w:val="single" w:color="auto" w:sz="4" w:space="0"/>
              <w:left w:val="single" w:color="auto" w:sz="4" w:space="0"/>
              <w:bottom w:val="single" w:color="auto" w:sz="4" w:space="0"/>
              <w:right w:val="single" w:color="auto" w:sz="4" w:space="0"/>
            </w:tcBorders>
            <w:vAlign w:val="center"/>
          </w:tcPr>
          <w:p w14:paraId="467C8D0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未按照规定告知、询问受种者或者其监护人有关情况，涉及受种者超过十人次的。</w:t>
            </w:r>
          </w:p>
        </w:tc>
        <w:tc>
          <w:tcPr>
            <w:tcW w:w="1744" w:type="pct"/>
            <w:tcBorders>
              <w:top w:val="single" w:color="auto" w:sz="4" w:space="0"/>
              <w:left w:val="single" w:color="auto" w:sz="4" w:space="0"/>
              <w:bottom w:val="single" w:color="auto" w:sz="4" w:space="0"/>
              <w:right w:val="single" w:color="auto" w:sz="4" w:space="0"/>
            </w:tcBorders>
            <w:vAlign w:val="center"/>
          </w:tcPr>
          <w:p w14:paraId="731C7C0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警告，责令负有责任的医疗卫生人员暂停九个月以上一年以下执业活动。</w:t>
            </w:r>
          </w:p>
        </w:tc>
      </w:tr>
      <w:tr w14:paraId="693BFE30">
        <w:tblPrEx>
          <w:tblCellMar>
            <w:top w:w="0" w:type="dxa"/>
            <w:left w:w="108" w:type="dxa"/>
            <w:bottom w:w="0" w:type="dxa"/>
            <w:right w:w="108" w:type="dxa"/>
          </w:tblCellMar>
        </w:tblPrEx>
        <w:trPr>
          <w:trHeight w:val="737" w:hRule="atLeast"/>
        </w:trPr>
        <w:tc>
          <w:tcPr>
            <w:tcW w:w="1191" w:type="pct"/>
            <w:tcBorders>
              <w:top w:val="single" w:color="auto" w:sz="4" w:space="0"/>
              <w:left w:val="single" w:color="auto" w:sz="4" w:space="0"/>
              <w:bottom w:val="single" w:color="auto" w:sz="4" w:space="0"/>
              <w:right w:val="single" w:color="auto" w:sz="4" w:space="0"/>
            </w:tcBorders>
            <w:vAlign w:val="center"/>
          </w:tcPr>
          <w:p w14:paraId="28E569D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2063" w:type="pct"/>
            <w:tcBorders>
              <w:top w:val="single" w:color="auto" w:sz="4" w:space="0"/>
              <w:left w:val="single" w:color="auto" w:sz="4" w:space="0"/>
              <w:bottom w:val="single" w:color="auto" w:sz="4" w:space="0"/>
              <w:right w:val="single" w:color="auto" w:sz="4" w:space="0"/>
            </w:tcBorders>
            <w:vAlign w:val="center"/>
          </w:tcPr>
          <w:p w14:paraId="557F16E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未按照规定告知、询问受种者或者其监护人有关情况，导致受种者身体伤害或造成其他严重后果的。</w:t>
            </w:r>
          </w:p>
        </w:tc>
        <w:tc>
          <w:tcPr>
            <w:tcW w:w="1744" w:type="pct"/>
            <w:tcBorders>
              <w:top w:val="single" w:color="auto" w:sz="4" w:space="0"/>
              <w:left w:val="single" w:color="auto" w:sz="4" w:space="0"/>
              <w:bottom w:val="single" w:color="auto" w:sz="4" w:space="0"/>
              <w:right w:val="single" w:color="auto" w:sz="4" w:space="0"/>
            </w:tcBorders>
            <w:vAlign w:val="center"/>
          </w:tcPr>
          <w:p w14:paraId="35BC37C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给予警告，由原发证部门吊销负有责任的医疗卫生人员的执业证书。</w:t>
            </w:r>
          </w:p>
        </w:tc>
      </w:tr>
    </w:tbl>
    <w:p w14:paraId="1CCFCE04">
      <w:pPr>
        <w:pStyle w:val="4"/>
        <w:widowControl w:val="0"/>
        <w:ind w:firstLine="640"/>
        <w:rPr>
          <w:color w:val="000000" w:themeColor="text1"/>
          <w14:textFill>
            <w14:solidFill>
              <w14:schemeClr w14:val="tx1"/>
            </w14:solidFill>
          </w14:textFill>
        </w:rPr>
      </w:pPr>
      <w:bookmarkStart w:id="598" w:name="_Toc2237"/>
      <w:bookmarkStart w:id="599" w:name="_Toc29005"/>
      <w:bookmarkStart w:id="600" w:name="_Toc31242"/>
      <w:bookmarkStart w:id="601" w:name="_Toc32185"/>
      <w:bookmarkStart w:id="602" w:name="_Toc13604"/>
      <w:bookmarkStart w:id="603" w:name="_Toc10704"/>
      <w:bookmarkStart w:id="604" w:name="_Toc596"/>
      <w:bookmarkStart w:id="605" w:name="_Toc19785"/>
      <w:bookmarkStart w:id="606" w:name="_Toc4617"/>
      <w:bookmarkStart w:id="607" w:name="_Toc188"/>
      <w:bookmarkStart w:id="608" w:name="_Toc17960"/>
      <w:r>
        <w:rPr>
          <w:rFonts w:hint="eastAsia"/>
          <w:color w:val="000000" w:themeColor="text1"/>
          <w14:textFill>
            <w14:solidFill>
              <w14:schemeClr w14:val="tx1"/>
            </w14:solidFill>
          </w14:textFill>
        </w:rPr>
        <w:t>第五十五条 疾病预防控制机构、接种单位、医疗机构未按照规定报告疑似预防接种异常反应、疫苗安全事件等，或者未按照规定对疑似预防接种异常反应组织调查、诊断等的</w:t>
      </w:r>
      <w:bookmarkEnd w:id="598"/>
      <w:bookmarkEnd w:id="599"/>
      <w:bookmarkEnd w:id="600"/>
      <w:bookmarkEnd w:id="601"/>
      <w:bookmarkEnd w:id="602"/>
      <w:bookmarkEnd w:id="603"/>
      <w:bookmarkEnd w:id="604"/>
      <w:bookmarkEnd w:id="605"/>
      <w:bookmarkEnd w:id="606"/>
      <w:bookmarkEnd w:id="607"/>
      <w:bookmarkEnd w:id="608"/>
    </w:p>
    <w:p w14:paraId="0B058AC7">
      <w:pPr>
        <w:widowControl w:val="0"/>
        <w:spacing w:after="0" w:line="440" w:lineRule="exact"/>
        <w:ind w:firstLine="640" w:firstLineChars="200"/>
        <w:textAlignment w:val="center"/>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EC1CE87">
      <w:pPr>
        <w:widowControl w:val="0"/>
        <w:spacing w:after="0" w:line="440" w:lineRule="exact"/>
        <w:ind w:firstLine="640" w:firstLineChars="200"/>
        <w:textAlignment w:val="center"/>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《中华人民共和国疫苗管理法》第八十九条</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疾病预防控制机构、接种单位、医疗机构未按照规定报告疑似预防接种异常反应、疫苗安全事件等，或者未按照规定对疑似预防接种异常反应组织调查、诊断等的，由县级以上人民政府卫生健康主管部门责令改正，警告；情节严重的，对接种单位、医疗机构处五万元以上五十万元以下的罚款，对疾病预防控制机构、接种单位、医疗机构的主要负责人、直接负责的主管人员和其他直接责任人员依法警告直至撤职处分；造成严重后果的，对主要负责人、直接负责的主管人员和其他直接责任人员依法给予开除处分，由原发证部门吊销负有责任的医疗卫生人员的执业证书。</w:t>
      </w:r>
    </w:p>
    <w:tbl>
      <w:tblPr>
        <w:tblStyle w:val="24"/>
        <w:tblW w:w="5000" w:type="pct"/>
        <w:tblInd w:w="0" w:type="dxa"/>
        <w:tblLayout w:type="autofit"/>
        <w:tblCellMar>
          <w:top w:w="0" w:type="dxa"/>
          <w:left w:w="108" w:type="dxa"/>
          <w:bottom w:w="0" w:type="dxa"/>
          <w:right w:w="108" w:type="dxa"/>
        </w:tblCellMar>
      </w:tblPr>
      <w:tblGrid>
        <w:gridCol w:w="1752"/>
        <w:gridCol w:w="8618"/>
        <w:gridCol w:w="3804"/>
      </w:tblGrid>
      <w:tr w14:paraId="63A87215">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558EF57E">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EDC02E1">
        <w:tblPrEx>
          <w:tblCellMar>
            <w:top w:w="0" w:type="dxa"/>
            <w:left w:w="108" w:type="dxa"/>
            <w:bottom w:w="0" w:type="dxa"/>
            <w:right w:w="108" w:type="dxa"/>
          </w:tblCellMar>
        </w:tblPrEx>
        <w:trPr>
          <w:trHeight w:val="90" w:hRule="atLeast"/>
        </w:trPr>
        <w:tc>
          <w:tcPr>
            <w:tcW w:w="618" w:type="pct"/>
            <w:tcBorders>
              <w:top w:val="single" w:color="auto" w:sz="4" w:space="0"/>
              <w:left w:val="single" w:color="auto" w:sz="4" w:space="0"/>
              <w:bottom w:val="single" w:color="auto" w:sz="4" w:space="0"/>
              <w:right w:val="single" w:color="auto" w:sz="4" w:space="0"/>
            </w:tcBorders>
            <w:vAlign w:val="center"/>
          </w:tcPr>
          <w:p w14:paraId="48AFDAB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3040" w:type="pct"/>
            <w:tcBorders>
              <w:top w:val="single" w:color="auto" w:sz="4" w:space="0"/>
              <w:left w:val="single" w:color="auto" w:sz="4" w:space="0"/>
              <w:bottom w:val="single" w:color="auto" w:sz="4" w:space="0"/>
              <w:right w:val="single" w:color="auto" w:sz="4" w:space="0"/>
            </w:tcBorders>
            <w:vAlign w:val="center"/>
          </w:tcPr>
          <w:p w14:paraId="4327615B">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341" w:type="pct"/>
            <w:tcBorders>
              <w:top w:val="single" w:color="auto" w:sz="4" w:space="0"/>
              <w:left w:val="single" w:color="auto" w:sz="4" w:space="0"/>
              <w:bottom w:val="single" w:color="auto" w:sz="4" w:space="0"/>
              <w:right w:val="single" w:color="auto" w:sz="4" w:space="0"/>
            </w:tcBorders>
            <w:vAlign w:val="center"/>
          </w:tcPr>
          <w:p w14:paraId="4F56502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D583A94">
        <w:tblPrEx>
          <w:tblCellMar>
            <w:top w:w="0" w:type="dxa"/>
            <w:left w:w="108" w:type="dxa"/>
            <w:bottom w:w="0" w:type="dxa"/>
            <w:right w:w="108" w:type="dxa"/>
          </w:tblCellMar>
        </w:tblPrEx>
        <w:trPr>
          <w:trHeight w:val="57" w:hRule="atLeast"/>
        </w:trPr>
        <w:tc>
          <w:tcPr>
            <w:tcW w:w="1752" w:type="dxa"/>
            <w:tcBorders>
              <w:top w:val="single" w:color="auto" w:sz="4" w:space="0"/>
              <w:left w:val="single" w:color="auto" w:sz="4" w:space="0"/>
              <w:bottom w:val="single" w:color="auto" w:sz="4" w:space="0"/>
              <w:right w:val="single" w:color="auto" w:sz="4" w:space="0"/>
            </w:tcBorders>
            <w:vAlign w:val="center"/>
          </w:tcPr>
          <w:p w14:paraId="3F200F8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3040" w:type="pct"/>
            <w:tcBorders>
              <w:top w:val="single" w:color="auto" w:sz="4" w:space="0"/>
              <w:left w:val="single" w:color="auto" w:sz="4" w:space="0"/>
              <w:bottom w:val="single" w:color="auto" w:sz="4" w:space="0"/>
              <w:right w:val="single" w:color="auto" w:sz="4" w:space="0"/>
            </w:tcBorders>
            <w:vAlign w:val="center"/>
          </w:tcPr>
          <w:p w14:paraId="7DD2C59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疾病预防控制机构、接种单位、医疗机构未按照规定报告一例疑似预防接种异常反应、疫苗安全事件等，或者未按照规定对一例疑似预防接种异常反应组织调查、诊断等的。</w:t>
            </w:r>
          </w:p>
        </w:tc>
        <w:tc>
          <w:tcPr>
            <w:tcW w:w="1341" w:type="pct"/>
            <w:tcBorders>
              <w:top w:val="single" w:color="auto" w:sz="4" w:space="0"/>
              <w:left w:val="single" w:color="auto" w:sz="4" w:space="0"/>
              <w:bottom w:val="single" w:color="auto" w:sz="4" w:space="0"/>
              <w:right w:val="single" w:color="auto" w:sz="4" w:space="0"/>
            </w:tcBorders>
            <w:vAlign w:val="center"/>
          </w:tcPr>
          <w:p w14:paraId="11DB9598">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7FBE9E13">
        <w:tblPrEx>
          <w:tblCellMar>
            <w:top w:w="0" w:type="dxa"/>
            <w:left w:w="108" w:type="dxa"/>
            <w:bottom w:w="0" w:type="dxa"/>
            <w:right w:w="108" w:type="dxa"/>
          </w:tblCellMar>
        </w:tblPrEx>
        <w:trPr>
          <w:trHeight w:val="57" w:hRule="atLeast"/>
        </w:trPr>
        <w:tc>
          <w:tcPr>
            <w:tcW w:w="1752" w:type="dxa"/>
            <w:vMerge w:val="restart"/>
            <w:tcBorders>
              <w:top w:val="single" w:color="auto" w:sz="4" w:space="0"/>
              <w:left w:val="single" w:color="auto" w:sz="4" w:space="0"/>
              <w:bottom w:val="single" w:color="auto" w:sz="4" w:space="0"/>
              <w:right w:val="single" w:color="auto" w:sz="4" w:space="0"/>
            </w:tcBorders>
            <w:vAlign w:val="center"/>
          </w:tcPr>
          <w:p w14:paraId="406EA2D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3040" w:type="pct"/>
            <w:tcBorders>
              <w:top w:val="single" w:color="auto" w:sz="4" w:space="0"/>
              <w:left w:val="single" w:color="auto" w:sz="4" w:space="0"/>
              <w:bottom w:val="single" w:color="auto" w:sz="4" w:space="0"/>
              <w:right w:val="single" w:color="auto" w:sz="4" w:space="0"/>
            </w:tcBorders>
            <w:vAlign w:val="center"/>
          </w:tcPr>
          <w:p w14:paraId="76FB6FE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疾病预防控制机构、接种单位、医疗机构未按照规定报告二至十例疑似预防接种异常反应、疫苗安全事件等，或者未按照规定对二至十例疑似预防接种异常反应组织调查、诊断等的。</w:t>
            </w:r>
          </w:p>
        </w:tc>
        <w:tc>
          <w:tcPr>
            <w:tcW w:w="1341" w:type="pct"/>
            <w:tcBorders>
              <w:top w:val="single" w:color="auto" w:sz="4" w:space="0"/>
              <w:left w:val="single" w:color="auto" w:sz="4" w:space="0"/>
              <w:bottom w:val="single" w:color="auto" w:sz="4" w:space="0"/>
              <w:right w:val="single" w:color="auto" w:sz="4" w:space="0"/>
            </w:tcBorders>
            <w:vAlign w:val="center"/>
          </w:tcPr>
          <w:p w14:paraId="0E75637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警告，对接种单位、医疗机构处五万元以上二十万元以下的罚款。</w:t>
            </w:r>
          </w:p>
        </w:tc>
      </w:tr>
      <w:tr w14:paraId="6CB1AD2F">
        <w:tblPrEx>
          <w:tblCellMar>
            <w:top w:w="0" w:type="dxa"/>
            <w:left w:w="108" w:type="dxa"/>
            <w:bottom w:w="0" w:type="dxa"/>
            <w:right w:w="108" w:type="dxa"/>
          </w:tblCellMar>
        </w:tblPrEx>
        <w:trPr>
          <w:trHeight w:val="57" w:hRule="atLeast"/>
        </w:trPr>
        <w:tc>
          <w:tcPr>
            <w:tcW w:w="618" w:type="pct"/>
            <w:vMerge w:val="continue"/>
            <w:tcBorders>
              <w:top w:val="single" w:color="auto" w:sz="4" w:space="0"/>
              <w:left w:val="single" w:color="auto" w:sz="4" w:space="0"/>
              <w:bottom w:val="single" w:color="auto" w:sz="4" w:space="0"/>
              <w:right w:val="single" w:color="auto" w:sz="4" w:space="0"/>
            </w:tcBorders>
            <w:vAlign w:val="center"/>
          </w:tcPr>
          <w:p w14:paraId="1B5B838C">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3040" w:type="pct"/>
            <w:tcBorders>
              <w:top w:val="single" w:color="auto" w:sz="4" w:space="0"/>
              <w:left w:val="single" w:color="auto" w:sz="4" w:space="0"/>
              <w:bottom w:val="single" w:color="auto" w:sz="4" w:space="0"/>
              <w:right w:val="single" w:color="auto" w:sz="4" w:space="0"/>
            </w:tcBorders>
            <w:vAlign w:val="center"/>
          </w:tcPr>
          <w:p w14:paraId="2096053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疾病预防控制机构、接种单位、医疗机构未按照规定报告十一例以上疑似预防接种异常反应、疫苗安全事件等，或者未按照规定对十一例以上疑似预防接种异常反应组织调查、诊断等的。</w:t>
            </w:r>
          </w:p>
        </w:tc>
        <w:tc>
          <w:tcPr>
            <w:tcW w:w="1341" w:type="pct"/>
            <w:tcBorders>
              <w:top w:val="single" w:color="auto" w:sz="4" w:space="0"/>
              <w:left w:val="single" w:color="auto" w:sz="4" w:space="0"/>
              <w:bottom w:val="single" w:color="auto" w:sz="4" w:space="0"/>
              <w:right w:val="single" w:color="auto" w:sz="4" w:space="0"/>
            </w:tcBorders>
            <w:vAlign w:val="center"/>
          </w:tcPr>
          <w:p w14:paraId="01BFCF3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警告，对接种单位、医疗机构处二十万元以上五十万元以下的罚款。</w:t>
            </w:r>
          </w:p>
        </w:tc>
      </w:tr>
      <w:tr w14:paraId="63DC17AF">
        <w:tblPrEx>
          <w:tblCellMar>
            <w:top w:w="0" w:type="dxa"/>
            <w:left w:w="108" w:type="dxa"/>
            <w:bottom w:w="0" w:type="dxa"/>
            <w:right w:w="108" w:type="dxa"/>
          </w:tblCellMar>
        </w:tblPrEx>
        <w:trPr>
          <w:trHeight w:val="57" w:hRule="atLeast"/>
        </w:trPr>
        <w:tc>
          <w:tcPr>
            <w:tcW w:w="1752" w:type="dxa"/>
            <w:tcBorders>
              <w:top w:val="single" w:color="auto" w:sz="4" w:space="0"/>
              <w:left w:val="single" w:color="auto" w:sz="4" w:space="0"/>
              <w:bottom w:val="single" w:color="auto" w:sz="4" w:space="0"/>
              <w:right w:val="single" w:color="auto" w:sz="4" w:space="0"/>
            </w:tcBorders>
            <w:vAlign w:val="center"/>
          </w:tcPr>
          <w:p w14:paraId="4F0621B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3040" w:type="pct"/>
            <w:tcBorders>
              <w:top w:val="single" w:color="auto" w:sz="4" w:space="0"/>
              <w:left w:val="single" w:color="auto" w:sz="4" w:space="0"/>
              <w:bottom w:val="single" w:color="auto" w:sz="4" w:space="0"/>
              <w:right w:val="single" w:color="auto" w:sz="4" w:space="0"/>
            </w:tcBorders>
            <w:vAlign w:val="center"/>
          </w:tcPr>
          <w:p w14:paraId="4C46550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严重影响有关部门对预防接种异常反应、疫苗安全事件的调查处理和治疗，或造成其他严重后果的。</w:t>
            </w:r>
          </w:p>
        </w:tc>
        <w:tc>
          <w:tcPr>
            <w:tcW w:w="1341" w:type="pct"/>
            <w:tcBorders>
              <w:top w:val="single" w:color="auto" w:sz="4" w:space="0"/>
              <w:left w:val="single" w:color="auto" w:sz="4" w:space="0"/>
              <w:bottom w:val="single" w:color="auto" w:sz="4" w:space="0"/>
              <w:right w:val="single" w:color="auto" w:sz="4" w:space="0"/>
            </w:tcBorders>
            <w:vAlign w:val="center"/>
          </w:tcPr>
          <w:p w14:paraId="30ED851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警告，由原发证部门吊销负有责任的医疗卫生人员的执业证书。</w:t>
            </w:r>
          </w:p>
        </w:tc>
      </w:tr>
    </w:tbl>
    <w:p w14:paraId="29CF0266">
      <w:pPr>
        <w:pStyle w:val="4"/>
        <w:widowControl w:val="0"/>
        <w:ind w:firstLine="640"/>
        <w:rPr>
          <w:b w:val="0"/>
          <w:bCs/>
          <w:color w:val="000000" w:themeColor="text1"/>
          <w14:textFill>
            <w14:solidFill>
              <w14:schemeClr w14:val="tx1"/>
            </w14:solidFill>
          </w14:textFill>
        </w:rPr>
      </w:pPr>
      <w:bookmarkStart w:id="609" w:name="_Toc9128"/>
      <w:bookmarkStart w:id="610" w:name="_Toc19777"/>
      <w:bookmarkStart w:id="611" w:name="_Toc8870"/>
      <w:bookmarkStart w:id="612" w:name="_Toc29009"/>
      <w:bookmarkStart w:id="613" w:name="_Toc5858"/>
      <w:bookmarkStart w:id="614" w:name="_Toc1840"/>
      <w:bookmarkStart w:id="615" w:name="_Toc16057"/>
      <w:bookmarkStart w:id="616" w:name="_Toc24891"/>
      <w:bookmarkStart w:id="617" w:name="_Toc28903"/>
      <w:bookmarkStart w:id="618" w:name="_Toc24521"/>
      <w:bookmarkStart w:id="619" w:name="_Toc24794"/>
      <w:r>
        <w:rPr>
          <w:rFonts w:hint="eastAsia"/>
          <w:color w:val="000000" w:themeColor="text1"/>
          <w14:textFill>
            <w14:solidFill>
              <w14:schemeClr w14:val="tx1"/>
            </w14:solidFill>
          </w14:textFill>
        </w:rPr>
        <w:t xml:space="preserve">第五十六条 </w:t>
      </w:r>
      <w:r>
        <w:rPr>
          <w:rFonts w:hint="eastAsia"/>
          <w:bCs/>
          <w:color w:val="000000" w:themeColor="text1"/>
          <w14:textFill>
            <w14:solidFill>
              <w14:schemeClr w14:val="tx1"/>
            </w14:solidFill>
          </w14:textFill>
        </w:rPr>
        <w:t>未经县级以上地方人民政府卫生健康主管部门指定擅自从事免疫规划疫苗接种工作、从事非免疫规划疫苗接种工作不符合条件或者未备案的</w:t>
      </w:r>
      <w:bookmarkEnd w:id="609"/>
      <w:bookmarkEnd w:id="610"/>
      <w:bookmarkEnd w:id="611"/>
      <w:bookmarkEnd w:id="612"/>
      <w:bookmarkEnd w:id="613"/>
      <w:bookmarkEnd w:id="614"/>
      <w:bookmarkEnd w:id="615"/>
      <w:bookmarkEnd w:id="616"/>
      <w:bookmarkEnd w:id="617"/>
      <w:bookmarkEnd w:id="618"/>
      <w:bookmarkEnd w:id="619"/>
    </w:p>
    <w:p w14:paraId="50563E0C">
      <w:pPr>
        <w:widowControl w:val="0"/>
        <w:spacing w:after="0" w:line="440" w:lineRule="exact"/>
        <w:ind w:firstLine="640" w:firstLineChars="200"/>
        <w:textAlignment w:val="center"/>
        <w:rPr>
          <w:rFonts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3FFC4D2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《中华人民共和国疫苗管理法》第九十一条第一款　</w:t>
      </w:r>
      <w:r>
        <w:rPr>
          <w:rFonts w:ascii="Times New Roman" w:hAnsi="Times New Roman" w:eastAsia="方正仿宋_GB2312" w:cs="方正仿宋_GB2312"/>
          <w:color w:val="000000" w:themeColor="text1"/>
          <w:sz w:val="32"/>
          <w:szCs w:val="32"/>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法规定，未经县级以上地方人民政府卫生健康主管部门指定擅自从事免疫规划疫苗接种工作、从事非免疫规划疫苗接种工作不符合条件或者未备案的，由县级以上人民政府卫生健康主管部门责令改正，警告，没收违法所得和违法持有的疫苗，责令停业整顿，并处十万元以上一百万元以下的罚款，对主要负责人、直接负责的主管人员和其他直接责任人员依法给予处分。</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p>
    <w:p w14:paraId="4544993E">
      <w:pPr>
        <w:widowControl w:val="0"/>
        <w:spacing w:after="0" w:line="440" w:lineRule="exact"/>
        <w:ind w:firstLine="0"/>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4"/>
        <w:gridCol w:w="8136"/>
        <w:gridCol w:w="4110"/>
      </w:tblGrid>
      <w:tr w14:paraId="2F463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1644" w:type="dxa"/>
            <w:tcBorders>
              <w:top w:val="single" w:color="auto" w:sz="4" w:space="0"/>
              <w:left w:val="single" w:color="auto" w:sz="4" w:space="0"/>
              <w:bottom w:val="single" w:color="auto" w:sz="4" w:space="0"/>
              <w:right w:val="single" w:color="auto" w:sz="4" w:space="0"/>
            </w:tcBorders>
            <w:vAlign w:val="center"/>
          </w:tcPr>
          <w:p w14:paraId="45FA277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8136" w:type="dxa"/>
            <w:tcBorders>
              <w:top w:val="single" w:color="auto" w:sz="4" w:space="0"/>
              <w:left w:val="single" w:color="auto" w:sz="4" w:space="0"/>
              <w:bottom w:val="single" w:color="auto" w:sz="4" w:space="0"/>
              <w:right w:val="single" w:color="auto" w:sz="4" w:space="0"/>
            </w:tcBorders>
            <w:vAlign w:val="center"/>
          </w:tcPr>
          <w:p w14:paraId="04175D7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110" w:type="dxa"/>
            <w:tcBorders>
              <w:top w:val="single" w:color="auto" w:sz="4" w:space="0"/>
              <w:left w:val="single" w:color="auto" w:sz="4" w:space="0"/>
              <w:bottom w:val="single" w:color="auto" w:sz="4" w:space="0"/>
              <w:right w:val="single" w:color="auto" w:sz="4" w:space="0"/>
            </w:tcBorders>
            <w:vAlign w:val="center"/>
          </w:tcPr>
          <w:p w14:paraId="11AD38C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4A35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9" w:hRule="atLeast"/>
        </w:trPr>
        <w:tc>
          <w:tcPr>
            <w:tcW w:w="1644" w:type="dxa"/>
            <w:tcBorders>
              <w:top w:val="single" w:color="auto" w:sz="4" w:space="0"/>
              <w:left w:val="single" w:color="auto" w:sz="4" w:space="0"/>
              <w:bottom w:val="single" w:color="auto" w:sz="4" w:space="0"/>
              <w:right w:val="single" w:color="auto" w:sz="4" w:space="0"/>
            </w:tcBorders>
            <w:vAlign w:val="center"/>
          </w:tcPr>
          <w:p w14:paraId="2FE87D4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8136" w:type="dxa"/>
            <w:tcBorders>
              <w:top w:val="single" w:color="auto" w:sz="4" w:space="0"/>
              <w:left w:val="single" w:color="auto" w:sz="4" w:space="0"/>
              <w:bottom w:val="single" w:color="auto" w:sz="4" w:space="0"/>
              <w:right w:val="single" w:color="auto" w:sz="4" w:space="0"/>
            </w:tcBorders>
            <w:vAlign w:val="center"/>
          </w:tcPr>
          <w:p w14:paraId="7F854F8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未经县级以上地方人民政府卫生健康主管部门指定擅自从事免疫规划疫苗接种工作、从事非免疫规划疫苗接种工作不符合条件或者未备案的，违法所得在不足五万元的。</w:t>
            </w:r>
          </w:p>
        </w:tc>
        <w:tc>
          <w:tcPr>
            <w:tcW w:w="4110" w:type="dxa"/>
            <w:tcBorders>
              <w:top w:val="single" w:color="auto" w:sz="4" w:space="0"/>
              <w:left w:val="single" w:color="auto" w:sz="4" w:space="0"/>
              <w:bottom w:val="single" w:color="auto" w:sz="4" w:space="0"/>
              <w:right w:val="single" w:color="auto" w:sz="4" w:space="0"/>
            </w:tcBorders>
            <w:vAlign w:val="center"/>
          </w:tcPr>
          <w:p w14:paraId="1313AF2B">
            <w:pPr>
              <w:widowControl w:val="0"/>
              <w:spacing w:after="0" w:line="320" w:lineRule="exac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警告，没收违法所得和违法持有的疫苗，责令停业整顿，并处十万元以上三十万元以下的罚款。</w:t>
            </w:r>
          </w:p>
        </w:tc>
      </w:tr>
      <w:tr w14:paraId="6F5A4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1644" w:type="dxa"/>
            <w:tcBorders>
              <w:top w:val="single" w:color="auto" w:sz="4" w:space="0"/>
              <w:left w:val="single" w:color="auto" w:sz="4" w:space="0"/>
              <w:bottom w:val="single" w:color="auto" w:sz="4" w:space="0"/>
              <w:right w:val="single" w:color="auto" w:sz="4" w:space="0"/>
            </w:tcBorders>
            <w:vAlign w:val="center"/>
          </w:tcPr>
          <w:p w14:paraId="720725E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8136" w:type="dxa"/>
            <w:tcBorders>
              <w:top w:val="single" w:color="auto" w:sz="4" w:space="0"/>
              <w:left w:val="single" w:color="auto" w:sz="4" w:space="0"/>
              <w:bottom w:val="single" w:color="auto" w:sz="4" w:space="0"/>
              <w:right w:val="single" w:color="auto" w:sz="4" w:space="0"/>
            </w:tcBorders>
            <w:vAlign w:val="center"/>
          </w:tcPr>
          <w:p w14:paraId="552EB820">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未经县级以上地方人民政府卫生健康主管部门指定擅自从事免疫规划疫苗接种工作、从事非免疫规划疫苗接种工作不符合条件或者未备案的，违法所得在五万元以上不足二十五万元的。</w:t>
            </w:r>
          </w:p>
        </w:tc>
        <w:tc>
          <w:tcPr>
            <w:tcW w:w="4110" w:type="dxa"/>
            <w:tcBorders>
              <w:top w:val="single" w:color="auto" w:sz="4" w:space="0"/>
              <w:left w:val="single" w:color="auto" w:sz="4" w:space="0"/>
              <w:bottom w:val="single" w:color="auto" w:sz="4" w:space="0"/>
              <w:right w:val="single" w:color="auto" w:sz="4" w:space="0"/>
            </w:tcBorders>
            <w:vAlign w:val="center"/>
          </w:tcPr>
          <w:p w14:paraId="5DB813D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警告，没收违法所得和违法持有的疫苗，责令停业整顿，并处三十万元以上六十万元以下的罚款。</w:t>
            </w:r>
          </w:p>
        </w:tc>
      </w:tr>
      <w:tr w14:paraId="5CC59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7" w:hRule="atLeast"/>
        </w:trPr>
        <w:tc>
          <w:tcPr>
            <w:tcW w:w="1644" w:type="dxa"/>
            <w:tcBorders>
              <w:top w:val="single" w:color="auto" w:sz="4" w:space="0"/>
              <w:left w:val="single" w:color="auto" w:sz="4" w:space="0"/>
              <w:bottom w:val="single" w:color="auto" w:sz="4" w:space="0"/>
              <w:right w:val="single" w:color="auto" w:sz="4" w:space="0"/>
            </w:tcBorders>
            <w:vAlign w:val="center"/>
          </w:tcPr>
          <w:p w14:paraId="4765EB5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8136" w:type="dxa"/>
            <w:tcBorders>
              <w:top w:val="single" w:color="auto" w:sz="4" w:space="0"/>
              <w:left w:val="single" w:color="auto" w:sz="4" w:space="0"/>
              <w:bottom w:val="single" w:color="auto" w:sz="4" w:space="0"/>
              <w:right w:val="single" w:color="auto" w:sz="4" w:space="0"/>
            </w:tcBorders>
            <w:vAlign w:val="center"/>
          </w:tcPr>
          <w:p w14:paraId="10552516">
            <w:pPr>
              <w:widowControl w:val="0"/>
              <w:spacing w:after="0" w:line="320" w:lineRule="exac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未经县级以上地方人民政府卫生健康主管部门指定擅自从事免疫规划疫苗接种工作、从事非免疫规划疫苗接种工作不符合条件或者未备案的，违法所得在二十五万元以上的。</w:t>
            </w:r>
          </w:p>
        </w:tc>
        <w:tc>
          <w:tcPr>
            <w:tcW w:w="4110" w:type="dxa"/>
            <w:tcBorders>
              <w:top w:val="single" w:color="auto" w:sz="4" w:space="0"/>
              <w:left w:val="single" w:color="auto" w:sz="4" w:space="0"/>
              <w:bottom w:val="single" w:color="auto" w:sz="4" w:space="0"/>
              <w:right w:val="single" w:color="auto" w:sz="4" w:space="0"/>
            </w:tcBorders>
            <w:vAlign w:val="center"/>
          </w:tcPr>
          <w:p w14:paraId="308505B3">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警告，没收违法所得和违法持有的疫苗，责令停业整顿，并处六十万元以上一百万元以下的罚款。</w:t>
            </w:r>
          </w:p>
        </w:tc>
      </w:tr>
    </w:tbl>
    <w:p w14:paraId="2B112B35">
      <w:pPr>
        <w:pStyle w:val="4"/>
        <w:widowControl w:val="0"/>
        <w:ind w:firstLine="640"/>
        <w:rPr>
          <w:color w:val="000000" w:themeColor="text1"/>
          <w14:textFill>
            <w14:solidFill>
              <w14:schemeClr w14:val="tx1"/>
            </w14:solidFill>
          </w14:textFill>
        </w:rPr>
      </w:pPr>
      <w:bookmarkStart w:id="620" w:name="_Toc29893"/>
      <w:bookmarkStart w:id="621" w:name="_Toc463"/>
      <w:bookmarkStart w:id="622" w:name="_Toc12883"/>
      <w:bookmarkStart w:id="623" w:name="_Toc27379"/>
      <w:bookmarkStart w:id="624" w:name="_Toc31517"/>
      <w:bookmarkStart w:id="625" w:name="_Toc5658"/>
      <w:bookmarkStart w:id="626" w:name="_Toc2326"/>
      <w:bookmarkStart w:id="627" w:name="_Toc28974"/>
      <w:bookmarkStart w:id="628" w:name="_Toc19190"/>
      <w:bookmarkStart w:id="629" w:name="_Toc8206"/>
      <w:bookmarkStart w:id="630" w:name="_Toc28685"/>
      <w:r>
        <w:rPr>
          <w:rFonts w:hint="eastAsia"/>
          <w:color w:val="000000" w:themeColor="text1"/>
          <w14:textFill>
            <w14:solidFill>
              <w14:schemeClr w14:val="tx1"/>
            </w14:solidFill>
          </w14:textFill>
        </w:rPr>
        <w:t>第五十七条 疾病预防控制机构、接种单位以外的单位或者个人擅自进行群体性预防接种的</w:t>
      </w:r>
      <w:bookmarkEnd w:id="620"/>
      <w:bookmarkEnd w:id="621"/>
      <w:bookmarkEnd w:id="622"/>
      <w:bookmarkEnd w:id="623"/>
      <w:bookmarkEnd w:id="624"/>
      <w:bookmarkEnd w:id="625"/>
      <w:bookmarkEnd w:id="626"/>
      <w:bookmarkEnd w:id="627"/>
      <w:bookmarkEnd w:id="628"/>
      <w:bookmarkEnd w:id="629"/>
      <w:bookmarkEnd w:id="630"/>
    </w:p>
    <w:p w14:paraId="1D14081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4C0C77B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《中华人民共和国疫苗管理法》第九十一条第二款　</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法规定，疾病预防控制机构、接种单位以外的单位或者个人擅自进行群体性预防接种的，由县级以上人民政府卫生健康主管部门责令改正，没收违法所得和违法持有的疫苗，并处违法持有的疫苗货值金额十倍以上三十倍以下的罚款，货值金额不足五万元的，按五万元计算。</w:t>
      </w:r>
    </w:p>
    <w:p w14:paraId="0F2772FB">
      <w:pPr>
        <w:widowControl w:val="0"/>
        <w:spacing w:after="0" w:line="440" w:lineRule="exact"/>
        <w:jc w:val="center"/>
        <w:rPr>
          <w:rFonts w:hint="eastAsia"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6664"/>
        <w:gridCol w:w="5582"/>
      </w:tblGrid>
      <w:tr w14:paraId="3C02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644" w:type="dxa"/>
            <w:vAlign w:val="center"/>
          </w:tcPr>
          <w:p w14:paraId="0AD556E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664" w:type="dxa"/>
            <w:vAlign w:val="center"/>
          </w:tcPr>
          <w:p w14:paraId="5F0C08A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582" w:type="dxa"/>
            <w:vAlign w:val="center"/>
          </w:tcPr>
          <w:p w14:paraId="1E6A3FC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E3B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44" w:type="dxa"/>
            <w:vAlign w:val="center"/>
          </w:tcPr>
          <w:p w14:paraId="04DA09A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轻微</w:t>
            </w:r>
          </w:p>
        </w:tc>
        <w:tc>
          <w:tcPr>
            <w:tcW w:w="6664" w:type="dxa"/>
            <w:vAlign w:val="center"/>
          </w:tcPr>
          <w:p w14:paraId="770C250D">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疾病预防控制机构、接种单位以外的单位或者个人擅自进行群体性预防接种的，违法持有的疫苗货值金额不足五万元的。</w:t>
            </w:r>
          </w:p>
        </w:tc>
        <w:tc>
          <w:tcPr>
            <w:tcW w:w="5582" w:type="dxa"/>
            <w:vAlign w:val="center"/>
          </w:tcPr>
          <w:p w14:paraId="1F5C3F63">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没收违法所得和违法持有的疫苗，并处违法持有的疫苗货值金额十倍以上十五倍以下的罚款，货值金额不足五万元的，按五万元计算。</w:t>
            </w:r>
          </w:p>
        </w:tc>
      </w:tr>
      <w:tr w14:paraId="357A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44" w:type="dxa"/>
            <w:vAlign w:val="center"/>
          </w:tcPr>
          <w:p w14:paraId="481CFF2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664" w:type="dxa"/>
            <w:vAlign w:val="center"/>
          </w:tcPr>
          <w:p w14:paraId="00203FB6">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疾病预防控制机构、接种单位以外的单位或者个人擅自进行群体性预防接种的，违法持有的疫苗货值金额超过五万元不足二十万元的。</w:t>
            </w:r>
          </w:p>
        </w:tc>
        <w:tc>
          <w:tcPr>
            <w:tcW w:w="5582" w:type="dxa"/>
            <w:vAlign w:val="center"/>
          </w:tcPr>
          <w:p w14:paraId="610F88E6">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没收违法所得和违法持有的疫苗，并处违法持有的疫苗货值金额十五倍以上二十五倍以下的罚款。</w:t>
            </w:r>
          </w:p>
        </w:tc>
      </w:tr>
      <w:tr w14:paraId="7591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44" w:type="dxa"/>
            <w:vAlign w:val="center"/>
          </w:tcPr>
          <w:p w14:paraId="6E154ED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664" w:type="dxa"/>
            <w:vAlign w:val="center"/>
          </w:tcPr>
          <w:p w14:paraId="49874D24">
            <w:pPr>
              <w:widowControl w:val="0"/>
              <w:spacing w:after="0" w:line="320" w:lineRule="exact"/>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疾病预防控制机构、接种单位以外的单位或者个人擅自进行群体性预防接种的，违法持有的疫苗货值金额在二十万元以上的。</w:t>
            </w:r>
          </w:p>
        </w:tc>
        <w:tc>
          <w:tcPr>
            <w:tcW w:w="5582" w:type="dxa"/>
            <w:vAlign w:val="center"/>
          </w:tcPr>
          <w:p w14:paraId="557265D1">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没收违法所得和违法持有的疫苗，并处违法持有的疫苗货值金额二十五倍以上三十倍以下的罚款。</w:t>
            </w:r>
          </w:p>
        </w:tc>
      </w:tr>
    </w:tbl>
    <w:p w14:paraId="7A4882FC">
      <w:pPr>
        <w:pStyle w:val="3"/>
        <w:keepNext w:val="0"/>
        <w:keepLines w:val="0"/>
        <w:widowControl w:val="0"/>
        <w:spacing w:before="0" w:line="440" w:lineRule="exact"/>
        <w:ind w:firstLine="643" w:firstLineChars="200"/>
        <w:rPr>
          <w:rFonts w:ascii="Times New Roman" w:hAnsi="Times New Roman" w:eastAsia="楷体_GB2312"/>
          <w:color w:val="000000" w:themeColor="text1"/>
          <w14:textFill>
            <w14:solidFill>
              <w14:schemeClr w14:val="tx1"/>
            </w14:solidFill>
          </w14:textFill>
        </w:rPr>
      </w:pPr>
      <w:bookmarkStart w:id="631" w:name="_Toc27712"/>
      <w:bookmarkStart w:id="632" w:name="_Toc24885"/>
      <w:bookmarkStart w:id="633" w:name="_Toc22758"/>
      <w:bookmarkStart w:id="634" w:name="_Toc20100"/>
      <w:bookmarkStart w:id="635" w:name="_Toc14308"/>
      <w:bookmarkStart w:id="636" w:name="_Toc26722"/>
      <w:bookmarkStart w:id="637" w:name="_Toc17405"/>
      <w:bookmarkStart w:id="638" w:name="_Toc30587"/>
      <w:bookmarkStart w:id="639" w:name="_Toc26462"/>
      <w:bookmarkStart w:id="640" w:name="_Toc29447"/>
      <w:bookmarkStart w:id="641" w:name="_Toc9772"/>
      <w:bookmarkStart w:id="642" w:name="_Toc2216"/>
      <w:bookmarkStart w:id="643" w:name="_Toc20696"/>
      <w:r>
        <w:rPr>
          <w:rFonts w:hint="eastAsia" w:ascii="Times New Roman" w:hAnsi="Times New Roman" w:eastAsia="楷体_GB2312"/>
          <w:color w:val="000000" w:themeColor="text1"/>
          <w14:textFill>
            <w14:solidFill>
              <w14:schemeClr w14:val="tx1"/>
            </w14:solidFill>
          </w14:textFill>
        </w:rPr>
        <w:t>（六）《艾滋病防治条例》</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728D8354">
      <w:pPr>
        <w:pStyle w:val="4"/>
        <w:widowControl w:val="0"/>
        <w:ind w:firstLine="640"/>
        <w:rPr>
          <w:color w:val="000000" w:themeColor="text1"/>
          <w14:textFill>
            <w14:solidFill>
              <w14:schemeClr w14:val="tx1"/>
            </w14:solidFill>
          </w14:textFill>
        </w:rPr>
      </w:pPr>
      <w:bookmarkStart w:id="644" w:name="_Toc24060"/>
      <w:bookmarkStart w:id="645" w:name="_Toc8826"/>
      <w:bookmarkStart w:id="646" w:name="_Toc9573"/>
      <w:bookmarkStart w:id="647" w:name="_Toc13570"/>
      <w:bookmarkStart w:id="648" w:name="_Toc3554"/>
      <w:bookmarkStart w:id="649" w:name="_Toc31988"/>
      <w:bookmarkStart w:id="650" w:name="_Toc11976"/>
      <w:bookmarkStart w:id="651" w:name="_Toc14421"/>
      <w:bookmarkStart w:id="652" w:name="_Toc22675"/>
      <w:bookmarkStart w:id="653" w:name="_Toc24537"/>
      <w:bookmarkStart w:id="654" w:name="_Toc1495"/>
      <w:r>
        <w:rPr>
          <w:rFonts w:hint="eastAsia"/>
          <w:color w:val="000000" w:themeColor="text1"/>
          <w14:textFill>
            <w14:solidFill>
              <w14:schemeClr w14:val="tx1"/>
            </w14:solidFill>
          </w14:textFill>
        </w:rPr>
        <w:t>第五十八条 医疗卫生机构未履行艾滋病监测职责的</w:t>
      </w:r>
      <w:bookmarkEnd w:id="644"/>
      <w:bookmarkEnd w:id="645"/>
      <w:bookmarkEnd w:id="646"/>
      <w:bookmarkEnd w:id="647"/>
      <w:bookmarkEnd w:id="648"/>
      <w:bookmarkEnd w:id="649"/>
      <w:bookmarkEnd w:id="650"/>
      <w:bookmarkEnd w:id="651"/>
      <w:bookmarkEnd w:id="652"/>
      <w:bookmarkEnd w:id="653"/>
      <w:bookmarkEnd w:id="654"/>
    </w:p>
    <w:p w14:paraId="63181AB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06E1A4B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《艾滋病防治条例》第五十五条第一款第（一）项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w:t>
      </w:r>
    </w:p>
    <w:p w14:paraId="7587242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（一）未履行艾滋病监测职责的；</w:t>
      </w:r>
    </w:p>
    <w:tbl>
      <w:tblPr>
        <w:tblStyle w:val="24"/>
        <w:tblW w:w="5000" w:type="pct"/>
        <w:tblInd w:w="0" w:type="dxa"/>
        <w:tblLayout w:type="autofit"/>
        <w:tblCellMar>
          <w:top w:w="0" w:type="dxa"/>
          <w:left w:w="108" w:type="dxa"/>
          <w:bottom w:w="0" w:type="dxa"/>
          <w:right w:w="108" w:type="dxa"/>
        </w:tblCellMar>
      </w:tblPr>
      <w:tblGrid>
        <w:gridCol w:w="2007"/>
        <w:gridCol w:w="7424"/>
        <w:gridCol w:w="4743"/>
      </w:tblGrid>
      <w:tr w14:paraId="771A286E">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489ECA63">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3AE622E2">
        <w:tblPrEx>
          <w:tblCellMar>
            <w:top w:w="0" w:type="dxa"/>
            <w:left w:w="108" w:type="dxa"/>
            <w:bottom w:w="0" w:type="dxa"/>
            <w:right w:w="108" w:type="dxa"/>
          </w:tblCellMar>
        </w:tblPrEx>
        <w:trPr>
          <w:trHeight w:val="680" w:hRule="atLeast"/>
        </w:trPr>
        <w:tc>
          <w:tcPr>
            <w:tcW w:w="708" w:type="pct"/>
            <w:tcBorders>
              <w:top w:val="single" w:color="auto" w:sz="4" w:space="0"/>
              <w:left w:val="single" w:color="auto" w:sz="4" w:space="0"/>
              <w:bottom w:val="single" w:color="auto" w:sz="4" w:space="0"/>
              <w:right w:val="single" w:color="auto" w:sz="4" w:space="0"/>
            </w:tcBorders>
            <w:vAlign w:val="center"/>
          </w:tcPr>
          <w:p w14:paraId="564A6D9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619" w:type="pct"/>
            <w:tcBorders>
              <w:top w:val="single" w:color="auto" w:sz="4" w:space="0"/>
              <w:left w:val="single" w:color="auto" w:sz="4" w:space="0"/>
              <w:bottom w:val="single" w:color="auto" w:sz="4" w:space="0"/>
              <w:right w:val="single" w:color="auto" w:sz="4" w:space="0"/>
            </w:tcBorders>
            <w:vAlign w:val="center"/>
          </w:tcPr>
          <w:p w14:paraId="78ADF6DD">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672" w:type="pct"/>
            <w:tcBorders>
              <w:top w:val="single" w:color="auto" w:sz="4" w:space="0"/>
              <w:left w:val="single" w:color="auto" w:sz="4" w:space="0"/>
              <w:bottom w:val="single" w:color="auto" w:sz="4" w:space="0"/>
              <w:right w:val="single" w:color="auto" w:sz="4" w:space="0"/>
            </w:tcBorders>
            <w:vAlign w:val="center"/>
          </w:tcPr>
          <w:p w14:paraId="209385C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3E66D88">
        <w:tblPrEx>
          <w:tblCellMar>
            <w:top w:w="0" w:type="dxa"/>
            <w:left w:w="108" w:type="dxa"/>
            <w:bottom w:w="0" w:type="dxa"/>
            <w:right w:w="108" w:type="dxa"/>
          </w:tblCellMar>
        </w:tblPrEx>
        <w:trPr>
          <w:trHeight w:val="567" w:hRule="atLeast"/>
        </w:trPr>
        <w:tc>
          <w:tcPr>
            <w:tcW w:w="708" w:type="pct"/>
            <w:tcBorders>
              <w:top w:val="single" w:color="auto" w:sz="4" w:space="0"/>
              <w:left w:val="single" w:color="auto" w:sz="4" w:space="0"/>
              <w:bottom w:val="single" w:color="auto" w:sz="4" w:space="0"/>
              <w:right w:val="single" w:color="auto" w:sz="4" w:space="0"/>
            </w:tcBorders>
            <w:vAlign w:val="center"/>
          </w:tcPr>
          <w:p w14:paraId="09F0A86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619" w:type="pct"/>
            <w:tcBorders>
              <w:top w:val="single" w:color="auto" w:sz="4" w:space="0"/>
              <w:left w:val="single" w:color="auto" w:sz="4" w:space="0"/>
              <w:bottom w:val="single" w:color="auto" w:sz="4" w:space="0"/>
              <w:right w:val="single" w:color="auto" w:sz="4" w:space="0"/>
            </w:tcBorders>
            <w:vAlign w:val="center"/>
          </w:tcPr>
          <w:p w14:paraId="3046D8B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医疗卫生机构未履行艾滋病监测职责，未造成艾滋病传播等后果的。</w:t>
            </w:r>
          </w:p>
        </w:tc>
        <w:tc>
          <w:tcPr>
            <w:tcW w:w="1672" w:type="pct"/>
            <w:tcBorders>
              <w:top w:val="single" w:color="auto" w:sz="4" w:space="0"/>
              <w:left w:val="single" w:color="auto" w:sz="4" w:space="0"/>
              <w:bottom w:val="single" w:color="auto" w:sz="4" w:space="0"/>
              <w:right w:val="single" w:color="auto" w:sz="4" w:space="0"/>
            </w:tcBorders>
            <w:vAlign w:val="center"/>
          </w:tcPr>
          <w:p w14:paraId="1996F18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023DA278">
        <w:tblPrEx>
          <w:tblCellMar>
            <w:top w:w="0" w:type="dxa"/>
            <w:left w:w="108" w:type="dxa"/>
            <w:bottom w:w="0" w:type="dxa"/>
            <w:right w:w="108" w:type="dxa"/>
          </w:tblCellMar>
        </w:tblPrEx>
        <w:trPr>
          <w:trHeight w:val="794" w:hRule="atLeast"/>
        </w:trPr>
        <w:tc>
          <w:tcPr>
            <w:tcW w:w="708" w:type="pct"/>
            <w:tcBorders>
              <w:top w:val="single" w:color="auto" w:sz="4" w:space="0"/>
              <w:left w:val="single" w:color="auto" w:sz="4" w:space="0"/>
              <w:bottom w:val="single" w:color="auto" w:sz="4" w:space="0"/>
              <w:right w:val="single" w:color="auto" w:sz="4" w:space="0"/>
            </w:tcBorders>
            <w:vAlign w:val="center"/>
          </w:tcPr>
          <w:p w14:paraId="354E6BB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619" w:type="pct"/>
            <w:tcBorders>
              <w:top w:val="single" w:color="auto" w:sz="4" w:space="0"/>
              <w:left w:val="single" w:color="auto" w:sz="4" w:space="0"/>
              <w:bottom w:val="single" w:color="auto" w:sz="4" w:space="0"/>
              <w:right w:val="single" w:color="auto" w:sz="4" w:space="0"/>
            </w:tcBorders>
            <w:vAlign w:val="center"/>
          </w:tcPr>
          <w:p w14:paraId="658CCD8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医疗卫生机构未履行艾滋病监测职责，造成艾滋病传播、流行或者其他严重后果的。</w:t>
            </w:r>
          </w:p>
        </w:tc>
        <w:tc>
          <w:tcPr>
            <w:tcW w:w="1672" w:type="pct"/>
            <w:tcBorders>
              <w:top w:val="single" w:color="auto" w:sz="4" w:space="0"/>
              <w:left w:val="single" w:color="auto" w:sz="4" w:space="0"/>
              <w:bottom w:val="single" w:color="auto" w:sz="4" w:space="0"/>
              <w:right w:val="single" w:color="auto" w:sz="4" w:space="0"/>
            </w:tcBorders>
            <w:vAlign w:val="center"/>
          </w:tcPr>
          <w:p w14:paraId="2C2C24B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通报批评，给予警告，可以依法吊销有关机构或者责任人员的执业许可证件。</w:t>
            </w:r>
          </w:p>
        </w:tc>
      </w:tr>
    </w:tbl>
    <w:p w14:paraId="3F6CB41F">
      <w:pPr>
        <w:pStyle w:val="4"/>
        <w:widowControl w:val="0"/>
        <w:ind w:firstLine="640"/>
        <w:rPr>
          <w:color w:val="000000" w:themeColor="text1"/>
          <w14:textFill>
            <w14:solidFill>
              <w14:schemeClr w14:val="tx1"/>
            </w14:solidFill>
          </w14:textFill>
        </w:rPr>
      </w:pPr>
      <w:bookmarkStart w:id="655" w:name="_Toc12701"/>
      <w:bookmarkStart w:id="656" w:name="_Toc23819"/>
      <w:bookmarkStart w:id="657" w:name="_Toc25009"/>
      <w:bookmarkStart w:id="658" w:name="_Toc11349"/>
      <w:bookmarkStart w:id="659" w:name="_Toc25091"/>
      <w:bookmarkStart w:id="660" w:name="_Toc6766"/>
      <w:bookmarkStart w:id="661" w:name="_Toc14008"/>
      <w:bookmarkStart w:id="662" w:name="_Toc26473"/>
      <w:bookmarkStart w:id="663" w:name="_Toc11960"/>
      <w:bookmarkStart w:id="664" w:name="_Toc18611"/>
      <w:bookmarkStart w:id="665" w:name="_Toc28945"/>
      <w:r>
        <w:rPr>
          <w:rFonts w:hint="eastAsia"/>
          <w:color w:val="000000" w:themeColor="text1"/>
          <w14:textFill>
            <w14:solidFill>
              <w14:schemeClr w14:val="tx1"/>
            </w14:solidFill>
          </w14:textFill>
        </w:rPr>
        <w:t>第五十九条 医疗卫生机构未按照规定免费提供咨询和初筛检测的</w:t>
      </w:r>
      <w:bookmarkEnd w:id="655"/>
      <w:bookmarkEnd w:id="656"/>
      <w:bookmarkEnd w:id="657"/>
      <w:bookmarkEnd w:id="658"/>
      <w:bookmarkEnd w:id="659"/>
      <w:bookmarkEnd w:id="660"/>
      <w:bookmarkEnd w:id="661"/>
      <w:bookmarkEnd w:id="662"/>
      <w:bookmarkEnd w:id="663"/>
      <w:bookmarkEnd w:id="664"/>
      <w:bookmarkEnd w:id="665"/>
    </w:p>
    <w:p w14:paraId="738B9C0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1DD293F0">
      <w:pPr>
        <w:widowControl w:val="0"/>
        <w:spacing w:after="0" w:line="440" w:lineRule="exact"/>
        <w:ind w:firstLine="640" w:firstLineChars="200"/>
        <w:jc w:val="both"/>
        <w:rPr>
          <w:rFonts w:hint="eastAsia" w:ascii="Times New Roman" w:hAnsi="Times New Roman" w:eastAsia="方正仿宋_GB2312" w:cs="方正仿宋_GB2312"/>
          <w:color w:val="000000" w:themeColor="text1"/>
          <w:spacing w:val="-6"/>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《艾滋病防治条例》第五十五条第一款第（二）项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医疗卫生机构未依照本条例规定履行职责，有下列情形的，由县级以上人民政府卫生主管部门责令限期改正，通报批评，给予警告；</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造成艾滋病传播、流行或者其他严重后果的，对负有责任的主管人员和其他直接责任人员依法给予降级、撤职、开除的处分，并可以依法吊销有关机构或者责任人员的执业许可证件；构成犯罪的，依法追究刑事责任:</w:t>
      </w:r>
    </w:p>
    <w:p w14:paraId="6EF140F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（二）未按照规定免费提供咨询和初筛检测的；</w:t>
      </w:r>
    </w:p>
    <w:tbl>
      <w:tblPr>
        <w:tblStyle w:val="24"/>
        <w:tblpPr w:leftFromText="180" w:rightFromText="180" w:vertAnchor="text" w:horzAnchor="page" w:tblpX="1533" w:tblpY="375"/>
        <w:tblOverlap w:val="never"/>
        <w:tblW w:w="5000" w:type="pct"/>
        <w:tblInd w:w="0" w:type="dxa"/>
        <w:tblLayout w:type="autofit"/>
        <w:tblCellMar>
          <w:top w:w="0" w:type="dxa"/>
          <w:left w:w="108" w:type="dxa"/>
          <w:bottom w:w="0" w:type="dxa"/>
          <w:right w:w="108" w:type="dxa"/>
        </w:tblCellMar>
      </w:tblPr>
      <w:tblGrid>
        <w:gridCol w:w="1774"/>
        <w:gridCol w:w="7575"/>
        <w:gridCol w:w="4825"/>
      </w:tblGrid>
      <w:tr w14:paraId="43A6DF90">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4F8CA06C">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D77FBFF">
        <w:tblPrEx>
          <w:tblCellMar>
            <w:top w:w="0" w:type="dxa"/>
            <w:left w:w="108" w:type="dxa"/>
            <w:bottom w:w="0" w:type="dxa"/>
            <w:right w:w="108" w:type="dxa"/>
          </w:tblCellMar>
        </w:tblPrEx>
        <w:trPr>
          <w:trHeight w:val="680" w:hRule="atLeast"/>
        </w:trPr>
        <w:tc>
          <w:tcPr>
            <w:tcW w:w="626" w:type="pct"/>
            <w:tcBorders>
              <w:top w:val="single" w:color="auto" w:sz="4" w:space="0"/>
              <w:left w:val="single" w:color="auto" w:sz="4" w:space="0"/>
              <w:bottom w:val="single" w:color="auto" w:sz="4" w:space="0"/>
              <w:right w:val="single" w:color="auto" w:sz="4" w:space="0"/>
            </w:tcBorders>
            <w:vAlign w:val="center"/>
          </w:tcPr>
          <w:p w14:paraId="37470431">
            <w:pPr>
              <w:spacing w:after="0" w:line="240" w:lineRule="auto"/>
              <w:jc w:val="center"/>
              <w:textAlignment w:val="auto"/>
              <w:rPr>
                <w:rFonts w:hint="eastAsia" w:ascii="Times New Roman" w:hAnsi="Times New Roman" w:cs="微软雅黑"/>
                <w:b/>
                <w:bCs/>
                <w:sz w:val="28"/>
                <w:szCs w:val="28"/>
              </w:rPr>
            </w:pPr>
            <w:r>
              <w:rPr>
                <w:rFonts w:hint="eastAsia" w:ascii="Times New Roman" w:hAnsi="Times New Roman" w:cs="微软雅黑"/>
                <w:b/>
                <w:bCs/>
                <w:sz w:val="28"/>
                <w:szCs w:val="28"/>
                <w:lang w:bidi="ar"/>
              </w:rPr>
              <w:t>违法程度</w:t>
            </w:r>
          </w:p>
        </w:tc>
        <w:tc>
          <w:tcPr>
            <w:tcW w:w="2672" w:type="pct"/>
            <w:tcBorders>
              <w:top w:val="single" w:color="auto" w:sz="4" w:space="0"/>
              <w:left w:val="single" w:color="auto" w:sz="4" w:space="0"/>
              <w:bottom w:val="single" w:color="auto" w:sz="4" w:space="0"/>
              <w:right w:val="single" w:color="auto" w:sz="4" w:space="0"/>
            </w:tcBorders>
            <w:vAlign w:val="center"/>
          </w:tcPr>
          <w:p w14:paraId="493A84A0">
            <w:pPr>
              <w:spacing w:after="0" w:line="240" w:lineRule="auto"/>
              <w:jc w:val="center"/>
              <w:textAlignment w:val="auto"/>
              <w:rPr>
                <w:rFonts w:hint="eastAsia" w:ascii="Times New Roman" w:hAnsi="Times New Roman" w:cs="微软雅黑"/>
                <w:b/>
                <w:bCs/>
                <w:sz w:val="28"/>
                <w:szCs w:val="28"/>
              </w:rPr>
            </w:pPr>
            <w:r>
              <w:rPr>
                <w:rFonts w:hint="eastAsia" w:ascii="Times New Roman" w:hAnsi="Times New Roman" w:cs="微软雅黑"/>
                <w:b/>
                <w:bCs/>
                <w:sz w:val="28"/>
                <w:szCs w:val="28"/>
                <w:lang w:bidi="ar"/>
              </w:rPr>
              <w:t>情节后果</w:t>
            </w:r>
          </w:p>
        </w:tc>
        <w:tc>
          <w:tcPr>
            <w:tcW w:w="1701" w:type="pct"/>
            <w:tcBorders>
              <w:top w:val="single" w:color="auto" w:sz="4" w:space="0"/>
              <w:left w:val="single" w:color="auto" w:sz="4" w:space="0"/>
              <w:bottom w:val="single" w:color="auto" w:sz="4" w:space="0"/>
              <w:right w:val="single" w:color="auto" w:sz="4" w:space="0"/>
            </w:tcBorders>
            <w:vAlign w:val="center"/>
          </w:tcPr>
          <w:p w14:paraId="6FFA68F1">
            <w:pPr>
              <w:spacing w:after="0" w:line="240" w:lineRule="auto"/>
              <w:jc w:val="center"/>
              <w:textAlignment w:val="auto"/>
              <w:rPr>
                <w:rFonts w:hint="eastAsia" w:ascii="Times New Roman" w:hAnsi="Times New Roman" w:cs="微软雅黑"/>
                <w:b/>
                <w:bCs/>
                <w:sz w:val="28"/>
                <w:szCs w:val="28"/>
              </w:rPr>
            </w:pPr>
            <w:r>
              <w:rPr>
                <w:rFonts w:hint="eastAsia" w:ascii="Times New Roman" w:hAnsi="Times New Roman" w:cs="微软雅黑"/>
                <w:b/>
                <w:bCs/>
                <w:sz w:val="28"/>
                <w:szCs w:val="28"/>
                <w:lang w:bidi="ar"/>
              </w:rPr>
              <w:t>裁量幅度</w:t>
            </w:r>
          </w:p>
        </w:tc>
      </w:tr>
      <w:tr w14:paraId="45A5F64D">
        <w:tblPrEx>
          <w:tblCellMar>
            <w:top w:w="0" w:type="dxa"/>
            <w:left w:w="108" w:type="dxa"/>
            <w:bottom w:w="0" w:type="dxa"/>
            <w:right w:w="108" w:type="dxa"/>
          </w:tblCellMar>
        </w:tblPrEx>
        <w:trPr>
          <w:trHeight w:val="567" w:hRule="atLeast"/>
        </w:trPr>
        <w:tc>
          <w:tcPr>
            <w:tcW w:w="626" w:type="pct"/>
            <w:tcBorders>
              <w:top w:val="single" w:color="auto" w:sz="4" w:space="0"/>
              <w:left w:val="single" w:color="auto" w:sz="4" w:space="0"/>
              <w:bottom w:val="single" w:color="auto" w:sz="4" w:space="0"/>
              <w:right w:val="single" w:color="auto" w:sz="4" w:space="0"/>
            </w:tcBorders>
            <w:vAlign w:val="center"/>
          </w:tcPr>
          <w:p w14:paraId="332B8B07">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672" w:type="pct"/>
            <w:tcBorders>
              <w:top w:val="single" w:color="auto" w:sz="4" w:space="0"/>
              <w:left w:val="single" w:color="auto" w:sz="4" w:space="0"/>
              <w:bottom w:val="single" w:color="auto" w:sz="4" w:space="0"/>
              <w:right w:val="single" w:color="auto" w:sz="4" w:space="0"/>
            </w:tcBorders>
            <w:vAlign w:val="center"/>
          </w:tcPr>
          <w:p w14:paraId="2438205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按照规定免费提供咨询和初筛检测，未造成艾滋病传播等后果的。</w:t>
            </w:r>
          </w:p>
        </w:tc>
        <w:tc>
          <w:tcPr>
            <w:tcW w:w="1701" w:type="pct"/>
            <w:tcBorders>
              <w:top w:val="single" w:color="auto" w:sz="4" w:space="0"/>
              <w:left w:val="single" w:color="auto" w:sz="4" w:space="0"/>
              <w:bottom w:val="single" w:color="auto" w:sz="4" w:space="0"/>
              <w:right w:val="single" w:color="auto" w:sz="4" w:space="0"/>
            </w:tcBorders>
            <w:vAlign w:val="center"/>
          </w:tcPr>
          <w:p w14:paraId="32DFE24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359A0EB2">
        <w:tblPrEx>
          <w:tblCellMar>
            <w:top w:w="0" w:type="dxa"/>
            <w:left w:w="108" w:type="dxa"/>
            <w:bottom w:w="0" w:type="dxa"/>
            <w:right w:w="108" w:type="dxa"/>
          </w:tblCellMar>
        </w:tblPrEx>
        <w:trPr>
          <w:trHeight w:val="567" w:hRule="atLeast"/>
        </w:trPr>
        <w:tc>
          <w:tcPr>
            <w:tcW w:w="626" w:type="pct"/>
            <w:tcBorders>
              <w:top w:val="single" w:color="auto" w:sz="4" w:space="0"/>
              <w:left w:val="single" w:color="auto" w:sz="4" w:space="0"/>
              <w:bottom w:val="single" w:color="auto" w:sz="4" w:space="0"/>
              <w:right w:val="single" w:color="auto" w:sz="4" w:space="0"/>
            </w:tcBorders>
            <w:vAlign w:val="center"/>
          </w:tcPr>
          <w:p w14:paraId="07C5511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672" w:type="pct"/>
            <w:tcBorders>
              <w:top w:val="single" w:color="auto" w:sz="4" w:space="0"/>
              <w:left w:val="single" w:color="auto" w:sz="4" w:space="0"/>
              <w:bottom w:val="single" w:color="auto" w:sz="4" w:space="0"/>
              <w:right w:val="single" w:color="auto" w:sz="4" w:space="0"/>
            </w:tcBorders>
            <w:vAlign w:val="center"/>
          </w:tcPr>
          <w:p w14:paraId="514E29A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未按照规定免费提供咨询和初筛检测，造成艾滋病传播、流行或者其他严重后果的。</w:t>
            </w:r>
          </w:p>
        </w:tc>
        <w:tc>
          <w:tcPr>
            <w:tcW w:w="1701" w:type="pct"/>
            <w:tcBorders>
              <w:top w:val="single" w:color="auto" w:sz="4" w:space="0"/>
              <w:left w:val="single" w:color="auto" w:sz="4" w:space="0"/>
              <w:bottom w:val="single" w:color="auto" w:sz="4" w:space="0"/>
              <w:right w:val="single" w:color="auto" w:sz="4" w:space="0"/>
            </w:tcBorders>
            <w:vAlign w:val="center"/>
          </w:tcPr>
          <w:p w14:paraId="1B463FD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通报批评，给予警告，并可以依法吊销有关机构或者责任人员的执业许可证件。</w:t>
            </w:r>
          </w:p>
        </w:tc>
      </w:tr>
    </w:tbl>
    <w:p w14:paraId="2E656249">
      <w:pPr>
        <w:pStyle w:val="4"/>
        <w:widowControl w:val="0"/>
        <w:ind w:firstLine="640"/>
        <w:rPr>
          <w:color w:val="000000" w:themeColor="text1"/>
          <w14:textFill>
            <w14:solidFill>
              <w14:schemeClr w14:val="tx1"/>
            </w14:solidFill>
          </w14:textFill>
        </w:rPr>
      </w:pPr>
      <w:bookmarkStart w:id="666" w:name="_Toc18773"/>
      <w:bookmarkStart w:id="667" w:name="_Toc20152"/>
      <w:bookmarkStart w:id="668" w:name="_Toc16711"/>
      <w:bookmarkStart w:id="669" w:name="_Toc12542"/>
      <w:bookmarkStart w:id="670" w:name="_Toc29306"/>
      <w:bookmarkStart w:id="671" w:name="_Toc7410"/>
      <w:bookmarkStart w:id="672" w:name="_Toc14951"/>
      <w:bookmarkStart w:id="673" w:name="_Toc29895"/>
      <w:bookmarkStart w:id="674" w:name="_Toc9038"/>
      <w:bookmarkStart w:id="675" w:name="_Toc24225"/>
      <w:bookmarkStart w:id="676" w:name="_Toc7508"/>
      <w:r>
        <w:rPr>
          <w:rFonts w:hint="eastAsia"/>
          <w:color w:val="000000" w:themeColor="text1"/>
          <w14:textFill>
            <w14:solidFill>
              <w14:schemeClr w14:val="tx1"/>
            </w14:solidFill>
          </w14:textFill>
        </w:rPr>
        <w:t>第六十条 医疗卫生机构对临时应急采集的血液未进行艾滋病检测，对临床用血艾滋病检测结果未进行核查，或者将艾滋病检测阳性的血液用于临床的</w:t>
      </w:r>
      <w:bookmarkEnd w:id="666"/>
      <w:bookmarkEnd w:id="667"/>
      <w:bookmarkEnd w:id="668"/>
      <w:bookmarkEnd w:id="669"/>
      <w:bookmarkEnd w:id="670"/>
      <w:bookmarkEnd w:id="671"/>
      <w:bookmarkEnd w:id="672"/>
      <w:bookmarkEnd w:id="673"/>
      <w:bookmarkEnd w:id="674"/>
      <w:bookmarkEnd w:id="675"/>
      <w:bookmarkEnd w:id="676"/>
    </w:p>
    <w:p w14:paraId="0893E7C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5483C28A">
      <w:pPr>
        <w:widowControl w:val="0"/>
        <w:spacing w:after="0" w:line="440" w:lineRule="exact"/>
        <w:ind w:firstLine="640" w:firstLineChars="200"/>
        <w:jc w:val="both"/>
        <w:rPr>
          <w:rFonts w:hint="eastAsia" w:ascii="Times New Roman" w:hAnsi="Times New Roman" w:eastAsia="方正仿宋_GB2312" w:cs="方正仿宋_GB2312"/>
          <w:color w:val="000000" w:themeColor="text1"/>
          <w:spacing w:val="-6"/>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《艾滋病防治条例》第五十五条第一款第（三）项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开除的处分，并可以依法吊销有关机构或者责任人员的执业许可证件；构成犯罪的，依法追究刑事责任:</w:t>
      </w:r>
    </w:p>
    <w:p w14:paraId="0BD7D76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（三）对临时应急采集的血液未进行艾滋病检测，对临床用血艾滋病检测结果未进行核查，或者将艾滋病检测阳性的血液用于临床的；</w:t>
      </w:r>
    </w:p>
    <w:tbl>
      <w:tblPr>
        <w:tblStyle w:val="24"/>
        <w:tblW w:w="5000" w:type="pct"/>
        <w:tblInd w:w="0" w:type="dxa"/>
        <w:tblLayout w:type="autofit"/>
        <w:tblCellMar>
          <w:top w:w="0" w:type="dxa"/>
          <w:left w:w="108" w:type="dxa"/>
          <w:bottom w:w="0" w:type="dxa"/>
          <w:right w:w="108" w:type="dxa"/>
        </w:tblCellMar>
      </w:tblPr>
      <w:tblGrid>
        <w:gridCol w:w="1656"/>
        <w:gridCol w:w="8297"/>
        <w:gridCol w:w="4221"/>
      </w:tblGrid>
      <w:tr w14:paraId="7018DE13">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48866B06">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5D1FA7E">
        <w:tblPrEx>
          <w:tblCellMar>
            <w:top w:w="0" w:type="dxa"/>
            <w:left w:w="108" w:type="dxa"/>
            <w:bottom w:w="0" w:type="dxa"/>
            <w:right w:w="108" w:type="dxa"/>
          </w:tblCellMar>
        </w:tblPrEx>
        <w:trPr>
          <w:trHeight w:val="680" w:hRule="atLeast"/>
        </w:trPr>
        <w:tc>
          <w:tcPr>
            <w:tcW w:w="584" w:type="pct"/>
            <w:tcBorders>
              <w:top w:val="single" w:color="auto" w:sz="4" w:space="0"/>
              <w:left w:val="single" w:color="auto" w:sz="4" w:space="0"/>
              <w:bottom w:val="single" w:color="auto" w:sz="4" w:space="0"/>
              <w:right w:val="single" w:color="auto" w:sz="4" w:space="0"/>
            </w:tcBorders>
            <w:vAlign w:val="center"/>
          </w:tcPr>
          <w:p w14:paraId="22EF8E7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927" w:type="pct"/>
            <w:tcBorders>
              <w:top w:val="single" w:color="auto" w:sz="4" w:space="0"/>
              <w:left w:val="single" w:color="auto" w:sz="4" w:space="0"/>
              <w:bottom w:val="single" w:color="auto" w:sz="4" w:space="0"/>
              <w:right w:val="single" w:color="auto" w:sz="4" w:space="0"/>
            </w:tcBorders>
            <w:vAlign w:val="center"/>
          </w:tcPr>
          <w:p w14:paraId="52C9B194">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487" w:type="pct"/>
            <w:tcBorders>
              <w:top w:val="single" w:color="auto" w:sz="4" w:space="0"/>
              <w:left w:val="single" w:color="auto" w:sz="4" w:space="0"/>
              <w:bottom w:val="single" w:color="auto" w:sz="4" w:space="0"/>
              <w:right w:val="single" w:color="auto" w:sz="4" w:space="0"/>
            </w:tcBorders>
            <w:vAlign w:val="center"/>
          </w:tcPr>
          <w:p w14:paraId="5F95256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A0CF78B">
        <w:tblPrEx>
          <w:tblCellMar>
            <w:top w:w="0" w:type="dxa"/>
            <w:left w:w="108" w:type="dxa"/>
            <w:bottom w:w="0" w:type="dxa"/>
            <w:right w:w="108" w:type="dxa"/>
          </w:tblCellMar>
        </w:tblPrEx>
        <w:trPr>
          <w:trHeight w:val="737" w:hRule="atLeast"/>
        </w:trPr>
        <w:tc>
          <w:tcPr>
            <w:tcW w:w="584" w:type="pct"/>
            <w:tcBorders>
              <w:top w:val="single" w:color="auto" w:sz="4" w:space="0"/>
              <w:left w:val="single" w:color="auto" w:sz="4" w:space="0"/>
              <w:bottom w:val="single" w:color="auto" w:sz="4" w:space="0"/>
              <w:right w:val="single" w:color="auto" w:sz="4" w:space="0"/>
            </w:tcBorders>
            <w:vAlign w:val="center"/>
          </w:tcPr>
          <w:p w14:paraId="0AB7BE3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927" w:type="pct"/>
            <w:tcBorders>
              <w:top w:val="single" w:color="auto" w:sz="4" w:space="0"/>
              <w:left w:val="single" w:color="auto" w:sz="4" w:space="0"/>
              <w:bottom w:val="single" w:color="auto" w:sz="4" w:space="0"/>
              <w:right w:val="single" w:color="auto" w:sz="4" w:space="0"/>
            </w:tcBorders>
            <w:vAlign w:val="center"/>
          </w:tcPr>
          <w:p w14:paraId="48B7BF1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对临时应急采集的血液未进行艾滋病检测，对临床用血艾滋病检测结果未进行核查，或者将艾滋病检测阳性的血液用于临床，未造成艾滋病传播等后果的。</w:t>
            </w:r>
          </w:p>
        </w:tc>
        <w:tc>
          <w:tcPr>
            <w:tcW w:w="1487" w:type="pct"/>
            <w:tcBorders>
              <w:top w:val="single" w:color="auto" w:sz="4" w:space="0"/>
              <w:left w:val="single" w:color="auto" w:sz="4" w:space="0"/>
              <w:bottom w:val="single" w:color="auto" w:sz="4" w:space="0"/>
              <w:right w:val="single" w:color="auto" w:sz="4" w:space="0"/>
            </w:tcBorders>
            <w:vAlign w:val="center"/>
          </w:tcPr>
          <w:p w14:paraId="6CFF0CB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6C100AB2">
        <w:tblPrEx>
          <w:tblCellMar>
            <w:top w:w="0" w:type="dxa"/>
            <w:left w:w="108" w:type="dxa"/>
            <w:bottom w:w="0" w:type="dxa"/>
            <w:right w:w="108" w:type="dxa"/>
          </w:tblCellMar>
        </w:tblPrEx>
        <w:trPr>
          <w:trHeight w:val="737" w:hRule="atLeast"/>
        </w:trPr>
        <w:tc>
          <w:tcPr>
            <w:tcW w:w="584" w:type="pct"/>
            <w:tcBorders>
              <w:top w:val="single" w:color="auto" w:sz="4" w:space="0"/>
              <w:left w:val="single" w:color="auto" w:sz="4" w:space="0"/>
              <w:bottom w:val="single" w:color="auto" w:sz="4" w:space="0"/>
              <w:right w:val="single" w:color="auto" w:sz="4" w:space="0"/>
            </w:tcBorders>
            <w:vAlign w:val="center"/>
          </w:tcPr>
          <w:p w14:paraId="0BC0646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927" w:type="pct"/>
            <w:tcBorders>
              <w:top w:val="single" w:color="auto" w:sz="4" w:space="0"/>
              <w:left w:val="single" w:color="auto" w:sz="4" w:space="0"/>
              <w:bottom w:val="single" w:color="auto" w:sz="4" w:space="0"/>
              <w:right w:val="single" w:color="auto" w:sz="4" w:space="0"/>
            </w:tcBorders>
            <w:vAlign w:val="center"/>
          </w:tcPr>
          <w:p w14:paraId="51C3D67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对临时应急采集的血液未进行艾滋病检测，对临床用血艾滋病检测结果未进行核查，或者将艾滋病检测阳性的血液用于临床，造成艾滋病传播、流行或者其他严重后果的。</w:t>
            </w:r>
          </w:p>
        </w:tc>
        <w:tc>
          <w:tcPr>
            <w:tcW w:w="1487" w:type="pct"/>
            <w:tcBorders>
              <w:top w:val="single" w:color="auto" w:sz="4" w:space="0"/>
              <w:left w:val="single" w:color="auto" w:sz="4" w:space="0"/>
              <w:bottom w:val="single" w:color="auto" w:sz="4" w:space="0"/>
              <w:right w:val="single" w:color="auto" w:sz="4" w:space="0"/>
            </w:tcBorders>
            <w:vAlign w:val="center"/>
          </w:tcPr>
          <w:p w14:paraId="4FF9572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通报批评，给予警告，并可以依法吊销有关机构或者责任人员的执业许可证件。</w:t>
            </w:r>
          </w:p>
        </w:tc>
      </w:tr>
    </w:tbl>
    <w:p w14:paraId="4FC434A7">
      <w:pPr>
        <w:pStyle w:val="4"/>
        <w:widowControl w:val="0"/>
        <w:ind w:firstLine="640"/>
        <w:rPr>
          <w:color w:val="000000" w:themeColor="text1"/>
          <w14:textFill>
            <w14:solidFill>
              <w14:schemeClr w14:val="tx1"/>
            </w14:solidFill>
          </w14:textFill>
        </w:rPr>
      </w:pPr>
      <w:bookmarkStart w:id="677" w:name="_Toc4313"/>
      <w:bookmarkStart w:id="678" w:name="_Toc16301"/>
      <w:bookmarkStart w:id="679" w:name="_Toc15603"/>
      <w:bookmarkStart w:id="680" w:name="_Toc4605"/>
      <w:bookmarkStart w:id="681" w:name="_Toc25737"/>
      <w:bookmarkStart w:id="682" w:name="_Toc32322"/>
      <w:bookmarkStart w:id="683" w:name="_Toc22347"/>
      <w:bookmarkStart w:id="684" w:name="_Toc627"/>
      <w:bookmarkStart w:id="685" w:name="_Toc30044"/>
      <w:bookmarkStart w:id="686" w:name="_Toc10745"/>
      <w:bookmarkStart w:id="687" w:name="_Toc21666"/>
      <w:r>
        <w:rPr>
          <w:rFonts w:hint="eastAsia"/>
          <w:color w:val="000000" w:themeColor="text1"/>
          <w14:textFill>
            <w14:solidFill>
              <w14:schemeClr w14:val="tx1"/>
            </w14:solidFill>
          </w14:textFill>
        </w:rPr>
        <w:t>第六十一条 医疗卫生机构未遵守标准防护原则，或者未执行操作规程和消毒管理制度，发生艾滋病医院感染或者医源性感染的</w:t>
      </w:r>
      <w:bookmarkEnd w:id="677"/>
      <w:bookmarkEnd w:id="678"/>
      <w:bookmarkEnd w:id="679"/>
      <w:bookmarkEnd w:id="680"/>
      <w:bookmarkEnd w:id="681"/>
      <w:bookmarkEnd w:id="682"/>
      <w:bookmarkEnd w:id="683"/>
      <w:bookmarkEnd w:id="684"/>
      <w:bookmarkEnd w:id="685"/>
      <w:bookmarkEnd w:id="686"/>
      <w:bookmarkEnd w:id="687"/>
    </w:p>
    <w:p w14:paraId="419A97E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264E8F60">
      <w:pPr>
        <w:widowControl w:val="0"/>
        <w:spacing w:after="0" w:line="440" w:lineRule="exact"/>
        <w:ind w:firstLine="640" w:firstLineChars="200"/>
        <w:jc w:val="both"/>
        <w:rPr>
          <w:rFonts w:hint="eastAsia" w:ascii="Times New Roman" w:hAnsi="Times New Roman" w:eastAsia="方正仿宋_GB2312" w:cs="方正仿宋_GB2312"/>
          <w:color w:val="000000" w:themeColor="text1"/>
          <w:spacing w:val="-6"/>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《艾滋病防治条例》第五十五条第一款第（四）项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医疗卫生机构未依照本条例规定履行职责，有下列情形的，由县级以上人民政府卫生主管部门责令限期改正，通报批评，给予警告；</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造成艾滋病传播、流行或者其他严重后果的，对负有责任的主管人员和其他直接责任人员依法给予降级、撤职、开除的处分，并可以依法吊销有关机构或者责任人员的执业许可证件；构成犯罪的，依法追究刑事责任:</w:t>
      </w:r>
    </w:p>
    <w:p w14:paraId="29716D3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（四）未遵守标准防护原则，或者未执行操作规程和消毒管理制度，发生艾滋病医院感染或者医源性感染的；</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7"/>
        <w:gridCol w:w="7835"/>
        <w:gridCol w:w="4272"/>
      </w:tblGrid>
      <w:tr w14:paraId="708D7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000" w:type="pct"/>
            <w:gridSpan w:val="3"/>
            <w:tcBorders>
              <w:bottom w:val="single" w:color="auto" w:sz="4" w:space="0"/>
            </w:tcBorders>
            <w:noWrap/>
            <w:vAlign w:val="center"/>
          </w:tcPr>
          <w:p w14:paraId="2ACA8BDA">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898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29" w:type="pct"/>
            <w:tcBorders>
              <w:top w:val="single" w:color="auto" w:sz="4" w:space="0"/>
              <w:left w:val="single" w:color="auto" w:sz="4" w:space="0"/>
              <w:bottom w:val="single" w:color="auto" w:sz="4" w:space="0"/>
              <w:right w:val="single" w:color="auto" w:sz="4" w:space="0"/>
            </w:tcBorders>
            <w:vAlign w:val="center"/>
          </w:tcPr>
          <w:p w14:paraId="1E12A55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764" w:type="pct"/>
            <w:tcBorders>
              <w:top w:val="single" w:color="auto" w:sz="4" w:space="0"/>
              <w:left w:val="single" w:color="auto" w:sz="4" w:space="0"/>
              <w:bottom w:val="single" w:color="auto" w:sz="4" w:space="0"/>
              <w:right w:val="single" w:color="auto" w:sz="4" w:space="0"/>
            </w:tcBorders>
            <w:vAlign w:val="center"/>
          </w:tcPr>
          <w:p w14:paraId="38DCEFBE">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505" w:type="pct"/>
            <w:tcBorders>
              <w:top w:val="single" w:color="auto" w:sz="4" w:space="0"/>
              <w:left w:val="single" w:color="auto" w:sz="4" w:space="0"/>
              <w:bottom w:val="single" w:color="auto" w:sz="4" w:space="0"/>
              <w:right w:val="single" w:color="auto" w:sz="4" w:space="0"/>
            </w:tcBorders>
            <w:vAlign w:val="center"/>
          </w:tcPr>
          <w:p w14:paraId="0A58412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ABC2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29" w:type="pct"/>
            <w:tcBorders>
              <w:top w:val="single" w:color="auto" w:sz="4" w:space="0"/>
              <w:left w:val="single" w:color="auto" w:sz="4" w:space="0"/>
              <w:bottom w:val="single" w:color="auto" w:sz="4" w:space="0"/>
              <w:right w:val="single" w:color="auto" w:sz="4" w:space="0"/>
            </w:tcBorders>
            <w:vAlign w:val="center"/>
          </w:tcPr>
          <w:p w14:paraId="349794A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764" w:type="pct"/>
            <w:tcBorders>
              <w:top w:val="single" w:color="auto" w:sz="4" w:space="0"/>
              <w:left w:val="single" w:color="auto" w:sz="4" w:space="0"/>
              <w:bottom w:val="single" w:color="auto" w:sz="4" w:space="0"/>
              <w:right w:val="single" w:color="auto" w:sz="4" w:space="0"/>
            </w:tcBorders>
            <w:vAlign w:val="center"/>
          </w:tcPr>
          <w:p w14:paraId="21D8180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未遵守标准防护原则，或者未执行操作规程和消毒管理制度，发生艾滋病医院感染或者医源性感染的。</w:t>
            </w:r>
          </w:p>
        </w:tc>
        <w:tc>
          <w:tcPr>
            <w:tcW w:w="1505" w:type="pct"/>
            <w:tcBorders>
              <w:top w:val="single" w:color="auto" w:sz="4" w:space="0"/>
              <w:left w:val="single" w:color="auto" w:sz="4" w:space="0"/>
              <w:bottom w:val="single" w:color="auto" w:sz="4" w:space="0"/>
              <w:right w:val="single" w:color="auto" w:sz="4" w:space="0"/>
            </w:tcBorders>
            <w:vAlign w:val="center"/>
          </w:tcPr>
          <w:p w14:paraId="46C5379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338A9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29" w:type="pct"/>
            <w:tcBorders>
              <w:top w:val="single" w:color="auto" w:sz="4" w:space="0"/>
              <w:left w:val="single" w:color="auto" w:sz="4" w:space="0"/>
              <w:bottom w:val="single" w:color="auto" w:sz="4" w:space="0"/>
              <w:right w:val="single" w:color="auto" w:sz="4" w:space="0"/>
            </w:tcBorders>
            <w:vAlign w:val="center"/>
          </w:tcPr>
          <w:p w14:paraId="4D7DFC3E">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764" w:type="pct"/>
            <w:tcBorders>
              <w:top w:val="single" w:color="auto" w:sz="4" w:space="0"/>
              <w:left w:val="single" w:color="auto" w:sz="4" w:space="0"/>
              <w:bottom w:val="single" w:color="auto" w:sz="4" w:space="0"/>
              <w:right w:val="single" w:color="auto" w:sz="4" w:space="0"/>
            </w:tcBorders>
            <w:vAlign w:val="center"/>
          </w:tcPr>
          <w:p w14:paraId="42DDA8E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未遵守标准防护原则，或者未执行操作规程和消毒管理制度，发生艾滋病医院感染或者医源性感染，造成艾滋病传播、流行或者其他严重后果的。</w:t>
            </w:r>
          </w:p>
        </w:tc>
        <w:tc>
          <w:tcPr>
            <w:tcW w:w="1505" w:type="pct"/>
            <w:tcBorders>
              <w:top w:val="single" w:color="auto" w:sz="4" w:space="0"/>
              <w:left w:val="single" w:color="auto" w:sz="4" w:space="0"/>
              <w:bottom w:val="single" w:color="auto" w:sz="4" w:space="0"/>
              <w:right w:val="single" w:color="auto" w:sz="4" w:space="0"/>
            </w:tcBorders>
            <w:vAlign w:val="center"/>
          </w:tcPr>
          <w:p w14:paraId="4965B69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通报批评，给予警告，并可以依法吊销有关机构或者责任人员的执业许可证件。</w:t>
            </w:r>
          </w:p>
        </w:tc>
      </w:tr>
    </w:tbl>
    <w:p w14:paraId="516AB84F">
      <w:pPr>
        <w:pStyle w:val="4"/>
        <w:widowControl w:val="0"/>
        <w:ind w:firstLine="640"/>
        <w:rPr>
          <w:color w:val="000000" w:themeColor="text1"/>
          <w14:textFill>
            <w14:solidFill>
              <w14:schemeClr w14:val="tx1"/>
            </w14:solidFill>
          </w14:textFill>
        </w:rPr>
      </w:pPr>
      <w:bookmarkStart w:id="688" w:name="_Toc12063"/>
      <w:bookmarkStart w:id="689" w:name="_Toc13938"/>
      <w:bookmarkStart w:id="690" w:name="_Toc23704"/>
      <w:bookmarkStart w:id="691" w:name="_Toc27525"/>
      <w:bookmarkStart w:id="692" w:name="_Toc3999"/>
      <w:bookmarkStart w:id="693" w:name="_Toc27003"/>
      <w:bookmarkStart w:id="694" w:name="_Toc19970"/>
      <w:bookmarkStart w:id="695" w:name="_Toc30059"/>
      <w:bookmarkStart w:id="696" w:name="_Toc10396"/>
      <w:bookmarkStart w:id="697" w:name="_Toc4693"/>
      <w:bookmarkStart w:id="698" w:name="_Toc3086"/>
      <w:r>
        <w:rPr>
          <w:rFonts w:hint="eastAsia"/>
          <w:color w:val="000000" w:themeColor="text1"/>
          <w14:textFill>
            <w14:solidFill>
              <w14:schemeClr w14:val="tx1"/>
            </w14:solidFill>
          </w14:textFill>
        </w:rPr>
        <w:t>第六十二条 医疗卫生机构未采取有效的卫生防护措施和医疗保健措施的</w:t>
      </w:r>
      <w:bookmarkEnd w:id="688"/>
      <w:bookmarkEnd w:id="689"/>
      <w:bookmarkEnd w:id="690"/>
      <w:bookmarkEnd w:id="691"/>
      <w:bookmarkEnd w:id="692"/>
      <w:bookmarkEnd w:id="693"/>
      <w:bookmarkEnd w:id="694"/>
      <w:bookmarkEnd w:id="695"/>
      <w:bookmarkEnd w:id="696"/>
      <w:bookmarkEnd w:id="697"/>
      <w:bookmarkEnd w:id="698"/>
    </w:p>
    <w:p w14:paraId="70A4E95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04B9E62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《艾滋病防治条例》第五十五条第一款第（五）项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未依照本条例规定履行职责，有下列情形的，由县级以上人民政府卫生主管部门责令限期改正，通报批评，给予警告；造成艾滋病传播、流行或者其他严重后果的，对负有责任的主管人员和其他直接责任人员依法给予降级、撤职、</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开除的处分，并可以依法吊销有关机构或者责任人员的执业许可证件；构成犯罪的，依法追究刑事责任:</w:t>
      </w:r>
    </w:p>
    <w:p w14:paraId="36FE205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（五）未采取有效的卫生防护措施和医疗保健措施的；</w:t>
      </w:r>
    </w:p>
    <w:tbl>
      <w:tblPr>
        <w:tblStyle w:val="24"/>
        <w:tblW w:w="5000" w:type="pct"/>
        <w:tblInd w:w="0" w:type="dxa"/>
        <w:tblLayout w:type="autofit"/>
        <w:tblCellMar>
          <w:top w:w="0" w:type="dxa"/>
          <w:left w:w="108" w:type="dxa"/>
          <w:bottom w:w="0" w:type="dxa"/>
          <w:right w:w="108" w:type="dxa"/>
        </w:tblCellMar>
      </w:tblPr>
      <w:tblGrid>
        <w:gridCol w:w="2696"/>
        <w:gridCol w:w="6078"/>
        <w:gridCol w:w="5400"/>
      </w:tblGrid>
      <w:tr w14:paraId="7E1BFC71">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356BDB5C">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639055F">
        <w:tblPrEx>
          <w:tblCellMar>
            <w:top w:w="0" w:type="dxa"/>
            <w:left w:w="108" w:type="dxa"/>
            <w:bottom w:w="0" w:type="dxa"/>
            <w:right w:w="108" w:type="dxa"/>
          </w:tblCellMar>
        </w:tblPrEx>
        <w:trPr>
          <w:trHeight w:val="680" w:hRule="atLeast"/>
        </w:trPr>
        <w:tc>
          <w:tcPr>
            <w:tcW w:w="951" w:type="pct"/>
            <w:tcBorders>
              <w:top w:val="single" w:color="auto" w:sz="4" w:space="0"/>
              <w:left w:val="single" w:color="auto" w:sz="4" w:space="0"/>
              <w:bottom w:val="single" w:color="auto" w:sz="4" w:space="0"/>
              <w:right w:val="single" w:color="auto" w:sz="4" w:space="0"/>
            </w:tcBorders>
            <w:vAlign w:val="center"/>
          </w:tcPr>
          <w:p w14:paraId="4B6671F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144" w:type="pct"/>
            <w:tcBorders>
              <w:top w:val="single" w:color="auto" w:sz="4" w:space="0"/>
              <w:left w:val="single" w:color="auto" w:sz="4" w:space="0"/>
              <w:bottom w:val="single" w:color="auto" w:sz="4" w:space="0"/>
              <w:right w:val="single" w:color="auto" w:sz="4" w:space="0"/>
            </w:tcBorders>
            <w:vAlign w:val="center"/>
          </w:tcPr>
          <w:p w14:paraId="42324573">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903" w:type="pct"/>
            <w:tcBorders>
              <w:top w:val="single" w:color="auto" w:sz="4" w:space="0"/>
              <w:left w:val="single" w:color="auto" w:sz="4" w:space="0"/>
              <w:bottom w:val="single" w:color="auto" w:sz="4" w:space="0"/>
              <w:right w:val="single" w:color="auto" w:sz="4" w:space="0"/>
            </w:tcBorders>
            <w:vAlign w:val="center"/>
          </w:tcPr>
          <w:p w14:paraId="3CB8BEE2">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A22E9B1">
        <w:tblPrEx>
          <w:tblCellMar>
            <w:top w:w="0" w:type="dxa"/>
            <w:left w:w="108" w:type="dxa"/>
            <w:bottom w:w="0" w:type="dxa"/>
            <w:right w:w="108" w:type="dxa"/>
          </w:tblCellMar>
        </w:tblPrEx>
        <w:trPr>
          <w:trHeight w:val="850" w:hRule="atLeast"/>
        </w:trPr>
        <w:tc>
          <w:tcPr>
            <w:tcW w:w="951" w:type="pct"/>
            <w:tcBorders>
              <w:top w:val="single" w:color="auto" w:sz="4" w:space="0"/>
              <w:left w:val="single" w:color="auto" w:sz="4" w:space="0"/>
              <w:bottom w:val="single" w:color="auto" w:sz="4" w:space="0"/>
              <w:right w:val="single" w:color="auto" w:sz="4" w:space="0"/>
            </w:tcBorders>
            <w:vAlign w:val="center"/>
          </w:tcPr>
          <w:p w14:paraId="6176C5A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144" w:type="pct"/>
            <w:tcBorders>
              <w:top w:val="single" w:color="auto" w:sz="4" w:space="0"/>
              <w:left w:val="single" w:color="auto" w:sz="4" w:space="0"/>
              <w:bottom w:val="single" w:color="auto" w:sz="4" w:space="0"/>
              <w:right w:val="single" w:color="auto" w:sz="4" w:space="0"/>
            </w:tcBorders>
            <w:vAlign w:val="center"/>
          </w:tcPr>
          <w:p w14:paraId="6A33F3C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未采取有效的卫生防护措施和医疗保健措施，未造成艾滋病传播等后果的。</w:t>
            </w:r>
          </w:p>
        </w:tc>
        <w:tc>
          <w:tcPr>
            <w:tcW w:w="1903" w:type="pct"/>
            <w:tcBorders>
              <w:top w:val="single" w:color="auto" w:sz="4" w:space="0"/>
              <w:left w:val="single" w:color="auto" w:sz="4" w:space="0"/>
              <w:bottom w:val="single" w:color="auto" w:sz="4" w:space="0"/>
              <w:right w:val="single" w:color="auto" w:sz="4" w:space="0"/>
            </w:tcBorders>
            <w:vAlign w:val="center"/>
          </w:tcPr>
          <w:p w14:paraId="61485E5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3F417B76">
        <w:tblPrEx>
          <w:tblCellMar>
            <w:top w:w="0" w:type="dxa"/>
            <w:left w:w="108" w:type="dxa"/>
            <w:bottom w:w="0" w:type="dxa"/>
            <w:right w:w="108" w:type="dxa"/>
          </w:tblCellMar>
        </w:tblPrEx>
        <w:trPr>
          <w:trHeight w:val="850" w:hRule="atLeast"/>
        </w:trPr>
        <w:tc>
          <w:tcPr>
            <w:tcW w:w="951" w:type="pct"/>
            <w:tcBorders>
              <w:top w:val="single" w:color="auto" w:sz="4" w:space="0"/>
              <w:left w:val="single" w:color="auto" w:sz="4" w:space="0"/>
              <w:bottom w:val="single" w:color="auto" w:sz="4" w:space="0"/>
              <w:right w:val="single" w:color="auto" w:sz="4" w:space="0"/>
            </w:tcBorders>
            <w:vAlign w:val="center"/>
          </w:tcPr>
          <w:p w14:paraId="79B8D5AE">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144" w:type="pct"/>
            <w:tcBorders>
              <w:top w:val="single" w:color="auto" w:sz="4" w:space="0"/>
              <w:left w:val="single" w:color="auto" w:sz="4" w:space="0"/>
              <w:bottom w:val="single" w:color="auto" w:sz="4" w:space="0"/>
              <w:right w:val="single" w:color="auto" w:sz="4" w:space="0"/>
            </w:tcBorders>
            <w:vAlign w:val="center"/>
          </w:tcPr>
          <w:p w14:paraId="555CB75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未采取有效的卫生防护措施和医疗保健措施，造成艾滋病传播、流行或者其他严重后果的。</w:t>
            </w:r>
          </w:p>
        </w:tc>
        <w:tc>
          <w:tcPr>
            <w:tcW w:w="1903" w:type="pct"/>
            <w:tcBorders>
              <w:top w:val="single" w:color="auto" w:sz="4" w:space="0"/>
              <w:left w:val="single" w:color="auto" w:sz="4" w:space="0"/>
              <w:bottom w:val="single" w:color="auto" w:sz="4" w:space="0"/>
              <w:right w:val="single" w:color="auto" w:sz="4" w:space="0"/>
            </w:tcBorders>
            <w:vAlign w:val="center"/>
          </w:tcPr>
          <w:p w14:paraId="1E15B32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通报批评，给予警告，并可以依法吊销有关机构或者责任人员的执业许可证件。</w:t>
            </w:r>
          </w:p>
        </w:tc>
      </w:tr>
    </w:tbl>
    <w:p w14:paraId="7A426FE7">
      <w:pPr>
        <w:pStyle w:val="4"/>
        <w:widowControl w:val="0"/>
        <w:ind w:firstLine="640"/>
        <w:rPr>
          <w:color w:val="000000" w:themeColor="text1"/>
          <w14:textFill>
            <w14:solidFill>
              <w14:schemeClr w14:val="tx1"/>
            </w14:solidFill>
          </w14:textFill>
        </w:rPr>
      </w:pPr>
      <w:bookmarkStart w:id="699" w:name="_Toc19096"/>
      <w:bookmarkStart w:id="700" w:name="_Toc28797"/>
      <w:bookmarkStart w:id="701" w:name="_Toc2539"/>
      <w:bookmarkStart w:id="702" w:name="_Toc15068"/>
      <w:bookmarkStart w:id="703" w:name="_Toc19077"/>
      <w:bookmarkStart w:id="704" w:name="_Toc20536"/>
      <w:bookmarkStart w:id="705" w:name="_Toc11816"/>
      <w:bookmarkStart w:id="706" w:name="_Toc17756"/>
      <w:bookmarkStart w:id="707" w:name="_Toc22342"/>
      <w:bookmarkStart w:id="708" w:name="_Toc6251"/>
      <w:bookmarkStart w:id="709" w:name="_Toc21301"/>
      <w:r>
        <w:rPr>
          <w:rFonts w:hint="eastAsia"/>
          <w:color w:val="000000" w:themeColor="text1"/>
          <w14:textFill>
            <w14:solidFill>
              <w14:schemeClr w14:val="tx1"/>
            </w14:solidFill>
          </w14:textFill>
        </w:rPr>
        <w:t>第六十三条 医疗卫生机构推诿、拒绝治疗艾滋病病毒感染者或者艾滋病病人的其他疾病，或者对艾滋病病毒感染者、艾滋病病人未提供咨询、诊断和治疗服务的</w:t>
      </w:r>
      <w:bookmarkEnd w:id="699"/>
      <w:bookmarkEnd w:id="700"/>
      <w:bookmarkEnd w:id="701"/>
      <w:bookmarkEnd w:id="702"/>
      <w:bookmarkEnd w:id="703"/>
      <w:bookmarkEnd w:id="704"/>
      <w:bookmarkEnd w:id="705"/>
      <w:bookmarkEnd w:id="706"/>
      <w:bookmarkEnd w:id="707"/>
      <w:bookmarkEnd w:id="708"/>
      <w:bookmarkEnd w:id="709"/>
    </w:p>
    <w:p w14:paraId="7148D03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61903587">
      <w:pPr>
        <w:widowControl w:val="0"/>
        <w:spacing w:after="0" w:line="440" w:lineRule="exact"/>
        <w:ind w:firstLine="640" w:firstLineChars="200"/>
        <w:jc w:val="both"/>
        <w:rPr>
          <w:rFonts w:hint="eastAsia" w:ascii="Times New Roman" w:hAnsi="Times New Roman" w:eastAsia="方正仿宋_GB2312" w:cs="方正仿宋_GB2312"/>
          <w:color w:val="000000" w:themeColor="text1"/>
          <w:spacing w:val="-6"/>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《艾滋病防治条例》第五十五条第一款第（六）项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医疗卫生机构未依照本条例规定履行职责，有下列情形的，由县级以上人民政府卫生主管部门责令限期改正，通报批评，给予警告；</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造成艾滋病传播、流行或者其他严重后果的，对负有责任的主管人员和其他直接责任人员依法给予降级、撤职、开除的处分，并可以依法吊销有关机构或者责任人员的执业许可证件；构成犯罪的，依法追究刑事责任:</w:t>
      </w:r>
    </w:p>
    <w:p w14:paraId="2FF713D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（六）推诿、拒绝治疗艾滋病病毒感染者或者艾滋病病人的其他疾病，或者对艾滋病病毒感染者、艾滋病病人未提供咨询、诊断和治疗服务的；</w:t>
      </w:r>
    </w:p>
    <w:tbl>
      <w:tblPr>
        <w:tblStyle w:val="24"/>
        <w:tblW w:w="5000" w:type="pct"/>
        <w:tblInd w:w="0" w:type="dxa"/>
        <w:tblLayout w:type="autofit"/>
        <w:tblCellMar>
          <w:top w:w="0" w:type="dxa"/>
          <w:left w:w="108" w:type="dxa"/>
          <w:bottom w:w="0" w:type="dxa"/>
          <w:right w:w="108" w:type="dxa"/>
        </w:tblCellMar>
      </w:tblPr>
      <w:tblGrid>
        <w:gridCol w:w="1429"/>
        <w:gridCol w:w="7708"/>
        <w:gridCol w:w="5037"/>
      </w:tblGrid>
      <w:tr w14:paraId="31DC332F">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5AD0D696">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FA9A29E">
        <w:tblPrEx>
          <w:tblCellMar>
            <w:top w:w="0" w:type="dxa"/>
            <w:left w:w="108" w:type="dxa"/>
            <w:bottom w:w="0" w:type="dxa"/>
            <w:right w:w="108" w:type="dxa"/>
          </w:tblCellMar>
        </w:tblPrEx>
        <w:trPr>
          <w:trHeight w:val="680" w:hRule="atLeast"/>
        </w:trPr>
        <w:tc>
          <w:tcPr>
            <w:tcW w:w="504" w:type="pct"/>
            <w:tcBorders>
              <w:top w:val="single" w:color="auto" w:sz="4" w:space="0"/>
              <w:left w:val="single" w:color="auto" w:sz="4" w:space="0"/>
              <w:bottom w:val="single" w:color="auto" w:sz="4" w:space="0"/>
              <w:right w:val="single" w:color="auto" w:sz="4" w:space="0"/>
            </w:tcBorders>
            <w:vAlign w:val="center"/>
          </w:tcPr>
          <w:p w14:paraId="740C757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719" w:type="pct"/>
            <w:tcBorders>
              <w:top w:val="single" w:color="auto" w:sz="4" w:space="0"/>
              <w:left w:val="single" w:color="auto" w:sz="4" w:space="0"/>
              <w:bottom w:val="single" w:color="auto" w:sz="4" w:space="0"/>
              <w:right w:val="single" w:color="auto" w:sz="4" w:space="0"/>
            </w:tcBorders>
            <w:vAlign w:val="center"/>
          </w:tcPr>
          <w:p w14:paraId="5AC8E1F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776" w:type="pct"/>
            <w:tcBorders>
              <w:top w:val="single" w:color="auto" w:sz="4" w:space="0"/>
              <w:left w:val="single" w:color="auto" w:sz="4" w:space="0"/>
              <w:bottom w:val="single" w:color="auto" w:sz="4" w:space="0"/>
              <w:right w:val="single" w:color="auto" w:sz="4" w:space="0"/>
            </w:tcBorders>
            <w:vAlign w:val="center"/>
          </w:tcPr>
          <w:p w14:paraId="3FFA56F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70A88FC">
        <w:tblPrEx>
          <w:tblCellMar>
            <w:top w:w="0" w:type="dxa"/>
            <w:left w:w="108" w:type="dxa"/>
            <w:bottom w:w="0" w:type="dxa"/>
            <w:right w:w="108" w:type="dxa"/>
          </w:tblCellMar>
        </w:tblPrEx>
        <w:trPr>
          <w:trHeight w:val="907" w:hRule="atLeast"/>
        </w:trPr>
        <w:tc>
          <w:tcPr>
            <w:tcW w:w="504" w:type="pct"/>
            <w:tcBorders>
              <w:top w:val="single" w:color="auto" w:sz="4" w:space="0"/>
              <w:left w:val="single" w:color="auto" w:sz="4" w:space="0"/>
              <w:bottom w:val="single" w:color="auto" w:sz="4" w:space="0"/>
              <w:right w:val="single" w:color="auto" w:sz="4" w:space="0"/>
            </w:tcBorders>
            <w:vAlign w:val="center"/>
          </w:tcPr>
          <w:p w14:paraId="6ACB8CE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719" w:type="pct"/>
            <w:tcBorders>
              <w:top w:val="single" w:color="auto" w:sz="4" w:space="0"/>
              <w:left w:val="single" w:color="auto" w:sz="4" w:space="0"/>
              <w:bottom w:val="single" w:color="auto" w:sz="4" w:space="0"/>
              <w:right w:val="single" w:color="auto" w:sz="4" w:space="0"/>
            </w:tcBorders>
            <w:vAlign w:val="center"/>
          </w:tcPr>
          <w:p w14:paraId="439ECD2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推诿、拒绝治疗艾滋病病毒感染者或者艾滋病病人的其他疾病，或者对艾滋病病毒感染者、艾滋病病人未提供咨询、诊断和治疗服务，未造成艾滋病传播等后果的。</w:t>
            </w:r>
          </w:p>
        </w:tc>
        <w:tc>
          <w:tcPr>
            <w:tcW w:w="1776" w:type="pct"/>
            <w:tcBorders>
              <w:top w:val="single" w:color="auto" w:sz="4" w:space="0"/>
              <w:left w:val="single" w:color="auto" w:sz="4" w:space="0"/>
              <w:bottom w:val="single" w:color="auto" w:sz="4" w:space="0"/>
              <w:right w:val="single" w:color="auto" w:sz="4" w:space="0"/>
            </w:tcBorders>
            <w:vAlign w:val="center"/>
          </w:tcPr>
          <w:p w14:paraId="56A3B2D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01F2FC1F">
        <w:tblPrEx>
          <w:tblCellMar>
            <w:top w:w="0" w:type="dxa"/>
            <w:left w:w="108" w:type="dxa"/>
            <w:bottom w:w="0" w:type="dxa"/>
            <w:right w:w="108" w:type="dxa"/>
          </w:tblCellMar>
        </w:tblPrEx>
        <w:trPr>
          <w:trHeight w:val="964" w:hRule="atLeast"/>
        </w:trPr>
        <w:tc>
          <w:tcPr>
            <w:tcW w:w="504" w:type="pct"/>
            <w:tcBorders>
              <w:top w:val="single" w:color="auto" w:sz="4" w:space="0"/>
              <w:left w:val="single" w:color="auto" w:sz="4" w:space="0"/>
              <w:bottom w:val="single" w:color="auto" w:sz="4" w:space="0"/>
              <w:right w:val="single" w:color="auto" w:sz="4" w:space="0"/>
            </w:tcBorders>
            <w:vAlign w:val="center"/>
          </w:tcPr>
          <w:p w14:paraId="58C5B4F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719" w:type="pct"/>
            <w:tcBorders>
              <w:top w:val="single" w:color="auto" w:sz="4" w:space="0"/>
              <w:left w:val="single" w:color="auto" w:sz="4" w:space="0"/>
              <w:bottom w:val="single" w:color="auto" w:sz="4" w:space="0"/>
              <w:right w:val="single" w:color="auto" w:sz="4" w:space="0"/>
            </w:tcBorders>
            <w:vAlign w:val="center"/>
          </w:tcPr>
          <w:p w14:paraId="3E027CF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推诿、拒绝治疗艾滋病病毒感染者或者艾滋病病人的其他疾病，或者对艾滋病病毒感染者、艾滋病病人未提供咨询、诊断和治疗服务，造成艾滋病传播、流行或者其他严重后果的。</w:t>
            </w:r>
          </w:p>
        </w:tc>
        <w:tc>
          <w:tcPr>
            <w:tcW w:w="1776" w:type="pct"/>
            <w:tcBorders>
              <w:top w:val="single" w:color="auto" w:sz="4" w:space="0"/>
              <w:left w:val="single" w:color="auto" w:sz="4" w:space="0"/>
              <w:bottom w:val="single" w:color="auto" w:sz="4" w:space="0"/>
              <w:right w:val="single" w:color="auto" w:sz="4" w:space="0"/>
            </w:tcBorders>
            <w:vAlign w:val="center"/>
          </w:tcPr>
          <w:p w14:paraId="464204D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通报批评，给予警告，并可以依法吊销有关机构或者责任人员的执业许可证件。</w:t>
            </w:r>
          </w:p>
        </w:tc>
      </w:tr>
    </w:tbl>
    <w:p w14:paraId="76E77F2D">
      <w:pPr>
        <w:pStyle w:val="4"/>
        <w:widowControl w:val="0"/>
        <w:ind w:firstLine="640"/>
        <w:rPr>
          <w:color w:val="000000" w:themeColor="text1"/>
          <w14:textFill>
            <w14:solidFill>
              <w14:schemeClr w14:val="tx1"/>
            </w14:solidFill>
          </w14:textFill>
        </w:rPr>
      </w:pPr>
      <w:bookmarkStart w:id="710" w:name="_Toc15219"/>
      <w:bookmarkStart w:id="711" w:name="_Toc2345"/>
      <w:bookmarkStart w:id="712" w:name="_Toc8979"/>
      <w:bookmarkStart w:id="713" w:name="_Toc11703"/>
      <w:bookmarkStart w:id="714" w:name="_Toc25684"/>
      <w:bookmarkStart w:id="715" w:name="_Toc22063"/>
      <w:bookmarkStart w:id="716" w:name="_Toc21942"/>
      <w:bookmarkStart w:id="717" w:name="_Toc31930"/>
      <w:bookmarkStart w:id="718" w:name="_Toc16898"/>
      <w:bookmarkStart w:id="719" w:name="_Toc4755"/>
      <w:bookmarkStart w:id="720" w:name="_Toc7337"/>
      <w:r>
        <w:rPr>
          <w:rFonts w:hint="eastAsia"/>
          <w:color w:val="000000" w:themeColor="text1"/>
          <w14:textFill>
            <w14:solidFill>
              <w14:schemeClr w14:val="tx1"/>
            </w14:solidFill>
          </w14:textFill>
        </w:rPr>
        <w:t>第六十四条 医疗卫生机构未对艾滋病病毒感染者或者艾滋病病人进行医学随访的</w:t>
      </w:r>
      <w:bookmarkEnd w:id="710"/>
      <w:bookmarkEnd w:id="711"/>
      <w:bookmarkEnd w:id="712"/>
      <w:bookmarkEnd w:id="713"/>
      <w:bookmarkEnd w:id="714"/>
      <w:bookmarkEnd w:id="715"/>
      <w:bookmarkEnd w:id="716"/>
      <w:bookmarkEnd w:id="717"/>
      <w:bookmarkEnd w:id="718"/>
      <w:bookmarkEnd w:id="719"/>
      <w:bookmarkEnd w:id="720"/>
    </w:p>
    <w:p w14:paraId="6EDA601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758F8F95">
      <w:pPr>
        <w:widowControl w:val="0"/>
        <w:spacing w:after="0" w:line="440" w:lineRule="exact"/>
        <w:ind w:firstLine="640" w:firstLineChars="200"/>
        <w:jc w:val="both"/>
        <w:rPr>
          <w:rFonts w:hint="eastAsia" w:ascii="Times New Roman" w:hAnsi="Times New Roman" w:eastAsia="方正仿宋_GB2312" w:cs="方正仿宋_GB2312"/>
          <w:color w:val="000000" w:themeColor="text1"/>
          <w:spacing w:val="-6"/>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《艾滋病防治条例》第五十五条第一款第（七）项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医疗卫生机构未依照本条例规定履行职责，有下列情形的，由县级以上人民政府卫生主管部门责令限期改正，通报批评，给予警告；造成艾滋病传播、</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流行或者其他严重后果的，对负有责任的主管人员和其他直接责任人员依法给予降级、撤职、开除的处分，并可以依法吊销有关机构或者责任人员的执业许可证件；构成犯罪的，依法追究刑事责任:</w:t>
      </w:r>
    </w:p>
    <w:p w14:paraId="3E79B94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（七）未对艾滋病病毒感染者或者艾滋病病人进行医学随访的；</w:t>
      </w:r>
    </w:p>
    <w:tbl>
      <w:tblPr>
        <w:tblStyle w:val="24"/>
        <w:tblW w:w="5000" w:type="pct"/>
        <w:tblInd w:w="0" w:type="dxa"/>
        <w:tblLayout w:type="autofit"/>
        <w:tblCellMar>
          <w:top w:w="0" w:type="dxa"/>
          <w:left w:w="108" w:type="dxa"/>
          <w:bottom w:w="0" w:type="dxa"/>
          <w:right w:w="108" w:type="dxa"/>
        </w:tblCellMar>
      </w:tblPr>
      <w:tblGrid>
        <w:gridCol w:w="1426"/>
        <w:gridCol w:w="8380"/>
        <w:gridCol w:w="4368"/>
      </w:tblGrid>
      <w:tr w14:paraId="65AAC21A">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4FD3FC32">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EC3E7BE">
        <w:tblPrEx>
          <w:tblCellMar>
            <w:top w:w="0" w:type="dxa"/>
            <w:left w:w="108" w:type="dxa"/>
            <w:bottom w:w="0" w:type="dxa"/>
            <w:right w:w="108" w:type="dxa"/>
          </w:tblCellMar>
        </w:tblPrEx>
        <w:trPr>
          <w:trHeight w:val="680" w:hRule="atLeast"/>
        </w:trPr>
        <w:tc>
          <w:tcPr>
            <w:tcW w:w="503" w:type="pct"/>
            <w:tcBorders>
              <w:top w:val="single" w:color="auto" w:sz="4" w:space="0"/>
              <w:left w:val="single" w:color="auto" w:sz="4" w:space="0"/>
              <w:bottom w:val="single" w:color="auto" w:sz="4" w:space="0"/>
              <w:right w:val="single" w:color="auto" w:sz="4" w:space="0"/>
            </w:tcBorders>
            <w:vAlign w:val="center"/>
          </w:tcPr>
          <w:p w14:paraId="1015A50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956" w:type="pct"/>
            <w:tcBorders>
              <w:top w:val="single" w:color="auto" w:sz="4" w:space="0"/>
              <w:left w:val="single" w:color="auto" w:sz="4" w:space="0"/>
              <w:bottom w:val="single" w:color="auto" w:sz="4" w:space="0"/>
              <w:right w:val="single" w:color="auto" w:sz="4" w:space="0"/>
            </w:tcBorders>
            <w:vAlign w:val="center"/>
          </w:tcPr>
          <w:p w14:paraId="7A598452">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540" w:type="pct"/>
            <w:tcBorders>
              <w:top w:val="single" w:color="auto" w:sz="4" w:space="0"/>
              <w:left w:val="single" w:color="auto" w:sz="4" w:space="0"/>
              <w:bottom w:val="single" w:color="auto" w:sz="4" w:space="0"/>
              <w:right w:val="single" w:color="auto" w:sz="4" w:space="0"/>
            </w:tcBorders>
            <w:vAlign w:val="center"/>
          </w:tcPr>
          <w:p w14:paraId="218C2D6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271C37F">
        <w:tblPrEx>
          <w:tblCellMar>
            <w:top w:w="0" w:type="dxa"/>
            <w:left w:w="108" w:type="dxa"/>
            <w:bottom w:w="0" w:type="dxa"/>
            <w:right w:w="108" w:type="dxa"/>
          </w:tblCellMar>
        </w:tblPrEx>
        <w:trPr>
          <w:trHeight w:val="454" w:hRule="atLeast"/>
        </w:trPr>
        <w:tc>
          <w:tcPr>
            <w:tcW w:w="503" w:type="pct"/>
            <w:tcBorders>
              <w:top w:val="single" w:color="auto" w:sz="4" w:space="0"/>
              <w:left w:val="single" w:color="auto" w:sz="4" w:space="0"/>
              <w:bottom w:val="single" w:color="auto" w:sz="4" w:space="0"/>
              <w:right w:val="single" w:color="auto" w:sz="4" w:space="0"/>
            </w:tcBorders>
            <w:vAlign w:val="center"/>
          </w:tcPr>
          <w:p w14:paraId="1CC81E8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956" w:type="pct"/>
            <w:tcBorders>
              <w:top w:val="single" w:color="auto" w:sz="4" w:space="0"/>
              <w:left w:val="single" w:color="auto" w:sz="4" w:space="0"/>
              <w:bottom w:val="single" w:color="auto" w:sz="4" w:space="0"/>
              <w:right w:val="single" w:color="auto" w:sz="4" w:space="0"/>
            </w:tcBorders>
            <w:vAlign w:val="center"/>
          </w:tcPr>
          <w:p w14:paraId="7AE2B15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未对艾滋病病毒感染者1至5人或者艾滋病病人1至5人进行医学随访的。</w:t>
            </w:r>
          </w:p>
        </w:tc>
        <w:tc>
          <w:tcPr>
            <w:tcW w:w="1540" w:type="pct"/>
            <w:tcBorders>
              <w:top w:val="single" w:color="auto" w:sz="4" w:space="0"/>
              <w:left w:val="single" w:color="auto" w:sz="4" w:space="0"/>
              <w:bottom w:val="single" w:color="auto" w:sz="4" w:space="0"/>
              <w:right w:val="single" w:color="auto" w:sz="4" w:space="0"/>
            </w:tcBorders>
            <w:vAlign w:val="center"/>
          </w:tcPr>
          <w:p w14:paraId="1744B9F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4FB00D0B">
        <w:tblPrEx>
          <w:tblCellMar>
            <w:top w:w="0" w:type="dxa"/>
            <w:left w:w="108" w:type="dxa"/>
            <w:bottom w:w="0" w:type="dxa"/>
            <w:right w:w="108" w:type="dxa"/>
          </w:tblCellMar>
        </w:tblPrEx>
        <w:trPr>
          <w:trHeight w:val="454" w:hRule="atLeast"/>
        </w:trPr>
        <w:tc>
          <w:tcPr>
            <w:tcW w:w="503" w:type="pct"/>
            <w:vMerge w:val="restart"/>
            <w:tcBorders>
              <w:top w:val="single" w:color="auto" w:sz="4" w:space="0"/>
              <w:left w:val="single" w:color="auto" w:sz="4" w:space="0"/>
              <w:bottom w:val="single" w:color="auto" w:sz="4" w:space="0"/>
              <w:right w:val="single" w:color="auto" w:sz="4" w:space="0"/>
            </w:tcBorders>
            <w:vAlign w:val="center"/>
          </w:tcPr>
          <w:p w14:paraId="1F1CF68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956" w:type="pct"/>
            <w:tcBorders>
              <w:top w:val="single" w:color="auto" w:sz="4" w:space="0"/>
              <w:left w:val="single" w:color="auto" w:sz="4" w:space="0"/>
              <w:bottom w:val="single" w:color="auto" w:sz="4" w:space="0"/>
              <w:right w:val="single" w:color="auto" w:sz="4" w:space="0"/>
            </w:tcBorders>
            <w:vAlign w:val="center"/>
          </w:tcPr>
          <w:p w14:paraId="1D41779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未对艾滋病病毒感染者6人以上或者艾滋病病人6人以上进行医学随访的。</w:t>
            </w:r>
          </w:p>
        </w:tc>
        <w:tc>
          <w:tcPr>
            <w:tcW w:w="1540" w:type="pct"/>
            <w:vMerge w:val="restart"/>
            <w:tcBorders>
              <w:top w:val="single" w:color="auto" w:sz="4" w:space="0"/>
              <w:left w:val="single" w:color="auto" w:sz="4" w:space="0"/>
              <w:bottom w:val="single" w:color="auto" w:sz="4" w:space="0"/>
              <w:right w:val="single" w:color="auto" w:sz="4" w:space="0"/>
            </w:tcBorders>
            <w:vAlign w:val="center"/>
          </w:tcPr>
          <w:p w14:paraId="49939590">
            <w:pPr>
              <w:widowControl w:val="0"/>
              <w:spacing w:after="0" w:line="320" w:lineRule="exact"/>
              <w:textAlignment w:val="auto"/>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通报批评，给予警告，并可以依法吊销有关机构或者责任人员的执业许可证件。</w:t>
            </w:r>
          </w:p>
        </w:tc>
      </w:tr>
      <w:tr w14:paraId="4D72E359">
        <w:tblPrEx>
          <w:tblCellMar>
            <w:top w:w="0" w:type="dxa"/>
            <w:left w:w="108" w:type="dxa"/>
            <w:bottom w:w="0" w:type="dxa"/>
            <w:right w:w="108" w:type="dxa"/>
          </w:tblCellMar>
        </w:tblPrEx>
        <w:trPr>
          <w:trHeight w:val="510" w:hRule="atLeast"/>
        </w:trPr>
        <w:tc>
          <w:tcPr>
            <w:tcW w:w="503" w:type="pct"/>
            <w:vMerge w:val="continue"/>
            <w:tcBorders>
              <w:top w:val="single" w:color="auto" w:sz="4" w:space="0"/>
              <w:left w:val="single" w:color="auto" w:sz="4" w:space="0"/>
              <w:bottom w:val="single" w:color="auto" w:sz="4" w:space="0"/>
              <w:right w:val="single" w:color="auto" w:sz="4" w:space="0"/>
            </w:tcBorders>
            <w:vAlign w:val="center"/>
          </w:tcPr>
          <w:p w14:paraId="07EDE147">
            <w:pPr>
              <w:widowControl w:val="0"/>
              <w:spacing w:line="440" w:lineRule="exact"/>
              <w:textAlignment w:val="center"/>
              <w:rPr>
                <w:rFonts w:hint="eastAsia" w:ascii="Times New Roman" w:hAnsi="Times New Roman" w:eastAsia="方正仿宋_GB2312" w:cs="方正仿宋_GB2312"/>
                <w:b/>
                <w:bCs/>
                <w:color w:val="000000" w:themeColor="text1"/>
                <w:sz w:val="24"/>
                <w:szCs w:val="24"/>
                <w:lang w:bidi="ar"/>
                <w14:textFill>
                  <w14:solidFill>
                    <w14:schemeClr w14:val="tx1"/>
                  </w14:solidFill>
                </w14:textFill>
              </w:rPr>
            </w:pPr>
          </w:p>
        </w:tc>
        <w:tc>
          <w:tcPr>
            <w:tcW w:w="2956" w:type="pct"/>
            <w:tcBorders>
              <w:top w:val="single" w:color="auto" w:sz="4" w:space="0"/>
              <w:left w:val="single" w:color="auto" w:sz="4" w:space="0"/>
              <w:bottom w:val="single" w:color="auto" w:sz="4" w:space="0"/>
              <w:right w:val="single" w:color="auto" w:sz="4" w:space="0"/>
            </w:tcBorders>
            <w:vAlign w:val="center"/>
          </w:tcPr>
          <w:p w14:paraId="46F2DA1B">
            <w:pPr>
              <w:widowControl w:val="0"/>
              <w:spacing w:after="0" w:line="440" w:lineRule="exact"/>
              <w:textAlignment w:val="center"/>
              <w:rPr>
                <w:rFonts w:hint="eastAsia" w:ascii="Times New Roman" w:hAnsi="Times New Roman" w:eastAsia="方正仿宋_GB2312" w:cs="方正仿宋_GB2312"/>
                <w:color w:val="000000" w:themeColor="text1"/>
                <w:sz w:val="24"/>
                <w:szCs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违法行为造成艾滋病传播、流行或者其他严重后果的。</w:t>
            </w:r>
          </w:p>
        </w:tc>
        <w:tc>
          <w:tcPr>
            <w:tcW w:w="1540" w:type="pct"/>
            <w:vMerge w:val="continue"/>
            <w:tcBorders>
              <w:top w:val="single" w:color="auto" w:sz="4" w:space="0"/>
              <w:left w:val="single" w:color="auto" w:sz="4" w:space="0"/>
              <w:bottom w:val="single" w:color="auto" w:sz="4" w:space="0"/>
              <w:right w:val="single" w:color="auto" w:sz="4" w:space="0"/>
            </w:tcBorders>
            <w:vAlign w:val="center"/>
          </w:tcPr>
          <w:p w14:paraId="331622E1">
            <w:pPr>
              <w:widowControl w:val="0"/>
              <w:spacing w:line="440" w:lineRule="exact"/>
              <w:textAlignment w:val="center"/>
              <w:rPr>
                <w:rFonts w:hint="eastAsia" w:ascii="Times New Roman" w:hAnsi="Times New Roman" w:eastAsia="方正仿宋_GB2312" w:cs="方正仿宋_GB2312"/>
                <w:color w:val="000000" w:themeColor="text1"/>
                <w:sz w:val="24"/>
                <w:szCs w:val="24"/>
                <w:lang w:bidi="ar"/>
                <w14:textFill>
                  <w14:solidFill>
                    <w14:schemeClr w14:val="tx1"/>
                  </w14:solidFill>
                </w14:textFill>
              </w:rPr>
            </w:pPr>
          </w:p>
        </w:tc>
      </w:tr>
    </w:tbl>
    <w:p w14:paraId="2407CEF3">
      <w:pPr>
        <w:pStyle w:val="4"/>
        <w:widowControl w:val="0"/>
        <w:ind w:firstLine="640"/>
        <w:rPr>
          <w:color w:val="000000" w:themeColor="text1"/>
          <w14:textFill>
            <w14:solidFill>
              <w14:schemeClr w14:val="tx1"/>
            </w14:solidFill>
          </w14:textFill>
        </w:rPr>
      </w:pPr>
      <w:bookmarkStart w:id="721" w:name="_Toc14568"/>
      <w:bookmarkStart w:id="722" w:name="_Toc16250"/>
      <w:bookmarkStart w:id="723" w:name="_Toc11728"/>
      <w:bookmarkStart w:id="724" w:name="_Toc8474"/>
      <w:bookmarkStart w:id="725" w:name="_Toc6900"/>
      <w:bookmarkStart w:id="726" w:name="_Toc23845"/>
      <w:bookmarkStart w:id="727" w:name="_Toc14365"/>
      <w:bookmarkStart w:id="728" w:name="_Toc19272"/>
      <w:bookmarkStart w:id="729" w:name="_Toc8746"/>
      <w:bookmarkStart w:id="730" w:name="_Toc16019"/>
      <w:bookmarkStart w:id="731" w:name="_Toc5546"/>
      <w:r>
        <w:rPr>
          <w:rFonts w:hint="eastAsia"/>
          <w:color w:val="000000" w:themeColor="text1"/>
          <w14:textFill>
            <w14:solidFill>
              <w14:schemeClr w14:val="tx1"/>
            </w14:solidFill>
          </w14:textFill>
        </w:rPr>
        <w:t>第六十五条 医疗卫生机构未按照规定对感染艾滋病病毒的孕产妇及其婴儿提供预防艾滋病母婴传播技术指导的</w:t>
      </w:r>
      <w:bookmarkEnd w:id="721"/>
      <w:bookmarkEnd w:id="722"/>
      <w:bookmarkEnd w:id="723"/>
      <w:bookmarkEnd w:id="724"/>
      <w:bookmarkEnd w:id="725"/>
      <w:bookmarkEnd w:id="726"/>
      <w:bookmarkEnd w:id="727"/>
      <w:bookmarkEnd w:id="728"/>
      <w:bookmarkEnd w:id="729"/>
      <w:bookmarkEnd w:id="730"/>
      <w:bookmarkEnd w:id="731"/>
    </w:p>
    <w:p w14:paraId="2FD4E9A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232B8A46">
      <w:pPr>
        <w:widowControl w:val="0"/>
        <w:spacing w:after="0" w:line="440" w:lineRule="exact"/>
        <w:ind w:firstLine="640" w:firstLineChars="200"/>
        <w:jc w:val="both"/>
        <w:rPr>
          <w:rFonts w:hint="eastAsia" w:ascii="Times New Roman" w:hAnsi="Times New Roman" w:eastAsia="方正仿宋_GB2312" w:cs="方正仿宋_GB2312"/>
          <w:color w:val="000000" w:themeColor="text1"/>
          <w:spacing w:val="-6"/>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《艾滋病防治条例》第五十五条第一款第（八）项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医疗卫生机构未依照本条例规定履行职责，有下列情形的，由县级以上人民政府卫生主管部门责令限期改正，通报批评，给予警告；造成艾滋病传播、流行或者其他严重后果的，</w:t>
      </w:r>
      <w:r>
        <w:rPr>
          <w:rFonts w:hint="eastAsia" w:ascii="Times New Roman" w:hAnsi="Times New Roman" w:eastAsia="方正仿宋_GB2312" w:cs="方正仿宋_GB2312"/>
          <w:color w:val="000000" w:themeColor="text1"/>
          <w:spacing w:val="-6"/>
          <w:sz w:val="32"/>
          <w:szCs w:val="32"/>
          <w14:textFill>
            <w14:solidFill>
              <w14:schemeClr w14:val="tx1"/>
            </w14:solidFill>
          </w14:textFill>
        </w:rPr>
        <w:t>对负有责任的主管人员和其他直接责任人员依法给予降级、撤职、开除的处分，并可以依法吊销有关机构或者责任人员的执业许可证件；构成犯罪的，依法追究刑事责任:</w:t>
      </w:r>
    </w:p>
    <w:p w14:paraId="3D6B7CD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（八）未按照规定对感染艾滋病病毒的孕产妇及其婴儿提供预防艾滋病母婴传播技术指导的。</w:t>
      </w:r>
    </w:p>
    <w:tbl>
      <w:tblPr>
        <w:tblStyle w:val="24"/>
        <w:tblW w:w="5000" w:type="pct"/>
        <w:tblInd w:w="0" w:type="dxa"/>
        <w:tblLayout w:type="autofit"/>
        <w:tblCellMar>
          <w:top w:w="0" w:type="dxa"/>
          <w:left w:w="108" w:type="dxa"/>
          <w:bottom w:w="0" w:type="dxa"/>
          <w:right w:w="108" w:type="dxa"/>
        </w:tblCellMar>
      </w:tblPr>
      <w:tblGrid>
        <w:gridCol w:w="1823"/>
        <w:gridCol w:w="7759"/>
        <w:gridCol w:w="4592"/>
      </w:tblGrid>
      <w:tr w14:paraId="1CFE1163">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29CFFCF6">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32713CAF">
        <w:tblPrEx>
          <w:tblCellMar>
            <w:top w:w="0" w:type="dxa"/>
            <w:left w:w="108" w:type="dxa"/>
            <w:bottom w:w="0" w:type="dxa"/>
            <w:right w:w="108" w:type="dxa"/>
          </w:tblCellMar>
        </w:tblPrEx>
        <w:trPr>
          <w:trHeight w:val="680" w:hRule="atLeast"/>
        </w:trPr>
        <w:tc>
          <w:tcPr>
            <w:tcW w:w="643" w:type="pct"/>
            <w:tcBorders>
              <w:top w:val="single" w:color="auto" w:sz="4" w:space="0"/>
              <w:left w:val="single" w:color="auto" w:sz="4" w:space="0"/>
              <w:bottom w:val="single" w:color="auto" w:sz="4" w:space="0"/>
              <w:right w:val="single" w:color="auto" w:sz="4" w:space="0"/>
            </w:tcBorders>
            <w:vAlign w:val="center"/>
          </w:tcPr>
          <w:p w14:paraId="1986E38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737" w:type="pct"/>
            <w:tcBorders>
              <w:top w:val="single" w:color="auto" w:sz="4" w:space="0"/>
              <w:left w:val="single" w:color="auto" w:sz="4" w:space="0"/>
              <w:bottom w:val="single" w:color="auto" w:sz="4" w:space="0"/>
              <w:right w:val="single" w:color="auto" w:sz="4" w:space="0"/>
            </w:tcBorders>
            <w:vAlign w:val="center"/>
          </w:tcPr>
          <w:p w14:paraId="572415E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619" w:type="pct"/>
            <w:tcBorders>
              <w:top w:val="single" w:color="auto" w:sz="4" w:space="0"/>
              <w:left w:val="single" w:color="auto" w:sz="4" w:space="0"/>
              <w:bottom w:val="single" w:color="auto" w:sz="4" w:space="0"/>
              <w:right w:val="single" w:color="auto" w:sz="4" w:space="0"/>
            </w:tcBorders>
            <w:vAlign w:val="center"/>
          </w:tcPr>
          <w:p w14:paraId="738E98B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CE2B7D9">
        <w:tblPrEx>
          <w:tblCellMar>
            <w:top w:w="0" w:type="dxa"/>
            <w:left w:w="108" w:type="dxa"/>
            <w:bottom w:w="0" w:type="dxa"/>
            <w:right w:w="108" w:type="dxa"/>
          </w:tblCellMar>
        </w:tblPrEx>
        <w:trPr>
          <w:trHeight w:val="735" w:hRule="atLeast"/>
        </w:trPr>
        <w:tc>
          <w:tcPr>
            <w:tcW w:w="643" w:type="pct"/>
            <w:tcBorders>
              <w:top w:val="single" w:color="auto" w:sz="4" w:space="0"/>
              <w:left w:val="single" w:color="auto" w:sz="4" w:space="0"/>
              <w:bottom w:val="single" w:color="auto" w:sz="4" w:space="0"/>
              <w:right w:val="single" w:color="auto" w:sz="4" w:space="0"/>
            </w:tcBorders>
            <w:vAlign w:val="center"/>
          </w:tcPr>
          <w:p w14:paraId="35D03B9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737" w:type="pct"/>
            <w:tcBorders>
              <w:top w:val="single" w:color="auto" w:sz="4" w:space="0"/>
              <w:left w:val="single" w:color="auto" w:sz="4" w:space="0"/>
              <w:bottom w:val="single" w:color="auto" w:sz="4" w:space="0"/>
              <w:right w:val="single" w:color="auto" w:sz="4" w:space="0"/>
            </w:tcBorders>
            <w:vAlign w:val="center"/>
          </w:tcPr>
          <w:p w14:paraId="7BDC225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未按照规定对感染艾滋病病毒的孕产妇1人及其婴儿提供预防艾滋病母婴传播技术指导的。</w:t>
            </w:r>
          </w:p>
        </w:tc>
        <w:tc>
          <w:tcPr>
            <w:tcW w:w="1619" w:type="pct"/>
            <w:tcBorders>
              <w:top w:val="single" w:color="auto" w:sz="4" w:space="0"/>
              <w:left w:val="single" w:color="auto" w:sz="4" w:space="0"/>
              <w:bottom w:val="single" w:color="auto" w:sz="4" w:space="0"/>
              <w:right w:val="single" w:color="auto" w:sz="4" w:space="0"/>
            </w:tcBorders>
            <w:vAlign w:val="center"/>
          </w:tcPr>
          <w:p w14:paraId="35329C8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0EEDF248">
        <w:tblPrEx>
          <w:tblCellMar>
            <w:top w:w="0" w:type="dxa"/>
            <w:left w:w="108" w:type="dxa"/>
            <w:bottom w:w="0" w:type="dxa"/>
            <w:right w:w="108" w:type="dxa"/>
          </w:tblCellMar>
        </w:tblPrEx>
        <w:trPr>
          <w:trHeight w:val="737" w:hRule="atLeast"/>
        </w:trPr>
        <w:tc>
          <w:tcPr>
            <w:tcW w:w="643" w:type="pct"/>
            <w:vMerge w:val="restart"/>
            <w:tcBorders>
              <w:top w:val="single" w:color="auto" w:sz="4" w:space="0"/>
              <w:left w:val="single" w:color="auto" w:sz="4" w:space="0"/>
              <w:bottom w:val="single" w:color="auto" w:sz="4" w:space="0"/>
              <w:right w:val="single" w:color="auto" w:sz="4" w:space="0"/>
            </w:tcBorders>
            <w:vAlign w:val="center"/>
          </w:tcPr>
          <w:p w14:paraId="57068A7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737" w:type="pct"/>
            <w:tcBorders>
              <w:top w:val="single" w:color="auto" w:sz="4" w:space="0"/>
              <w:left w:val="single" w:color="auto" w:sz="4" w:space="0"/>
              <w:bottom w:val="single" w:color="auto" w:sz="4" w:space="0"/>
              <w:right w:val="single" w:color="auto" w:sz="4" w:space="0"/>
            </w:tcBorders>
            <w:vAlign w:val="center"/>
          </w:tcPr>
          <w:p w14:paraId="20665AC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未按照规定对感染艾滋病病毒的孕产妇2人以上及其婴儿提供预防艾滋病母婴传播技术指导的。</w:t>
            </w:r>
          </w:p>
        </w:tc>
        <w:tc>
          <w:tcPr>
            <w:tcW w:w="1619" w:type="pct"/>
            <w:vMerge w:val="restart"/>
            <w:tcBorders>
              <w:top w:val="single" w:color="auto" w:sz="4" w:space="0"/>
              <w:left w:val="single" w:color="auto" w:sz="4" w:space="0"/>
              <w:bottom w:val="single" w:color="auto" w:sz="4" w:space="0"/>
              <w:right w:val="single" w:color="auto" w:sz="4" w:space="0"/>
            </w:tcBorders>
            <w:vAlign w:val="center"/>
          </w:tcPr>
          <w:p w14:paraId="73C227F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通报批评，给予警告，并可以依法吊销有关机构或者责任人员的执业许可证件。</w:t>
            </w:r>
          </w:p>
        </w:tc>
      </w:tr>
      <w:tr w14:paraId="69EE64A6">
        <w:tblPrEx>
          <w:tblCellMar>
            <w:top w:w="0" w:type="dxa"/>
            <w:left w:w="108" w:type="dxa"/>
            <w:bottom w:w="0" w:type="dxa"/>
            <w:right w:w="108" w:type="dxa"/>
          </w:tblCellMar>
        </w:tblPrEx>
        <w:trPr>
          <w:trHeight w:val="510" w:hRule="atLeast"/>
        </w:trPr>
        <w:tc>
          <w:tcPr>
            <w:tcW w:w="643" w:type="pct"/>
            <w:vMerge w:val="continue"/>
            <w:tcBorders>
              <w:top w:val="single" w:color="auto" w:sz="4" w:space="0"/>
              <w:left w:val="single" w:color="auto" w:sz="4" w:space="0"/>
              <w:bottom w:val="single" w:color="auto" w:sz="4" w:space="0"/>
              <w:right w:val="single" w:color="auto" w:sz="4" w:space="0"/>
            </w:tcBorders>
            <w:vAlign w:val="center"/>
          </w:tcPr>
          <w:p w14:paraId="08077471">
            <w:pPr>
              <w:widowControl w:val="0"/>
              <w:spacing w:line="440" w:lineRule="exact"/>
              <w:textAlignment w:val="center"/>
              <w:rPr>
                <w:rFonts w:hint="eastAsia" w:ascii="Times New Roman" w:hAnsi="Times New Roman" w:eastAsia="方正仿宋_GB2312" w:cs="方正仿宋_GB2312"/>
                <w:b/>
                <w:bCs/>
                <w:color w:val="000000" w:themeColor="text1"/>
                <w:sz w:val="24"/>
                <w:szCs w:val="24"/>
                <w:lang w:bidi="ar"/>
                <w14:textFill>
                  <w14:solidFill>
                    <w14:schemeClr w14:val="tx1"/>
                  </w14:solidFill>
                </w14:textFill>
              </w:rPr>
            </w:pPr>
          </w:p>
        </w:tc>
        <w:tc>
          <w:tcPr>
            <w:tcW w:w="2737" w:type="pct"/>
            <w:tcBorders>
              <w:top w:val="single" w:color="auto" w:sz="4" w:space="0"/>
              <w:left w:val="single" w:color="auto" w:sz="4" w:space="0"/>
              <w:bottom w:val="single" w:color="auto" w:sz="4" w:space="0"/>
              <w:right w:val="single" w:color="auto" w:sz="4" w:space="0"/>
            </w:tcBorders>
            <w:vAlign w:val="center"/>
          </w:tcPr>
          <w:p w14:paraId="36B1652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造成艾滋病传播、流行或者其他严重后果的。</w:t>
            </w:r>
          </w:p>
        </w:tc>
        <w:tc>
          <w:tcPr>
            <w:tcW w:w="1619" w:type="pct"/>
            <w:vMerge w:val="continue"/>
            <w:tcBorders>
              <w:top w:val="single" w:color="auto" w:sz="4" w:space="0"/>
              <w:left w:val="single" w:color="auto" w:sz="4" w:space="0"/>
              <w:bottom w:val="single" w:color="000000" w:sz="8" w:space="0"/>
              <w:right w:val="single" w:color="auto" w:sz="4" w:space="0"/>
            </w:tcBorders>
            <w:vAlign w:val="center"/>
          </w:tcPr>
          <w:p w14:paraId="1AD92511">
            <w:pPr>
              <w:widowControl w:val="0"/>
              <w:spacing w:line="440" w:lineRule="exact"/>
              <w:textAlignment w:val="center"/>
              <w:rPr>
                <w:rFonts w:hint="eastAsia" w:ascii="Times New Roman" w:hAnsi="Times New Roman" w:eastAsia="方正仿宋_GB2312" w:cs="方正仿宋_GB2312"/>
                <w:color w:val="000000" w:themeColor="text1"/>
                <w:sz w:val="24"/>
                <w:szCs w:val="24"/>
                <w:lang w:bidi="ar"/>
                <w14:textFill>
                  <w14:solidFill>
                    <w14:schemeClr w14:val="tx1"/>
                  </w14:solidFill>
                </w14:textFill>
              </w:rPr>
            </w:pPr>
          </w:p>
        </w:tc>
      </w:tr>
    </w:tbl>
    <w:p w14:paraId="58D83CAC">
      <w:pPr>
        <w:pStyle w:val="4"/>
        <w:widowControl w:val="0"/>
        <w:ind w:firstLine="640"/>
        <w:rPr>
          <w:color w:val="000000" w:themeColor="text1"/>
          <w14:textFill>
            <w14:solidFill>
              <w14:schemeClr w14:val="tx1"/>
            </w14:solidFill>
          </w14:textFill>
        </w:rPr>
      </w:pPr>
      <w:bookmarkStart w:id="732" w:name="_Toc1431"/>
      <w:bookmarkStart w:id="733" w:name="_Toc47"/>
      <w:bookmarkStart w:id="734" w:name="_Toc333"/>
      <w:bookmarkStart w:id="735" w:name="_Toc18603"/>
      <w:bookmarkStart w:id="736" w:name="_Toc16583"/>
      <w:bookmarkStart w:id="737" w:name="_Toc10154"/>
      <w:bookmarkStart w:id="738" w:name="_Toc25692"/>
      <w:bookmarkStart w:id="739" w:name="_Toc6387"/>
      <w:bookmarkStart w:id="740" w:name="_Toc30883"/>
      <w:bookmarkStart w:id="741" w:name="_Toc10821"/>
      <w:bookmarkStart w:id="742" w:name="_Toc31461"/>
      <w:r>
        <w:rPr>
          <w:rFonts w:hint="eastAsia"/>
          <w:color w:val="000000" w:themeColor="text1"/>
          <w14:textFill>
            <w14:solidFill>
              <w14:schemeClr w14:val="tx1"/>
            </w14:solidFill>
          </w14:textFill>
        </w:rPr>
        <w:t>第六十六条 血站、单采血浆站对采集的人体血液、血浆未进行艾滋病检测，或者发现艾滋病检测阳性的人体血液、血浆仍然采集的</w:t>
      </w:r>
      <w:bookmarkEnd w:id="732"/>
      <w:bookmarkEnd w:id="733"/>
      <w:bookmarkEnd w:id="734"/>
      <w:bookmarkEnd w:id="735"/>
      <w:bookmarkEnd w:id="736"/>
      <w:bookmarkEnd w:id="737"/>
      <w:bookmarkEnd w:id="738"/>
      <w:bookmarkEnd w:id="739"/>
      <w:bookmarkEnd w:id="740"/>
      <w:bookmarkEnd w:id="741"/>
      <w:bookmarkEnd w:id="742"/>
    </w:p>
    <w:p w14:paraId="55AE939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7062EF7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《艾滋病防治条例》第五十七条第（一）项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血站、单采血浆站违反本条例规定，有下列情形之一，构成犯罪的，依法追究刑事责任；尚不构成犯罪的，由县级以上人民政府卫生主管部门依照《献血法》和《血液制品管理条例》的规定予以处罚；造成艾滋病传播、流行或者其他严重后果的，对负有责任的主管人员和其他直接责任人员依法给予降级、撤职、开除的处分，并可以依法吊销血站、单采血浆站的执业许可证：</w:t>
      </w:r>
    </w:p>
    <w:p w14:paraId="7C89BE4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（一）对采集的人体血液、血浆未进行艾滋病检测，或者发现艾滋病检测阳性的人体血液、血浆仍然采集的； </w:t>
      </w:r>
    </w:p>
    <w:tbl>
      <w:tblPr>
        <w:tblStyle w:val="24"/>
        <w:tblW w:w="5000" w:type="pct"/>
        <w:tblInd w:w="0" w:type="dxa"/>
        <w:tblLayout w:type="autofit"/>
        <w:tblCellMar>
          <w:top w:w="0" w:type="dxa"/>
          <w:left w:w="108" w:type="dxa"/>
          <w:bottom w:w="0" w:type="dxa"/>
          <w:right w:w="108" w:type="dxa"/>
        </w:tblCellMar>
      </w:tblPr>
      <w:tblGrid>
        <w:gridCol w:w="2284"/>
        <w:gridCol w:w="7198"/>
        <w:gridCol w:w="4692"/>
      </w:tblGrid>
      <w:tr w14:paraId="78E32747">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06C6C750">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2416B36D">
        <w:tblPrEx>
          <w:tblCellMar>
            <w:top w:w="0" w:type="dxa"/>
            <w:left w:w="108" w:type="dxa"/>
            <w:bottom w:w="0" w:type="dxa"/>
            <w:right w:w="108" w:type="dxa"/>
          </w:tblCellMar>
        </w:tblPrEx>
        <w:trPr>
          <w:trHeight w:val="680" w:hRule="atLeast"/>
        </w:trPr>
        <w:tc>
          <w:tcPr>
            <w:tcW w:w="806" w:type="pct"/>
            <w:tcBorders>
              <w:top w:val="single" w:color="auto" w:sz="4" w:space="0"/>
              <w:left w:val="single" w:color="auto" w:sz="4" w:space="0"/>
              <w:bottom w:val="single" w:color="auto" w:sz="4" w:space="0"/>
              <w:right w:val="single" w:color="auto" w:sz="4" w:space="0"/>
            </w:tcBorders>
            <w:vAlign w:val="center"/>
          </w:tcPr>
          <w:p w14:paraId="06DE9FC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539" w:type="pct"/>
            <w:tcBorders>
              <w:top w:val="single" w:color="auto" w:sz="4" w:space="0"/>
              <w:left w:val="single" w:color="auto" w:sz="4" w:space="0"/>
              <w:bottom w:val="single" w:color="auto" w:sz="4" w:space="0"/>
              <w:right w:val="single" w:color="auto" w:sz="4" w:space="0"/>
            </w:tcBorders>
            <w:vAlign w:val="center"/>
          </w:tcPr>
          <w:p w14:paraId="4FD3F4BE">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654" w:type="pct"/>
            <w:tcBorders>
              <w:top w:val="single" w:color="auto" w:sz="4" w:space="0"/>
              <w:left w:val="single" w:color="auto" w:sz="4" w:space="0"/>
              <w:bottom w:val="single" w:color="auto" w:sz="4" w:space="0"/>
              <w:right w:val="single" w:color="auto" w:sz="4" w:space="0"/>
            </w:tcBorders>
            <w:vAlign w:val="center"/>
          </w:tcPr>
          <w:p w14:paraId="3F4CEC73">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81488CE">
        <w:tblPrEx>
          <w:tblCellMar>
            <w:top w:w="0" w:type="dxa"/>
            <w:left w:w="108" w:type="dxa"/>
            <w:bottom w:w="0" w:type="dxa"/>
            <w:right w:w="108" w:type="dxa"/>
          </w:tblCellMar>
        </w:tblPrEx>
        <w:trPr>
          <w:trHeight w:val="57" w:hRule="atLeast"/>
        </w:trPr>
        <w:tc>
          <w:tcPr>
            <w:tcW w:w="806" w:type="pct"/>
            <w:tcBorders>
              <w:top w:val="single" w:color="auto" w:sz="4" w:space="0"/>
              <w:left w:val="single" w:color="auto" w:sz="4" w:space="0"/>
              <w:bottom w:val="single" w:color="auto" w:sz="4" w:space="0"/>
              <w:right w:val="single" w:color="auto" w:sz="4" w:space="0"/>
            </w:tcBorders>
            <w:vAlign w:val="center"/>
          </w:tcPr>
          <w:p w14:paraId="2AC3ACA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539" w:type="pct"/>
            <w:tcBorders>
              <w:top w:val="single" w:color="auto" w:sz="4" w:space="0"/>
              <w:left w:val="single" w:color="auto" w:sz="4" w:space="0"/>
              <w:bottom w:val="single" w:color="auto" w:sz="4" w:space="0"/>
              <w:right w:val="single" w:color="auto" w:sz="4" w:space="0"/>
            </w:tcBorders>
            <w:vAlign w:val="center"/>
          </w:tcPr>
          <w:p w14:paraId="77711CE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对采集的人体血液、血浆未进行艾滋病检测，或者发现艾滋病检测阳性的人体血液、血浆仍然采集，未造成艾滋病传播、流行或者其他严重后果的。</w:t>
            </w:r>
          </w:p>
        </w:tc>
        <w:tc>
          <w:tcPr>
            <w:tcW w:w="1654" w:type="pct"/>
            <w:tcBorders>
              <w:top w:val="single" w:color="auto" w:sz="4" w:space="0"/>
              <w:left w:val="single" w:color="auto" w:sz="4" w:space="0"/>
              <w:bottom w:val="single" w:color="auto" w:sz="4" w:space="0"/>
              <w:right w:val="single" w:color="auto" w:sz="4" w:space="0"/>
            </w:tcBorders>
            <w:vAlign w:val="center"/>
          </w:tcPr>
          <w:p w14:paraId="70C0303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依照《中华人民共和国献血法》和《血液制品管理条例》的规定予以处罚。</w:t>
            </w:r>
          </w:p>
        </w:tc>
      </w:tr>
      <w:tr w14:paraId="35759AD3">
        <w:tblPrEx>
          <w:tblCellMar>
            <w:top w:w="0" w:type="dxa"/>
            <w:left w:w="108" w:type="dxa"/>
            <w:bottom w:w="0" w:type="dxa"/>
            <w:right w:w="108" w:type="dxa"/>
          </w:tblCellMar>
        </w:tblPrEx>
        <w:trPr>
          <w:trHeight w:val="57" w:hRule="atLeast"/>
        </w:trPr>
        <w:tc>
          <w:tcPr>
            <w:tcW w:w="806" w:type="pct"/>
            <w:tcBorders>
              <w:top w:val="single" w:color="auto" w:sz="4" w:space="0"/>
              <w:left w:val="single" w:color="auto" w:sz="4" w:space="0"/>
              <w:bottom w:val="single" w:color="auto" w:sz="4" w:space="0"/>
              <w:right w:val="single" w:color="auto" w:sz="4" w:space="0"/>
            </w:tcBorders>
            <w:vAlign w:val="center"/>
          </w:tcPr>
          <w:p w14:paraId="71A1E5B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539" w:type="pct"/>
            <w:tcBorders>
              <w:top w:val="single" w:color="auto" w:sz="4" w:space="0"/>
              <w:left w:val="single" w:color="auto" w:sz="4" w:space="0"/>
              <w:bottom w:val="single" w:color="auto" w:sz="4" w:space="0"/>
              <w:right w:val="single" w:color="auto" w:sz="4" w:space="0"/>
            </w:tcBorders>
            <w:vAlign w:val="center"/>
          </w:tcPr>
          <w:p w14:paraId="6B3E247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对采集的人体血液、血浆未进行艾滋病检测，或者发现艾滋病检测阳性的人体血液、血浆仍然采集，造成艾滋病传播、流行或者其他严重后果的。</w:t>
            </w:r>
          </w:p>
        </w:tc>
        <w:tc>
          <w:tcPr>
            <w:tcW w:w="1654" w:type="pct"/>
            <w:tcBorders>
              <w:top w:val="single" w:color="auto" w:sz="4" w:space="0"/>
              <w:left w:val="single" w:color="auto" w:sz="4" w:space="0"/>
              <w:bottom w:val="single" w:color="auto" w:sz="4" w:space="0"/>
              <w:right w:val="single" w:color="auto" w:sz="4" w:space="0"/>
            </w:tcBorders>
            <w:vAlign w:val="center"/>
          </w:tcPr>
          <w:p w14:paraId="48235F1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可以依法吊销血站、单采血浆站的执业许可证。</w:t>
            </w:r>
          </w:p>
        </w:tc>
      </w:tr>
    </w:tbl>
    <w:p w14:paraId="7B7642C6">
      <w:pPr>
        <w:pStyle w:val="4"/>
        <w:widowControl w:val="0"/>
        <w:ind w:firstLine="640"/>
        <w:rPr>
          <w:color w:val="000000" w:themeColor="text1"/>
          <w14:textFill>
            <w14:solidFill>
              <w14:schemeClr w14:val="tx1"/>
            </w14:solidFill>
          </w14:textFill>
        </w:rPr>
      </w:pPr>
      <w:bookmarkStart w:id="743" w:name="_Toc24140"/>
      <w:bookmarkStart w:id="744" w:name="_Toc19929"/>
      <w:bookmarkStart w:id="745" w:name="_Toc22445"/>
      <w:bookmarkStart w:id="746" w:name="_Toc23273"/>
      <w:bookmarkStart w:id="747" w:name="_Toc16671"/>
      <w:bookmarkStart w:id="748" w:name="_Toc27727"/>
      <w:bookmarkStart w:id="749" w:name="_Toc29863"/>
      <w:bookmarkStart w:id="750" w:name="_Toc25708"/>
      <w:bookmarkStart w:id="751" w:name="_Toc13361"/>
      <w:bookmarkStart w:id="752" w:name="_Toc29554"/>
      <w:bookmarkStart w:id="753" w:name="_Toc12294"/>
      <w:r>
        <w:rPr>
          <w:rFonts w:hint="eastAsia"/>
          <w:color w:val="000000" w:themeColor="text1"/>
          <w14:textFill>
            <w14:solidFill>
              <w14:schemeClr w14:val="tx1"/>
            </w14:solidFill>
          </w14:textFill>
        </w:rPr>
        <w:t>第六十七条 血站、单采血浆站将未经艾滋病检测的人体血液、血浆，或者艾滋病检测阳性的人体血液、血浆供应给医疗机构和血液制品生产单位的</w:t>
      </w:r>
      <w:bookmarkEnd w:id="743"/>
      <w:bookmarkEnd w:id="744"/>
      <w:bookmarkEnd w:id="745"/>
      <w:bookmarkEnd w:id="746"/>
      <w:bookmarkEnd w:id="747"/>
      <w:bookmarkEnd w:id="748"/>
      <w:bookmarkEnd w:id="749"/>
      <w:bookmarkEnd w:id="750"/>
      <w:bookmarkEnd w:id="751"/>
      <w:bookmarkEnd w:id="752"/>
      <w:bookmarkEnd w:id="753"/>
    </w:p>
    <w:p w14:paraId="2A8A154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2BA4747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七条第（二）项血站、单采血浆站违反本条例规定，有下列情形之一，构成犯罪的，依法追究刑事责任；尚不构成犯罪的，由县级以上人民政府卫生主管部门依照《献血法》和《血液制品管理条例》的规定予以处罚；造成艾滋病传播、流行或者其他严重后果的，对负有责任的主管人员和其他直接责任人员依法给予降级、撤职、开除的处分，并可以依法吊销血站、单采血浆站的执业许可证：</w:t>
      </w:r>
    </w:p>
    <w:p w14:paraId="2FB24E7C">
      <w:pPr>
        <w:widowControl w:val="0"/>
        <w:spacing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（二）将未经艾滋病检测的人体血液、血浆，或者艾滋病检测阳性的人体血液、血浆供应给医疗机构和血液制品生产单位的。</w:t>
      </w:r>
    </w:p>
    <w:tbl>
      <w:tblPr>
        <w:tblStyle w:val="24"/>
        <w:tblW w:w="5000" w:type="pct"/>
        <w:tblInd w:w="0" w:type="dxa"/>
        <w:tblLayout w:type="autofit"/>
        <w:tblCellMar>
          <w:top w:w="0" w:type="dxa"/>
          <w:left w:w="108" w:type="dxa"/>
          <w:bottom w:w="0" w:type="dxa"/>
          <w:right w:w="108" w:type="dxa"/>
        </w:tblCellMar>
      </w:tblPr>
      <w:tblGrid>
        <w:gridCol w:w="3028"/>
        <w:gridCol w:w="6001"/>
        <w:gridCol w:w="5145"/>
      </w:tblGrid>
      <w:tr w14:paraId="5AC8E5CB">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3C46A42B">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1A20464F">
        <w:tblPrEx>
          <w:tblCellMar>
            <w:top w:w="0" w:type="dxa"/>
            <w:left w:w="108" w:type="dxa"/>
            <w:bottom w:w="0" w:type="dxa"/>
            <w:right w:w="108" w:type="dxa"/>
          </w:tblCellMar>
        </w:tblPrEx>
        <w:trPr>
          <w:trHeight w:val="680" w:hRule="atLeast"/>
        </w:trPr>
        <w:tc>
          <w:tcPr>
            <w:tcW w:w="1068" w:type="pct"/>
            <w:tcBorders>
              <w:top w:val="single" w:color="auto" w:sz="4" w:space="0"/>
              <w:left w:val="single" w:color="auto" w:sz="4" w:space="0"/>
              <w:bottom w:val="single" w:color="auto" w:sz="4" w:space="0"/>
              <w:right w:val="single" w:color="auto" w:sz="4" w:space="0"/>
            </w:tcBorders>
            <w:vAlign w:val="center"/>
          </w:tcPr>
          <w:p w14:paraId="2C0A4DE2">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117" w:type="pct"/>
            <w:tcBorders>
              <w:top w:val="single" w:color="auto" w:sz="4" w:space="0"/>
              <w:left w:val="single" w:color="auto" w:sz="4" w:space="0"/>
              <w:bottom w:val="single" w:color="auto" w:sz="4" w:space="0"/>
              <w:right w:val="single" w:color="auto" w:sz="4" w:space="0"/>
            </w:tcBorders>
            <w:vAlign w:val="center"/>
          </w:tcPr>
          <w:p w14:paraId="151AD70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813" w:type="pct"/>
            <w:tcBorders>
              <w:top w:val="single" w:color="auto" w:sz="4" w:space="0"/>
              <w:left w:val="single" w:color="auto" w:sz="4" w:space="0"/>
              <w:bottom w:val="single" w:color="auto" w:sz="4" w:space="0"/>
              <w:right w:val="single" w:color="auto" w:sz="4" w:space="0"/>
            </w:tcBorders>
            <w:vAlign w:val="center"/>
          </w:tcPr>
          <w:p w14:paraId="3E925BF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FFBF2E1">
        <w:tblPrEx>
          <w:tblCellMar>
            <w:top w:w="0" w:type="dxa"/>
            <w:left w:w="108" w:type="dxa"/>
            <w:bottom w:w="0" w:type="dxa"/>
            <w:right w:w="108" w:type="dxa"/>
          </w:tblCellMar>
        </w:tblPrEx>
        <w:trPr>
          <w:trHeight w:val="1134" w:hRule="atLeast"/>
        </w:trPr>
        <w:tc>
          <w:tcPr>
            <w:tcW w:w="1068" w:type="pct"/>
            <w:tcBorders>
              <w:top w:val="single" w:color="auto" w:sz="4" w:space="0"/>
              <w:left w:val="single" w:color="auto" w:sz="4" w:space="0"/>
              <w:bottom w:val="single" w:color="auto" w:sz="4" w:space="0"/>
              <w:right w:val="single" w:color="auto" w:sz="4" w:space="0"/>
            </w:tcBorders>
            <w:vAlign w:val="center"/>
          </w:tcPr>
          <w:p w14:paraId="3C011D2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117" w:type="pct"/>
            <w:tcBorders>
              <w:top w:val="single" w:color="auto" w:sz="4" w:space="0"/>
              <w:left w:val="single" w:color="auto" w:sz="4" w:space="0"/>
              <w:bottom w:val="single" w:color="auto" w:sz="4" w:space="0"/>
              <w:right w:val="single" w:color="auto" w:sz="4" w:space="0"/>
            </w:tcBorders>
            <w:vAlign w:val="center"/>
          </w:tcPr>
          <w:p w14:paraId="3BF0B7D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将未经艾滋病检测的人体血液、血浆，或者艾滋病检测阳性的人体血液、血浆供应给医疗机构和血液制品生产单位，未造成艾滋病传播、流行或者其他严重后果的。</w:t>
            </w:r>
          </w:p>
        </w:tc>
        <w:tc>
          <w:tcPr>
            <w:tcW w:w="1813" w:type="pct"/>
            <w:tcBorders>
              <w:top w:val="single" w:color="auto" w:sz="4" w:space="0"/>
              <w:left w:val="single" w:color="auto" w:sz="4" w:space="0"/>
              <w:bottom w:val="single" w:color="auto" w:sz="4" w:space="0"/>
              <w:right w:val="single" w:color="auto" w:sz="4" w:space="0"/>
            </w:tcBorders>
            <w:vAlign w:val="center"/>
          </w:tcPr>
          <w:p w14:paraId="594B150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依照《中华人民共和国献血法》和《血液制品管理条例》的规定予以处罚。</w:t>
            </w:r>
          </w:p>
        </w:tc>
      </w:tr>
      <w:tr w14:paraId="65DEF4BC">
        <w:tblPrEx>
          <w:tblCellMar>
            <w:top w:w="0" w:type="dxa"/>
            <w:left w:w="108" w:type="dxa"/>
            <w:bottom w:w="0" w:type="dxa"/>
            <w:right w:w="108" w:type="dxa"/>
          </w:tblCellMar>
        </w:tblPrEx>
        <w:trPr>
          <w:trHeight w:val="1134" w:hRule="atLeast"/>
        </w:trPr>
        <w:tc>
          <w:tcPr>
            <w:tcW w:w="1068" w:type="pct"/>
            <w:tcBorders>
              <w:top w:val="single" w:color="auto" w:sz="4" w:space="0"/>
              <w:left w:val="single" w:color="auto" w:sz="4" w:space="0"/>
              <w:bottom w:val="single" w:color="auto" w:sz="4" w:space="0"/>
              <w:right w:val="single" w:color="auto" w:sz="4" w:space="0"/>
            </w:tcBorders>
            <w:vAlign w:val="center"/>
          </w:tcPr>
          <w:p w14:paraId="48A7BC3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117" w:type="pct"/>
            <w:tcBorders>
              <w:top w:val="single" w:color="auto" w:sz="4" w:space="0"/>
              <w:left w:val="single" w:color="auto" w:sz="4" w:space="0"/>
              <w:bottom w:val="single" w:color="auto" w:sz="4" w:space="0"/>
              <w:right w:val="single" w:color="auto" w:sz="4" w:space="0"/>
            </w:tcBorders>
            <w:vAlign w:val="center"/>
          </w:tcPr>
          <w:p w14:paraId="4C48314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将未经艾滋病检测的人体血液、血浆，或者艾滋病检测阳性的人体血液、血浆供应给医疗机构和血液制品生产单位，造成艾滋病传播、流行或者其他严重后果的。</w:t>
            </w:r>
          </w:p>
        </w:tc>
        <w:tc>
          <w:tcPr>
            <w:tcW w:w="1813" w:type="pct"/>
            <w:tcBorders>
              <w:top w:val="single" w:color="auto" w:sz="4" w:space="0"/>
              <w:left w:val="single" w:color="auto" w:sz="4" w:space="0"/>
              <w:bottom w:val="single" w:color="auto" w:sz="4" w:space="0"/>
              <w:right w:val="single" w:color="auto" w:sz="4" w:space="0"/>
            </w:tcBorders>
            <w:vAlign w:val="center"/>
          </w:tcPr>
          <w:p w14:paraId="659FE40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可以依法吊销血站、单采血浆站的执业许可证。</w:t>
            </w:r>
          </w:p>
        </w:tc>
      </w:tr>
    </w:tbl>
    <w:p w14:paraId="63242B19">
      <w:pPr>
        <w:pStyle w:val="4"/>
        <w:widowControl w:val="0"/>
        <w:ind w:firstLine="640"/>
        <w:rPr>
          <w:color w:val="000000" w:themeColor="text1"/>
          <w14:textFill>
            <w14:solidFill>
              <w14:schemeClr w14:val="tx1"/>
            </w14:solidFill>
          </w14:textFill>
        </w:rPr>
      </w:pPr>
      <w:bookmarkStart w:id="754" w:name="_Toc12824"/>
      <w:bookmarkStart w:id="755" w:name="_Toc7460"/>
      <w:bookmarkStart w:id="756" w:name="_Toc10944"/>
      <w:bookmarkStart w:id="757" w:name="_Toc5129"/>
      <w:bookmarkStart w:id="758" w:name="_Toc9491"/>
      <w:bookmarkStart w:id="759" w:name="_Toc12371"/>
      <w:bookmarkStart w:id="760" w:name="_Toc18102"/>
      <w:bookmarkStart w:id="761" w:name="_Toc11412"/>
      <w:bookmarkStart w:id="762" w:name="_Toc20930"/>
      <w:bookmarkStart w:id="763" w:name="_Toc12659"/>
      <w:bookmarkStart w:id="764" w:name="_Toc30208"/>
      <w:r>
        <w:rPr>
          <w:rFonts w:hint="eastAsia"/>
          <w:color w:val="000000" w:themeColor="text1"/>
          <w14:textFill>
            <w14:solidFill>
              <w14:schemeClr w14:val="tx1"/>
            </w14:solidFill>
          </w14:textFill>
        </w:rPr>
        <w:t>第六十八条 采集或者使用人体组织、器官、细胞、骨髓等未进行艾滋病检测或检测阳性仍采集或者使用的</w:t>
      </w:r>
      <w:bookmarkEnd w:id="754"/>
      <w:bookmarkEnd w:id="755"/>
      <w:bookmarkEnd w:id="756"/>
      <w:bookmarkEnd w:id="757"/>
      <w:bookmarkEnd w:id="758"/>
      <w:bookmarkEnd w:id="759"/>
      <w:bookmarkEnd w:id="760"/>
      <w:bookmarkEnd w:id="761"/>
      <w:bookmarkEnd w:id="762"/>
      <w:bookmarkEnd w:id="763"/>
      <w:bookmarkEnd w:id="764"/>
    </w:p>
    <w:p w14:paraId="27F2144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5B7431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《艾滋病防治条例》第五十八条</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违反本条例第三十六条规定采集或者使用人体组织、器官、细胞、骨髓等的，由县级人民政府卫生主管部门责令改正，通报批评，给予警告；情节严重的，责令停业整顿，有执业许可证件的，由原发证部门暂扣或者吊销其执业许可证件。</w:t>
      </w:r>
    </w:p>
    <w:tbl>
      <w:tblPr>
        <w:tblStyle w:val="24"/>
        <w:tblW w:w="4998" w:type="pct"/>
        <w:tblInd w:w="0" w:type="dxa"/>
        <w:tblLayout w:type="autofit"/>
        <w:tblCellMar>
          <w:top w:w="0" w:type="dxa"/>
          <w:left w:w="108" w:type="dxa"/>
          <w:bottom w:w="0" w:type="dxa"/>
          <w:right w:w="108" w:type="dxa"/>
        </w:tblCellMar>
      </w:tblPr>
      <w:tblGrid>
        <w:gridCol w:w="2403"/>
        <w:gridCol w:w="6361"/>
        <w:gridCol w:w="5404"/>
      </w:tblGrid>
      <w:tr w14:paraId="0C273546">
        <w:tblPrEx>
          <w:tblCellMar>
            <w:top w:w="0" w:type="dxa"/>
            <w:left w:w="108" w:type="dxa"/>
            <w:bottom w:w="0" w:type="dxa"/>
            <w:right w:w="108" w:type="dxa"/>
          </w:tblCellMar>
        </w:tblPrEx>
        <w:trPr>
          <w:trHeight w:val="390" w:hRule="atLeast"/>
        </w:trPr>
        <w:tc>
          <w:tcPr>
            <w:tcW w:w="5000" w:type="pct"/>
            <w:gridSpan w:val="3"/>
            <w:tcBorders>
              <w:top w:val="nil"/>
              <w:left w:val="nil"/>
              <w:bottom w:val="single" w:color="auto" w:sz="4" w:space="0"/>
              <w:right w:val="nil"/>
            </w:tcBorders>
            <w:noWrap/>
            <w:vAlign w:val="center"/>
          </w:tcPr>
          <w:p w14:paraId="511231B2">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0B2C79B1">
        <w:tblPrEx>
          <w:tblCellMar>
            <w:top w:w="0" w:type="dxa"/>
            <w:left w:w="108" w:type="dxa"/>
            <w:bottom w:w="0" w:type="dxa"/>
            <w:right w:w="108" w:type="dxa"/>
          </w:tblCellMar>
        </w:tblPrEx>
        <w:trPr>
          <w:trHeight w:val="567" w:hRule="atLeast"/>
        </w:trPr>
        <w:tc>
          <w:tcPr>
            <w:tcW w:w="848" w:type="pct"/>
            <w:tcBorders>
              <w:top w:val="single" w:color="auto" w:sz="4" w:space="0"/>
              <w:left w:val="single" w:color="auto" w:sz="4" w:space="0"/>
              <w:bottom w:val="single" w:color="auto" w:sz="4" w:space="0"/>
              <w:right w:val="single" w:color="auto" w:sz="4" w:space="0"/>
            </w:tcBorders>
            <w:vAlign w:val="center"/>
          </w:tcPr>
          <w:p w14:paraId="513E38A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245" w:type="pct"/>
            <w:tcBorders>
              <w:top w:val="single" w:color="auto" w:sz="4" w:space="0"/>
              <w:left w:val="single" w:color="auto" w:sz="4" w:space="0"/>
              <w:bottom w:val="single" w:color="auto" w:sz="4" w:space="0"/>
              <w:right w:val="single" w:color="auto" w:sz="4" w:space="0"/>
            </w:tcBorders>
            <w:vAlign w:val="center"/>
          </w:tcPr>
          <w:p w14:paraId="5CDB732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905" w:type="pct"/>
            <w:tcBorders>
              <w:top w:val="single" w:color="auto" w:sz="4" w:space="0"/>
              <w:left w:val="single" w:color="auto" w:sz="4" w:space="0"/>
              <w:bottom w:val="single" w:color="auto" w:sz="4" w:space="0"/>
              <w:right w:val="single" w:color="auto" w:sz="4" w:space="0"/>
            </w:tcBorders>
            <w:vAlign w:val="center"/>
          </w:tcPr>
          <w:p w14:paraId="604666A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F46ED50">
        <w:tblPrEx>
          <w:tblCellMar>
            <w:top w:w="0" w:type="dxa"/>
            <w:left w:w="108" w:type="dxa"/>
            <w:bottom w:w="0" w:type="dxa"/>
            <w:right w:w="108" w:type="dxa"/>
          </w:tblCellMar>
        </w:tblPrEx>
        <w:trPr>
          <w:trHeight w:val="90" w:hRule="atLeast"/>
        </w:trPr>
        <w:tc>
          <w:tcPr>
            <w:tcW w:w="848" w:type="pct"/>
            <w:tcBorders>
              <w:top w:val="single" w:color="auto" w:sz="4" w:space="0"/>
              <w:left w:val="single" w:color="auto" w:sz="4" w:space="0"/>
              <w:bottom w:val="single" w:color="auto" w:sz="4" w:space="0"/>
              <w:right w:val="single" w:color="auto" w:sz="4" w:space="0"/>
            </w:tcBorders>
            <w:vAlign w:val="center"/>
          </w:tcPr>
          <w:p w14:paraId="3A9FBCC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2245" w:type="pct"/>
            <w:tcBorders>
              <w:top w:val="single" w:color="auto" w:sz="4" w:space="0"/>
              <w:left w:val="single" w:color="auto" w:sz="4" w:space="0"/>
              <w:bottom w:val="single" w:color="auto" w:sz="4" w:space="0"/>
              <w:right w:val="single" w:color="auto" w:sz="4" w:space="0"/>
            </w:tcBorders>
            <w:vAlign w:val="center"/>
          </w:tcPr>
          <w:p w14:paraId="56B53D6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采集或者使用人体组织、器官、细胞、骨髓等，未进行艾滋病检测，没有造成艾滋病传播、流行或者其他严重后果的。</w:t>
            </w:r>
          </w:p>
        </w:tc>
        <w:tc>
          <w:tcPr>
            <w:tcW w:w="1905" w:type="pct"/>
            <w:tcBorders>
              <w:top w:val="single" w:color="auto" w:sz="4" w:space="0"/>
              <w:left w:val="single" w:color="auto" w:sz="4" w:space="0"/>
              <w:bottom w:val="single" w:color="auto" w:sz="4" w:space="0"/>
              <w:right w:val="single" w:color="auto" w:sz="4" w:space="0"/>
            </w:tcBorders>
            <w:vAlign w:val="center"/>
          </w:tcPr>
          <w:p w14:paraId="0A85D42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35D82B85">
        <w:tblPrEx>
          <w:tblCellMar>
            <w:top w:w="0" w:type="dxa"/>
            <w:left w:w="108" w:type="dxa"/>
            <w:bottom w:w="0" w:type="dxa"/>
            <w:right w:w="108" w:type="dxa"/>
          </w:tblCellMar>
        </w:tblPrEx>
        <w:trPr>
          <w:trHeight w:val="90" w:hRule="atLeast"/>
        </w:trPr>
        <w:tc>
          <w:tcPr>
            <w:tcW w:w="848" w:type="pct"/>
            <w:tcBorders>
              <w:top w:val="single" w:color="auto" w:sz="4" w:space="0"/>
              <w:left w:val="single" w:color="auto" w:sz="4" w:space="0"/>
              <w:bottom w:val="single" w:color="auto" w:sz="4" w:space="0"/>
              <w:right w:val="single" w:color="auto" w:sz="4" w:space="0"/>
            </w:tcBorders>
            <w:vAlign w:val="center"/>
          </w:tcPr>
          <w:p w14:paraId="6996256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2245" w:type="pct"/>
            <w:tcBorders>
              <w:top w:val="single" w:color="auto" w:sz="4" w:space="0"/>
              <w:left w:val="single" w:color="auto" w:sz="4" w:space="0"/>
              <w:bottom w:val="single" w:color="auto" w:sz="4" w:space="0"/>
              <w:right w:val="single" w:color="auto" w:sz="4" w:space="0"/>
            </w:tcBorders>
            <w:vAlign w:val="center"/>
          </w:tcPr>
          <w:p w14:paraId="6856F7B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采集或者使用人体组织、器官、细胞、骨髓等，未进行艾滋病检测，造成艾滋病传播、流行或者其他严重后果的。</w:t>
            </w:r>
          </w:p>
        </w:tc>
        <w:tc>
          <w:tcPr>
            <w:tcW w:w="1905" w:type="pct"/>
            <w:tcBorders>
              <w:top w:val="single" w:color="auto" w:sz="4" w:space="0"/>
              <w:left w:val="single" w:color="auto" w:sz="4" w:space="0"/>
              <w:bottom w:val="single" w:color="auto" w:sz="4" w:space="0"/>
              <w:right w:val="single" w:color="auto" w:sz="4" w:space="0"/>
            </w:tcBorders>
            <w:vAlign w:val="center"/>
          </w:tcPr>
          <w:p w14:paraId="7B5CAAC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通报批评，给予警告，责令停业整顿，有执业许可证件的，由原发证部门暂扣或者吊销其执业许可证件。</w:t>
            </w:r>
          </w:p>
        </w:tc>
      </w:tr>
    </w:tbl>
    <w:p w14:paraId="0AA25CB3">
      <w:pPr>
        <w:pStyle w:val="4"/>
        <w:widowControl w:val="0"/>
        <w:ind w:firstLine="640"/>
        <w:rPr>
          <w:rFonts w:hint="eastAsia" w:ascii="Times New Roman" w:hAnsi="Times New Roman" w:cs="仿宋_GB2312"/>
          <w:bCs/>
          <w:color w:val="000000" w:themeColor="text1"/>
          <w14:textFill>
            <w14:solidFill>
              <w14:schemeClr w14:val="tx1"/>
            </w14:solidFill>
          </w14:textFill>
        </w:rPr>
      </w:pPr>
      <w:bookmarkStart w:id="765" w:name="_Toc3910"/>
      <w:bookmarkStart w:id="766" w:name="_Toc10021"/>
      <w:bookmarkStart w:id="767" w:name="_Toc3440"/>
      <w:bookmarkStart w:id="768" w:name="_Toc17483"/>
      <w:bookmarkStart w:id="769" w:name="_Toc7500"/>
      <w:bookmarkStart w:id="770" w:name="_Toc17832"/>
      <w:bookmarkStart w:id="771" w:name="_Toc1796"/>
      <w:bookmarkStart w:id="772" w:name="_Toc4350"/>
      <w:bookmarkStart w:id="773" w:name="_Toc10444"/>
      <w:bookmarkStart w:id="774" w:name="_Toc2986"/>
      <w:bookmarkStart w:id="775" w:name="_Toc11627"/>
      <w:r>
        <w:rPr>
          <w:rFonts w:hint="eastAsia"/>
          <w:color w:val="000000" w:themeColor="text1"/>
          <w14:textFill>
            <w14:solidFill>
              <w14:schemeClr w14:val="tx1"/>
            </w14:solidFill>
          </w14:textFill>
        </w:rPr>
        <w:t xml:space="preserve">第六十九条 </w:t>
      </w:r>
      <w:r>
        <w:rPr>
          <w:rFonts w:hint="eastAsia" w:ascii="Times New Roman" w:hAnsi="Times New Roman" w:cs="仿宋_GB2312"/>
          <w:bCs/>
          <w:color w:val="000000" w:themeColor="text1"/>
          <w14:textFill>
            <w14:solidFill>
              <w14:schemeClr w14:val="tx1"/>
            </w14:solidFill>
          </w14:textFill>
        </w:rPr>
        <w:t>医疗卫生机构、计划生育技术服务机构或者其他单位、个人违反本条例第三十九条第二款规定，公开艾滋病病毒感染者、艾滋病病人或者其家属的信息的</w:t>
      </w:r>
      <w:bookmarkEnd w:id="765"/>
      <w:bookmarkEnd w:id="766"/>
      <w:bookmarkEnd w:id="767"/>
      <w:bookmarkEnd w:id="768"/>
      <w:bookmarkEnd w:id="769"/>
      <w:bookmarkEnd w:id="770"/>
      <w:bookmarkEnd w:id="771"/>
      <w:bookmarkEnd w:id="772"/>
      <w:bookmarkEnd w:id="773"/>
      <w:bookmarkEnd w:id="774"/>
      <w:bookmarkEnd w:id="775"/>
    </w:p>
    <w:p w14:paraId="07E736F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71823D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《艾滋病防治条例》第五十六条第二款</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出入境检验检疫机构、计划生育技术服务机构或者其他单位、个人违反本条例第三十九条第二款规定，公开艾滋病病毒感染者、艾滋病病人或者其家属的信息的，由其上级主管部门责令改正，通报批评，给予警告，对负有责任的主管人员和其他直接责任人员依法给予处分；情节严重的，由原发证部门吊销有关机构或者责任人员的执业许可证件。</w:t>
      </w:r>
    </w:p>
    <w:tbl>
      <w:tblPr>
        <w:tblStyle w:val="24"/>
        <w:tblW w:w="14099" w:type="dxa"/>
        <w:tblInd w:w="93" w:type="dxa"/>
        <w:tblLayout w:type="autofit"/>
        <w:tblCellMar>
          <w:top w:w="0" w:type="dxa"/>
          <w:left w:w="108" w:type="dxa"/>
          <w:bottom w:w="0" w:type="dxa"/>
          <w:right w:w="108" w:type="dxa"/>
        </w:tblCellMar>
      </w:tblPr>
      <w:tblGrid>
        <w:gridCol w:w="2154"/>
        <w:gridCol w:w="7450"/>
        <w:gridCol w:w="4495"/>
      </w:tblGrid>
      <w:tr w14:paraId="37B53048">
        <w:tblPrEx>
          <w:tblCellMar>
            <w:top w:w="0" w:type="dxa"/>
            <w:left w:w="108" w:type="dxa"/>
            <w:bottom w:w="0" w:type="dxa"/>
            <w:right w:w="108" w:type="dxa"/>
          </w:tblCellMar>
        </w:tblPrEx>
        <w:trPr>
          <w:trHeight w:val="390" w:hRule="atLeast"/>
        </w:trPr>
        <w:tc>
          <w:tcPr>
            <w:tcW w:w="14099" w:type="dxa"/>
            <w:gridSpan w:val="3"/>
            <w:tcBorders>
              <w:top w:val="nil"/>
              <w:left w:val="nil"/>
              <w:bottom w:val="single" w:color="auto" w:sz="4" w:space="0"/>
              <w:right w:val="nil"/>
            </w:tcBorders>
            <w:noWrap/>
            <w:vAlign w:val="center"/>
          </w:tcPr>
          <w:p w14:paraId="1C7EB575">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B400ECA">
        <w:tblPrEx>
          <w:tblCellMar>
            <w:top w:w="0" w:type="dxa"/>
            <w:left w:w="108" w:type="dxa"/>
            <w:bottom w:w="0" w:type="dxa"/>
            <w:right w:w="108" w:type="dxa"/>
          </w:tblCellMar>
        </w:tblPrEx>
        <w:trPr>
          <w:trHeight w:val="624" w:hRule="atLeast"/>
        </w:trPr>
        <w:tc>
          <w:tcPr>
            <w:tcW w:w="2154" w:type="dxa"/>
            <w:tcBorders>
              <w:top w:val="single" w:color="auto" w:sz="4" w:space="0"/>
              <w:left w:val="single" w:color="auto" w:sz="4" w:space="0"/>
              <w:bottom w:val="single" w:color="auto" w:sz="4" w:space="0"/>
              <w:right w:val="single" w:color="auto" w:sz="4" w:space="0"/>
            </w:tcBorders>
            <w:vAlign w:val="center"/>
          </w:tcPr>
          <w:p w14:paraId="266422C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450" w:type="dxa"/>
            <w:tcBorders>
              <w:top w:val="single" w:color="auto" w:sz="4" w:space="0"/>
              <w:left w:val="single" w:color="auto" w:sz="4" w:space="0"/>
              <w:bottom w:val="single" w:color="auto" w:sz="4" w:space="0"/>
              <w:right w:val="single" w:color="auto" w:sz="4" w:space="0"/>
            </w:tcBorders>
            <w:vAlign w:val="center"/>
          </w:tcPr>
          <w:p w14:paraId="10B5291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95" w:type="dxa"/>
            <w:tcBorders>
              <w:top w:val="single" w:color="auto" w:sz="4" w:space="0"/>
              <w:left w:val="single" w:color="auto" w:sz="4" w:space="0"/>
              <w:bottom w:val="single" w:color="auto" w:sz="4" w:space="0"/>
              <w:right w:val="single" w:color="auto" w:sz="4" w:space="0"/>
            </w:tcBorders>
            <w:vAlign w:val="center"/>
          </w:tcPr>
          <w:p w14:paraId="7D6BC3F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98AB278">
        <w:tblPrEx>
          <w:tblCellMar>
            <w:top w:w="0" w:type="dxa"/>
            <w:left w:w="108" w:type="dxa"/>
            <w:bottom w:w="0" w:type="dxa"/>
            <w:right w:w="108" w:type="dxa"/>
          </w:tblCellMar>
        </w:tblPrEx>
        <w:trPr>
          <w:trHeight w:val="680" w:hRule="atLeast"/>
        </w:trPr>
        <w:tc>
          <w:tcPr>
            <w:tcW w:w="2154" w:type="dxa"/>
            <w:tcBorders>
              <w:top w:val="single" w:color="auto" w:sz="4" w:space="0"/>
              <w:left w:val="single" w:color="auto" w:sz="4" w:space="0"/>
              <w:bottom w:val="single" w:color="auto" w:sz="4" w:space="0"/>
              <w:right w:val="single" w:color="auto" w:sz="4" w:space="0"/>
            </w:tcBorders>
            <w:vAlign w:val="center"/>
          </w:tcPr>
          <w:p w14:paraId="7E1B31B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450" w:type="dxa"/>
            <w:tcBorders>
              <w:top w:val="single" w:color="auto" w:sz="4" w:space="0"/>
              <w:left w:val="single" w:color="auto" w:sz="4" w:space="0"/>
              <w:bottom w:val="single" w:color="auto" w:sz="4" w:space="0"/>
              <w:right w:val="single" w:color="auto" w:sz="4" w:space="0"/>
            </w:tcBorders>
            <w:vAlign w:val="center"/>
          </w:tcPr>
          <w:p w14:paraId="7A9107D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公开艾滋病病毒感染者、艾滋病病人或者其家属的信息，未严重影响其生活、工作、就医等的。</w:t>
            </w:r>
          </w:p>
        </w:tc>
        <w:tc>
          <w:tcPr>
            <w:tcW w:w="4495" w:type="dxa"/>
            <w:tcBorders>
              <w:top w:val="single" w:color="auto" w:sz="4" w:space="0"/>
              <w:left w:val="single" w:color="auto" w:sz="4" w:space="0"/>
              <w:bottom w:val="single" w:color="auto" w:sz="4" w:space="0"/>
              <w:right w:val="single" w:color="auto" w:sz="4" w:space="0"/>
            </w:tcBorders>
            <w:vAlign w:val="center"/>
          </w:tcPr>
          <w:p w14:paraId="1ABC241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16763410">
        <w:tblPrEx>
          <w:tblCellMar>
            <w:top w:w="0" w:type="dxa"/>
            <w:left w:w="108" w:type="dxa"/>
            <w:bottom w:w="0" w:type="dxa"/>
            <w:right w:w="108" w:type="dxa"/>
          </w:tblCellMar>
        </w:tblPrEx>
        <w:trPr>
          <w:trHeight w:val="680" w:hRule="atLeast"/>
        </w:trPr>
        <w:tc>
          <w:tcPr>
            <w:tcW w:w="2154" w:type="dxa"/>
            <w:tcBorders>
              <w:top w:val="single" w:color="auto" w:sz="4" w:space="0"/>
              <w:left w:val="single" w:color="auto" w:sz="4" w:space="0"/>
              <w:bottom w:val="single" w:color="auto" w:sz="4" w:space="0"/>
              <w:right w:val="single" w:color="auto" w:sz="4" w:space="0"/>
            </w:tcBorders>
            <w:vAlign w:val="center"/>
          </w:tcPr>
          <w:p w14:paraId="673CDBB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450" w:type="dxa"/>
            <w:tcBorders>
              <w:top w:val="single" w:color="auto" w:sz="4" w:space="0"/>
              <w:left w:val="single" w:color="auto" w:sz="4" w:space="0"/>
              <w:bottom w:val="single" w:color="auto" w:sz="4" w:space="0"/>
              <w:right w:val="single" w:color="auto" w:sz="4" w:space="0"/>
            </w:tcBorders>
            <w:vAlign w:val="center"/>
          </w:tcPr>
          <w:p w14:paraId="4634CB7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公开艾滋病病毒感染者、艾滋病病人或者其家属的信息，严重影响个人声誉、生活、工作、就医等的。</w:t>
            </w:r>
          </w:p>
        </w:tc>
        <w:tc>
          <w:tcPr>
            <w:tcW w:w="4495" w:type="dxa"/>
            <w:tcBorders>
              <w:top w:val="single" w:color="auto" w:sz="4" w:space="0"/>
              <w:left w:val="single" w:color="auto" w:sz="4" w:space="0"/>
              <w:bottom w:val="single" w:color="auto" w:sz="4" w:space="0"/>
              <w:right w:val="single" w:color="auto" w:sz="4" w:space="0"/>
            </w:tcBorders>
            <w:vAlign w:val="center"/>
          </w:tcPr>
          <w:p w14:paraId="02A913A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通报批评，给予警告，由原发证部门吊销有关机构或者责任人员的执业许可证件。</w:t>
            </w:r>
          </w:p>
        </w:tc>
      </w:tr>
    </w:tbl>
    <w:p w14:paraId="43DE7B4E">
      <w:pPr>
        <w:pStyle w:val="4"/>
        <w:widowControl w:val="0"/>
        <w:ind w:firstLine="640"/>
        <w:rPr>
          <w:rFonts w:hint="eastAsia" w:ascii="Times New Roman" w:hAnsi="Times New Roman" w:eastAsia="方正仿宋_GB2312" w:cs="方正仿宋_GB2312"/>
          <w:bCs/>
          <w:color w:val="000000" w:themeColor="text1"/>
          <w14:textFill>
            <w14:solidFill>
              <w14:schemeClr w14:val="tx1"/>
            </w14:solidFill>
          </w14:textFill>
        </w:rPr>
      </w:pPr>
      <w:bookmarkStart w:id="776" w:name="_Toc19531"/>
      <w:bookmarkStart w:id="777" w:name="_Toc18272"/>
      <w:bookmarkStart w:id="778" w:name="_Toc29318"/>
      <w:bookmarkStart w:id="779" w:name="_Toc30041"/>
      <w:bookmarkStart w:id="780" w:name="_Toc774"/>
      <w:bookmarkStart w:id="781" w:name="_Toc31185"/>
      <w:bookmarkStart w:id="782" w:name="_Toc22546"/>
      <w:bookmarkStart w:id="783" w:name="_Toc21734"/>
      <w:bookmarkStart w:id="784" w:name="_Toc27883"/>
      <w:bookmarkStart w:id="785" w:name="_Toc12625"/>
      <w:bookmarkStart w:id="786" w:name="_Toc15175"/>
      <w:r>
        <w:rPr>
          <w:rFonts w:hint="eastAsia"/>
          <w:color w:val="000000" w:themeColor="text1"/>
          <w14:textFill>
            <w14:solidFill>
              <w14:schemeClr w14:val="tx1"/>
            </w14:solidFill>
          </w14:textFill>
        </w:rPr>
        <w:t xml:space="preserve">第七十条 </w:t>
      </w:r>
      <w:r>
        <w:rPr>
          <w:rFonts w:hint="eastAsia" w:ascii="Times New Roman" w:hAnsi="Times New Roman" w:cs="仿宋_GB2312"/>
          <w:bCs/>
          <w:color w:val="000000" w:themeColor="text1"/>
          <w14:textFill>
            <w14:solidFill>
              <w14:schemeClr w14:val="tx1"/>
            </w14:solidFill>
          </w14:textFill>
        </w:rPr>
        <w:t>提供、使用未经出入境检验检疫机构检疫的进口人体血液、血浆、组织、器官、细胞、骨髓等的</w:t>
      </w:r>
      <w:bookmarkEnd w:id="776"/>
      <w:bookmarkEnd w:id="777"/>
      <w:bookmarkEnd w:id="778"/>
      <w:bookmarkEnd w:id="779"/>
      <w:bookmarkEnd w:id="780"/>
      <w:bookmarkEnd w:id="781"/>
      <w:bookmarkEnd w:id="782"/>
      <w:bookmarkEnd w:id="783"/>
      <w:bookmarkEnd w:id="784"/>
      <w:bookmarkEnd w:id="785"/>
      <w:bookmarkEnd w:id="786"/>
    </w:p>
    <w:p w14:paraId="55CF03C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6EDE80D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《艾滋病防治条例》第五十九条第一款</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对不符合本条例第三十七条第二款规定进出口的人体血液、血浆、组织、器官、细胞、骨髓等，进出口口岸出入境检验检疫机构应当禁止出入境或者监督销毁。提供、使用未经出入境检验检疫机构检疫的进口人体血液、血浆、组织、器官、细胞、骨髓等的，由县级以上人民政府卫生主管部门没收违法物品以及违法所得，并处违法物品货值金额3倍以上5倍以下的罚款；对负有责任的主管人员和其他直接责任人员由其所在单位或者上级主管部门依法给予处分。</w:t>
      </w:r>
    </w:p>
    <w:tbl>
      <w:tblPr>
        <w:tblStyle w:val="24"/>
        <w:tblW w:w="13792" w:type="dxa"/>
        <w:tblInd w:w="93" w:type="dxa"/>
        <w:tblLayout w:type="autofit"/>
        <w:tblCellMar>
          <w:top w:w="0" w:type="dxa"/>
          <w:left w:w="108" w:type="dxa"/>
          <w:bottom w:w="0" w:type="dxa"/>
          <w:right w:w="108" w:type="dxa"/>
        </w:tblCellMar>
      </w:tblPr>
      <w:tblGrid>
        <w:gridCol w:w="1942"/>
        <w:gridCol w:w="7371"/>
        <w:gridCol w:w="4479"/>
      </w:tblGrid>
      <w:tr w14:paraId="204B7E4C">
        <w:tblPrEx>
          <w:tblCellMar>
            <w:top w:w="0" w:type="dxa"/>
            <w:left w:w="108" w:type="dxa"/>
            <w:bottom w:w="0" w:type="dxa"/>
            <w:right w:w="108" w:type="dxa"/>
          </w:tblCellMar>
        </w:tblPrEx>
        <w:trPr>
          <w:trHeight w:val="227" w:hRule="atLeast"/>
        </w:trPr>
        <w:tc>
          <w:tcPr>
            <w:tcW w:w="13792" w:type="dxa"/>
            <w:gridSpan w:val="3"/>
            <w:tcBorders>
              <w:top w:val="nil"/>
              <w:left w:val="nil"/>
              <w:bottom w:val="single" w:color="auto" w:sz="4" w:space="0"/>
              <w:right w:val="nil"/>
            </w:tcBorders>
            <w:noWrap/>
            <w:vAlign w:val="center"/>
          </w:tcPr>
          <w:p w14:paraId="0AFA9D69">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560A2E91">
        <w:tblPrEx>
          <w:tblCellMar>
            <w:top w:w="0" w:type="dxa"/>
            <w:left w:w="108" w:type="dxa"/>
            <w:bottom w:w="0" w:type="dxa"/>
            <w:right w:w="108" w:type="dxa"/>
          </w:tblCellMar>
        </w:tblPrEx>
        <w:trPr>
          <w:trHeight w:val="680" w:hRule="atLeast"/>
        </w:trPr>
        <w:tc>
          <w:tcPr>
            <w:tcW w:w="1942" w:type="dxa"/>
            <w:tcBorders>
              <w:top w:val="single" w:color="auto" w:sz="4" w:space="0"/>
              <w:left w:val="single" w:color="auto" w:sz="4" w:space="0"/>
              <w:bottom w:val="single" w:color="auto" w:sz="4" w:space="0"/>
              <w:right w:val="single" w:color="auto" w:sz="4" w:space="0"/>
            </w:tcBorders>
            <w:vAlign w:val="center"/>
          </w:tcPr>
          <w:p w14:paraId="5DD502E2">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371" w:type="dxa"/>
            <w:tcBorders>
              <w:top w:val="single" w:color="auto" w:sz="4" w:space="0"/>
              <w:left w:val="single" w:color="auto" w:sz="4" w:space="0"/>
              <w:bottom w:val="single" w:color="auto" w:sz="4" w:space="0"/>
              <w:right w:val="single" w:color="auto" w:sz="4" w:space="0"/>
            </w:tcBorders>
            <w:vAlign w:val="center"/>
          </w:tcPr>
          <w:p w14:paraId="775CF0A3">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79" w:type="dxa"/>
            <w:tcBorders>
              <w:top w:val="single" w:color="auto" w:sz="4" w:space="0"/>
              <w:left w:val="single" w:color="auto" w:sz="4" w:space="0"/>
              <w:bottom w:val="single" w:color="auto" w:sz="4" w:space="0"/>
              <w:right w:val="single" w:color="auto" w:sz="4" w:space="0"/>
            </w:tcBorders>
            <w:vAlign w:val="center"/>
          </w:tcPr>
          <w:p w14:paraId="4449A0C0">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ADF3C22">
        <w:tblPrEx>
          <w:tblCellMar>
            <w:top w:w="0" w:type="dxa"/>
            <w:left w:w="108" w:type="dxa"/>
            <w:bottom w:w="0" w:type="dxa"/>
            <w:right w:w="108" w:type="dxa"/>
          </w:tblCellMar>
        </w:tblPrEx>
        <w:trPr>
          <w:trHeight w:val="765" w:hRule="atLeast"/>
        </w:trPr>
        <w:tc>
          <w:tcPr>
            <w:tcW w:w="1942" w:type="dxa"/>
            <w:tcBorders>
              <w:top w:val="single" w:color="auto" w:sz="4" w:space="0"/>
              <w:left w:val="single" w:color="auto" w:sz="4" w:space="0"/>
              <w:bottom w:val="single" w:color="auto" w:sz="4" w:space="0"/>
              <w:right w:val="single" w:color="auto" w:sz="4" w:space="0"/>
            </w:tcBorders>
            <w:vAlign w:val="center"/>
          </w:tcPr>
          <w:p w14:paraId="1E9D315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371" w:type="dxa"/>
            <w:tcBorders>
              <w:top w:val="single" w:color="auto" w:sz="4" w:space="0"/>
              <w:left w:val="single" w:color="auto" w:sz="4" w:space="0"/>
              <w:bottom w:val="single" w:color="auto" w:sz="4" w:space="0"/>
              <w:right w:val="single" w:color="auto" w:sz="4" w:space="0"/>
            </w:tcBorders>
            <w:vAlign w:val="center"/>
          </w:tcPr>
          <w:p w14:paraId="153932D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提供、使用未经出入境检验检疫机构检疫的进口人体血液、血浆、组织、器官、细胞、骨髓等，违法物品货值金额不足一万元的。</w:t>
            </w:r>
          </w:p>
        </w:tc>
        <w:tc>
          <w:tcPr>
            <w:tcW w:w="4479" w:type="dxa"/>
            <w:tcBorders>
              <w:top w:val="single" w:color="auto" w:sz="4" w:space="0"/>
              <w:left w:val="single" w:color="auto" w:sz="4" w:space="0"/>
              <w:bottom w:val="single" w:color="auto" w:sz="4" w:space="0"/>
              <w:right w:val="single" w:color="auto" w:sz="4" w:space="0"/>
            </w:tcBorders>
            <w:vAlign w:val="center"/>
          </w:tcPr>
          <w:p w14:paraId="2267FDA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没收违法物品以及违法所得，并处违法物品货值金额3倍罚款。</w:t>
            </w:r>
          </w:p>
        </w:tc>
      </w:tr>
      <w:tr w14:paraId="63FD21FE">
        <w:tblPrEx>
          <w:tblCellMar>
            <w:top w:w="0" w:type="dxa"/>
            <w:left w:w="108" w:type="dxa"/>
            <w:bottom w:w="0" w:type="dxa"/>
            <w:right w:w="108" w:type="dxa"/>
          </w:tblCellMar>
        </w:tblPrEx>
        <w:trPr>
          <w:trHeight w:val="90" w:hRule="atLeast"/>
        </w:trPr>
        <w:tc>
          <w:tcPr>
            <w:tcW w:w="1942" w:type="dxa"/>
            <w:tcBorders>
              <w:top w:val="single" w:color="auto" w:sz="4" w:space="0"/>
              <w:left w:val="single" w:color="auto" w:sz="4" w:space="0"/>
              <w:bottom w:val="single" w:color="auto" w:sz="4" w:space="0"/>
              <w:right w:val="single" w:color="auto" w:sz="4" w:space="0"/>
            </w:tcBorders>
            <w:vAlign w:val="center"/>
          </w:tcPr>
          <w:p w14:paraId="176C422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371" w:type="dxa"/>
            <w:tcBorders>
              <w:top w:val="single" w:color="auto" w:sz="4" w:space="0"/>
              <w:left w:val="single" w:color="auto" w:sz="4" w:space="0"/>
              <w:bottom w:val="single" w:color="auto" w:sz="4" w:space="0"/>
              <w:right w:val="single" w:color="auto" w:sz="4" w:space="0"/>
            </w:tcBorders>
            <w:vAlign w:val="center"/>
          </w:tcPr>
          <w:p w14:paraId="1FC6238A">
            <w:pPr>
              <w:widowControl w:val="0"/>
              <w:spacing w:after="0" w:line="320" w:lineRule="exact"/>
              <w:textAlignment w:val="auto"/>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提供、使用未经出入境检验检疫机构检疫的进口人体血液、血浆、组织、器官、细胞、骨髓等，违法物品货值金额一万元以上二万元以下的。</w:t>
            </w:r>
          </w:p>
        </w:tc>
        <w:tc>
          <w:tcPr>
            <w:tcW w:w="4479" w:type="dxa"/>
            <w:tcBorders>
              <w:top w:val="single" w:color="auto" w:sz="4" w:space="0"/>
              <w:left w:val="single" w:color="auto" w:sz="4" w:space="0"/>
              <w:bottom w:val="single" w:color="auto" w:sz="4" w:space="0"/>
              <w:right w:val="single" w:color="auto" w:sz="4" w:space="0"/>
            </w:tcBorders>
            <w:vAlign w:val="center"/>
          </w:tcPr>
          <w:p w14:paraId="4A2EDC6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没收违法物品以及违法所得，并处违法物品货值金额4倍罚款。</w:t>
            </w:r>
          </w:p>
        </w:tc>
      </w:tr>
      <w:tr w14:paraId="482C6FFA">
        <w:tblPrEx>
          <w:tblCellMar>
            <w:top w:w="0" w:type="dxa"/>
            <w:left w:w="108" w:type="dxa"/>
            <w:bottom w:w="0" w:type="dxa"/>
            <w:right w:w="108" w:type="dxa"/>
          </w:tblCellMar>
        </w:tblPrEx>
        <w:trPr>
          <w:trHeight w:val="765" w:hRule="atLeast"/>
        </w:trPr>
        <w:tc>
          <w:tcPr>
            <w:tcW w:w="1942" w:type="dxa"/>
            <w:tcBorders>
              <w:top w:val="single" w:color="auto" w:sz="4" w:space="0"/>
              <w:left w:val="single" w:color="auto" w:sz="4" w:space="0"/>
              <w:bottom w:val="single" w:color="auto" w:sz="4" w:space="0"/>
              <w:right w:val="single" w:color="auto" w:sz="4" w:space="0"/>
            </w:tcBorders>
            <w:vAlign w:val="center"/>
          </w:tcPr>
          <w:p w14:paraId="6F46F7A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371" w:type="dxa"/>
            <w:tcBorders>
              <w:top w:val="single" w:color="auto" w:sz="4" w:space="0"/>
              <w:left w:val="single" w:color="auto" w:sz="4" w:space="0"/>
              <w:bottom w:val="single" w:color="auto" w:sz="4" w:space="0"/>
              <w:right w:val="single" w:color="auto" w:sz="4" w:space="0"/>
            </w:tcBorders>
            <w:vAlign w:val="center"/>
          </w:tcPr>
          <w:p w14:paraId="27220FB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提供、使用未经出入境检验检疫机构检疫的进口人体血液、血浆、组织、器官、细胞、骨髓等，违法物品货值金额超过二万元的。</w:t>
            </w:r>
          </w:p>
        </w:tc>
        <w:tc>
          <w:tcPr>
            <w:tcW w:w="4479" w:type="dxa"/>
            <w:tcBorders>
              <w:top w:val="single" w:color="auto" w:sz="4" w:space="0"/>
              <w:left w:val="single" w:color="auto" w:sz="4" w:space="0"/>
              <w:bottom w:val="single" w:color="auto" w:sz="4" w:space="0"/>
              <w:right w:val="single" w:color="auto" w:sz="4" w:space="0"/>
            </w:tcBorders>
            <w:vAlign w:val="center"/>
          </w:tcPr>
          <w:p w14:paraId="353A2B3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没收违法物品以及违法所得，并处违法物品货值金额5倍罚款。</w:t>
            </w:r>
          </w:p>
        </w:tc>
      </w:tr>
    </w:tbl>
    <w:p w14:paraId="7824A01A">
      <w:pPr>
        <w:pStyle w:val="4"/>
        <w:widowControl w:val="0"/>
        <w:ind w:firstLine="640"/>
        <w:rPr>
          <w:rFonts w:hint="eastAsia" w:ascii="Times New Roman" w:hAnsi="Times New Roman" w:cs="仿宋_GB2312"/>
          <w:bCs/>
          <w:color w:val="000000" w:themeColor="text1"/>
          <w14:textFill>
            <w14:solidFill>
              <w14:schemeClr w14:val="tx1"/>
            </w14:solidFill>
          </w14:textFill>
        </w:rPr>
      </w:pPr>
      <w:bookmarkStart w:id="787" w:name="_Toc21889"/>
      <w:bookmarkStart w:id="788" w:name="_Toc14763"/>
      <w:bookmarkStart w:id="789" w:name="_Toc8867"/>
      <w:bookmarkStart w:id="790" w:name="_Toc11130"/>
      <w:bookmarkStart w:id="791" w:name="_Toc9621"/>
      <w:bookmarkStart w:id="792" w:name="_Toc4328"/>
      <w:bookmarkStart w:id="793" w:name="_Toc32626"/>
      <w:bookmarkStart w:id="794" w:name="_Toc2730"/>
      <w:bookmarkStart w:id="795" w:name="_Toc13532"/>
      <w:bookmarkStart w:id="796" w:name="_Toc13776"/>
      <w:bookmarkStart w:id="797" w:name="_Toc22163"/>
      <w:r>
        <w:rPr>
          <w:rFonts w:hint="eastAsia"/>
          <w:color w:val="000000" w:themeColor="text1"/>
          <w14:textFill>
            <w14:solidFill>
              <w14:schemeClr w14:val="tx1"/>
            </w14:solidFill>
          </w14:textFill>
        </w:rPr>
        <w:t xml:space="preserve">第七十一条 </w:t>
      </w:r>
      <w:r>
        <w:rPr>
          <w:rFonts w:hint="eastAsia" w:ascii="Times New Roman" w:hAnsi="Times New Roman" w:cs="仿宋_GB2312"/>
          <w:bCs/>
          <w:color w:val="000000" w:themeColor="text1"/>
          <w14:textFill>
            <w14:solidFill>
              <w14:schemeClr w14:val="tx1"/>
            </w14:solidFill>
          </w14:textFill>
        </w:rPr>
        <w:t>公共场所的经营者未查验服务人员的健康合格证明或者允许未取得健康合格证明的人员从事服务工作，省、自治区、直辖市人民政府确定的公共场所的经营者未在公共场所内放置安全套或者设置安全套发售设施</w:t>
      </w:r>
      <w:bookmarkEnd w:id="787"/>
      <w:bookmarkEnd w:id="788"/>
      <w:bookmarkEnd w:id="789"/>
      <w:bookmarkEnd w:id="790"/>
      <w:bookmarkEnd w:id="791"/>
      <w:bookmarkEnd w:id="792"/>
      <w:bookmarkEnd w:id="793"/>
      <w:bookmarkEnd w:id="794"/>
      <w:bookmarkEnd w:id="795"/>
      <w:bookmarkEnd w:id="796"/>
      <w:bookmarkEnd w:id="797"/>
    </w:p>
    <w:p w14:paraId="0AB4859D">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3FB4B9AA">
      <w:pPr>
        <w:widowControl w:val="0"/>
        <w:spacing w:after="0" w:line="440" w:lineRule="exact"/>
        <w:ind w:firstLine="640" w:firstLineChars="200"/>
        <w:jc w:val="both"/>
        <w:rPr>
          <w:rFonts w:hint="eastAsia" w:ascii="Times New Roman" w:hAnsi="Times New Roman" w:cs="微软雅黑"/>
          <w:color w:val="000000" w:themeColor="text1"/>
          <w:sz w:val="28"/>
          <w:szCs w:val="28"/>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《艾滋病防治条例》第六十一条</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公共场所的经营者未查验服务人员的健康合格证明或者允许未取得健康合格证明的人员从事服务工作，省、自治区、直辖市人民政府确定的公共场所的经营者未在公共场所内放置安全套或者设置安全套发售设施的，由县级以上人民政府卫生主管部门责令限期改正，给予警告，可以并处500元以上5000元以下的罚款；逾期不改正的，责令停业整顿；情节严重的，由原发证部门依法吊销其执业许可证件。</w:t>
      </w:r>
    </w:p>
    <w:tbl>
      <w:tblPr>
        <w:tblStyle w:val="24"/>
        <w:tblW w:w="13642" w:type="dxa"/>
        <w:tblInd w:w="93" w:type="dxa"/>
        <w:tblLayout w:type="autofit"/>
        <w:tblCellMar>
          <w:top w:w="0" w:type="dxa"/>
          <w:left w:w="108" w:type="dxa"/>
          <w:bottom w:w="0" w:type="dxa"/>
          <w:right w:w="108" w:type="dxa"/>
        </w:tblCellMar>
      </w:tblPr>
      <w:tblGrid>
        <w:gridCol w:w="2092"/>
        <w:gridCol w:w="7562"/>
        <w:gridCol w:w="3988"/>
      </w:tblGrid>
      <w:tr w14:paraId="68122848">
        <w:tblPrEx>
          <w:tblCellMar>
            <w:top w:w="0" w:type="dxa"/>
            <w:left w:w="108" w:type="dxa"/>
            <w:bottom w:w="0" w:type="dxa"/>
            <w:right w:w="108" w:type="dxa"/>
          </w:tblCellMar>
        </w:tblPrEx>
        <w:trPr>
          <w:trHeight w:val="390" w:hRule="atLeast"/>
        </w:trPr>
        <w:tc>
          <w:tcPr>
            <w:tcW w:w="13642" w:type="dxa"/>
            <w:gridSpan w:val="3"/>
            <w:tcBorders>
              <w:top w:val="nil"/>
              <w:left w:val="nil"/>
              <w:bottom w:val="single" w:color="auto" w:sz="4" w:space="0"/>
              <w:right w:val="nil"/>
            </w:tcBorders>
            <w:noWrap/>
            <w:vAlign w:val="center"/>
          </w:tcPr>
          <w:p w14:paraId="6A48EE85">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3170FAA">
        <w:tblPrEx>
          <w:tblCellMar>
            <w:top w:w="0" w:type="dxa"/>
            <w:left w:w="108" w:type="dxa"/>
            <w:bottom w:w="0" w:type="dxa"/>
            <w:right w:w="108" w:type="dxa"/>
          </w:tblCellMar>
        </w:tblPrEx>
        <w:trPr>
          <w:trHeight w:val="420" w:hRule="atLeast"/>
        </w:trPr>
        <w:tc>
          <w:tcPr>
            <w:tcW w:w="2092" w:type="dxa"/>
            <w:tcBorders>
              <w:top w:val="single" w:color="auto" w:sz="4" w:space="0"/>
              <w:left w:val="single" w:color="auto" w:sz="4" w:space="0"/>
              <w:bottom w:val="single" w:color="auto" w:sz="4" w:space="0"/>
              <w:right w:val="single" w:color="auto" w:sz="4" w:space="0"/>
            </w:tcBorders>
            <w:vAlign w:val="center"/>
          </w:tcPr>
          <w:p w14:paraId="1B6923F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62" w:type="dxa"/>
            <w:tcBorders>
              <w:top w:val="single" w:color="auto" w:sz="4" w:space="0"/>
              <w:left w:val="single" w:color="auto" w:sz="4" w:space="0"/>
              <w:bottom w:val="single" w:color="auto" w:sz="4" w:space="0"/>
              <w:right w:val="single" w:color="auto" w:sz="4" w:space="0"/>
            </w:tcBorders>
            <w:vAlign w:val="center"/>
          </w:tcPr>
          <w:p w14:paraId="4AC30200">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88" w:type="dxa"/>
            <w:tcBorders>
              <w:top w:val="single" w:color="auto" w:sz="4" w:space="0"/>
              <w:left w:val="single" w:color="auto" w:sz="4" w:space="0"/>
              <w:bottom w:val="single" w:color="auto" w:sz="4" w:space="0"/>
              <w:right w:val="single" w:color="auto" w:sz="4" w:space="0"/>
            </w:tcBorders>
            <w:vAlign w:val="center"/>
          </w:tcPr>
          <w:p w14:paraId="3E725F63">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85DB3DB">
        <w:tblPrEx>
          <w:tblCellMar>
            <w:top w:w="0" w:type="dxa"/>
            <w:left w:w="108" w:type="dxa"/>
            <w:bottom w:w="0" w:type="dxa"/>
            <w:right w:w="108" w:type="dxa"/>
          </w:tblCellMar>
        </w:tblPrEx>
        <w:trPr>
          <w:trHeight w:val="57" w:hRule="atLeast"/>
        </w:trPr>
        <w:tc>
          <w:tcPr>
            <w:tcW w:w="2092" w:type="dxa"/>
            <w:tcBorders>
              <w:top w:val="single" w:color="auto" w:sz="4" w:space="0"/>
              <w:left w:val="single" w:color="auto" w:sz="4" w:space="0"/>
              <w:bottom w:val="single" w:color="auto" w:sz="4" w:space="0"/>
              <w:right w:val="single" w:color="auto" w:sz="4" w:space="0"/>
            </w:tcBorders>
            <w:vAlign w:val="center"/>
          </w:tcPr>
          <w:p w14:paraId="72EBA39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562" w:type="dxa"/>
            <w:tcBorders>
              <w:top w:val="single" w:color="auto" w:sz="4" w:space="0"/>
              <w:left w:val="single" w:color="auto" w:sz="4" w:space="0"/>
              <w:bottom w:val="single" w:color="auto" w:sz="4" w:space="0"/>
              <w:right w:val="single" w:color="auto" w:sz="4" w:space="0"/>
            </w:tcBorders>
            <w:vAlign w:val="center"/>
          </w:tcPr>
          <w:p w14:paraId="446802F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1）公共场所的经营者未查验服务人员1至3人的健康合格证明或者允许未取得健康合格证明的人员1至3人从事服务工作；（2）公共场所的经营者未查验服务人员4人以上的健康合格证明或者允许未取得健康合格证明的人员4人以上从事服务工作；（3）未放置安全套或者设置安全套发售设施，时间不足1个月；（4）未放置安全套或者设置安全套发售设施，时间在1个月以上。</w:t>
            </w:r>
          </w:p>
        </w:tc>
        <w:tc>
          <w:tcPr>
            <w:tcW w:w="3988" w:type="dxa"/>
            <w:tcBorders>
              <w:top w:val="single" w:color="auto" w:sz="4" w:space="0"/>
              <w:left w:val="single" w:color="auto" w:sz="4" w:space="0"/>
              <w:bottom w:val="single" w:color="auto" w:sz="4" w:space="0"/>
              <w:right w:val="single" w:color="auto" w:sz="4" w:space="0"/>
            </w:tcBorders>
            <w:vAlign w:val="center"/>
          </w:tcPr>
          <w:p w14:paraId="3098D3C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给予警告，（1）处500元以上2500元以下的罚款；（2）处2500元以上5000元以下的罚款；（3）处500元以上2500元以下的罚款；（4）处2500元以上5000元以下的罚款。</w:t>
            </w:r>
          </w:p>
        </w:tc>
      </w:tr>
      <w:tr w14:paraId="3A7EA49A">
        <w:tblPrEx>
          <w:tblCellMar>
            <w:top w:w="0" w:type="dxa"/>
            <w:left w:w="108" w:type="dxa"/>
            <w:bottom w:w="0" w:type="dxa"/>
            <w:right w:w="108" w:type="dxa"/>
          </w:tblCellMar>
        </w:tblPrEx>
        <w:trPr>
          <w:trHeight w:val="57" w:hRule="atLeast"/>
        </w:trPr>
        <w:tc>
          <w:tcPr>
            <w:tcW w:w="2092" w:type="dxa"/>
            <w:tcBorders>
              <w:top w:val="single" w:color="auto" w:sz="4" w:space="0"/>
              <w:left w:val="single" w:color="auto" w:sz="4" w:space="0"/>
              <w:bottom w:val="single" w:color="auto" w:sz="4" w:space="0"/>
              <w:right w:val="single" w:color="auto" w:sz="4" w:space="0"/>
            </w:tcBorders>
            <w:vAlign w:val="center"/>
          </w:tcPr>
          <w:p w14:paraId="5622901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562" w:type="dxa"/>
            <w:tcBorders>
              <w:top w:val="single" w:color="auto" w:sz="4" w:space="0"/>
              <w:left w:val="single" w:color="auto" w:sz="4" w:space="0"/>
              <w:bottom w:val="single" w:color="auto" w:sz="4" w:space="0"/>
              <w:right w:val="single" w:color="auto" w:sz="4" w:space="0"/>
            </w:tcBorders>
            <w:vAlign w:val="center"/>
          </w:tcPr>
          <w:p w14:paraId="6D61889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3988" w:type="dxa"/>
            <w:tcBorders>
              <w:top w:val="single" w:color="auto" w:sz="4" w:space="0"/>
              <w:left w:val="single" w:color="auto" w:sz="4" w:space="0"/>
              <w:bottom w:val="single" w:color="auto" w:sz="4" w:space="0"/>
              <w:right w:val="single" w:color="auto" w:sz="4" w:space="0"/>
            </w:tcBorders>
            <w:vAlign w:val="center"/>
          </w:tcPr>
          <w:p w14:paraId="6972355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责令停业整顿。</w:t>
            </w:r>
          </w:p>
        </w:tc>
      </w:tr>
      <w:tr w14:paraId="64482EE0">
        <w:tblPrEx>
          <w:tblCellMar>
            <w:top w:w="0" w:type="dxa"/>
            <w:left w:w="108" w:type="dxa"/>
            <w:bottom w:w="0" w:type="dxa"/>
            <w:right w:w="108" w:type="dxa"/>
          </w:tblCellMar>
        </w:tblPrEx>
        <w:trPr>
          <w:trHeight w:val="57" w:hRule="atLeast"/>
        </w:trPr>
        <w:tc>
          <w:tcPr>
            <w:tcW w:w="2092" w:type="dxa"/>
            <w:tcBorders>
              <w:top w:val="single" w:color="auto" w:sz="4" w:space="0"/>
              <w:left w:val="single" w:color="auto" w:sz="4" w:space="0"/>
              <w:bottom w:val="single" w:color="auto" w:sz="4" w:space="0"/>
              <w:right w:val="single" w:color="auto" w:sz="4" w:space="0"/>
            </w:tcBorders>
            <w:vAlign w:val="center"/>
          </w:tcPr>
          <w:p w14:paraId="5B37246E">
            <w:pPr>
              <w:widowControl w:val="0"/>
              <w:spacing w:after="0" w:line="280" w:lineRule="exact"/>
              <w:jc w:val="center"/>
              <w:textAlignment w:val="auto"/>
              <w:rPr>
                <w:rFonts w:hint="eastAsia" w:ascii="Times New Roman" w:hAnsi="Times New Roman" w:eastAsia="方正仿宋_GB2312" w:cs="方正仿宋_GB2312"/>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562" w:type="dxa"/>
            <w:tcBorders>
              <w:top w:val="single" w:color="auto" w:sz="4" w:space="0"/>
              <w:left w:val="single" w:color="auto" w:sz="4" w:space="0"/>
              <w:bottom w:val="single" w:color="auto" w:sz="4" w:space="0"/>
              <w:right w:val="single" w:color="auto" w:sz="4" w:space="0"/>
            </w:tcBorders>
            <w:vAlign w:val="center"/>
          </w:tcPr>
          <w:p w14:paraId="2264C06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责令停业整顿后，再次发现该违法行为的。</w:t>
            </w:r>
          </w:p>
        </w:tc>
        <w:tc>
          <w:tcPr>
            <w:tcW w:w="3988" w:type="dxa"/>
            <w:tcBorders>
              <w:top w:val="single" w:color="auto" w:sz="4" w:space="0"/>
              <w:left w:val="single" w:color="auto" w:sz="4" w:space="0"/>
              <w:bottom w:val="single" w:color="auto" w:sz="4" w:space="0"/>
              <w:right w:val="single" w:color="auto" w:sz="4" w:space="0"/>
            </w:tcBorders>
            <w:vAlign w:val="center"/>
          </w:tcPr>
          <w:p w14:paraId="0FAC75D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由原发证部门依法吊销其执业许可证件。</w:t>
            </w:r>
          </w:p>
        </w:tc>
      </w:tr>
    </w:tbl>
    <w:p w14:paraId="3A99B78A">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798" w:name="_Toc16728"/>
      <w:bookmarkStart w:id="799" w:name="_Toc23157"/>
      <w:bookmarkStart w:id="800" w:name="_Toc17133"/>
      <w:bookmarkStart w:id="801" w:name="_Toc17360"/>
      <w:bookmarkStart w:id="802" w:name="_Toc15125"/>
      <w:bookmarkStart w:id="803" w:name="_Toc26805"/>
      <w:bookmarkStart w:id="804" w:name="_Toc32153"/>
      <w:bookmarkStart w:id="805" w:name="_Toc13352"/>
      <w:bookmarkStart w:id="806" w:name="_Toc14209"/>
      <w:bookmarkStart w:id="807" w:name="_Toc21154"/>
      <w:bookmarkStart w:id="808" w:name="_Toc1566"/>
      <w:bookmarkStart w:id="809" w:name="_Toc320"/>
      <w:bookmarkStart w:id="810" w:name="_Toc869"/>
      <w:r>
        <w:rPr>
          <w:rFonts w:hint="eastAsia" w:ascii="Times New Roman" w:hAnsi="Times New Roman" w:eastAsia="楷体_GB2312" w:cs="楷体_GB2312"/>
          <w:color w:val="000000" w:themeColor="text1"/>
          <w14:textFill>
            <w14:solidFill>
              <w14:schemeClr w14:val="tx1"/>
            </w14:solidFill>
          </w14:textFill>
        </w:rPr>
        <w:t>（七）《血吸虫病防治条例》</w:t>
      </w:r>
      <w:bookmarkEnd w:id="798"/>
      <w:bookmarkEnd w:id="799"/>
      <w:bookmarkEnd w:id="800"/>
      <w:bookmarkEnd w:id="801"/>
      <w:bookmarkEnd w:id="802"/>
      <w:bookmarkEnd w:id="803"/>
      <w:bookmarkEnd w:id="804"/>
      <w:bookmarkEnd w:id="805"/>
      <w:bookmarkEnd w:id="806"/>
      <w:bookmarkEnd w:id="807"/>
      <w:bookmarkEnd w:id="808"/>
      <w:bookmarkEnd w:id="809"/>
      <w:bookmarkEnd w:id="810"/>
    </w:p>
    <w:p w14:paraId="2CA90097">
      <w:pPr>
        <w:pStyle w:val="4"/>
        <w:widowControl w:val="0"/>
        <w:ind w:firstLine="640"/>
        <w:rPr>
          <w:rFonts w:hint="eastAsia" w:ascii="Times New Roman" w:hAnsi="Times New Roman" w:eastAsia="仿宋_GB2312" w:cs="仿宋_GB2312"/>
          <w:bCs/>
          <w:color w:val="000000" w:themeColor="text1"/>
          <w14:textFill>
            <w14:solidFill>
              <w14:schemeClr w14:val="tx1"/>
            </w14:solidFill>
          </w14:textFill>
        </w:rPr>
      </w:pPr>
      <w:bookmarkStart w:id="811" w:name="_Toc20409"/>
      <w:bookmarkStart w:id="812" w:name="_Toc2678"/>
      <w:bookmarkStart w:id="813" w:name="_Toc5490"/>
      <w:bookmarkStart w:id="814" w:name="_Toc14872"/>
      <w:bookmarkStart w:id="815" w:name="_Toc42"/>
      <w:bookmarkStart w:id="816" w:name="_Toc12576"/>
      <w:bookmarkStart w:id="817" w:name="_Toc15967"/>
      <w:bookmarkStart w:id="818" w:name="_Toc20304"/>
      <w:bookmarkStart w:id="819" w:name="_Toc16045"/>
      <w:bookmarkStart w:id="820" w:name="_Toc1714"/>
      <w:bookmarkStart w:id="821" w:name="_Toc20009"/>
      <w:r>
        <w:rPr>
          <w:rFonts w:hint="eastAsia" w:cs="仿宋_GB2312"/>
          <w:bCs/>
          <w:color w:val="000000" w:themeColor="text1"/>
          <w14:textFill>
            <w14:solidFill>
              <w14:schemeClr w14:val="tx1"/>
            </w14:solidFill>
          </w14:textFill>
        </w:rPr>
        <w:t xml:space="preserve">第七十二条 </w:t>
      </w:r>
      <w:r>
        <w:rPr>
          <w:rFonts w:hint="eastAsia" w:ascii="Times New Roman" w:hAnsi="Times New Roman" w:eastAsia="仿宋_GB2312" w:cs="仿宋_GB2312"/>
          <w:bCs/>
          <w:color w:val="000000" w:themeColor="text1"/>
          <w14:textFill>
            <w14:solidFill>
              <w14:schemeClr w14:val="tx1"/>
            </w14:solidFill>
          </w14:textFill>
        </w:rPr>
        <w:t>建设单位在血吸虫病防治地区兴建水利、交通、旅游、能源等大型建设项目，未事先提请省级以上疾病预防控制机构进行卫生调查，或者未根据疾病预防控制机构的意见，采取必要的血吸虫病预防、控制措施的</w:t>
      </w:r>
      <w:bookmarkEnd w:id="811"/>
      <w:bookmarkEnd w:id="812"/>
      <w:bookmarkEnd w:id="813"/>
      <w:bookmarkEnd w:id="814"/>
      <w:bookmarkEnd w:id="815"/>
      <w:bookmarkEnd w:id="816"/>
      <w:bookmarkEnd w:id="817"/>
      <w:bookmarkEnd w:id="818"/>
      <w:bookmarkEnd w:id="819"/>
      <w:bookmarkEnd w:id="820"/>
      <w:bookmarkEnd w:id="821"/>
    </w:p>
    <w:p w14:paraId="067BFAC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68D79FA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《血吸虫病防治条例》第五十条　 建设单位在血吸虫病防治地区兴建水利、交通、旅游、能源等大型建设项目，未事先提请省级以上疾病预防控制机构进行卫生调查，或者未根据疾病预防控制机构的意见，采取必要的血吸虫病预防、控制措施的，由县级以上人民政府卫生主管部门责令限期改正，给予警告，处5000元以上3万元以下的罚款；逾期不改正的，处3万元以上10万元以下的罚款，并可以提请有关人民政府依据职责权限，责令停建、关闭；造成血吸虫病疫情扩散或者其他严重后果的，对负有责任的主管人员和其他直接责任人员依法给予处分。</w:t>
      </w:r>
    </w:p>
    <w:tbl>
      <w:tblPr>
        <w:tblStyle w:val="24"/>
        <w:tblW w:w="13929" w:type="dxa"/>
        <w:tblInd w:w="93" w:type="dxa"/>
        <w:tblLayout w:type="autofit"/>
        <w:tblCellMar>
          <w:top w:w="0" w:type="dxa"/>
          <w:left w:w="108" w:type="dxa"/>
          <w:bottom w:w="0" w:type="dxa"/>
          <w:right w:w="108" w:type="dxa"/>
        </w:tblCellMar>
      </w:tblPr>
      <w:tblGrid>
        <w:gridCol w:w="1755"/>
        <w:gridCol w:w="7020"/>
        <w:gridCol w:w="5154"/>
      </w:tblGrid>
      <w:tr w14:paraId="43F55CDE">
        <w:tblPrEx>
          <w:tblCellMar>
            <w:top w:w="0" w:type="dxa"/>
            <w:left w:w="108" w:type="dxa"/>
            <w:bottom w:w="0" w:type="dxa"/>
            <w:right w:w="108" w:type="dxa"/>
          </w:tblCellMar>
        </w:tblPrEx>
        <w:trPr>
          <w:trHeight w:val="390" w:hRule="atLeast"/>
        </w:trPr>
        <w:tc>
          <w:tcPr>
            <w:tcW w:w="13929" w:type="dxa"/>
            <w:gridSpan w:val="3"/>
            <w:tcBorders>
              <w:top w:val="nil"/>
              <w:left w:val="nil"/>
              <w:bottom w:val="single" w:color="auto" w:sz="4" w:space="0"/>
              <w:right w:val="nil"/>
            </w:tcBorders>
            <w:noWrap/>
            <w:vAlign w:val="center"/>
          </w:tcPr>
          <w:p w14:paraId="3319B193">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65C9F3C">
        <w:tblPrEx>
          <w:tblCellMar>
            <w:top w:w="0" w:type="dxa"/>
            <w:left w:w="108" w:type="dxa"/>
            <w:bottom w:w="0" w:type="dxa"/>
            <w:right w:w="108" w:type="dxa"/>
          </w:tblCellMar>
        </w:tblPrEx>
        <w:trPr>
          <w:trHeight w:val="567" w:hRule="atLeast"/>
        </w:trPr>
        <w:tc>
          <w:tcPr>
            <w:tcW w:w="1755" w:type="dxa"/>
            <w:tcBorders>
              <w:top w:val="single" w:color="auto" w:sz="4" w:space="0"/>
              <w:left w:val="single" w:color="auto" w:sz="4" w:space="0"/>
              <w:bottom w:val="single" w:color="auto" w:sz="4" w:space="0"/>
              <w:right w:val="single" w:color="auto" w:sz="4" w:space="0"/>
            </w:tcBorders>
            <w:vAlign w:val="center"/>
          </w:tcPr>
          <w:p w14:paraId="6C5E60E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020" w:type="dxa"/>
            <w:tcBorders>
              <w:top w:val="single" w:color="auto" w:sz="4" w:space="0"/>
              <w:left w:val="single" w:color="auto" w:sz="4" w:space="0"/>
              <w:bottom w:val="single" w:color="auto" w:sz="4" w:space="0"/>
              <w:right w:val="single" w:color="auto" w:sz="4" w:space="0"/>
            </w:tcBorders>
            <w:vAlign w:val="center"/>
          </w:tcPr>
          <w:p w14:paraId="4D6870C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154" w:type="dxa"/>
            <w:tcBorders>
              <w:top w:val="single" w:color="auto" w:sz="4" w:space="0"/>
              <w:left w:val="single" w:color="auto" w:sz="4" w:space="0"/>
              <w:bottom w:val="single" w:color="auto" w:sz="4" w:space="0"/>
              <w:right w:val="single" w:color="auto" w:sz="4" w:space="0"/>
            </w:tcBorders>
            <w:vAlign w:val="center"/>
          </w:tcPr>
          <w:p w14:paraId="44098B84">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1327052">
        <w:tblPrEx>
          <w:tblCellMar>
            <w:top w:w="0" w:type="dxa"/>
            <w:left w:w="108" w:type="dxa"/>
            <w:bottom w:w="0" w:type="dxa"/>
            <w:right w:w="108" w:type="dxa"/>
          </w:tblCellMar>
        </w:tblPrEx>
        <w:trPr>
          <w:trHeight w:val="643" w:hRule="atLeast"/>
        </w:trPr>
        <w:tc>
          <w:tcPr>
            <w:tcW w:w="1755" w:type="dxa"/>
            <w:vMerge w:val="restart"/>
            <w:tcBorders>
              <w:top w:val="single" w:color="auto" w:sz="4" w:space="0"/>
              <w:left w:val="single" w:color="auto" w:sz="4" w:space="0"/>
              <w:bottom w:val="single" w:color="auto" w:sz="4" w:space="0"/>
              <w:right w:val="single" w:color="auto" w:sz="4" w:space="0"/>
            </w:tcBorders>
            <w:vAlign w:val="center"/>
          </w:tcPr>
          <w:p w14:paraId="6C4118E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020" w:type="dxa"/>
            <w:tcBorders>
              <w:top w:val="single" w:color="auto" w:sz="4" w:space="0"/>
              <w:left w:val="single" w:color="auto" w:sz="4" w:space="0"/>
              <w:bottom w:val="single" w:color="auto" w:sz="4" w:space="0"/>
              <w:right w:val="single" w:color="auto" w:sz="4" w:space="0"/>
            </w:tcBorders>
            <w:vAlign w:val="center"/>
          </w:tcPr>
          <w:p w14:paraId="742F5F1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未根据疾病预防控制机构的意见，采取必要的血吸虫病预防、控制措施的。</w:t>
            </w:r>
          </w:p>
        </w:tc>
        <w:tc>
          <w:tcPr>
            <w:tcW w:w="5154" w:type="dxa"/>
            <w:tcBorders>
              <w:top w:val="single" w:color="auto" w:sz="4" w:space="0"/>
              <w:left w:val="single" w:color="auto" w:sz="4" w:space="0"/>
              <w:bottom w:val="single" w:color="auto" w:sz="4" w:space="0"/>
              <w:right w:val="single" w:color="auto" w:sz="4" w:space="0"/>
            </w:tcBorders>
            <w:vAlign w:val="center"/>
          </w:tcPr>
          <w:p w14:paraId="385A386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警告，处5千元以上1万元以下的罚款。</w:t>
            </w:r>
          </w:p>
        </w:tc>
      </w:tr>
      <w:tr w14:paraId="1248D84C">
        <w:tblPrEx>
          <w:tblCellMar>
            <w:top w:w="0" w:type="dxa"/>
            <w:left w:w="108" w:type="dxa"/>
            <w:bottom w:w="0" w:type="dxa"/>
            <w:right w:w="108" w:type="dxa"/>
          </w:tblCellMar>
        </w:tblPrEx>
        <w:trPr>
          <w:trHeight w:val="542" w:hRule="atLeast"/>
        </w:trPr>
        <w:tc>
          <w:tcPr>
            <w:tcW w:w="1755" w:type="dxa"/>
            <w:vMerge w:val="continue"/>
            <w:tcBorders>
              <w:top w:val="single" w:color="auto" w:sz="4" w:space="0"/>
              <w:left w:val="single" w:color="auto" w:sz="4" w:space="0"/>
              <w:bottom w:val="single" w:color="auto" w:sz="4" w:space="0"/>
              <w:right w:val="single" w:color="auto" w:sz="4" w:space="0"/>
            </w:tcBorders>
            <w:vAlign w:val="center"/>
          </w:tcPr>
          <w:p w14:paraId="469FBC2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020" w:type="dxa"/>
            <w:tcBorders>
              <w:top w:val="single" w:color="auto" w:sz="4" w:space="0"/>
              <w:left w:val="single" w:color="auto" w:sz="4" w:space="0"/>
              <w:bottom w:val="single" w:color="auto" w:sz="4" w:space="0"/>
              <w:right w:val="single" w:color="auto" w:sz="4" w:space="0"/>
            </w:tcBorders>
            <w:vAlign w:val="center"/>
          </w:tcPr>
          <w:p w14:paraId="3671133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未事先提请省级以上疾病预防控制机构进行卫生调查的。</w:t>
            </w:r>
          </w:p>
        </w:tc>
        <w:tc>
          <w:tcPr>
            <w:tcW w:w="5154" w:type="dxa"/>
            <w:tcBorders>
              <w:top w:val="single" w:color="auto" w:sz="4" w:space="0"/>
              <w:left w:val="single" w:color="auto" w:sz="4" w:space="0"/>
              <w:bottom w:val="single" w:color="auto" w:sz="4" w:space="0"/>
              <w:right w:val="single" w:color="auto" w:sz="4" w:space="0"/>
            </w:tcBorders>
            <w:vAlign w:val="center"/>
          </w:tcPr>
          <w:p w14:paraId="7E200A4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警告，处1万元以上3万元以下的罚款。</w:t>
            </w:r>
          </w:p>
        </w:tc>
      </w:tr>
      <w:tr w14:paraId="54C15A01">
        <w:tblPrEx>
          <w:tblCellMar>
            <w:top w:w="0" w:type="dxa"/>
            <w:left w:w="108" w:type="dxa"/>
            <w:bottom w:w="0" w:type="dxa"/>
            <w:right w:w="108" w:type="dxa"/>
          </w:tblCellMar>
        </w:tblPrEx>
        <w:trPr>
          <w:trHeight w:val="907" w:hRule="atLeast"/>
        </w:trPr>
        <w:tc>
          <w:tcPr>
            <w:tcW w:w="1755" w:type="dxa"/>
            <w:vMerge w:val="restart"/>
            <w:tcBorders>
              <w:top w:val="single" w:color="auto" w:sz="4" w:space="0"/>
              <w:left w:val="single" w:color="auto" w:sz="4" w:space="0"/>
              <w:bottom w:val="single" w:color="auto" w:sz="4" w:space="0"/>
              <w:right w:val="single" w:color="auto" w:sz="4" w:space="0"/>
            </w:tcBorders>
            <w:vAlign w:val="center"/>
          </w:tcPr>
          <w:p w14:paraId="4398416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020" w:type="dxa"/>
            <w:tcBorders>
              <w:top w:val="single" w:color="auto" w:sz="4" w:space="0"/>
              <w:left w:val="single" w:color="auto" w:sz="4" w:space="0"/>
              <w:bottom w:val="single" w:color="auto" w:sz="4" w:space="0"/>
              <w:right w:val="single" w:color="auto" w:sz="4" w:space="0"/>
            </w:tcBorders>
            <w:vAlign w:val="center"/>
          </w:tcPr>
          <w:p w14:paraId="01BB77E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未根据疾病预防控制机构的意见，采取必要的血吸虫病预防、控制措施，经责令限期改正后，逾期不改正的。</w:t>
            </w:r>
          </w:p>
        </w:tc>
        <w:tc>
          <w:tcPr>
            <w:tcW w:w="5154" w:type="dxa"/>
            <w:tcBorders>
              <w:top w:val="single" w:color="auto" w:sz="4" w:space="0"/>
              <w:left w:val="single" w:color="auto" w:sz="4" w:space="0"/>
              <w:bottom w:val="single" w:color="auto" w:sz="4" w:space="0"/>
              <w:right w:val="single" w:color="auto" w:sz="4" w:space="0"/>
            </w:tcBorders>
            <w:vAlign w:val="center"/>
          </w:tcPr>
          <w:p w14:paraId="4D1A317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处3万元以上5万元以下的罚款，并提请有关人民政府依据职责权限，责令停建、关闭。</w:t>
            </w:r>
          </w:p>
        </w:tc>
      </w:tr>
      <w:tr w14:paraId="0ADAC1A9">
        <w:tblPrEx>
          <w:tblCellMar>
            <w:top w:w="0" w:type="dxa"/>
            <w:left w:w="108" w:type="dxa"/>
            <w:bottom w:w="0" w:type="dxa"/>
            <w:right w:w="108" w:type="dxa"/>
          </w:tblCellMar>
        </w:tblPrEx>
        <w:trPr>
          <w:trHeight w:val="794" w:hRule="atLeast"/>
        </w:trPr>
        <w:tc>
          <w:tcPr>
            <w:tcW w:w="1755" w:type="dxa"/>
            <w:vMerge w:val="continue"/>
            <w:tcBorders>
              <w:top w:val="single" w:color="auto" w:sz="4" w:space="0"/>
              <w:left w:val="single" w:color="auto" w:sz="4" w:space="0"/>
              <w:bottom w:val="single" w:color="auto" w:sz="4" w:space="0"/>
              <w:right w:val="single" w:color="auto" w:sz="4" w:space="0"/>
            </w:tcBorders>
            <w:vAlign w:val="center"/>
          </w:tcPr>
          <w:p w14:paraId="15393171">
            <w:pPr>
              <w:widowControl w:val="0"/>
              <w:spacing w:line="440" w:lineRule="exact"/>
              <w:jc w:val="center"/>
              <w:textAlignment w:val="center"/>
              <w:rPr>
                <w:rFonts w:hint="eastAsia" w:ascii="Times New Roman" w:hAnsi="Times New Roman" w:eastAsia="方正仿宋_GB2312" w:cs="方正仿宋_GB2312"/>
                <w:b/>
                <w:bCs/>
                <w:color w:val="000000" w:themeColor="text1"/>
                <w:sz w:val="24"/>
                <w:szCs w:val="24"/>
                <w:lang w:bidi="ar"/>
                <w14:textFill>
                  <w14:solidFill>
                    <w14:schemeClr w14:val="tx1"/>
                  </w14:solidFill>
                </w14:textFill>
              </w:rPr>
            </w:pPr>
          </w:p>
        </w:tc>
        <w:tc>
          <w:tcPr>
            <w:tcW w:w="7020" w:type="dxa"/>
            <w:tcBorders>
              <w:top w:val="single" w:color="auto" w:sz="4" w:space="0"/>
              <w:left w:val="single" w:color="auto" w:sz="4" w:space="0"/>
              <w:bottom w:val="single" w:color="auto" w:sz="4" w:space="0"/>
              <w:right w:val="single" w:color="auto" w:sz="4" w:space="0"/>
            </w:tcBorders>
            <w:vAlign w:val="center"/>
          </w:tcPr>
          <w:p w14:paraId="250F952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未事先提请省级以上疾病预防控制机构进行卫生调查，经责令限期改正后，逾期不改正的。</w:t>
            </w:r>
          </w:p>
        </w:tc>
        <w:tc>
          <w:tcPr>
            <w:tcW w:w="5154" w:type="dxa"/>
            <w:tcBorders>
              <w:top w:val="single" w:color="auto" w:sz="4" w:space="0"/>
              <w:left w:val="single" w:color="auto" w:sz="4" w:space="0"/>
              <w:bottom w:val="single" w:color="auto" w:sz="4" w:space="0"/>
              <w:right w:val="single" w:color="auto" w:sz="4" w:space="0"/>
            </w:tcBorders>
            <w:vAlign w:val="center"/>
          </w:tcPr>
          <w:p w14:paraId="55FCDC0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处5万元以上7万元以下的罚款，并提请有关人民政府依据职责权限，责令停建、关闭。</w:t>
            </w:r>
          </w:p>
        </w:tc>
      </w:tr>
      <w:tr w14:paraId="7A45C38A">
        <w:tblPrEx>
          <w:tblCellMar>
            <w:top w:w="0" w:type="dxa"/>
            <w:left w:w="108" w:type="dxa"/>
            <w:bottom w:w="0" w:type="dxa"/>
            <w:right w:w="108" w:type="dxa"/>
          </w:tblCellMar>
        </w:tblPrEx>
        <w:trPr>
          <w:trHeight w:val="1587" w:hRule="atLeast"/>
        </w:trPr>
        <w:tc>
          <w:tcPr>
            <w:tcW w:w="1755" w:type="dxa"/>
            <w:vMerge w:val="continue"/>
            <w:tcBorders>
              <w:top w:val="single" w:color="auto" w:sz="4" w:space="0"/>
              <w:left w:val="single" w:color="auto" w:sz="4" w:space="0"/>
              <w:bottom w:val="single" w:color="auto" w:sz="4" w:space="0"/>
              <w:right w:val="single" w:color="auto" w:sz="4" w:space="0"/>
            </w:tcBorders>
            <w:vAlign w:val="center"/>
          </w:tcPr>
          <w:p w14:paraId="1D3ABEAC">
            <w:pPr>
              <w:widowControl w:val="0"/>
              <w:spacing w:line="440" w:lineRule="exact"/>
              <w:jc w:val="center"/>
              <w:textAlignment w:val="center"/>
              <w:rPr>
                <w:rFonts w:hint="eastAsia" w:ascii="Times New Roman" w:hAnsi="Times New Roman" w:eastAsia="方正仿宋_GB2312" w:cs="方正仿宋_GB2312"/>
                <w:b/>
                <w:bCs/>
                <w:color w:val="000000" w:themeColor="text1"/>
                <w:sz w:val="24"/>
                <w:szCs w:val="24"/>
                <w:lang w:bidi="ar"/>
                <w14:textFill>
                  <w14:solidFill>
                    <w14:schemeClr w14:val="tx1"/>
                  </w14:solidFill>
                </w14:textFill>
              </w:rPr>
            </w:pPr>
          </w:p>
        </w:tc>
        <w:tc>
          <w:tcPr>
            <w:tcW w:w="7020" w:type="dxa"/>
            <w:tcBorders>
              <w:top w:val="single" w:color="auto" w:sz="4" w:space="0"/>
              <w:left w:val="single" w:color="auto" w:sz="4" w:space="0"/>
              <w:bottom w:val="single" w:color="auto" w:sz="4" w:space="0"/>
              <w:right w:val="single" w:color="auto" w:sz="4" w:space="0"/>
            </w:tcBorders>
            <w:vAlign w:val="center"/>
          </w:tcPr>
          <w:p w14:paraId="64BE4D9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建设单位在血吸虫病防治地区兴建水利、交通、旅游、能源等大型建设项目，未事先提请省级以上疾病预防控制机构进行卫生调查，或者未根据疾病预防控制机构的意见，采取必要的血吸虫病预防、控制措施，造成血吸虫病疫情扩散或者其他严重后果的。</w:t>
            </w:r>
          </w:p>
        </w:tc>
        <w:tc>
          <w:tcPr>
            <w:tcW w:w="5154" w:type="dxa"/>
            <w:tcBorders>
              <w:top w:val="single" w:color="auto" w:sz="4" w:space="0"/>
              <w:left w:val="single" w:color="auto" w:sz="4" w:space="0"/>
              <w:bottom w:val="single" w:color="auto" w:sz="4" w:space="0"/>
              <w:right w:val="single" w:color="auto" w:sz="4" w:space="0"/>
            </w:tcBorders>
            <w:vAlign w:val="center"/>
          </w:tcPr>
          <w:p w14:paraId="53BB62C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处7万元以上10万元以下的罚款，并可以提请有关人民政府依据职责权限，责令停建、关闭。</w:t>
            </w:r>
          </w:p>
        </w:tc>
      </w:tr>
    </w:tbl>
    <w:p w14:paraId="56BBCFC9">
      <w:pPr>
        <w:pStyle w:val="4"/>
        <w:widowControl w:val="0"/>
        <w:spacing w:line="480" w:lineRule="exact"/>
        <w:ind w:firstLine="640"/>
        <w:rPr>
          <w:b w:val="0"/>
          <w:color w:val="000000" w:themeColor="text1"/>
          <w14:textFill>
            <w14:solidFill>
              <w14:schemeClr w14:val="tx1"/>
            </w14:solidFill>
          </w14:textFill>
        </w:rPr>
      </w:pPr>
      <w:bookmarkStart w:id="822" w:name="_Toc15836"/>
      <w:bookmarkStart w:id="823" w:name="_Toc25066"/>
      <w:bookmarkStart w:id="824" w:name="_Toc6605"/>
      <w:bookmarkStart w:id="825" w:name="_Toc25455"/>
      <w:bookmarkStart w:id="826" w:name="_Toc18051"/>
      <w:bookmarkStart w:id="827" w:name="_Toc6949"/>
      <w:bookmarkStart w:id="828" w:name="_Toc3084"/>
      <w:bookmarkStart w:id="829" w:name="_Toc22046"/>
      <w:bookmarkStart w:id="830" w:name="_Toc13865"/>
      <w:bookmarkStart w:id="831" w:name="_Toc713"/>
      <w:bookmarkStart w:id="832" w:name="_Toc20498"/>
      <w:r>
        <w:rPr>
          <w:rFonts w:hint="eastAsia"/>
          <w:color w:val="000000" w:themeColor="text1"/>
          <w14:textFill>
            <w14:solidFill>
              <w14:schemeClr w14:val="tx1"/>
            </w14:solidFill>
          </w14:textFill>
        </w:rPr>
        <w:t>第七十三条 单位未依照本条例的规定对因生产、工作必须接触疫水的人员采取防护措施，或者未定期组织进行血吸虫病的专项体检的</w:t>
      </w:r>
      <w:bookmarkEnd w:id="822"/>
      <w:bookmarkEnd w:id="823"/>
      <w:bookmarkEnd w:id="824"/>
      <w:bookmarkEnd w:id="825"/>
      <w:bookmarkEnd w:id="826"/>
      <w:bookmarkEnd w:id="827"/>
      <w:bookmarkEnd w:id="828"/>
      <w:bookmarkEnd w:id="829"/>
      <w:bookmarkEnd w:id="830"/>
      <w:bookmarkEnd w:id="831"/>
      <w:bookmarkEnd w:id="832"/>
    </w:p>
    <w:p w14:paraId="181B25C9">
      <w:pPr>
        <w:widowControl w:val="0"/>
        <w:spacing w:after="0" w:line="4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423C8CDD">
      <w:pPr>
        <w:widowControl w:val="0"/>
        <w:spacing w:after="0" w:line="4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《血吸虫病防治条例》第五十二条第（一）项　违反本条例规定，有下列情形之一的，由县级以上人民政府卫生、农业或者兽医、水利、林业主管部门依据各自职责责令改正，给予警告，对单位处</w:t>
      </w:r>
      <w:r>
        <w:rPr>
          <w:rFonts w:ascii="Times New Roman" w:hAnsi="Times New Roman" w:eastAsia="仿宋_GB2312" w:cs="Times New Roman"/>
          <w:color w:val="000000" w:themeColor="text1"/>
          <w:sz w:val="32"/>
          <w:szCs w:val="32"/>
          <w14:textFill>
            <w14:solidFill>
              <w14:schemeClr w14:val="tx1"/>
            </w14:solidFill>
          </w14:textFill>
        </w:rPr>
        <w:t>1000</w:t>
      </w:r>
      <w:r>
        <w:rPr>
          <w:rFonts w:hint="eastAsia" w:ascii="Times New Roman" w:hAnsi="Times New Roman" w:eastAsia="仿宋_GB2312" w:cs="Times New Roman"/>
          <w:color w:val="000000" w:themeColor="text1"/>
          <w:sz w:val="32"/>
          <w:szCs w:val="32"/>
          <w14:textFill>
            <w14:solidFill>
              <w14:schemeClr w14:val="tx1"/>
            </w14:solidFill>
          </w14:textFill>
        </w:rPr>
        <w:t>元以上</w:t>
      </w:r>
      <w:r>
        <w:rPr>
          <w:rFonts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z w:val="32"/>
          <w:szCs w:val="32"/>
          <w14:textFill>
            <w14:solidFill>
              <w14:schemeClr w14:val="tx1"/>
            </w14:solidFill>
          </w14:textFill>
        </w:rPr>
        <w:t>万元以下的罚款，对个人处</w:t>
      </w:r>
      <w:r>
        <w:rPr>
          <w:rFonts w:ascii="Times New Roman" w:hAnsi="Times New Roman" w:eastAsia="仿宋_GB2312" w:cs="Times New Roman"/>
          <w:color w:val="000000" w:themeColor="text1"/>
          <w:sz w:val="32"/>
          <w:szCs w:val="32"/>
          <w14:textFill>
            <w14:solidFill>
              <w14:schemeClr w14:val="tx1"/>
            </w14:solidFill>
          </w14:textFill>
        </w:rPr>
        <w:t>50</w:t>
      </w:r>
      <w:r>
        <w:rPr>
          <w:rFonts w:hint="eastAsia" w:ascii="Times New Roman" w:hAnsi="Times New Roman" w:eastAsia="仿宋_GB2312" w:cs="Times New Roman"/>
          <w:color w:val="000000" w:themeColor="text1"/>
          <w:sz w:val="32"/>
          <w:szCs w:val="32"/>
          <w14:textFill>
            <w14:solidFill>
              <w14:schemeClr w14:val="tx1"/>
            </w14:solidFill>
          </w14:textFill>
        </w:rPr>
        <w:t>元以上</w:t>
      </w:r>
      <w:r>
        <w:rPr>
          <w:rFonts w:ascii="Times New Roman" w:hAnsi="Times New Roman" w:eastAsia="仿宋_GB2312" w:cs="Times New Roman"/>
          <w:color w:val="000000" w:themeColor="text1"/>
          <w:sz w:val="32"/>
          <w:szCs w:val="32"/>
          <w14:textFill>
            <w14:solidFill>
              <w14:schemeClr w14:val="tx1"/>
            </w14:solidFill>
          </w14:textFill>
        </w:rPr>
        <w:t>500</w:t>
      </w:r>
      <w:r>
        <w:rPr>
          <w:rFonts w:hint="eastAsia" w:ascii="Times New Roman" w:hAnsi="Times New Roman" w:eastAsia="仿宋_GB2312" w:cs="Times New Roman"/>
          <w:color w:val="000000" w:themeColor="text1"/>
          <w:sz w:val="32"/>
          <w:szCs w:val="32"/>
          <w14:textFill>
            <w14:solidFill>
              <w14:schemeClr w14:val="tx1"/>
            </w14:solidFill>
          </w14:textFill>
        </w:rPr>
        <w:t>元以下的罚款，并没收用于违法活动的工具和物品；造成血吸虫病疫情扩散或者其他严重后果的，对负有责任的主管人员和其他直接责任人员依法给予处分：</w:t>
      </w:r>
    </w:p>
    <w:p w14:paraId="61DA2158">
      <w:pPr>
        <w:widowControl w:val="0"/>
        <w:spacing w:after="0" w:line="4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（一）单位未依照本条例的规定对因生产、工作必须接触疫水的人员采取防护措施，或者未定期组织进行血吸虫病的专项体检的；</w:t>
      </w:r>
    </w:p>
    <w:p w14:paraId="161D55D3">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725"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6921"/>
        <w:gridCol w:w="1030"/>
        <w:gridCol w:w="4417"/>
      </w:tblGrid>
      <w:tr w14:paraId="4A0F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7" w:type="dxa"/>
            <w:tcBorders>
              <w:top w:val="single" w:color="auto" w:sz="4" w:space="0"/>
              <w:left w:val="single" w:color="auto" w:sz="4" w:space="0"/>
              <w:bottom w:val="single" w:color="auto" w:sz="4" w:space="0"/>
              <w:right w:val="single" w:color="auto" w:sz="4" w:space="0"/>
            </w:tcBorders>
            <w:vAlign w:val="center"/>
          </w:tcPr>
          <w:p w14:paraId="6C1B155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951" w:type="dxa"/>
            <w:gridSpan w:val="2"/>
            <w:tcBorders>
              <w:top w:val="single" w:color="auto" w:sz="4" w:space="0"/>
              <w:left w:val="single" w:color="auto" w:sz="4" w:space="0"/>
              <w:bottom w:val="single" w:color="auto" w:sz="4" w:space="0"/>
              <w:right w:val="single" w:color="auto" w:sz="4" w:space="0"/>
            </w:tcBorders>
            <w:vAlign w:val="center"/>
          </w:tcPr>
          <w:p w14:paraId="133A536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417" w:type="dxa"/>
            <w:tcBorders>
              <w:top w:val="single" w:color="auto" w:sz="4" w:space="0"/>
              <w:left w:val="single" w:color="auto" w:sz="4" w:space="0"/>
              <w:bottom w:val="single" w:color="auto" w:sz="4" w:space="0"/>
              <w:right w:val="single" w:color="auto" w:sz="4" w:space="0"/>
            </w:tcBorders>
            <w:vAlign w:val="center"/>
          </w:tcPr>
          <w:p w14:paraId="5E8D2A0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788F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357" w:type="dxa"/>
            <w:vMerge w:val="restart"/>
            <w:tcBorders>
              <w:top w:val="single" w:color="auto" w:sz="4" w:space="0"/>
              <w:left w:val="single" w:color="auto" w:sz="4" w:space="0"/>
              <w:bottom w:val="single" w:color="auto" w:sz="4" w:space="0"/>
              <w:right w:val="single" w:color="auto" w:sz="4" w:space="0"/>
            </w:tcBorders>
            <w:vAlign w:val="center"/>
          </w:tcPr>
          <w:p w14:paraId="3DCB9488">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6921" w:type="dxa"/>
            <w:vMerge w:val="restart"/>
            <w:tcBorders>
              <w:top w:val="single" w:color="auto" w:sz="4" w:space="0"/>
              <w:left w:val="single" w:color="auto" w:sz="4" w:space="0"/>
              <w:bottom w:val="single" w:color="auto" w:sz="4" w:space="0"/>
              <w:right w:val="single" w:color="auto" w:sz="4" w:space="0"/>
            </w:tcBorders>
            <w:vAlign w:val="center"/>
          </w:tcPr>
          <w:p w14:paraId="618CC842">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未规定对因生产、工作必须接触疫水的人员采取防护措施或者未定期组织进行血吸虫病的专项体检，涉及人次在5人次以下的。</w:t>
            </w:r>
          </w:p>
        </w:tc>
        <w:tc>
          <w:tcPr>
            <w:tcW w:w="1030" w:type="dxa"/>
            <w:tcBorders>
              <w:top w:val="single" w:color="auto" w:sz="4" w:space="0"/>
              <w:left w:val="single" w:color="auto" w:sz="4" w:space="0"/>
              <w:bottom w:val="single" w:color="auto" w:sz="4" w:space="0"/>
              <w:right w:val="single" w:color="auto" w:sz="4" w:space="0"/>
            </w:tcBorders>
            <w:vAlign w:val="center"/>
          </w:tcPr>
          <w:p w14:paraId="4956657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4417" w:type="dxa"/>
            <w:tcBorders>
              <w:top w:val="single" w:color="auto" w:sz="4" w:space="0"/>
              <w:left w:val="single" w:color="auto" w:sz="4" w:space="0"/>
              <w:bottom w:val="single" w:color="auto" w:sz="4" w:space="0"/>
              <w:right w:val="single" w:color="auto" w:sz="4" w:space="0"/>
            </w:tcBorders>
            <w:vAlign w:val="center"/>
          </w:tcPr>
          <w:p w14:paraId="36520D00">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警告，处50元以上185元以下罚款，没收用于违法活动的工具和物品。</w:t>
            </w:r>
          </w:p>
        </w:tc>
      </w:tr>
      <w:tr w14:paraId="2F43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357" w:type="dxa"/>
            <w:vMerge w:val="continue"/>
            <w:tcBorders>
              <w:top w:val="single" w:color="auto" w:sz="4" w:space="0"/>
              <w:left w:val="single" w:color="auto" w:sz="4" w:space="0"/>
              <w:bottom w:val="single" w:color="auto" w:sz="4" w:space="0"/>
              <w:right w:val="single" w:color="auto" w:sz="4" w:space="0"/>
            </w:tcBorders>
            <w:vAlign w:val="center"/>
          </w:tcPr>
          <w:p w14:paraId="141E0D98">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6921" w:type="dxa"/>
            <w:vMerge w:val="continue"/>
            <w:tcBorders>
              <w:top w:val="single" w:color="auto" w:sz="4" w:space="0"/>
              <w:left w:val="single" w:color="auto" w:sz="4" w:space="0"/>
              <w:bottom w:val="single" w:color="auto" w:sz="4" w:space="0"/>
              <w:right w:val="single" w:color="auto" w:sz="4" w:space="0"/>
            </w:tcBorders>
            <w:vAlign w:val="center"/>
          </w:tcPr>
          <w:p w14:paraId="7AA41B2C">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vAlign w:val="center"/>
          </w:tcPr>
          <w:p w14:paraId="5BEC7039">
            <w:pPr>
              <w:widowControl w:val="0"/>
              <w:spacing w:after="0" w:line="320" w:lineRule="exac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4417" w:type="dxa"/>
            <w:tcBorders>
              <w:top w:val="single" w:color="auto" w:sz="4" w:space="0"/>
              <w:left w:val="single" w:color="auto" w:sz="4" w:space="0"/>
              <w:bottom w:val="single" w:color="auto" w:sz="4" w:space="0"/>
              <w:right w:val="single" w:color="auto" w:sz="4" w:space="0"/>
            </w:tcBorders>
            <w:vAlign w:val="center"/>
          </w:tcPr>
          <w:p w14:paraId="3B6B43DD">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警告，罚款1000元以上3700元以下，没收用于违法活动的工具和物品。</w:t>
            </w:r>
          </w:p>
        </w:tc>
      </w:tr>
      <w:tr w14:paraId="0300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357" w:type="dxa"/>
            <w:vMerge w:val="restart"/>
            <w:tcBorders>
              <w:top w:val="single" w:color="auto" w:sz="4" w:space="0"/>
              <w:left w:val="single" w:color="auto" w:sz="4" w:space="0"/>
              <w:bottom w:val="single" w:color="auto" w:sz="4" w:space="0"/>
              <w:right w:val="single" w:color="auto" w:sz="4" w:space="0"/>
            </w:tcBorders>
            <w:vAlign w:val="center"/>
          </w:tcPr>
          <w:p w14:paraId="43E7DED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921" w:type="dxa"/>
            <w:vMerge w:val="restart"/>
            <w:tcBorders>
              <w:top w:val="single" w:color="auto" w:sz="4" w:space="0"/>
              <w:left w:val="single" w:color="auto" w:sz="4" w:space="0"/>
              <w:bottom w:val="single" w:color="auto" w:sz="4" w:space="0"/>
              <w:right w:val="single" w:color="auto" w:sz="4" w:space="0"/>
            </w:tcBorders>
            <w:vAlign w:val="center"/>
          </w:tcPr>
          <w:p w14:paraId="0B7C67B2">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未规定对因生产、工作必须接触疫水的人员采取防护措施或者未定期组织进行血吸虫病的专项体检，涉及人次在5人次以上10人次以下的。</w:t>
            </w:r>
          </w:p>
        </w:tc>
        <w:tc>
          <w:tcPr>
            <w:tcW w:w="1030" w:type="dxa"/>
            <w:tcBorders>
              <w:top w:val="single" w:color="auto" w:sz="4" w:space="0"/>
              <w:left w:val="single" w:color="auto" w:sz="4" w:space="0"/>
              <w:bottom w:val="single" w:color="auto" w:sz="4" w:space="0"/>
              <w:right w:val="single" w:color="auto" w:sz="4" w:space="0"/>
            </w:tcBorders>
            <w:vAlign w:val="center"/>
          </w:tcPr>
          <w:p w14:paraId="4E8670C8">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4417" w:type="dxa"/>
            <w:tcBorders>
              <w:top w:val="single" w:color="auto" w:sz="4" w:space="0"/>
              <w:left w:val="single" w:color="auto" w:sz="4" w:space="0"/>
              <w:bottom w:val="single" w:color="auto" w:sz="4" w:space="0"/>
              <w:right w:val="single" w:color="auto" w:sz="4" w:space="0"/>
            </w:tcBorders>
            <w:vAlign w:val="center"/>
          </w:tcPr>
          <w:p w14:paraId="578A077A">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警告，罚款185元以上365元以下，没收用于违法活动的工具和物品。</w:t>
            </w:r>
          </w:p>
        </w:tc>
      </w:tr>
      <w:tr w14:paraId="4610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357" w:type="dxa"/>
            <w:vMerge w:val="continue"/>
            <w:tcBorders>
              <w:top w:val="single" w:color="auto" w:sz="4" w:space="0"/>
              <w:left w:val="single" w:color="auto" w:sz="4" w:space="0"/>
              <w:bottom w:val="single" w:color="auto" w:sz="4" w:space="0"/>
              <w:right w:val="single" w:color="auto" w:sz="4" w:space="0"/>
            </w:tcBorders>
            <w:vAlign w:val="center"/>
          </w:tcPr>
          <w:p w14:paraId="32EAF29A">
            <w:pPr>
              <w:widowControl w:val="0"/>
              <w:adjustRightInd/>
              <w:snapToGrid/>
              <w:spacing w:after="0" w:line="440" w:lineRule="exact"/>
              <w:rPr>
                <w:rFonts w:ascii="Times New Roman" w:hAnsi="Times New Roman" w:eastAsia="仿宋_GB2312" w:cs="Times New Roman"/>
                <w:b/>
                <w:bCs/>
                <w:color w:val="000000" w:themeColor="text1"/>
                <w:sz w:val="24"/>
                <w:szCs w:val="24"/>
                <w14:textFill>
                  <w14:solidFill>
                    <w14:schemeClr w14:val="tx1"/>
                  </w14:solidFill>
                </w14:textFill>
              </w:rPr>
            </w:pPr>
          </w:p>
        </w:tc>
        <w:tc>
          <w:tcPr>
            <w:tcW w:w="6921" w:type="dxa"/>
            <w:vMerge w:val="continue"/>
            <w:tcBorders>
              <w:top w:val="single" w:color="auto" w:sz="4" w:space="0"/>
              <w:left w:val="single" w:color="auto" w:sz="4" w:space="0"/>
              <w:bottom w:val="single" w:color="auto" w:sz="4" w:space="0"/>
              <w:right w:val="single" w:color="auto" w:sz="4" w:space="0"/>
            </w:tcBorders>
            <w:vAlign w:val="center"/>
          </w:tcPr>
          <w:p w14:paraId="025CBC48">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vAlign w:val="center"/>
          </w:tcPr>
          <w:p w14:paraId="5A7E6244">
            <w:pPr>
              <w:widowControl w:val="0"/>
              <w:spacing w:after="0" w:line="320" w:lineRule="exac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4417" w:type="dxa"/>
            <w:tcBorders>
              <w:top w:val="single" w:color="auto" w:sz="4" w:space="0"/>
              <w:left w:val="single" w:color="auto" w:sz="4" w:space="0"/>
              <w:bottom w:val="single" w:color="auto" w:sz="4" w:space="0"/>
              <w:right w:val="single" w:color="auto" w:sz="4" w:space="0"/>
            </w:tcBorders>
            <w:vAlign w:val="center"/>
          </w:tcPr>
          <w:p w14:paraId="4D3F3FC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警告，罚款3700元以上7300元以下，没收用于违法活动的工具和物品。</w:t>
            </w:r>
          </w:p>
        </w:tc>
      </w:tr>
      <w:tr w14:paraId="2E10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357" w:type="dxa"/>
            <w:vMerge w:val="restart"/>
            <w:tcBorders>
              <w:top w:val="single" w:color="auto" w:sz="4" w:space="0"/>
              <w:left w:val="single" w:color="auto" w:sz="4" w:space="0"/>
              <w:bottom w:val="single" w:color="auto" w:sz="4" w:space="0"/>
              <w:right w:val="single" w:color="auto" w:sz="4" w:space="0"/>
            </w:tcBorders>
            <w:vAlign w:val="center"/>
          </w:tcPr>
          <w:p w14:paraId="175F74E5">
            <w:pPr>
              <w:widowControl w:val="0"/>
              <w:spacing w:after="0" w:line="28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6921" w:type="dxa"/>
            <w:vMerge w:val="restart"/>
            <w:tcBorders>
              <w:top w:val="single" w:color="auto" w:sz="4" w:space="0"/>
              <w:left w:val="single" w:color="auto" w:sz="4" w:space="0"/>
              <w:bottom w:val="single" w:color="auto" w:sz="4" w:space="0"/>
              <w:right w:val="single" w:color="auto" w:sz="4" w:space="0"/>
            </w:tcBorders>
            <w:vAlign w:val="center"/>
          </w:tcPr>
          <w:p w14:paraId="28939C25">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未规定对因生产、工作必须接触疫水的人员采取防护措施或者未定期组织进行血吸虫病的专项体检，涉及人次在10人以上，或造成血吸虫病疫情扩散的。</w:t>
            </w:r>
          </w:p>
        </w:tc>
        <w:tc>
          <w:tcPr>
            <w:tcW w:w="1030" w:type="dxa"/>
            <w:tcBorders>
              <w:top w:val="single" w:color="auto" w:sz="4" w:space="0"/>
              <w:left w:val="single" w:color="auto" w:sz="4" w:space="0"/>
              <w:bottom w:val="single" w:color="auto" w:sz="4" w:space="0"/>
              <w:right w:val="single" w:color="auto" w:sz="4" w:space="0"/>
            </w:tcBorders>
            <w:vAlign w:val="center"/>
          </w:tcPr>
          <w:p w14:paraId="7D9A6FA9">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4417" w:type="dxa"/>
            <w:tcBorders>
              <w:top w:val="single" w:color="auto" w:sz="4" w:space="0"/>
              <w:left w:val="single" w:color="auto" w:sz="4" w:space="0"/>
              <w:bottom w:val="single" w:color="auto" w:sz="4" w:space="0"/>
              <w:right w:val="single" w:color="auto" w:sz="4" w:space="0"/>
            </w:tcBorders>
            <w:vAlign w:val="center"/>
          </w:tcPr>
          <w:p w14:paraId="0A46C8DB">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警告，罚款365元以上500元以下，没收用于违法活动的工具和物品。</w:t>
            </w:r>
          </w:p>
        </w:tc>
      </w:tr>
      <w:tr w14:paraId="100D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357" w:type="dxa"/>
            <w:vMerge w:val="continue"/>
            <w:tcBorders>
              <w:top w:val="single" w:color="auto" w:sz="4" w:space="0"/>
              <w:left w:val="single" w:color="auto" w:sz="4" w:space="0"/>
              <w:bottom w:val="single" w:color="auto" w:sz="4" w:space="0"/>
              <w:right w:val="single" w:color="auto" w:sz="4" w:space="0"/>
            </w:tcBorders>
            <w:vAlign w:val="center"/>
          </w:tcPr>
          <w:p w14:paraId="785362D7">
            <w:pPr>
              <w:widowControl w:val="0"/>
              <w:adjustRightInd/>
              <w:snapToGrid/>
              <w:spacing w:after="0" w:line="440" w:lineRule="exact"/>
              <w:rPr>
                <w:rFonts w:ascii="Times New Roman" w:hAnsi="Times New Roman" w:eastAsia="仿宋_GB2312" w:cs="Times New Roman"/>
                <w:b/>
                <w:bCs/>
                <w:color w:val="000000" w:themeColor="text1"/>
                <w:sz w:val="24"/>
                <w:szCs w:val="24"/>
                <w14:textFill>
                  <w14:solidFill>
                    <w14:schemeClr w14:val="tx1"/>
                  </w14:solidFill>
                </w14:textFill>
              </w:rPr>
            </w:pPr>
          </w:p>
        </w:tc>
        <w:tc>
          <w:tcPr>
            <w:tcW w:w="6921" w:type="dxa"/>
            <w:vMerge w:val="continue"/>
            <w:tcBorders>
              <w:top w:val="single" w:color="auto" w:sz="4" w:space="0"/>
              <w:left w:val="single" w:color="auto" w:sz="4" w:space="0"/>
              <w:bottom w:val="single" w:color="auto" w:sz="4" w:space="0"/>
              <w:right w:val="single" w:color="auto" w:sz="4" w:space="0"/>
            </w:tcBorders>
            <w:vAlign w:val="center"/>
          </w:tcPr>
          <w:p w14:paraId="14F30F08">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vAlign w:val="center"/>
          </w:tcPr>
          <w:p w14:paraId="661DA265">
            <w:pPr>
              <w:widowControl w:val="0"/>
              <w:spacing w:after="0" w:line="320" w:lineRule="exac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4417" w:type="dxa"/>
            <w:tcBorders>
              <w:top w:val="single" w:color="auto" w:sz="4" w:space="0"/>
              <w:left w:val="single" w:color="auto" w:sz="4" w:space="0"/>
              <w:bottom w:val="single" w:color="auto" w:sz="4" w:space="0"/>
              <w:right w:val="single" w:color="auto" w:sz="4" w:space="0"/>
            </w:tcBorders>
            <w:vAlign w:val="center"/>
          </w:tcPr>
          <w:p w14:paraId="4775AE49">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警告，罚款7300元以上10000元以下，没收用于违法活动的工具和物品。</w:t>
            </w:r>
          </w:p>
        </w:tc>
      </w:tr>
    </w:tbl>
    <w:p w14:paraId="1ECB9FFF">
      <w:pPr>
        <w:pStyle w:val="4"/>
        <w:widowControl w:val="0"/>
        <w:ind w:firstLine="640"/>
        <w:rPr>
          <w:b w:val="0"/>
          <w:color w:val="000000" w:themeColor="text1"/>
          <w14:textFill>
            <w14:solidFill>
              <w14:schemeClr w14:val="tx1"/>
            </w14:solidFill>
          </w14:textFill>
        </w:rPr>
      </w:pPr>
      <w:bookmarkStart w:id="833" w:name="_Toc12451"/>
      <w:bookmarkStart w:id="834" w:name="_Toc12309"/>
      <w:bookmarkStart w:id="835" w:name="_Toc22794"/>
      <w:bookmarkStart w:id="836" w:name="_Toc1044"/>
      <w:bookmarkStart w:id="837" w:name="_Toc25674"/>
      <w:bookmarkStart w:id="838" w:name="_Toc31488"/>
      <w:bookmarkStart w:id="839" w:name="_Toc11982"/>
      <w:bookmarkStart w:id="840" w:name="_Toc8097"/>
      <w:bookmarkStart w:id="841" w:name="_Toc21747"/>
      <w:bookmarkStart w:id="842" w:name="_Toc26008"/>
      <w:bookmarkStart w:id="843" w:name="_Toc5464"/>
      <w:r>
        <w:rPr>
          <w:rFonts w:hint="eastAsia"/>
          <w:color w:val="000000" w:themeColor="text1"/>
          <w14:textFill>
            <w14:solidFill>
              <w14:schemeClr w14:val="tx1"/>
            </w14:solidFill>
          </w14:textFill>
        </w:rPr>
        <w:t>第七十四条 对政府有关部门采取的预防、控制措施不予配合的</w:t>
      </w:r>
      <w:bookmarkEnd w:id="833"/>
      <w:bookmarkEnd w:id="834"/>
      <w:bookmarkEnd w:id="835"/>
      <w:bookmarkEnd w:id="836"/>
      <w:bookmarkEnd w:id="837"/>
      <w:bookmarkEnd w:id="838"/>
      <w:bookmarkEnd w:id="839"/>
      <w:bookmarkEnd w:id="840"/>
      <w:bookmarkEnd w:id="841"/>
      <w:bookmarkEnd w:id="842"/>
      <w:bookmarkEnd w:id="843"/>
    </w:p>
    <w:p w14:paraId="029AA6F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48C9E90">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《血吸虫病防治条例》第五十二条第（二）项　</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违反本条例规定，有下列情形之一的，由县级以上人民政府卫生、农业或者兽医、水利、林业主管部门依据各自职责责令改正，给予警告，对单位处</w:t>
      </w:r>
      <w:r>
        <w:rPr>
          <w:rFonts w:ascii="Times New Roman" w:hAnsi="Times New Roman" w:eastAsia="仿宋_GB2312" w:cs="Times New Roman"/>
          <w:color w:val="000000" w:themeColor="text1"/>
          <w:sz w:val="32"/>
          <w:szCs w:val="32"/>
          <w14:textFill>
            <w14:solidFill>
              <w14:schemeClr w14:val="tx1"/>
            </w14:solidFill>
          </w14:textFill>
        </w:rPr>
        <w:t>1000</w:t>
      </w:r>
      <w:r>
        <w:rPr>
          <w:rFonts w:hint="eastAsia" w:ascii="Times New Roman" w:hAnsi="Times New Roman" w:eastAsia="仿宋_GB2312" w:cs="Times New Roman"/>
          <w:color w:val="000000" w:themeColor="text1"/>
          <w:sz w:val="32"/>
          <w:szCs w:val="32"/>
          <w14:textFill>
            <w14:solidFill>
              <w14:schemeClr w14:val="tx1"/>
            </w14:solidFill>
          </w14:textFill>
        </w:rPr>
        <w:t>元以上</w:t>
      </w:r>
      <w:r>
        <w:rPr>
          <w:rFonts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z w:val="32"/>
          <w:szCs w:val="32"/>
          <w14:textFill>
            <w14:solidFill>
              <w14:schemeClr w14:val="tx1"/>
            </w14:solidFill>
          </w14:textFill>
        </w:rPr>
        <w:t>万元以下的罚款，对个人处</w:t>
      </w:r>
      <w:r>
        <w:rPr>
          <w:rFonts w:ascii="Times New Roman" w:hAnsi="Times New Roman" w:eastAsia="仿宋_GB2312" w:cs="Times New Roman"/>
          <w:color w:val="000000" w:themeColor="text1"/>
          <w:sz w:val="32"/>
          <w:szCs w:val="32"/>
          <w14:textFill>
            <w14:solidFill>
              <w14:schemeClr w14:val="tx1"/>
            </w14:solidFill>
          </w14:textFill>
        </w:rPr>
        <w:t>50</w:t>
      </w:r>
      <w:r>
        <w:rPr>
          <w:rFonts w:hint="eastAsia" w:ascii="Times New Roman" w:hAnsi="Times New Roman" w:eastAsia="仿宋_GB2312" w:cs="Times New Roman"/>
          <w:color w:val="000000" w:themeColor="text1"/>
          <w:sz w:val="32"/>
          <w:szCs w:val="32"/>
          <w14:textFill>
            <w14:solidFill>
              <w14:schemeClr w14:val="tx1"/>
            </w14:solidFill>
          </w14:textFill>
        </w:rPr>
        <w:t>元以上</w:t>
      </w:r>
      <w:r>
        <w:rPr>
          <w:rFonts w:ascii="Times New Roman" w:hAnsi="Times New Roman" w:eastAsia="仿宋_GB2312" w:cs="Times New Roman"/>
          <w:color w:val="000000" w:themeColor="text1"/>
          <w:sz w:val="32"/>
          <w:szCs w:val="32"/>
          <w14:textFill>
            <w14:solidFill>
              <w14:schemeClr w14:val="tx1"/>
            </w14:solidFill>
          </w14:textFill>
        </w:rPr>
        <w:t>500</w:t>
      </w:r>
      <w:r>
        <w:rPr>
          <w:rFonts w:hint="eastAsia" w:ascii="Times New Roman" w:hAnsi="Times New Roman" w:eastAsia="仿宋_GB2312" w:cs="Times New Roman"/>
          <w:color w:val="000000" w:themeColor="text1"/>
          <w:sz w:val="32"/>
          <w:szCs w:val="32"/>
          <w14:textFill>
            <w14:solidFill>
              <w14:schemeClr w14:val="tx1"/>
            </w14:solidFill>
          </w14:textFill>
        </w:rPr>
        <w:t>元以下的罚款，并没收用于违法活动的工具和物品；造成血吸虫病疫情扩散或者其他严重后果的，对负有责任的主管人员和其他直接责任人员依法给予处分：</w:t>
      </w:r>
    </w:p>
    <w:p w14:paraId="43A3189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（二）对政府有关部门采取的预防、控制措施不予配合的；</w:t>
      </w:r>
    </w:p>
    <w:p w14:paraId="1EAF0FEA">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5528"/>
        <w:gridCol w:w="991"/>
        <w:gridCol w:w="5799"/>
      </w:tblGrid>
      <w:tr w14:paraId="4F84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82" w:type="dxa"/>
            <w:vAlign w:val="center"/>
          </w:tcPr>
          <w:p w14:paraId="0CA69D6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519" w:type="dxa"/>
            <w:gridSpan w:val="2"/>
            <w:vAlign w:val="center"/>
          </w:tcPr>
          <w:p w14:paraId="113E149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799" w:type="dxa"/>
            <w:vAlign w:val="center"/>
          </w:tcPr>
          <w:p w14:paraId="4EF5B40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12D8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482" w:type="dxa"/>
            <w:vMerge w:val="restart"/>
            <w:vAlign w:val="center"/>
          </w:tcPr>
          <w:p w14:paraId="6DE201A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5528" w:type="dxa"/>
            <w:vMerge w:val="restart"/>
            <w:vAlign w:val="center"/>
          </w:tcPr>
          <w:p w14:paraId="2D4E84B2">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对政府有关部门采取的预防、控制措施不予配合的。</w:t>
            </w:r>
          </w:p>
        </w:tc>
        <w:tc>
          <w:tcPr>
            <w:tcW w:w="991" w:type="dxa"/>
            <w:vAlign w:val="center"/>
          </w:tcPr>
          <w:p w14:paraId="23C04D6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5799" w:type="dxa"/>
            <w:vAlign w:val="center"/>
          </w:tcPr>
          <w:p w14:paraId="77268197">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警告，罚款50元以上185元以下，没收用于违法活动的工具和物品。</w:t>
            </w:r>
          </w:p>
        </w:tc>
      </w:tr>
      <w:tr w14:paraId="03E8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82" w:type="dxa"/>
            <w:vMerge w:val="continue"/>
            <w:vAlign w:val="center"/>
          </w:tcPr>
          <w:p w14:paraId="637CD9AC">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5528" w:type="dxa"/>
            <w:vMerge w:val="continue"/>
            <w:vAlign w:val="center"/>
          </w:tcPr>
          <w:p w14:paraId="262651DB">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991" w:type="dxa"/>
            <w:vAlign w:val="center"/>
          </w:tcPr>
          <w:p w14:paraId="5469D8E6">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5799" w:type="dxa"/>
            <w:vAlign w:val="center"/>
          </w:tcPr>
          <w:p w14:paraId="280BA6B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警告，罚款1000元以上3700元以下，没收用于违法活动的工具和物品。</w:t>
            </w:r>
          </w:p>
        </w:tc>
      </w:tr>
      <w:tr w14:paraId="3A66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482" w:type="dxa"/>
            <w:vMerge w:val="restart"/>
            <w:vAlign w:val="center"/>
          </w:tcPr>
          <w:p w14:paraId="1825FD7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528" w:type="dxa"/>
            <w:vMerge w:val="restart"/>
            <w:vAlign w:val="center"/>
          </w:tcPr>
          <w:p w14:paraId="5A6D8994">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对政府有关部门采取的预防、控制措施不予配合，逾期不改正的。</w:t>
            </w:r>
          </w:p>
        </w:tc>
        <w:tc>
          <w:tcPr>
            <w:tcW w:w="991" w:type="dxa"/>
            <w:vAlign w:val="center"/>
          </w:tcPr>
          <w:p w14:paraId="12D0CB51">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5799" w:type="dxa"/>
            <w:vAlign w:val="center"/>
          </w:tcPr>
          <w:p w14:paraId="4D5CBFE2">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警告，罚款185元以上365元以下，没收用于违法活动的工具和物品。</w:t>
            </w:r>
          </w:p>
        </w:tc>
      </w:tr>
      <w:tr w14:paraId="3930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482" w:type="dxa"/>
            <w:vMerge w:val="continue"/>
            <w:vAlign w:val="center"/>
          </w:tcPr>
          <w:p w14:paraId="2BF36670">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5528" w:type="dxa"/>
            <w:vMerge w:val="continue"/>
            <w:vAlign w:val="center"/>
          </w:tcPr>
          <w:p w14:paraId="763F8EA9">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991" w:type="dxa"/>
            <w:vAlign w:val="center"/>
          </w:tcPr>
          <w:p w14:paraId="0141F4C2">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5799" w:type="dxa"/>
            <w:vAlign w:val="center"/>
          </w:tcPr>
          <w:p w14:paraId="06E4A283">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警告，罚款3700元以上7300元以下，没收用于违法活动的工具和物品。</w:t>
            </w:r>
          </w:p>
        </w:tc>
      </w:tr>
      <w:tr w14:paraId="35E8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482" w:type="dxa"/>
            <w:vMerge w:val="restart"/>
            <w:vAlign w:val="center"/>
          </w:tcPr>
          <w:p w14:paraId="550AC7B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5528" w:type="dxa"/>
            <w:vMerge w:val="restart"/>
            <w:vAlign w:val="center"/>
          </w:tcPr>
          <w:p w14:paraId="08EF3CA4">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对政府有关部门采取的预防、控制措施不予配合，造成血吸虫病疫情扩散或者其他严重后果的。</w:t>
            </w:r>
          </w:p>
        </w:tc>
        <w:tc>
          <w:tcPr>
            <w:tcW w:w="991" w:type="dxa"/>
            <w:vAlign w:val="center"/>
          </w:tcPr>
          <w:p w14:paraId="70D029AB">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5799" w:type="dxa"/>
            <w:vAlign w:val="center"/>
          </w:tcPr>
          <w:p w14:paraId="3B8F0250">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警告，罚款365元以上500元以下，没收用于违法活动的工具和物品。</w:t>
            </w:r>
          </w:p>
        </w:tc>
      </w:tr>
      <w:tr w14:paraId="6D3A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482" w:type="dxa"/>
            <w:vMerge w:val="continue"/>
            <w:vAlign w:val="center"/>
          </w:tcPr>
          <w:p w14:paraId="1798A7AF">
            <w:pPr>
              <w:widowControl w:val="0"/>
              <w:adjustRightInd/>
              <w:snapToGrid/>
              <w:spacing w:after="0" w:line="440" w:lineRule="exact"/>
              <w:rPr>
                <w:rFonts w:ascii="Times New Roman" w:hAnsi="Times New Roman" w:eastAsia="仿宋_GB2312" w:cs="Times New Roman"/>
                <w:b/>
                <w:bCs/>
                <w:color w:val="000000" w:themeColor="text1"/>
                <w:sz w:val="24"/>
                <w:szCs w:val="24"/>
                <w14:textFill>
                  <w14:solidFill>
                    <w14:schemeClr w14:val="tx1"/>
                  </w14:solidFill>
                </w14:textFill>
              </w:rPr>
            </w:pPr>
          </w:p>
        </w:tc>
        <w:tc>
          <w:tcPr>
            <w:tcW w:w="5528" w:type="dxa"/>
            <w:vMerge w:val="continue"/>
            <w:vAlign w:val="center"/>
          </w:tcPr>
          <w:p w14:paraId="223EFEF1">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991" w:type="dxa"/>
            <w:vAlign w:val="center"/>
          </w:tcPr>
          <w:p w14:paraId="00268E5F">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5799" w:type="dxa"/>
            <w:vAlign w:val="center"/>
          </w:tcPr>
          <w:p w14:paraId="4FA332B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警告，罚款7300元以上10000元以下，没收用于违法活动的工具和物品。</w:t>
            </w:r>
          </w:p>
        </w:tc>
      </w:tr>
    </w:tbl>
    <w:p w14:paraId="591094E5">
      <w:pPr>
        <w:pStyle w:val="4"/>
        <w:widowControl w:val="0"/>
        <w:ind w:firstLine="640"/>
        <w:rPr>
          <w:color w:val="000000" w:themeColor="text1"/>
          <w:sz w:val="24"/>
          <w:szCs w:val="24"/>
          <w14:textFill>
            <w14:solidFill>
              <w14:schemeClr w14:val="tx1"/>
            </w14:solidFill>
          </w14:textFill>
        </w:rPr>
      </w:pPr>
      <w:bookmarkStart w:id="844" w:name="_Toc30805"/>
      <w:bookmarkStart w:id="845" w:name="_Toc11527"/>
      <w:bookmarkStart w:id="846" w:name="_Toc10551"/>
      <w:bookmarkStart w:id="847" w:name="_Toc13400"/>
      <w:bookmarkStart w:id="848" w:name="_Toc28072"/>
      <w:bookmarkStart w:id="849" w:name="_Toc14017"/>
      <w:bookmarkStart w:id="850" w:name="_Toc26953"/>
      <w:bookmarkStart w:id="851" w:name="_Toc18761"/>
      <w:bookmarkStart w:id="852" w:name="_Toc4528"/>
      <w:bookmarkStart w:id="853" w:name="_Toc3764"/>
      <w:bookmarkStart w:id="854" w:name="_Toc1169"/>
      <w:r>
        <w:rPr>
          <w:rFonts w:hint="eastAsia"/>
          <w:color w:val="000000" w:themeColor="text1"/>
          <w14:textFill>
            <w14:solidFill>
              <w14:schemeClr w14:val="tx1"/>
            </w14:solidFill>
          </w14:textFill>
        </w:rPr>
        <w:t>第七十五条 使用国家明令禁止使用的药物杀灭钉螺的</w:t>
      </w:r>
      <w:bookmarkEnd w:id="844"/>
      <w:bookmarkEnd w:id="845"/>
      <w:bookmarkEnd w:id="846"/>
      <w:bookmarkEnd w:id="847"/>
      <w:bookmarkEnd w:id="848"/>
      <w:bookmarkEnd w:id="849"/>
      <w:bookmarkEnd w:id="850"/>
      <w:bookmarkEnd w:id="851"/>
      <w:bookmarkEnd w:id="852"/>
      <w:bookmarkEnd w:id="853"/>
      <w:bookmarkEnd w:id="854"/>
    </w:p>
    <w:p w14:paraId="292E4188">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8FBE19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《血吸虫病防治条例》第五十二条第（三）项　</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违反本条例规定，有下列情形之一的，由县级以上人民政府卫生、农业或者兽医、水利、林业主管部门依据各自职责责令改正，给予警告，对单位处</w:t>
      </w:r>
      <w:r>
        <w:rPr>
          <w:rFonts w:ascii="Times New Roman" w:hAnsi="Times New Roman" w:eastAsia="仿宋_GB2312" w:cs="Times New Roman"/>
          <w:color w:val="000000" w:themeColor="text1"/>
          <w:sz w:val="32"/>
          <w:szCs w:val="32"/>
          <w14:textFill>
            <w14:solidFill>
              <w14:schemeClr w14:val="tx1"/>
            </w14:solidFill>
          </w14:textFill>
        </w:rPr>
        <w:t>1000</w:t>
      </w:r>
      <w:r>
        <w:rPr>
          <w:rFonts w:hint="eastAsia" w:ascii="Times New Roman" w:hAnsi="Times New Roman" w:eastAsia="仿宋_GB2312" w:cs="Times New Roman"/>
          <w:color w:val="000000" w:themeColor="text1"/>
          <w:sz w:val="32"/>
          <w:szCs w:val="32"/>
          <w14:textFill>
            <w14:solidFill>
              <w14:schemeClr w14:val="tx1"/>
            </w14:solidFill>
          </w14:textFill>
        </w:rPr>
        <w:t>元以上</w:t>
      </w:r>
      <w:r>
        <w:rPr>
          <w:rFonts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z w:val="32"/>
          <w:szCs w:val="32"/>
          <w14:textFill>
            <w14:solidFill>
              <w14:schemeClr w14:val="tx1"/>
            </w14:solidFill>
          </w14:textFill>
        </w:rPr>
        <w:t>万元以下的罚款，对个人处</w:t>
      </w:r>
      <w:r>
        <w:rPr>
          <w:rFonts w:ascii="Times New Roman" w:hAnsi="Times New Roman" w:eastAsia="仿宋_GB2312" w:cs="Times New Roman"/>
          <w:color w:val="000000" w:themeColor="text1"/>
          <w:sz w:val="32"/>
          <w:szCs w:val="32"/>
          <w14:textFill>
            <w14:solidFill>
              <w14:schemeClr w14:val="tx1"/>
            </w14:solidFill>
          </w14:textFill>
        </w:rPr>
        <w:t>50</w:t>
      </w:r>
      <w:r>
        <w:rPr>
          <w:rFonts w:hint="eastAsia" w:ascii="Times New Roman" w:hAnsi="Times New Roman" w:eastAsia="仿宋_GB2312" w:cs="Times New Roman"/>
          <w:color w:val="000000" w:themeColor="text1"/>
          <w:sz w:val="32"/>
          <w:szCs w:val="32"/>
          <w14:textFill>
            <w14:solidFill>
              <w14:schemeClr w14:val="tx1"/>
            </w14:solidFill>
          </w14:textFill>
        </w:rPr>
        <w:t>元以上</w:t>
      </w:r>
      <w:r>
        <w:rPr>
          <w:rFonts w:ascii="Times New Roman" w:hAnsi="Times New Roman" w:eastAsia="仿宋_GB2312" w:cs="Times New Roman"/>
          <w:color w:val="000000" w:themeColor="text1"/>
          <w:sz w:val="32"/>
          <w:szCs w:val="32"/>
          <w14:textFill>
            <w14:solidFill>
              <w14:schemeClr w14:val="tx1"/>
            </w14:solidFill>
          </w14:textFill>
        </w:rPr>
        <w:t>500</w:t>
      </w:r>
      <w:r>
        <w:rPr>
          <w:rFonts w:hint="eastAsia" w:ascii="Times New Roman" w:hAnsi="Times New Roman" w:eastAsia="仿宋_GB2312" w:cs="Times New Roman"/>
          <w:color w:val="000000" w:themeColor="text1"/>
          <w:sz w:val="32"/>
          <w:szCs w:val="32"/>
          <w14:textFill>
            <w14:solidFill>
              <w14:schemeClr w14:val="tx1"/>
            </w14:solidFill>
          </w14:textFill>
        </w:rPr>
        <w:t>元以下的罚款，并没收用于违法活动的工具和物品；造成血吸虫病疫情扩散或者其他严重后果的，对负有责任的主管人员和其他直接责任人员依法给予处分：</w:t>
      </w:r>
    </w:p>
    <w:p w14:paraId="2FB10547">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（三）使用国家明令禁止使用的药物杀灭钉螺的；</w:t>
      </w:r>
    </w:p>
    <w:p w14:paraId="61EB2CDA">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6240"/>
        <w:gridCol w:w="1560"/>
        <w:gridCol w:w="4544"/>
      </w:tblGrid>
      <w:tr w14:paraId="2F52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1" w:type="dxa"/>
            <w:vAlign w:val="center"/>
          </w:tcPr>
          <w:p w14:paraId="3C020BD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00" w:type="dxa"/>
            <w:gridSpan w:val="2"/>
            <w:vAlign w:val="center"/>
          </w:tcPr>
          <w:p w14:paraId="7780BCB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544" w:type="dxa"/>
            <w:vAlign w:val="center"/>
          </w:tcPr>
          <w:p w14:paraId="2E28049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7D48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501" w:type="dxa"/>
            <w:vMerge w:val="restart"/>
            <w:vAlign w:val="center"/>
          </w:tcPr>
          <w:p w14:paraId="5139E8A2">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6240" w:type="dxa"/>
            <w:vMerge w:val="restart"/>
            <w:vAlign w:val="center"/>
          </w:tcPr>
          <w:p w14:paraId="437DC5BD">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用国家明令禁止使用的药物杀灭钉螺，首次使用的。</w:t>
            </w:r>
          </w:p>
        </w:tc>
        <w:tc>
          <w:tcPr>
            <w:tcW w:w="1560" w:type="dxa"/>
            <w:vAlign w:val="center"/>
          </w:tcPr>
          <w:p w14:paraId="12517613">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4544" w:type="dxa"/>
            <w:vAlign w:val="center"/>
          </w:tcPr>
          <w:p w14:paraId="0372653D">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警告，罚款50元以上185元以下，没收用于违法活动的工具和物品。</w:t>
            </w:r>
          </w:p>
        </w:tc>
      </w:tr>
      <w:tr w14:paraId="2B66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1" w:type="dxa"/>
            <w:vMerge w:val="continue"/>
            <w:vAlign w:val="center"/>
          </w:tcPr>
          <w:p w14:paraId="21F7E180">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6240" w:type="dxa"/>
            <w:vMerge w:val="continue"/>
            <w:vAlign w:val="center"/>
          </w:tcPr>
          <w:p w14:paraId="5C4BB9BA">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1560" w:type="dxa"/>
            <w:vAlign w:val="center"/>
          </w:tcPr>
          <w:p w14:paraId="5E0B743A">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4544" w:type="dxa"/>
            <w:vAlign w:val="center"/>
          </w:tcPr>
          <w:p w14:paraId="41E950DF">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警告，罚款1000元以上3700元以下，没收用于违法活动的工具和物品。</w:t>
            </w:r>
          </w:p>
        </w:tc>
      </w:tr>
      <w:tr w14:paraId="044C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1" w:type="dxa"/>
            <w:vMerge w:val="restart"/>
            <w:vAlign w:val="center"/>
          </w:tcPr>
          <w:p w14:paraId="3B1F69E2">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240" w:type="dxa"/>
            <w:vMerge w:val="restart"/>
            <w:vAlign w:val="center"/>
          </w:tcPr>
          <w:p w14:paraId="5D8A06B2">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使用国家明令禁止使用的药物杀灭钉螺，再次使用或逾期不改正的。</w:t>
            </w:r>
          </w:p>
        </w:tc>
        <w:tc>
          <w:tcPr>
            <w:tcW w:w="1560" w:type="dxa"/>
            <w:vAlign w:val="center"/>
          </w:tcPr>
          <w:p w14:paraId="55A5037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4544" w:type="dxa"/>
            <w:vAlign w:val="center"/>
          </w:tcPr>
          <w:p w14:paraId="4F409D3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警告，罚款185元以上365元以下，没收用于违法活动的工具和物品。</w:t>
            </w:r>
          </w:p>
        </w:tc>
      </w:tr>
      <w:tr w14:paraId="684A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1" w:type="dxa"/>
            <w:vMerge w:val="continue"/>
            <w:vAlign w:val="center"/>
          </w:tcPr>
          <w:p w14:paraId="20DDF3FC">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6240" w:type="dxa"/>
            <w:vMerge w:val="continue"/>
            <w:vAlign w:val="center"/>
          </w:tcPr>
          <w:p w14:paraId="646961E8">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1560" w:type="dxa"/>
            <w:vAlign w:val="center"/>
          </w:tcPr>
          <w:p w14:paraId="2B0279D8">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4544" w:type="dxa"/>
            <w:vAlign w:val="center"/>
          </w:tcPr>
          <w:p w14:paraId="49F04A12">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警告，罚款3700元以上7300元以下，没收用于违法活动的工具和物品。</w:t>
            </w:r>
          </w:p>
        </w:tc>
      </w:tr>
      <w:tr w14:paraId="3840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1" w:type="dxa"/>
            <w:vMerge w:val="restart"/>
            <w:vAlign w:val="center"/>
          </w:tcPr>
          <w:p w14:paraId="4DF9FDB1">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6240" w:type="dxa"/>
            <w:vMerge w:val="restart"/>
            <w:vAlign w:val="center"/>
          </w:tcPr>
          <w:p w14:paraId="48C752DB">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使用国家明令禁止使用的药物杀灭钉螺，多次使用或拒不改正或造成血吸虫病疫情扩散或者其他严重后果的。</w:t>
            </w:r>
          </w:p>
        </w:tc>
        <w:tc>
          <w:tcPr>
            <w:tcW w:w="1560" w:type="dxa"/>
            <w:vAlign w:val="center"/>
          </w:tcPr>
          <w:p w14:paraId="01B0A1E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对个人</w:t>
            </w:r>
          </w:p>
        </w:tc>
        <w:tc>
          <w:tcPr>
            <w:tcW w:w="4544" w:type="dxa"/>
            <w:vAlign w:val="center"/>
          </w:tcPr>
          <w:p w14:paraId="0646E14B">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警告，罚款365元以上500元以下，没收用于违法活动的工具和物品。</w:t>
            </w:r>
          </w:p>
        </w:tc>
      </w:tr>
      <w:tr w14:paraId="0F92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1" w:type="dxa"/>
            <w:vMerge w:val="continue"/>
            <w:vAlign w:val="center"/>
          </w:tcPr>
          <w:p w14:paraId="341FF39A">
            <w:pPr>
              <w:widowControl w:val="0"/>
              <w:adjustRightInd/>
              <w:snapToGrid/>
              <w:spacing w:after="0" w:line="440" w:lineRule="exact"/>
              <w:rPr>
                <w:rFonts w:ascii="Times New Roman" w:hAnsi="Times New Roman" w:eastAsia="仿宋" w:cs="Times New Roman"/>
                <w:b/>
                <w:bCs/>
                <w:color w:val="000000" w:themeColor="text1"/>
                <w:sz w:val="24"/>
                <w:szCs w:val="24"/>
                <w14:textFill>
                  <w14:solidFill>
                    <w14:schemeClr w14:val="tx1"/>
                  </w14:solidFill>
                </w14:textFill>
              </w:rPr>
            </w:pPr>
          </w:p>
        </w:tc>
        <w:tc>
          <w:tcPr>
            <w:tcW w:w="6240" w:type="dxa"/>
            <w:vMerge w:val="continue"/>
            <w:vAlign w:val="center"/>
          </w:tcPr>
          <w:p w14:paraId="103511BC">
            <w:pPr>
              <w:widowControl w:val="0"/>
              <w:adjustRightInd/>
              <w:snapToGrid/>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1560" w:type="dxa"/>
            <w:vAlign w:val="center"/>
          </w:tcPr>
          <w:p w14:paraId="6090D74B">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对单位</w:t>
            </w:r>
          </w:p>
        </w:tc>
        <w:tc>
          <w:tcPr>
            <w:tcW w:w="4544" w:type="dxa"/>
            <w:vAlign w:val="center"/>
          </w:tcPr>
          <w:p w14:paraId="6EA927EE">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警告，罚款7300元以上10000元以下，没收用于违法活动的工具和物品。</w:t>
            </w:r>
          </w:p>
        </w:tc>
      </w:tr>
    </w:tbl>
    <w:p w14:paraId="4656F254">
      <w:pPr>
        <w:pStyle w:val="4"/>
        <w:widowControl w:val="0"/>
        <w:ind w:firstLine="640"/>
        <w:rPr>
          <w:color w:val="000000" w:themeColor="text1"/>
          <w14:textFill>
            <w14:solidFill>
              <w14:schemeClr w14:val="tx1"/>
            </w14:solidFill>
          </w14:textFill>
        </w:rPr>
      </w:pPr>
      <w:bookmarkStart w:id="855" w:name="_Toc16457"/>
      <w:bookmarkStart w:id="856" w:name="_Toc22884"/>
      <w:bookmarkStart w:id="857" w:name="_Toc26310"/>
      <w:bookmarkStart w:id="858" w:name="_Toc1484"/>
      <w:bookmarkStart w:id="859" w:name="_Toc12098"/>
      <w:bookmarkStart w:id="860" w:name="_Toc6837"/>
      <w:bookmarkStart w:id="861" w:name="_Toc13173"/>
      <w:bookmarkStart w:id="862" w:name="_Toc15838"/>
      <w:bookmarkStart w:id="863" w:name="_Toc5343"/>
      <w:bookmarkStart w:id="864" w:name="_Toc17864"/>
      <w:bookmarkStart w:id="865" w:name="_Toc17343"/>
      <w:r>
        <w:rPr>
          <w:rFonts w:hint="eastAsia"/>
          <w:color w:val="000000" w:themeColor="text1"/>
          <w14:textFill>
            <w14:solidFill>
              <w14:schemeClr w14:val="tx1"/>
            </w14:solidFill>
          </w14:textFill>
        </w:rPr>
        <w:t>第七十六条 未依照本条例规定开展血吸虫病防治工作的</w:t>
      </w:r>
      <w:bookmarkEnd w:id="855"/>
      <w:bookmarkEnd w:id="856"/>
      <w:bookmarkEnd w:id="857"/>
      <w:bookmarkEnd w:id="858"/>
      <w:bookmarkEnd w:id="859"/>
      <w:bookmarkEnd w:id="860"/>
      <w:bookmarkEnd w:id="861"/>
      <w:bookmarkEnd w:id="862"/>
      <w:bookmarkEnd w:id="863"/>
      <w:bookmarkEnd w:id="864"/>
      <w:bookmarkEnd w:id="865"/>
    </w:p>
    <w:p w14:paraId="0A4BAE0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3F6C647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《血吸虫病防治条例》第四十九条第一项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机构、疾病预防控制机构、动物防疫监督机构或者植物检疫机构违反本条例规定，有下列情形之一的，由县级以上人民政府卫生主管部门、农业或者兽医主管部门依据各自职责责令限期改正，通报批评，给予警告；逾期不改正，造成血吸虫病传播、流行或者其他严重后果的，对负有责任的主管人员和其他直接责任人员依法给予降级、撤职、开除的处分，并可以依法吊销有关责任人员的执业证书；负有责任的主管人员和其他直接责任人员构成犯罪的，依法追究刑事责任：</w:t>
      </w:r>
    </w:p>
    <w:p w14:paraId="0A39F70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（一）未依照本条例规定开展血吸虫病防治工作。</w:t>
      </w:r>
    </w:p>
    <w:tbl>
      <w:tblPr>
        <w:tblStyle w:val="24"/>
        <w:tblW w:w="13954" w:type="dxa"/>
        <w:tblInd w:w="93" w:type="dxa"/>
        <w:tblLayout w:type="autofit"/>
        <w:tblCellMar>
          <w:top w:w="0" w:type="dxa"/>
          <w:left w:w="108" w:type="dxa"/>
          <w:bottom w:w="0" w:type="dxa"/>
          <w:right w:w="108" w:type="dxa"/>
        </w:tblCellMar>
      </w:tblPr>
      <w:tblGrid>
        <w:gridCol w:w="2775"/>
        <w:gridCol w:w="7292"/>
        <w:gridCol w:w="3887"/>
      </w:tblGrid>
      <w:tr w14:paraId="56525D76">
        <w:tblPrEx>
          <w:tblCellMar>
            <w:top w:w="0" w:type="dxa"/>
            <w:left w:w="108" w:type="dxa"/>
            <w:bottom w:w="0" w:type="dxa"/>
            <w:right w:w="108" w:type="dxa"/>
          </w:tblCellMar>
        </w:tblPrEx>
        <w:trPr>
          <w:trHeight w:val="390" w:hRule="atLeast"/>
        </w:trPr>
        <w:tc>
          <w:tcPr>
            <w:tcW w:w="13954" w:type="dxa"/>
            <w:gridSpan w:val="3"/>
            <w:tcBorders>
              <w:top w:val="nil"/>
              <w:left w:val="nil"/>
              <w:bottom w:val="single" w:color="auto" w:sz="4" w:space="0"/>
              <w:right w:val="nil"/>
            </w:tcBorders>
            <w:noWrap/>
            <w:vAlign w:val="center"/>
          </w:tcPr>
          <w:p w14:paraId="73874824">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3B9710FA">
        <w:tblPrEx>
          <w:tblCellMar>
            <w:top w:w="0" w:type="dxa"/>
            <w:left w:w="108" w:type="dxa"/>
            <w:bottom w:w="0" w:type="dxa"/>
            <w:right w:w="108" w:type="dxa"/>
          </w:tblCellMar>
        </w:tblPrEx>
        <w:trPr>
          <w:trHeight w:val="680" w:hRule="atLeast"/>
        </w:trPr>
        <w:tc>
          <w:tcPr>
            <w:tcW w:w="2775" w:type="dxa"/>
            <w:tcBorders>
              <w:top w:val="single" w:color="auto" w:sz="4" w:space="0"/>
              <w:left w:val="single" w:color="auto" w:sz="4" w:space="0"/>
              <w:bottom w:val="single" w:color="auto" w:sz="4" w:space="0"/>
              <w:right w:val="single" w:color="auto" w:sz="4" w:space="0"/>
            </w:tcBorders>
            <w:vAlign w:val="center"/>
          </w:tcPr>
          <w:p w14:paraId="0A2DE28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292" w:type="dxa"/>
            <w:tcBorders>
              <w:top w:val="single" w:color="auto" w:sz="4" w:space="0"/>
              <w:left w:val="single" w:color="auto" w:sz="4" w:space="0"/>
              <w:bottom w:val="single" w:color="auto" w:sz="4" w:space="0"/>
              <w:right w:val="single" w:color="auto" w:sz="4" w:space="0"/>
            </w:tcBorders>
            <w:vAlign w:val="center"/>
          </w:tcPr>
          <w:p w14:paraId="01CE167D">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887" w:type="dxa"/>
            <w:tcBorders>
              <w:top w:val="single" w:color="auto" w:sz="4" w:space="0"/>
              <w:left w:val="single" w:color="auto" w:sz="4" w:space="0"/>
              <w:bottom w:val="single" w:color="auto" w:sz="4" w:space="0"/>
              <w:right w:val="single" w:color="auto" w:sz="4" w:space="0"/>
            </w:tcBorders>
            <w:vAlign w:val="center"/>
          </w:tcPr>
          <w:p w14:paraId="5ABBE65B">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F90DFBD">
        <w:tblPrEx>
          <w:tblCellMar>
            <w:top w:w="0" w:type="dxa"/>
            <w:left w:w="108" w:type="dxa"/>
            <w:bottom w:w="0" w:type="dxa"/>
            <w:right w:w="108" w:type="dxa"/>
          </w:tblCellMar>
        </w:tblPrEx>
        <w:trPr>
          <w:trHeight w:val="567" w:hRule="atLeast"/>
        </w:trPr>
        <w:tc>
          <w:tcPr>
            <w:tcW w:w="2775" w:type="dxa"/>
            <w:tcBorders>
              <w:top w:val="single" w:color="auto" w:sz="4" w:space="0"/>
              <w:left w:val="single" w:color="auto" w:sz="4" w:space="0"/>
              <w:bottom w:val="single" w:color="auto" w:sz="4" w:space="0"/>
              <w:right w:val="single" w:color="auto" w:sz="4" w:space="0"/>
            </w:tcBorders>
            <w:vAlign w:val="center"/>
          </w:tcPr>
          <w:p w14:paraId="3A17871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292" w:type="dxa"/>
            <w:tcBorders>
              <w:top w:val="single" w:color="auto" w:sz="4" w:space="0"/>
              <w:left w:val="single" w:color="auto" w:sz="4" w:space="0"/>
              <w:bottom w:val="single" w:color="auto" w:sz="4" w:space="0"/>
              <w:right w:val="single" w:color="auto" w:sz="4" w:space="0"/>
            </w:tcBorders>
            <w:vAlign w:val="center"/>
          </w:tcPr>
          <w:p w14:paraId="2C5492D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首次发现违法行为，未造成后果的。</w:t>
            </w:r>
          </w:p>
        </w:tc>
        <w:tc>
          <w:tcPr>
            <w:tcW w:w="3887" w:type="dxa"/>
            <w:tcBorders>
              <w:top w:val="single" w:color="auto" w:sz="4" w:space="0"/>
              <w:left w:val="single" w:color="auto" w:sz="4" w:space="0"/>
              <w:bottom w:val="single" w:color="auto" w:sz="4" w:space="0"/>
              <w:right w:val="single" w:color="auto" w:sz="4" w:space="0"/>
            </w:tcBorders>
            <w:vAlign w:val="center"/>
          </w:tcPr>
          <w:p w14:paraId="18D0A06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24E58D8D">
        <w:tblPrEx>
          <w:tblCellMar>
            <w:top w:w="0" w:type="dxa"/>
            <w:left w:w="108" w:type="dxa"/>
            <w:bottom w:w="0" w:type="dxa"/>
            <w:right w:w="108" w:type="dxa"/>
          </w:tblCellMar>
        </w:tblPrEx>
        <w:trPr>
          <w:trHeight w:val="794" w:hRule="atLeast"/>
        </w:trPr>
        <w:tc>
          <w:tcPr>
            <w:tcW w:w="2775" w:type="dxa"/>
            <w:tcBorders>
              <w:top w:val="single" w:color="auto" w:sz="4" w:space="0"/>
              <w:left w:val="single" w:color="auto" w:sz="4" w:space="0"/>
              <w:bottom w:val="single" w:color="auto" w:sz="4" w:space="0"/>
              <w:right w:val="single" w:color="auto" w:sz="4" w:space="0"/>
            </w:tcBorders>
            <w:vAlign w:val="center"/>
          </w:tcPr>
          <w:p w14:paraId="65DAAD9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292" w:type="dxa"/>
            <w:tcBorders>
              <w:top w:val="single" w:color="auto" w:sz="4" w:space="0"/>
              <w:left w:val="single" w:color="auto" w:sz="4" w:space="0"/>
              <w:bottom w:val="single" w:color="auto" w:sz="4" w:space="0"/>
              <w:right w:val="single" w:color="auto" w:sz="4" w:space="0"/>
            </w:tcBorders>
            <w:vAlign w:val="center"/>
          </w:tcPr>
          <w:p w14:paraId="6E514F2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责令限期改正后，逾期不改正，或者造成血吸虫病传播、流行或者其他严重后果的。</w:t>
            </w:r>
          </w:p>
        </w:tc>
        <w:tc>
          <w:tcPr>
            <w:tcW w:w="3887" w:type="dxa"/>
            <w:tcBorders>
              <w:top w:val="single" w:color="auto" w:sz="4" w:space="0"/>
              <w:left w:val="single" w:color="auto" w:sz="4" w:space="0"/>
              <w:bottom w:val="single" w:color="auto" w:sz="4" w:space="0"/>
              <w:right w:val="single" w:color="auto" w:sz="4" w:space="0"/>
            </w:tcBorders>
            <w:vAlign w:val="center"/>
          </w:tcPr>
          <w:p w14:paraId="4689891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通报批评，给予警告，并可以依法吊销有关责任人员的执业证书。</w:t>
            </w:r>
          </w:p>
        </w:tc>
      </w:tr>
    </w:tbl>
    <w:p w14:paraId="1F12BA35">
      <w:pPr>
        <w:pStyle w:val="4"/>
        <w:widowControl w:val="0"/>
        <w:ind w:firstLine="640"/>
        <w:rPr>
          <w:color w:val="000000" w:themeColor="text1"/>
          <w14:textFill>
            <w14:solidFill>
              <w14:schemeClr w14:val="tx1"/>
            </w14:solidFill>
          </w14:textFill>
        </w:rPr>
      </w:pPr>
      <w:bookmarkStart w:id="866" w:name="_Toc27639"/>
      <w:bookmarkStart w:id="867" w:name="_Toc21772"/>
      <w:bookmarkStart w:id="868" w:name="_Toc13515"/>
      <w:bookmarkStart w:id="869" w:name="_Toc20990"/>
      <w:bookmarkStart w:id="870" w:name="_Toc9729"/>
      <w:bookmarkStart w:id="871" w:name="_Toc26192"/>
      <w:bookmarkStart w:id="872" w:name="_Toc3930"/>
      <w:bookmarkStart w:id="873" w:name="_Toc13338"/>
      <w:bookmarkStart w:id="874" w:name="_Toc12968"/>
      <w:bookmarkStart w:id="875" w:name="_Toc4317"/>
      <w:bookmarkStart w:id="876" w:name="_Toc5195"/>
      <w:r>
        <w:rPr>
          <w:rFonts w:hint="eastAsia"/>
          <w:color w:val="000000" w:themeColor="text1"/>
          <w14:textFill>
            <w14:solidFill>
              <w14:schemeClr w14:val="tx1"/>
            </w14:solidFill>
          </w14:textFill>
        </w:rPr>
        <w:t>第七十七条 未定期对其工作人员进行血吸虫病防治知识、技能培训和考核</w:t>
      </w:r>
      <w:bookmarkEnd w:id="866"/>
      <w:bookmarkEnd w:id="867"/>
      <w:bookmarkEnd w:id="868"/>
      <w:bookmarkEnd w:id="869"/>
      <w:bookmarkEnd w:id="870"/>
      <w:bookmarkEnd w:id="871"/>
      <w:bookmarkEnd w:id="872"/>
      <w:bookmarkEnd w:id="873"/>
      <w:bookmarkEnd w:id="874"/>
      <w:bookmarkEnd w:id="875"/>
      <w:bookmarkEnd w:id="876"/>
    </w:p>
    <w:p w14:paraId="0F9B7DD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B6B080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《血吸虫病防治条例》第四十九条第二项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机构、疾病预防控制机构、动物防疫监督机构或者植物检疫机构违反本条例规定，有下列情形之一的，由县级以上人民政府卫生主管部门、农业或者兽医主管部门依据各自职责责令限期改正，通报批评，给予警告；逾期不改正，造成血吸虫病传播、流行或者其他严重后果的，对负有责任的主管人员和其他直接责任人员依法给予降级、撤职、开除的处分，并可以依法吊销有关责任人员的执业证书；负有责任的主管人员和其他直接责任人员构成犯罪的，依法追究刑事责任：</w:t>
      </w:r>
    </w:p>
    <w:p w14:paraId="577D5D0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（二）未定期对其工作人员进行血吸虫病防治知识、技能培训和考核。</w:t>
      </w:r>
    </w:p>
    <w:tbl>
      <w:tblPr>
        <w:tblStyle w:val="24"/>
        <w:tblW w:w="13792" w:type="dxa"/>
        <w:tblInd w:w="93" w:type="dxa"/>
        <w:tblLayout w:type="autofit"/>
        <w:tblCellMar>
          <w:top w:w="0" w:type="dxa"/>
          <w:left w:w="108" w:type="dxa"/>
          <w:bottom w:w="0" w:type="dxa"/>
          <w:right w:w="108" w:type="dxa"/>
        </w:tblCellMar>
      </w:tblPr>
      <w:tblGrid>
        <w:gridCol w:w="2775"/>
        <w:gridCol w:w="6254"/>
        <w:gridCol w:w="4763"/>
      </w:tblGrid>
      <w:tr w14:paraId="03302713">
        <w:tblPrEx>
          <w:tblCellMar>
            <w:top w:w="0" w:type="dxa"/>
            <w:left w:w="108" w:type="dxa"/>
            <w:bottom w:w="0" w:type="dxa"/>
            <w:right w:w="108" w:type="dxa"/>
          </w:tblCellMar>
        </w:tblPrEx>
        <w:trPr>
          <w:trHeight w:val="390" w:hRule="atLeast"/>
        </w:trPr>
        <w:tc>
          <w:tcPr>
            <w:tcW w:w="13792" w:type="dxa"/>
            <w:gridSpan w:val="3"/>
            <w:tcBorders>
              <w:top w:val="nil"/>
              <w:left w:val="nil"/>
              <w:bottom w:val="single" w:color="auto" w:sz="4" w:space="0"/>
              <w:right w:val="nil"/>
            </w:tcBorders>
            <w:noWrap/>
            <w:vAlign w:val="center"/>
          </w:tcPr>
          <w:p w14:paraId="7A2306F3">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4B35562A">
        <w:tblPrEx>
          <w:tblCellMar>
            <w:top w:w="0" w:type="dxa"/>
            <w:left w:w="108" w:type="dxa"/>
            <w:bottom w:w="0" w:type="dxa"/>
            <w:right w:w="108" w:type="dxa"/>
          </w:tblCellMar>
        </w:tblPrEx>
        <w:trPr>
          <w:trHeight w:val="680" w:hRule="atLeast"/>
        </w:trPr>
        <w:tc>
          <w:tcPr>
            <w:tcW w:w="2775" w:type="dxa"/>
            <w:tcBorders>
              <w:top w:val="single" w:color="auto" w:sz="4" w:space="0"/>
              <w:left w:val="single" w:color="auto" w:sz="4" w:space="0"/>
              <w:bottom w:val="single" w:color="auto" w:sz="4" w:space="0"/>
              <w:right w:val="single" w:color="auto" w:sz="4" w:space="0"/>
            </w:tcBorders>
            <w:vAlign w:val="center"/>
          </w:tcPr>
          <w:p w14:paraId="4AA2778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254" w:type="dxa"/>
            <w:tcBorders>
              <w:top w:val="single" w:color="auto" w:sz="4" w:space="0"/>
              <w:left w:val="single" w:color="auto" w:sz="4" w:space="0"/>
              <w:bottom w:val="single" w:color="auto" w:sz="4" w:space="0"/>
              <w:right w:val="single" w:color="auto" w:sz="4" w:space="0"/>
            </w:tcBorders>
            <w:vAlign w:val="center"/>
          </w:tcPr>
          <w:p w14:paraId="2880C9E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63" w:type="dxa"/>
            <w:tcBorders>
              <w:top w:val="single" w:color="auto" w:sz="4" w:space="0"/>
              <w:left w:val="single" w:color="auto" w:sz="4" w:space="0"/>
              <w:bottom w:val="single" w:color="auto" w:sz="4" w:space="0"/>
              <w:right w:val="single" w:color="auto" w:sz="4" w:space="0"/>
            </w:tcBorders>
            <w:vAlign w:val="center"/>
          </w:tcPr>
          <w:p w14:paraId="6CE16FC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DD41D30">
        <w:tblPrEx>
          <w:tblCellMar>
            <w:top w:w="0" w:type="dxa"/>
            <w:left w:w="108" w:type="dxa"/>
            <w:bottom w:w="0" w:type="dxa"/>
            <w:right w:w="108" w:type="dxa"/>
          </w:tblCellMar>
        </w:tblPrEx>
        <w:trPr>
          <w:trHeight w:val="680" w:hRule="atLeast"/>
        </w:trPr>
        <w:tc>
          <w:tcPr>
            <w:tcW w:w="2775" w:type="dxa"/>
            <w:tcBorders>
              <w:top w:val="single" w:color="auto" w:sz="4" w:space="0"/>
              <w:left w:val="single" w:color="auto" w:sz="4" w:space="0"/>
              <w:bottom w:val="single" w:color="auto" w:sz="4" w:space="0"/>
              <w:right w:val="single" w:color="auto" w:sz="4" w:space="0"/>
            </w:tcBorders>
            <w:vAlign w:val="center"/>
          </w:tcPr>
          <w:p w14:paraId="0960696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254" w:type="dxa"/>
            <w:tcBorders>
              <w:top w:val="single" w:color="auto" w:sz="4" w:space="0"/>
              <w:left w:val="single" w:color="auto" w:sz="4" w:space="0"/>
              <w:bottom w:val="single" w:color="auto" w:sz="4" w:space="0"/>
              <w:right w:val="single" w:color="auto" w:sz="4" w:space="0"/>
            </w:tcBorders>
            <w:vAlign w:val="center"/>
          </w:tcPr>
          <w:p w14:paraId="066D88D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首次发现违法行为，未造成后果的。</w:t>
            </w:r>
          </w:p>
        </w:tc>
        <w:tc>
          <w:tcPr>
            <w:tcW w:w="4763" w:type="dxa"/>
            <w:tcBorders>
              <w:top w:val="single" w:color="auto" w:sz="4" w:space="0"/>
              <w:left w:val="single" w:color="auto" w:sz="4" w:space="0"/>
              <w:bottom w:val="single" w:color="auto" w:sz="4" w:space="0"/>
              <w:right w:val="single" w:color="auto" w:sz="4" w:space="0"/>
            </w:tcBorders>
            <w:vAlign w:val="center"/>
          </w:tcPr>
          <w:p w14:paraId="0EA3A85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4F90BEE2">
        <w:tblPrEx>
          <w:tblCellMar>
            <w:top w:w="0" w:type="dxa"/>
            <w:left w:w="108" w:type="dxa"/>
            <w:bottom w:w="0" w:type="dxa"/>
            <w:right w:w="108" w:type="dxa"/>
          </w:tblCellMar>
        </w:tblPrEx>
        <w:trPr>
          <w:trHeight w:val="907" w:hRule="atLeast"/>
        </w:trPr>
        <w:tc>
          <w:tcPr>
            <w:tcW w:w="2775" w:type="dxa"/>
            <w:tcBorders>
              <w:top w:val="single" w:color="auto" w:sz="4" w:space="0"/>
              <w:left w:val="single" w:color="auto" w:sz="4" w:space="0"/>
              <w:bottom w:val="single" w:color="auto" w:sz="4" w:space="0"/>
              <w:right w:val="single" w:color="auto" w:sz="4" w:space="0"/>
            </w:tcBorders>
            <w:vAlign w:val="center"/>
          </w:tcPr>
          <w:p w14:paraId="0E627C0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254" w:type="dxa"/>
            <w:tcBorders>
              <w:top w:val="single" w:color="auto" w:sz="4" w:space="0"/>
              <w:left w:val="single" w:color="auto" w:sz="4" w:space="0"/>
              <w:bottom w:val="single" w:color="auto" w:sz="4" w:space="0"/>
              <w:right w:val="single" w:color="auto" w:sz="4" w:space="0"/>
            </w:tcBorders>
            <w:vAlign w:val="center"/>
          </w:tcPr>
          <w:p w14:paraId="2C7FF96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责令限期改正后，逾期不改正，或者造成血吸虫病传播、流行或者其他严重后果的。</w:t>
            </w:r>
          </w:p>
        </w:tc>
        <w:tc>
          <w:tcPr>
            <w:tcW w:w="4763" w:type="dxa"/>
            <w:tcBorders>
              <w:top w:val="single" w:color="auto" w:sz="4" w:space="0"/>
              <w:left w:val="single" w:color="auto" w:sz="4" w:space="0"/>
              <w:bottom w:val="single" w:color="auto" w:sz="4" w:space="0"/>
              <w:right w:val="single" w:color="auto" w:sz="4" w:space="0"/>
            </w:tcBorders>
            <w:vAlign w:val="center"/>
          </w:tcPr>
          <w:p w14:paraId="0B8385E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通报批评，给予警告，并可以依法吊销有关责任人员的执业证书。</w:t>
            </w:r>
          </w:p>
        </w:tc>
      </w:tr>
    </w:tbl>
    <w:p w14:paraId="72404175">
      <w:pPr>
        <w:pStyle w:val="4"/>
        <w:widowControl w:val="0"/>
        <w:ind w:firstLine="640"/>
        <w:rPr>
          <w:color w:val="000000" w:themeColor="text1"/>
          <w14:textFill>
            <w14:solidFill>
              <w14:schemeClr w14:val="tx1"/>
            </w14:solidFill>
          </w14:textFill>
        </w:rPr>
      </w:pPr>
      <w:bookmarkStart w:id="877" w:name="_Toc21374"/>
      <w:bookmarkStart w:id="878" w:name="_Toc17485"/>
      <w:bookmarkStart w:id="879" w:name="_Toc26717"/>
      <w:bookmarkStart w:id="880" w:name="_Toc13483"/>
      <w:bookmarkStart w:id="881" w:name="_Toc13095"/>
      <w:bookmarkStart w:id="882" w:name="_Toc28340"/>
      <w:bookmarkStart w:id="883" w:name="_Toc30102"/>
      <w:bookmarkStart w:id="884" w:name="_Toc28439"/>
      <w:bookmarkStart w:id="885" w:name="_Toc557"/>
      <w:bookmarkStart w:id="886" w:name="_Toc10620"/>
      <w:bookmarkStart w:id="887" w:name="_Toc28576"/>
      <w:r>
        <w:rPr>
          <w:rFonts w:hint="eastAsia"/>
          <w:color w:val="000000" w:themeColor="text1"/>
          <w14:textFill>
            <w14:solidFill>
              <w14:schemeClr w14:val="tx1"/>
            </w14:solidFill>
          </w14:textFill>
        </w:rPr>
        <w:t>第七十八条 发现急性血吸虫病疫情或者接到急性血吸虫病暴发、流行报告时，未及时采取措施</w:t>
      </w:r>
      <w:bookmarkEnd w:id="877"/>
      <w:bookmarkEnd w:id="878"/>
      <w:bookmarkEnd w:id="879"/>
      <w:bookmarkEnd w:id="880"/>
      <w:bookmarkEnd w:id="881"/>
      <w:bookmarkEnd w:id="882"/>
      <w:bookmarkEnd w:id="883"/>
      <w:bookmarkEnd w:id="884"/>
      <w:bookmarkEnd w:id="885"/>
      <w:bookmarkEnd w:id="886"/>
      <w:bookmarkEnd w:id="887"/>
    </w:p>
    <w:p w14:paraId="4FE7963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12951CD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《血吸虫病防治条例》第四十九条第三项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机构、疾病预防控制机构、动物防疫监督机构或者植物检疫机构违反本条例规定，有下列情形之一的，由县级以上人民政府卫生主管部门、农业或者兽医主管部门依据各自职责责令限期改正，通报批评，给予警告；逾期不改正，造成血吸虫病传播、流行或者其他严重后果的，对负有责任的主管人员和其他直接责任人员依法给予降级、撤职、开除的处分，并可以依法吊销有关责任人员的执业证书；负有责任的主管人员和其他直接责任人员构成犯罪的，依法追究刑事责任：</w:t>
      </w:r>
    </w:p>
    <w:p w14:paraId="35668CB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（三）发现急性血吸虫病疫情或者接到急性血吸虫病暴发、流行报告时，未及时采取措施。</w:t>
      </w:r>
    </w:p>
    <w:tbl>
      <w:tblPr>
        <w:tblStyle w:val="24"/>
        <w:tblW w:w="13742" w:type="dxa"/>
        <w:tblInd w:w="93" w:type="dxa"/>
        <w:tblLayout w:type="autofit"/>
        <w:tblCellMar>
          <w:top w:w="0" w:type="dxa"/>
          <w:left w:w="108" w:type="dxa"/>
          <w:bottom w:w="0" w:type="dxa"/>
          <w:right w:w="108" w:type="dxa"/>
        </w:tblCellMar>
      </w:tblPr>
      <w:tblGrid>
        <w:gridCol w:w="2773"/>
        <w:gridCol w:w="6131"/>
        <w:gridCol w:w="4838"/>
      </w:tblGrid>
      <w:tr w14:paraId="14C6BC70">
        <w:tblPrEx>
          <w:tblCellMar>
            <w:top w:w="0" w:type="dxa"/>
            <w:left w:w="108" w:type="dxa"/>
            <w:bottom w:w="0" w:type="dxa"/>
            <w:right w:w="108" w:type="dxa"/>
          </w:tblCellMar>
        </w:tblPrEx>
        <w:trPr>
          <w:trHeight w:val="390" w:hRule="atLeast"/>
        </w:trPr>
        <w:tc>
          <w:tcPr>
            <w:tcW w:w="13742" w:type="dxa"/>
            <w:gridSpan w:val="3"/>
            <w:tcBorders>
              <w:top w:val="nil"/>
              <w:left w:val="nil"/>
              <w:bottom w:val="single" w:color="auto" w:sz="4" w:space="0"/>
              <w:right w:val="nil"/>
            </w:tcBorders>
            <w:noWrap/>
            <w:vAlign w:val="center"/>
          </w:tcPr>
          <w:p w14:paraId="6B3332DF">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1F4D53CC">
        <w:tblPrEx>
          <w:tblCellMar>
            <w:top w:w="0" w:type="dxa"/>
            <w:left w:w="108" w:type="dxa"/>
            <w:bottom w:w="0" w:type="dxa"/>
            <w:right w:w="108" w:type="dxa"/>
          </w:tblCellMar>
        </w:tblPrEx>
        <w:trPr>
          <w:trHeight w:val="624" w:hRule="atLeast"/>
        </w:trPr>
        <w:tc>
          <w:tcPr>
            <w:tcW w:w="2773" w:type="dxa"/>
            <w:tcBorders>
              <w:top w:val="single" w:color="auto" w:sz="4" w:space="0"/>
              <w:left w:val="single" w:color="auto" w:sz="4" w:space="0"/>
              <w:bottom w:val="single" w:color="auto" w:sz="4" w:space="0"/>
              <w:right w:val="single" w:color="auto" w:sz="4" w:space="0"/>
            </w:tcBorders>
            <w:vAlign w:val="center"/>
          </w:tcPr>
          <w:p w14:paraId="550F5FE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131" w:type="dxa"/>
            <w:tcBorders>
              <w:top w:val="single" w:color="auto" w:sz="4" w:space="0"/>
              <w:left w:val="single" w:color="auto" w:sz="4" w:space="0"/>
              <w:bottom w:val="single" w:color="auto" w:sz="4" w:space="0"/>
              <w:right w:val="single" w:color="auto" w:sz="4" w:space="0"/>
            </w:tcBorders>
            <w:vAlign w:val="center"/>
          </w:tcPr>
          <w:p w14:paraId="032A180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838" w:type="dxa"/>
            <w:tcBorders>
              <w:top w:val="single" w:color="auto" w:sz="4" w:space="0"/>
              <w:left w:val="single" w:color="auto" w:sz="4" w:space="0"/>
              <w:bottom w:val="single" w:color="auto" w:sz="4" w:space="0"/>
              <w:right w:val="single" w:color="auto" w:sz="4" w:space="0"/>
            </w:tcBorders>
            <w:vAlign w:val="center"/>
          </w:tcPr>
          <w:p w14:paraId="286E974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361FBC0">
        <w:tblPrEx>
          <w:tblCellMar>
            <w:top w:w="0" w:type="dxa"/>
            <w:left w:w="108" w:type="dxa"/>
            <w:bottom w:w="0" w:type="dxa"/>
            <w:right w:w="108" w:type="dxa"/>
          </w:tblCellMar>
        </w:tblPrEx>
        <w:trPr>
          <w:trHeight w:val="390" w:hRule="atLeast"/>
        </w:trPr>
        <w:tc>
          <w:tcPr>
            <w:tcW w:w="2773" w:type="dxa"/>
            <w:tcBorders>
              <w:top w:val="single" w:color="auto" w:sz="4" w:space="0"/>
              <w:left w:val="single" w:color="auto" w:sz="4" w:space="0"/>
              <w:bottom w:val="single" w:color="auto" w:sz="4" w:space="0"/>
              <w:right w:val="single" w:color="auto" w:sz="4" w:space="0"/>
            </w:tcBorders>
            <w:vAlign w:val="center"/>
          </w:tcPr>
          <w:p w14:paraId="27F2C107">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131" w:type="dxa"/>
            <w:tcBorders>
              <w:top w:val="single" w:color="auto" w:sz="4" w:space="0"/>
              <w:left w:val="single" w:color="auto" w:sz="4" w:space="0"/>
              <w:bottom w:val="single" w:color="auto" w:sz="4" w:space="0"/>
              <w:right w:val="single" w:color="auto" w:sz="4" w:space="0"/>
            </w:tcBorders>
            <w:vAlign w:val="center"/>
          </w:tcPr>
          <w:p w14:paraId="590FF60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首次发现违法行为，未造成后果的。</w:t>
            </w:r>
          </w:p>
        </w:tc>
        <w:tc>
          <w:tcPr>
            <w:tcW w:w="4838" w:type="dxa"/>
            <w:tcBorders>
              <w:top w:val="single" w:color="auto" w:sz="4" w:space="0"/>
              <w:left w:val="single" w:color="auto" w:sz="4" w:space="0"/>
              <w:bottom w:val="single" w:color="auto" w:sz="4" w:space="0"/>
              <w:right w:val="single" w:color="auto" w:sz="4" w:space="0"/>
            </w:tcBorders>
            <w:vAlign w:val="center"/>
          </w:tcPr>
          <w:p w14:paraId="190B184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29C7012F">
        <w:tblPrEx>
          <w:tblCellMar>
            <w:top w:w="0" w:type="dxa"/>
            <w:left w:w="108" w:type="dxa"/>
            <w:bottom w:w="0" w:type="dxa"/>
            <w:right w:w="108" w:type="dxa"/>
          </w:tblCellMar>
        </w:tblPrEx>
        <w:trPr>
          <w:trHeight w:val="737" w:hRule="atLeast"/>
        </w:trPr>
        <w:tc>
          <w:tcPr>
            <w:tcW w:w="2773" w:type="dxa"/>
            <w:tcBorders>
              <w:top w:val="single" w:color="auto" w:sz="4" w:space="0"/>
              <w:left w:val="single" w:color="auto" w:sz="4" w:space="0"/>
              <w:bottom w:val="single" w:color="auto" w:sz="4" w:space="0"/>
              <w:right w:val="single" w:color="auto" w:sz="4" w:space="0"/>
            </w:tcBorders>
            <w:vAlign w:val="center"/>
          </w:tcPr>
          <w:p w14:paraId="30A2FAA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131" w:type="dxa"/>
            <w:tcBorders>
              <w:top w:val="single" w:color="auto" w:sz="4" w:space="0"/>
              <w:left w:val="single" w:color="auto" w:sz="4" w:space="0"/>
              <w:bottom w:val="single" w:color="auto" w:sz="4" w:space="0"/>
              <w:right w:val="single" w:color="auto" w:sz="4" w:space="0"/>
            </w:tcBorders>
            <w:vAlign w:val="center"/>
          </w:tcPr>
          <w:p w14:paraId="1EAD872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责令限期改正后，逾期不改正，造成血吸虫病传播、流行或者其他严重后果的。</w:t>
            </w:r>
          </w:p>
        </w:tc>
        <w:tc>
          <w:tcPr>
            <w:tcW w:w="4838" w:type="dxa"/>
            <w:tcBorders>
              <w:top w:val="single" w:color="auto" w:sz="4" w:space="0"/>
              <w:left w:val="single" w:color="auto" w:sz="4" w:space="0"/>
              <w:bottom w:val="single" w:color="auto" w:sz="4" w:space="0"/>
              <w:right w:val="single" w:color="auto" w:sz="4" w:space="0"/>
            </w:tcBorders>
            <w:vAlign w:val="center"/>
          </w:tcPr>
          <w:p w14:paraId="34AAD39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通报批评，给予警告，并可以依法吊销有关责任人员的执业证书。</w:t>
            </w:r>
          </w:p>
        </w:tc>
      </w:tr>
    </w:tbl>
    <w:p w14:paraId="4A1E4729">
      <w:pPr>
        <w:pStyle w:val="3"/>
        <w:keepNext w:val="0"/>
        <w:keepLines w:val="0"/>
        <w:widowControl w:val="0"/>
        <w:spacing w:before="0" w:after="0" w:line="460" w:lineRule="exact"/>
        <w:ind w:firstLine="643" w:firstLineChars="200"/>
        <w:jc w:val="both"/>
        <w:rPr>
          <w:rFonts w:ascii="Times New Roman" w:hAnsi="Times New Roman" w:eastAsia="楷体_GB2312"/>
          <w:color w:val="000000" w:themeColor="text1"/>
          <w14:textFill>
            <w14:solidFill>
              <w14:schemeClr w14:val="tx1"/>
            </w14:solidFill>
          </w14:textFill>
        </w:rPr>
      </w:pPr>
      <w:bookmarkStart w:id="888" w:name="_Toc22508"/>
      <w:bookmarkStart w:id="889" w:name="_Toc10824"/>
      <w:bookmarkStart w:id="890" w:name="_Toc908"/>
      <w:bookmarkStart w:id="891" w:name="_Toc8227"/>
      <w:bookmarkStart w:id="892" w:name="_Toc12242"/>
      <w:bookmarkStart w:id="893" w:name="_Toc15378"/>
      <w:bookmarkStart w:id="894" w:name="_Toc3371"/>
      <w:bookmarkStart w:id="895" w:name="_Toc32462"/>
      <w:bookmarkStart w:id="896" w:name="_Toc8033"/>
      <w:bookmarkStart w:id="897" w:name="_Toc21894"/>
      <w:bookmarkStart w:id="898" w:name="_Toc15722"/>
      <w:bookmarkStart w:id="899" w:name="_Toc19984"/>
      <w:bookmarkStart w:id="900" w:name="_Toc21736"/>
      <w:r>
        <w:rPr>
          <w:rFonts w:hint="eastAsia" w:ascii="Times New Roman" w:hAnsi="Times New Roman" w:eastAsia="楷体_GB2312"/>
          <w:color w:val="000000" w:themeColor="text1"/>
          <w14:textFill>
            <w14:solidFill>
              <w14:schemeClr w14:val="tx1"/>
            </w14:solidFill>
          </w14:textFill>
        </w:rPr>
        <w:t>（八）《医疗废物管理条例》、《医疗卫生机构医疗废物管理办法》及《医疗废物管理行政处罚办法》</w:t>
      </w:r>
      <w:bookmarkEnd w:id="888"/>
      <w:bookmarkEnd w:id="889"/>
      <w:bookmarkEnd w:id="890"/>
      <w:bookmarkEnd w:id="891"/>
      <w:bookmarkEnd w:id="892"/>
      <w:bookmarkEnd w:id="893"/>
      <w:bookmarkEnd w:id="894"/>
      <w:bookmarkEnd w:id="895"/>
      <w:bookmarkEnd w:id="896"/>
      <w:bookmarkEnd w:id="897"/>
      <w:bookmarkEnd w:id="898"/>
      <w:bookmarkEnd w:id="899"/>
      <w:bookmarkEnd w:id="900"/>
    </w:p>
    <w:p w14:paraId="2CF83C31">
      <w:pPr>
        <w:pStyle w:val="4"/>
        <w:widowControl w:val="0"/>
        <w:spacing w:line="460" w:lineRule="exact"/>
        <w:ind w:firstLine="640"/>
        <w:jc w:val="both"/>
        <w:rPr>
          <w:color w:val="000000" w:themeColor="text1"/>
          <w14:textFill>
            <w14:solidFill>
              <w14:schemeClr w14:val="tx1"/>
            </w14:solidFill>
          </w14:textFill>
        </w:rPr>
      </w:pPr>
      <w:bookmarkStart w:id="901" w:name="_Toc16023"/>
      <w:bookmarkStart w:id="902" w:name="_Toc9060"/>
      <w:bookmarkStart w:id="903" w:name="_Toc29610"/>
      <w:bookmarkStart w:id="904" w:name="_Toc28733"/>
      <w:bookmarkStart w:id="905" w:name="_Toc22396"/>
      <w:bookmarkStart w:id="906" w:name="_Toc29103"/>
      <w:bookmarkStart w:id="907" w:name="_Toc2108"/>
      <w:bookmarkStart w:id="908" w:name="_Toc29325"/>
      <w:bookmarkStart w:id="909" w:name="_Toc7331"/>
      <w:bookmarkStart w:id="910" w:name="_Toc23195"/>
      <w:bookmarkStart w:id="911" w:name="_Toc32668"/>
      <w:r>
        <w:rPr>
          <w:rFonts w:hint="eastAsia"/>
          <w:color w:val="000000" w:themeColor="text1"/>
          <w14:textFill>
            <w14:solidFill>
              <w14:schemeClr w14:val="tx1"/>
            </w14:solidFill>
          </w14:textFill>
        </w:rPr>
        <w:t>第七十九条 医疗卫生机构未建立、健全医疗废物管理制度，或者未设置监控部门或者专（兼）职人员的</w:t>
      </w:r>
      <w:bookmarkEnd w:id="901"/>
      <w:bookmarkEnd w:id="902"/>
      <w:bookmarkEnd w:id="903"/>
      <w:bookmarkEnd w:id="904"/>
      <w:bookmarkEnd w:id="905"/>
      <w:bookmarkEnd w:id="906"/>
      <w:bookmarkEnd w:id="907"/>
      <w:bookmarkEnd w:id="908"/>
      <w:bookmarkEnd w:id="909"/>
      <w:bookmarkEnd w:id="910"/>
      <w:bookmarkEnd w:id="911"/>
    </w:p>
    <w:p w14:paraId="2591394A">
      <w:pPr>
        <w:widowControl w:val="0"/>
        <w:spacing w:after="0" w:line="46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法律依据： </w:t>
      </w:r>
    </w:p>
    <w:p w14:paraId="218F87AD">
      <w:pPr>
        <w:widowControl w:val="0"/>
        <w:spacing w:after="0" w:line="46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《医疗废物管理条例》第四十五条第（一）项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 </w:t>
      </w:r>
    </w:p>
    <w:p w14:paraId="3E2DEFDA">
      <w:pPr>
        <w:widowControl w:val="0"/>
        <w:numPr>
          <w:ilvl w:val="0"/>
          <w:numId w:val="2"/>
        </w:numPr>
        <w:spacing w:after="0" w:line="460" w:lineRule="exact"/>
        <w:ind w:firstLine="640" w:firstLineChars="200"/>
        <w:jc w:val="both"/>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未建立、健全医疗废物管理制度，或者未设置监控部门或者专（兼）职人员的；</w:t>
      </w:r>
    </w:p>
    <w:p w14:paraId="235C9D15">
      <w:pPr>
        <w:widowControl w:val="0"/>
        <w:spacing w:after="0" w:line="46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《医疗废物管理条例》第八条　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5F56BDEB">
      <w:pPr>
        <w:widowControl w:val="0"/>
        <w:spacing w:after="0" w:line="46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《医疗卫生机构医疗废物管理办法》第三十九条第（一）项　医疗卫生机构违反《医疗废物管理条例》及本办法规定，有下列情形之一的，由县级以上地方人民政府卫生行政主管部门责令限期改正、给予警告；逾期不改正的，处以2000元以上5000元以下的罚款：</w:t>
      </w:r>
    </w:p>
    <w:p w14:paraId="0A7C5B41">
      <w:pPr>
        <w:widowControl w:val="0"/>
        <w:spacing w:after="0" w:line="46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（一）未建立、健全医疗废物管理制度，或者未设置监控部门或者专（兼）职人员的；</w:t>
      </w:r>
    </w:p>
    <w:p w14:paraId="0088EBAA">
      <w:pPr>
        <w:widowControl w:val="0"/>
        <w:spacing w:after="0" w:line="47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《医疗卫生机构医疗废物管理办法》第五条　医疗卫生机构应当依据国家有关法律、行政法规、部门规章和规范性文件的规定，制定并落实医疗废物管理的规章制度、工作流程和要求、有关人员的工作职责及发生医疗卫生机构内医疗废物流失、泄漏、扩散和意外事故的应急方案。内容包括：（一）医疗卫生机构内医疗废物各产生地点对医疗废物分类收集方法和工作要求；（二）医疗卫生机构内医疗废物的产生地点、暂时贮存地点的工作制度及从产生地点运送至暂时贮存地点的工作要求；（三）医疗废物在医疗卫生机构内部运送及将医疗废物交由医疗废物处置单位的有关交接、登记的规定；（四）医疗废物管理过程中的特殊操作程序及发生医疗废物流失、泄漏、扩散和意外事故的紧急处理措施；</w:t>
      </w:r>
    </w:p>
    <w:p w14:paraId="005B9A0C">
      <w:pPr>
        <w:widowControl w:val="0"/>
        <w:spacing w:after="0" w:line="47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（五）医疗废物分类收集、运送、暂时贮存过程中有关工作人员的职业卫生安全防护。</w:t>
      </w:r>
    </w:p>
    <w:p w14:paraId="39414C4D">
      <w:pPr>
        <w:widowControl w:val="0"/>
        <w:spacing w:after="0" w:line="47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《医疗卫生机构医疗废物管理办法》第六条　医疗卫生机构应当设置负责医疗废物管理的监控部门或者专（兼）职人员，履行以下职责：（一）负责指导、检查医疗废物分类收集、运送、暂时贮存及机构内处置过程中各项工作的落实情况；（二）负责指导、检查医疗废物分类收集、运送、暂时贮存及机构内处置过程中的职业卫生安全防护工作；（三）负责组织医疗废物流失、泄漏、扩散和意外事故发生时的紧急处理工作；（四）负责组织有关医疗废物管理的培训工作；（五）负责有关医疗废物登记和档案资料的管理；（六）负责及时分析和处理医疗废物管理中的其他问题。</w:t>
      </w:r>
    </w:p>
    <w:p w14:paraId="54827108">
      <w:pPr>
        <w:widowControl w:val="0"/>
        <w:spacing w:after="0" w:line="47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《医疗废物管理行政处罚办法》第二条第（一）项　医疗卫生机构有《条例》第四十五条规定的下列情形之一的，由县级以上地方人民政府卫生行政主管部门责令限期改正，给予警告；逾期不改正的，处2000元以上5000元以下的罚款：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29E0AF73">
      <w:pPr>
        <w:widowControl w:val="0"/>
        <w:numPr>
          <w:ilvl w:val="0"/>
          <w:numId w:val="3"/>
        </w:numPr>
        <w:spacing w:after="0" w:line="470" w:lineRule="exact"/>
        <w:ind w:left="440" w:left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未建立、健全医疗废物管理制度，或者未设置监控部门或者专（兼）职人员的；</w:t>
      </w:r>
    </w:p>
    <w:p w14:paraId="673FF632">
      <w:pPr>
        <w:widowControl w:val="0"/>
        <w:numPr>
          <w:ilvl w:val="-1"/>
          <w:numId w:val="0"/>
        </w:numPr>
        <w:spacing w:after="0" w:line="470" w:lineRule="exact"/>
        <w:ind w:left="0" w:leftChars="0"/>
        <w:jc w:val="both"/>
        <w:rPr>
          <w:rFonts w:hint="eastAsia" w:ascii="Times New Roman" w:hAnsi="Times New Roman" w:eastAsia="宋体" w:cs="宋体"/>
          <w:color w:val="000000" w:themeColor="text1"/>
          <w:sz w:val="27"/>
          <w:szCs w:val="27"/>
          <w14:textFill>
            <w14:solidFill>
              <w14:schemeClr w14:val="tx1"/>
            </w14:solidFill>
          </w14:textFill>
        </w:rPr>
      </w:pP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tbl>
      <w:tblPr>
        <w:tblStyle w:val="24"/>
        <w:tblW w:w="13917" w:type="dxa"/>
        <w:tblInd w:w="93" w:type="dxa"/>
        <w:tblLayout w:type="autofit"/>
        <w:tblCellMar>
          <w:top w:w="0" w:type="dxa"/>
          <w:left w:w="108" w:type="dxa"/>
          <w:bottom w:w="0" w:type="dxa"/>
          <w:right w:w="108" w:type="dxa"/>
        </w:tblCellMar>
      </w:tblPr>
      <w:tblGrid>
        <w:gridCol w:w="2242"/>
        <w:gridCol w:w="6912"/>
        <w:gridCol w:w="4763"/>
      </w:tblGrid>
      <w:tr w14:paraId="06FE28FA">
        <w:tblPrEx>
          <w:tblCellMar>
            <w:top w:w="0" w:type="dxa"/>
            <w:left w:w="108" w:type="dxa"/>
            <w:bottom w:w="0" w:type="dxa"/>
            <w:right w:w="108" w:type="dxa"/>
          </w:tblCellMar>
        </w:tblPrEx>
        <w:trPr>
          <w:trHeight w:val="390" w:hRule="atLeast"/>
        </w:trPr>
        <w:tc>
          <w:tcPr>
            <w:tcW w:w="13917" w:type="dxa"/>
            <w:gridSpan w:val="3"/>
            <w:tcBorders>
              <w:top w:val="nil"/>
              <w:left w:val="nil"/>
              <w:bottom w:val="single" w:color="auto" w:sz="4" w:space="0"/>
              <w:right w:val="nil"/>
            </w:tcBorders>
            <w:noWrap/>
            <w:vAlign w:val="center"/>
          </w:tcPr>
          <w:p w14:paraId="01CAB356">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14F7F339">
        <w:tblPrEx>
          <w:tblCellMar>
            <w:top w:w="0" w:type="dxa"/>
            <w:left w:w="108" w:type="dxa"/>
            <w:bottom w:w="0" w:type="dxa"/>
            <w:right w:w="108" w:type="dxa"/>
          </w:tblCellMar>
        </w:tblPrEx>
        <w:trPr>
          <w:trHeight w:val="680" w:hRule="atLeast"/>
        </w:trPr>
        <w:tc>
          <w:tcPr>
            <w:tcW w:w="2242" w:type="dxa"/>
            <w:tcBorders>
              <w:top w:val="single" w:color="auto" w:sz="4" w:space="0"/>
              <w:left w:val="single" w:color="auto" w:sz="4" w:space="0"/>
              <w:bottom w:val="single" w:color="auto" w:sz="4" w:space="0"/>
              <w:right w:val="single" w:color="auto" w:sz="4" w:space="0"/>
            </w:tcBorders>
            <w:vAlign w:val="center"/>
          </w:tcPr>
          <w:p w14:paraId="48EF1A3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912" w:type="dxa"/>
            <w:tcBorders>
              <w:top w:val="single" w:color="auto" w:sz="4" w:space="0"/>
              <w:left w:val="single" w:color="auto" w:sz="4" w:space="0"/>
              <w:bottom w:val="single" w:color="auto" w:sz="4" w:space="0"/>
              <w:right w:val="single" w:color="auto" w:sz="4" w:space="0"/>
            </w:tcBorders>
            <w:vAlign w:val="center"/>
          </w:tcPr>
          <w:p w14:paraId="788D03B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63" w:type="dxa"/>
            <w:tcBorders>
              <w:top w:val="single" w:color="auto" w:sz="4" w:space="0"/>
              <w:left w:val="single" w:color="auto" w:sz="4" w:space="0"/>
              <w:bottom w:val="single" w:color="auto" w:sz="4" w:space="0"/>
              <w:right w:val="single" w:color="auto" w:sz="4" w:space="0"/>
            </w:tcBorders>
            <w:vAlign w:val="center"/>
          </w:tcPr>
          <w:p w14:paraId="6DF9AAAD">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6AD7192">
        <w:tblPrEx>
          <w:tblCellMar>
            <w:top w:w="0" w:type="dxa"/>
            <w:left w:w="108" w:type="dxa"/>
            <w:bottom w:w="0" w:type="dxa"/>
            <w:right w:w="108" w:type="dxa"/>
          </w:tblCellMar>
        </w:tblPrEx>
        <w:trPr>
          <w:trHeight w:val="454" w:hRule="atLeast"/>
        </w:trPr>
        <w:tc>
          <w:tcPr>
            <w:tcW w:w="2242" w:type="dxa"/>
            <w:tcBorders>
              <w:top w:val="single" w:color="auto" w:sz="4" w:space="0"/>
              <w:left w:val="single" w:color="auto" w:sz="4" w:space="0"/>
              <w:bottom w:val="single" w:color="auto" w:sz="4" w:space="0"/>
              <w:right w:val="single" w:color="auto" w:sz="4" w:space="0"/>
            </w:tcBorders>
            <w:vAlign w:val="center"/>
          </w:tcPr>
          <w:p w14:paraId="44C5B77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6912" w:type="dxa"/>
            <w:tcBorders>
              <w:top w:val="single" w:color="auto" w:sz="4" w:space="0"/>
              <w:left w:val="single" w:color="auto" w:sz="4" w:space="0"/>
              <w:bottom w:val="single" w:color="auto" w:sz="4" w:space="0"/>
              <w:right w:val="single" w:color="auto" w:sz="4" w:space="0"/>
            </w:tcBorders>
            <w:vAlign w:val="center"/>
          </w:tcPr>
          <w:p w14:paraId="131283F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w:t>
            </w:r>
          </w:p>
        </w:tc>
        <w:tc>
          <w:tcPr>
            <w:tcW w:w="4763" w:type="dxa"/>
            <w:tcBorders>
              <w:top w:val="single" w:color="auto" w:sz="4" w:space="0"/>
              <w:left w:val="single" w:color="auto" w:sz="4" w:space="0"/>
              <w:bottom w:val="single" w:color="auto" w:sz="4" w:space="0"/>
              <w:right w:val="single" w:color="auto" w:sz="4" w:space="0"/>
            </w:tcBorders>
            <w:vAlign w:val="center"/>
          </w:tcPr>
          <w:p w14:paraId="49239F9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3C6AD28A">
        <w:tblPrEx>
          <w:tblCellMar>
            <w:top w:w="0" w:type="dxa"/>
            <w:left w:w="108" w:type="dxa"/>
            <w:bottom w:w="0" w:type="dxa"/>
            <w:right w:w="108" w:type="dxa"/>
          </w:tblCellMar>
        </w:tblPrEx>
        <w:trPr>
          <w:trHeight w:val="57" w:hRule="atLeast"/>
        </w:trPr>
        <w:tc>
          <w:tcPr>
            <w:tcW w:w="2242" w:type="dxa"/>
            <w:tcBorders>
              <w:top w:val="single" w:color="auto" w:sz="4" w:space="0"/>
              <w:left w:val="single" w:color="auto" w:sz="4" w:space="0"/>
              <w:bottom w:val="single" w:color="auto" w:sz="4" w:space="0"/>
              <w:right w:val="single" w:color="auto" w:sz="4" w:space="0"/>
            </w:tcBorders>
            <w:vAlign w:val="center"/>
          </w:tcPr>
          <w:p w14:paraId="6AE20BAF">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912" w:type="dxa"/>
            <w:tcBorders>
              <w:top w:val="single" w:color="auto" w:sz="4" w:space="0"/>
              <w:left w:val="single" w:color="auto" w:sz="4" w:space="0"/>
              <w:bottom w:val="single" w:color="auto" w:sz="4" w:space="0"/>
              <w:right w:val="single" w:color="auto" w:sz="4" w:space="0"/>
            </w:tcBorders>
            <w:vAlign w:val="center"/>
          </w:tcPr>
          <w:p w14:paraId="010E45F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1）建立医疗废物管理制度但制度不健全的；（2）未建立医疗废物管理制度，或未设置监控部门或者专（兼）职人员的；（3）未建立医疗废物管理制度，且未设置监控部门或者专（兼）职人员的。</w:t>
            </w:r>
          </w:p>
        </w:tc>
        <w:tc>
          <w:tcPr>
            <w:tcW w:w="4763" w:type="dxa"/>
            <w:tcBorders>
              <w:top w:val="single" w:color="auto" w:sz="4" w:space="0"/>
              <w:left w:val="single" w:color="auto" w:sz="4" w:space="0"/>
              <w:bottom w:val="single" w:color="auto" w:sz="4" w:space="0"/>
              <w:right w:val="single" w:color="auto" w:sz="4" w:space="0"/>
            </w:tcBorders>
            <w:vAlign w:val="center"/>
          </w:tcPr>
          <w:p w14:paraId="0218187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（1）处2000元以上2900元以下罚款；（2）处2900元以上4100元以下罚款；（3）处4100元以上5000元以下罚款。</w:t>
            </w:r>
          </w:p>
        </w:tc>
      </w:tr>
    </w:tbl>
    <w:p w14:paraId="52C8F79F">
      <w:pPr>
        <w:pStyle w:val="4"/>
        <w:widowControl w:val="0"/>
        <w:ind w:firstLine="640"/>
        <w:rPr>
          <w:color w:val="000000" w:themeColor="text1"/>
          <w14:textFill>
            <w14:solidFill>
              <w14:schemeClr w14:val="tx1"/>
            </w14:solidFill>
          </w14:textFill>
        </w:rPr>
      </w:pPr>
      <w:bookmarkStart w:id="912" w:name="_Toc10326"/>
      <w:bookmarkStart w:id="913" w:name="_Toc26561"/>
      <w:bookmarkStart w:id="914" w:name="_Toc7190"/>
      <w:bookmarkStart w:id="915" w:name="_Toc14692"/>
      <w:bookmarkStart w:id="916" w:name="_Toc515"/>
      <w:bookmarkStart w:id="917" w:name="_Toc28349"/>
      <w:bookmarkStart w:id="918" w:name="_Toc1500"/>
      <w:bookmarkStart w:id="919" w:name="_Toc29463"/>
      <w:bookmarkStart w:id="920" w:name="_Toc6345"/>
      <w:bookmarkStart w:id="921" w:name="_Toc15257"/>
      <w:bookmarkStart w:id="922" w:name="_Toc32579"/>
      <w:r>
        <w:rPr>
          <w:rFonts w:hint="eastAsia"/>
          <w:color w:val="000000" w:themeColor="text1"/>
          <w14:textFill>
            <w14:solidFill>
              <w14:schemeClr w14:val="tx1"/>
            </w14:solidFill>
          </w14:textFill>
        </w:rPr>
        <w:t>第八十条 医疗卫生机构未对有关人员进行相关法律和专业技术、安全防护以及紧急处理等知识的培训的</w:t>
      </w:r>
      <w:bookmarkEnd w:id="912"/>
      <w:bookmarkEnd w:id="913"/>
      <w:bookmarkEnd w:id="914"/>
      <w:bookmarkEnd w:id="915"/>
      <w:bookmarkEnd w:id="916"/>
      <w:bookmarkEnd w:id="917"/>
      <w:bookmarkEnd w:id="918"/>
      <w:bookmarkEnd w:id="919"/>
      <w:bookmarkEnd w:id="920"/>
      <w:bookmarkEnd w:id="921"/>
      <w:bookmarkEnd w:id="922"/>
    </w:p>
    <w:p w14:paraId="1519F26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048704B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《医疗废物管理条例》第四十五条第（二）项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 </w:t>
      </w:r>
    </w:p>
    <w:p w14:paraId="5C0B67C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（二）未对有关人员进行相关法律和专业技术、安全防护以及紧急处理等知识的培训的；</w:t>
      </w:r>
    </w:p>
    <w:p w14:paraId="14DE959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《医疗卫生机构医疗废物管理办法》第三十九条第（二）项　医疗卫生机构违反《医疗废物管理条例》及本办法规定，有下列情形之一的，由县级以上地方人民政府卫生行政主管部门责令限期改正、给予警告；逾期不改正的，处以2000元以上5000元以下的罚款：</w:t>
      </w:r>
    </w:p>
    <w:p w14:paraId="617C3760">
      <w:pPr>
        <w:pStyle w:val="63"/>
        <w:widowControl w:val="0"/>
        <w:spacing w:after="0" w:line="600" w:lineRule="atLeast"/>
        <w:ind w:right="375" w:firstLine="640" w:firstLineChars="200"/>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（二）未对有关人员进行相关法律和专业技术、安全防护以及紧急处理等知识培训的；</w:t>
      </w:r>
    </w:p>
    <w:p w14:paraId="72675AD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《医疗废物管理行政处罚办法》第二条第（二）项　医疗卫生机构有《条例》第四十五条规定的下列情形之一的，由县级以上地方人民政府卫生行政主管部门责令限期改正，给予警告；逾期不改正的，处2000元以上5000元以下的罚款：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0CDF3929">
      <w:pPr>
        <w:widowControl w:val="0"/>
        <w:spacing w:after="0" w:line="440" w:lineRule="exact"/>
        <w:ind w:firstLine="640" w:firstLineChars="200"/>
        <w:jc w:val="both"/>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（二）未对有关人员进行相关法律和专业技术、安全防护以及紧急处理等知识培训的；</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tbl>
      <w:tblPr>
        <w:tblStyle w:val="24"/>
        <w:tblW w:w="13842" w:type="dxa"/>
        <w:tblInd w:w="93" w:type="dxa"/>
        <w:tblLayout w:type="autofit"/>
        <w:tblCellMar>
          <w:top w:w="0" w:type="dxa"/>
          <w:left w:w="108" w:type="dxa"/>
          <w:bottom w:w="0" w:type="dxa"/>
          <w:right w:w="108" w:type="dxa"/>
        </w:tblCellMar>
      </w:tblPr>
      <w:tblGrid>
        <w:gridCol w:w="1979"/>
        <w:gridCol w:w="7238"/>
        <w:gridCol w:w="4625"/>
      </w:tblGrid>
      <w:tr w14:paraId="32A40CF8">
        <w:tblPrEx>
          <w:tblCellMar>
            <w:top w:w="0" w:type="dxa"/>
            <w:left w:w="108" w:type="dxa"/>
            <w:bottom w:w="0" w:type="dxa"/>
            <w:right w:w="108" w:type="dxa"/>
          </w:tblCellMar>
        </w:tblPrEx>
        <w:trPr>
          <w:trHeight w:val="390" w:hRule="atLeast"/>
        </w:trPr>
        <w:tc>
          <w:tcPr>
            <w:tcW w:w="13842" w:type="dxa"/>
            <w:gridSpan w:val="3"/>
            <w:tcBorders>
              <w:top w:val="nil"/>
              <w:left w:val="nil"/>
              <w:bottom w:val="single" w:color="auto" w:sz="4" w:space="0"/>
              <w:right w:val="nil"/>
            </w:tcBorders>
            <w:noWrap/>
            <w:vAlign w:val="center"/>
          </w:tcPr>
          <w:p w14:paraId="69250A6D">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40DACABC">
        <w:tblPrEx>
          <w:tblCellMar>
            <w:top w:w="0" w:type="dxa"/>
            <w:left w:w="108" w:type="dxa"/>
            <w:bottom w:w="0" w:type="dxa"/>
            <w:right w:w="108" w:type="dxa"/>
          </w:tblCellMar>
        </w:tblPrEx>
        <w:trPr>
          <w:trHeight w:val="680" w:hRule="atLeast"/>
        </w:trPr>
        <w:tc>
          <w:tcPr>
            <w:tcW w:w="1979" w:type="dxa"/>
            <w:tcBorders>
              <w:top w:val="single" w:color="auto" w:sz="4" w:space="0"/>
              <w:left w:val="single" w:color="auto" w:sz="4" w:space="0"/>
              <w:bottom w:val="single" w:color="auto" w:sz="4" w:space="0"/>
              <w:right w:val="single" w:color="auto" w:sz="4" w:space="0"/>
            </w:tcBorders>
            <w:vAlign w:val="center"/>
          </w:tcPr>
          <w:p w14:paraId="48E4A36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238" w:type="dxa"/>
            <w:tcBorders>
              <w:top w:val="single" w:color="auto" w:sz="4" w:space="0"/>
              <w:left w:val="single" w:color="auto" w:sz="4" w:space="0"/>
              <w:bottom w:val="single" w:color="auto" w:sz="4" w:space="0"/>
              <w:right w:val="single" w:color="auto" w:sz="4" w:space="0"/>
            </w:tcBorders>
            <w:vAlign w:val="center"/>
          </w:tcPr>
          <w:p w14:paraId="51B3D8F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5" w:type="dxa"/>
            <w:tcBorders>
              <w:top w:val="single" w:color="auto" w:sz="4" w:space="0"/>
              <w:left w:val="single" w:color="auto" w:sz="4" w:space="0"/>
              <w:bottom w:val="single" w:color="auto" w:sz="4" w:space="0"/>
              <w:right w:val="single" w:color="auto" w:sz="4" w:space="0"/>
            </w:tcBorders>
            <w:vAlign w:val="center"/>
          </w:tcPr>
          <w:p w14:paraId="558EC423">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03150FE">
        <w:tblPrEx>
          <w:tblCellMar>
            <w:top w:w="0" w:type="dxa"/>
            <w:left w:w="108" w:type="dxa"/>
            <w:bottom w:w="0" w:type="dxa"/>
            <w:right w:w="108" w:type="dxa"/>
          </w:tblCellMar>
        </w:tblPrEx>
        <w:trPr>
          <w:trHeight w:val="454" w:hRule="atLeast"/>
        </w:trPr>
        <w:tc>
          <w:tcPr>
            <w:tcW w:w="1979" w:type="dxa"/>
            <w:tcBorders>
              <w:top w:val="single" w:color="auto" w:sz="4" w:space="0"/>
              <w:left w:val="single" w:color="auto" w:sz="4" w:space="0"/>
              <w:bottom w:val="single" w:color="auto" w:sz="4" w:space="0"/>
              <w:right w:val="single" w:color="auto" w:sz="4" w:space="0"/>
            </w:tcBorders>
            <w:vAlign w:val="center"/>
          </w:tcPr>
          <w:p w14:paraId="63E44E0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238" w:type="dxa"/>
            <w:tcBorders>
              <w:top w:val="single" w:color="auto" w:sz="4" w:space="0"/>
              <w:left w:val="single" w:color="auto" w:sz="4" w:space="0"/>
              <w:bottom w:val="single" w:color="auto" w:sz="4" w:space="0"/>
              <w:right w:val="single" w:color="auto" w:sz="4" w:space="0"/>
            </w:tcBorders>
            <w:vAlign w:val="center"/>
          </w:tcPr>
          <w:p w14:paraId="457B23B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4625" w:type="dxa"/>
            <w:tcBorders>
              <w:top w:val="single" w:color="auto" w:sz="4" w:space="0"/>
              <w:left w:val="single" w:color="auto" w:sz="4" w:space="0"/>
              <w:bottom w:val="single" w:color="auto" w:sz="4" w:space="0"/>
              <w:right w:val="single" w:color="auto" w:sz="4" w:space="0"/>
            </w:tcBorders>
            <w:vAlign w:val="center"/>
          </w:tcPr>
          <w:p w14:paraId="0488321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47F0E2EA">
        <w:tblPrEx>
          <w:tblCellMar>
            <w:top w:w="0" w:type="dxa"/>
            <w:left w:w="108" w:type="dxa"/>
            <w:bottom w:w="0" w:type="dxa"/>
            <w:right w:w="108" w:type="dxa"/>
          </w:tblCellMar>
        </w:tblPrEx>
        <w:trPr>
          <w:trHeight w:val="57" w:hRule="atLeast"/>
        </w:trPr>
        <w:tc>
          <w:tcPr>
            <w:tcW w:w="1979" w:type="dxa"/>
            <w:tcBorders>
              <w:top w:val="single" w:color="auto" w:sz="4" w:space="0"/>
              <w:left w:val="single" w:color="auto" w:sz="4" w:space="0"/>
              <w:bottom w:val="single" w:color="auto" w:sz="4" w:space="0"/>
              <w:right w:val="single" w:color="auto" w:sz="4" w:space="0"/>
            </w:tcBorders>
            <w:vAlign w:val="center"/>
          </w:tcPr>
          <w:p w14:paraId="37B9CB5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238" w:type="dxa"/>
            <w:tcBorders>
              <w:top w:val="single" w:color="auto" w:sz="4" w:space="0"/>
              <w:left w:val="single" w:color="auto" w:sz="4" w:space="0"/>
              <w:bottom w:val="single" w:color="auto" w:sz="4" w:space="0"/>
              <w:right w:val="single" w:color="auto" w:sz="4" w:space="0"/>
            </w:tcBorders>
            <w:vAlign w:val="center"/>
          </w:tcPr>
          <w:p w14:paraId="033D670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1）未对有关人员进行相关法律和专业技术、安全防护以及紧急处理等知识的培训，涉及人数在3人以下的；（2）未对有关人员进行相关法律和专业技术、安全防护以及紧急处理等知识的培训，涉及人数在3人以上10人以的下；（3）未对有关人员进行相关法律和专业技术、安全防护以及紧急处理等知识的培训，涉及人数在10人以上的。</w:t>
            </w:r>
          </w:p>
        </w:tc>
        <w:tc>
          <w:tcPr>
            <w:tcW w:w="4625" w:type="dxa"/>
            <w:tcBorders>
              <w:top w:val="single" w:color="auto" w:sz="4" w:space="0"/>
              <w:left w:val="single" w:color="auto" w:sz="4" w:space="0"/>
              <w:bottom w:val="single" w:color="auto" w:sz="4" w:space="0"/>
              <w:right w:val="single" w:color="auto" w:sz="4" w:space="0"/>
            </w:tcBorders>
            <w:vAlign w:val="center"/>
          </w:tcPr>
          <w:p w14:paraId="04644E6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（1）处2000元以上3000元以下罚款；（2）处3000元以上4000元以下罚款；（3）处4000元以上5000元以下罚款。</w:t>
            </w:r>
          </w:p>
        </w:tc>
      </w:tr>
    </w:tbl>
    <w:p w14:paraId="39FB6E18">
      <w:pPr>
        <w:pStyle w:val="4"/>
        <w:widowControl w:val="0"/>
        <w:ind w:firstLine="640"/>
        <w:rPr>
          <w:color w:val="000000" w:themeColor="text1"/>
          <w14:textFill>
            <w14:solidFill>
              <w14:schemeClr w14:val="tx1"/>
            </w14:solidFill>
          </w14:textFill>
        </w:rPr>
      </w:pPr>
      <w:bookmarkStart w:id="923" w:name="_Toc17469"/>
      <w:bookmarkStart w:id="924" w:name="_Toc29101"/>
      <w:bookmarkStart w:id="925" w:name="_Toc24753"/>
      <w:bookmarkStart w:id="926" w:name="_Toc10271"/>
      <w:bookmarkStart w:id="927" w:name="_Toc30886"/>
      <w:bookmarkStart w:id="928" w:name="_Toc21218"/>
      <w:bookmarkStart w:id="929" w:name="_Toc19631"/>
      <w:bookmarkStart w:id="930" w:name="_Toc10346"/>
      <w:bookmarkStart w:id="931" w:name="_Toc4810"/>
      <w:bookmarkStart w:id="932" w:name="_Toc1178"/>
      <w:bookmarkStart w:id="933" w:name="_Toc7763"/>
      <w:r>
        <w:rPr>
          <w:rFonts w:hint="eastAsia"/>
          <w:color w:val="000000" w:themeColor="text1"/>
          <w14:textFill>
            <w14:solidFill>
              <w14:schemeClr w14:val="tx1"/>
            </w14:solidFill>
          </w14:textFill>
        </w:rPr>
        <w:t>第八十一条 医疗卫生机构、医疗废物集中处置单位未对从事医疗废物收集、运送、贮存、处置等工作的人员和管理人员采取职业卫生防护措施的</w:t>
      </w:r>
      <w:bookmarkEnd w:id="923"/>
      <w:bookmarkEnd w:id="924"/>
      <w:bookmarkEnd w:id="925"/>
      <w:bookmarkEnd w:id="926"/>
      <w:bookmarkEnd w:id="927"/>
      <w:bookmarkEnd w:id="928"/>
      <w:bookmarkEnd w:id="929"/>
      <w:bookmarkEnd w:id="930"/>
      <w:bookmarkEnd w:id="931"/>
      <w:bookmarkEnd w:id="932"/>
      <w:bookmarkEnd w:id="933"/>
    </w:p>
    <w:p w14:paraId="11190A2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21F8487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《医疗废物管理条例》第四十五条第（三）项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 </w:t>
      </w:r>
    </w:p>
    <w:p w14:paraId="2979C3C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（三）未对从事医疗废物收集、运送、贮存、处置等工作的人员和管理人员采取职业卫生防护措施的；</w:t>
      </w:r>
    </w:p>
    <w:p w14:paraId="3D25237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《医疗废物管理条例》第十条　医疗卫生机构和医疗废物集中处置单位，应当采取有效的职业卫生防护措施，为从事医疗废物收集、运送、贮存、处置等工作的人员和管理人员，配备必要的防护用品，定期进行健康检查；必要时，对有关人员进行免疫接种，防止其受到健康损害。</w:t>
      </w:r>
    </w:p>
    <w:p w14:paraId="00BE3791">
      <w:pPr>
        <w:widowControl w:val="0"/>
        <w:spacing w:after="0" w:line="440" w:lineRule="exact"/>
        <w:ind w:firstLine="640" w:firstLineChars="200"/>
        <w:jc w:val="both"/>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《医疗废物管理行政处罚办法》第四条　医疗卫生机构、医疗废物集中处置单位有《条例》第四十五条规定的情形，未对从事医疗废物收集、运送、贮存、处置等工作的人员和管理人员采取职业卫生防护措施的，由县级以上地方人民政府卫生行政主管部门责令限期改正，给予警告；逾期不改正的，处2000元以上5000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tbl>
      <w:tblPr>
        <w:tblStyle w:val="24"/>
        <w:tblW w:w="13929" w:type="dxa"/>
        <w:tblInd w:w="93" w:type="dxa"/>
        <w:tblLayout w:type="autofit"/>
        <w:tblCellMar>
          <w:top w:w="0" w:type="dxa"/>
          <w:left w:w="108" w:type="dxa"/>
          <w:bottom w:w="0" w:type="dxa"/>
          <w:right w:w="108" w:type="dxa"/>
        </w:tblCellMar>
      </w:tblPr>
      <w:tblGrid>
        <w:gridCol w:w="1469"/>
        <w:gridCol w:w="8066"/>
        <w:gridCol w:w="4394"/>
      </w:tblGrid>
      <w:tr w14:paraId="689F3E68">
        <w:tblPrEx>
          <w:tblCellMar>
            <w:top w:w="0" w:type="dxa"/>
            <w:left w:w="108" w:type="dxa"/>
            <w:bottom w:w="0" w:type="dxa"/>
            <w:right w:w="108" w:type="dxa"/>
          </w:tblCellMar>
        </w:tblPrEx>
        <w:trPr>
          <w:trHeight w:val="283" w:hRule="atLeast"/>
        </w:trPr>
        <w:tc>
          <w:tcPr>
            <w:tcW w:w="13929" w:type="dxa"/>
            <w:gridSpan w:val="3"/>
            <w:tcBorders>
              <w:top w:val="nil"/>
              <w:left w:val="nil"/>
              <w:bottom w:val="single" w:color="auto" w:sz="4" w:space="0"/>
              <w:right w:val="nil"/>
            </w:tcBorders>
            <w:noWrap/>
            <w:vAlign w:val="center"/>
          </w:tcPr>
          <w:p w14:paraId="0340FEE0">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621CD66">
        <w:tblPrEx>
          <w:tblCellMar>
            <w:top w:w="0" w:type="dxa"/>
            <w:left w:w="108" w:type="dxa"/>
            <w:bottom w:w="0" w:type="dxa"/>
            <w:right w:w="108" w:type="dxa"/>
          </w:tblCellMar>
        </w:tblPrEx>
        <w:trPr>
          <w:trHeight w:val="680" w:hRule="atLeast"/>
        </w:trPr>
        <w:tc>
          <w:tcPr>
            <w:tcW w:w="1469" w:type="dxa"/>
            <w:tcBorders>
              <w:top w:val="single" w:color="auto" w:sz="4" w:space="0"/>
              <w:left w:val="single" w:color="auto" w:sz="4" w:space="0"/>
              <w:bottom w:val="single" w:color="auto" w:sz="4" w:space="0"/>
              <w:right w:val="single" w:color="auto" w:sz="4" w:space="0"/>
            </w:tcBorders>
            <w:vAlign w:val="center"/>
          </w:tcPr>
          <w:p w14:paraId="1A16D06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66" w:type="dxa"/>
            <w:tcBorders>
              <w:top w:val="single" w:color="auto" w:sz="4" w:space="0"/>
              <w:left w:val="single" w:color="auto" w:sz="4" w:space="0"/>
              <w:bottom w:val="single" w:color="auto" w:sz="4" w:space="0"/>
              <w:right w:val="single" w:color="auto" w:sz="4" w:space="0"/>
            </w:tcBorders>
            <w:vAlign w:val="center"/>
          </w:tcPr>
          <w:p w14:paraId="5E8AE5F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394" w:type="dxa"/>
            <w:tcBorders>
              <w:top w:val="single" w:color="auto" w:sz="4" w:space="0"/>
              <w:left w:val="single" w:color="auto" w:sz="4" w:space="0"/>
              <w:bottom w:val="single" w:color="auto" w:sz="4" w:space="0"/>
              <w:right w:val="single" w:color="auto" w:sz="4" w:space="0"/>
            </w:tcBorders>
            <w:vAlign w:val="center"/>
          </w:tcPr>
          <w:p w14:paraId="6280156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3FE2E73">
        <w:tblPrEx>
          <w:tblCellMar>
            <w:top w:w="0" w:type="dxa"/>
            <w:left w:w="108" w:type="dxa"/>
            <w:bottom w:w="0" w:type="dxa"/>
            <w:right w:w="108" w:type="dxa"/>
          </w:tblCellMar>
        </w:tblPrEx>
        <w:trPr>
          <w:trHeight w:val="567" w:hRule="atLeast"/>
        </w:trPr>
        <w:tc>
          <w:tcPr>
            <w:tcW w:w="1469" w:type="dxa"/>
            <w:tcBorders>
              <w:top w:val="single" w:color="auto" w:sz="4" w:space="0"/>
              <w:left w:val="single" w:color="auto" w:sz="4" w:space="0"/>
              <w:bottom w:val="single" w:color="auto" w:sz="4" w:space="0"/>
              <w:right w:val="single" w:color="auto" w:sz="4" w:space="0"/>
            </w:tcBorders>
            <w:vAlign w:val="center"/>
          </w:tcPr>
          <w:p w14:paraId="2F1FCDD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8066" w:type="dxa"/>
            <w:tcBorders>
              <w:top w:val="single" w:color="auto" w:sz="4" w:space="0"/>
              <w:left w:val="single" w:color="auto" w:sz="4" w:space="0"/>
              <w:bottom w:val="single" w:color="auto" w:sz="4" w:space="0"/>
              <w:right w:val="single" w:color="auto" w:sz="4" w:space="0"/>
            </w:tcBorders>
            <w:vAlign w:val="center"/>
          </w:tcPr>
          <w:p w14:paraId="77E01A4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4394" w:type="dxa"/>
            <w:tcBorders>
              <w:top w:val="single" w:color="auto" w:sz="4" w:space="0"/>
              <w:left w:val="single" w:color="auto" w:sz="4" w:space="0"/>
              <w:bottom w:val="single" w:color="auto" w:sz="4" w:space="0"/>
              <w:right w:val="single" w:color="auto" w:sz="4" w:space="0"/>
            </w:tcBorders>
            <w:vAlign w:val="center"/>
          </w:tcPr>
          <w:p w14:paraId="312873A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7C2906D7">
        <w:tblPrEx>
          <w:tblCellMar>
            <w:top w:w="0" w:type="dxa"/>
            <w:left w:w="108" w:type="dxa"/>
            <w:bottom w:w="0" w:type="dxa"/>
            <w:right w:w="108" w:type="dxa"/>
          </w:tblCellMar>
        </w:tblPrEx>
        <w:trPr>
          <w:trHeight w:val="1871" w:hRule="atLeast"/>
        </w:trPr>
        <w:tc>
          <w:tcPr>
            <w:tcW w:w="1469" w:type="dxa"/>
            <w:tcBorders>
              <w:top w:val="single" w:color="auto" w:sz="4" w:space="0"/>
              <w:left w:val="single" w:color="auto" w:sz="4" w:space="0"/>
              <w:bottom w:val="single" w:color="auto" w:sz="4" w:space="0"/>
              <w:right w:val="single" w:color="auto" w:sz="4" w:space="0"/>
            </w:tcBorders>
            <w:vAlign w:val="center"/>
          </w:tcPr>
          <w:p w14:paraId="3395FDC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8066" w:type="dxa"/>
            <w:tcBorders>
              <w:top w:val="single" w:color="auto" w:sz="4" w:space="0"/>
              <w:left w:val="single" w:color="auto" w:sz="4" w:space="0"/>
              <w:bottom w:val="single" w:color="auto" w:sz="4" w:space="0"/>
              <w:right w:val="single" w:color="auto" w:sz="4" w:space="0"/>
            </w:tcBorders>
            <w:vAlign w:val="center"/>
          </w:tcPr>
          <w:p w14:paraId="4BD87BD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1）未对从事医疗废物收集、运送、贮存、处置等工作的人员和管理人员采取职业卫生防护措施，涉及人数在2人以下的；（2）未对从事医疗废物收集、运送、贮存、处置等工作的人员和管理人员采取职业卫生防护措施，涉及人数在2人以上5人以下的；（3）未对从事医疗废物收集、运送、贮存、处置等工作的人员和管理人员采取职业卫生防护措施，涉及人数在5人以上的。</w:t>
            </w:r>
          </w:p>
        </w:tc>
        <w:tc>
          <w:tcPr>
            <w:tcW w:w="4394" w:type="dxa"/>
            <w:tcBorders>
              <w:top w:val="single" w:color="auto" w:sz="4" w:space="0"/>
              <w:left w:val="single" w:color="auto" w:sz="4" w:space="0"/>
              <w:bottom w:val="single" w:color="auto" w:sz="4" w:space="0"/>
              <w:right w:val="single" w:color="auto" w:sz="4" w:space="0"/>
            </w:tcBorders>
            <w:vAlign w:val="center"/>
          </w:tcPr>
          <w:p w14:paraId="381533E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（1）处2000元以上2900元以下罚款；（2）处2900元以上4100元以下罚款；（3）处4100元以上5000元以下罚款。</w:t>
            </w:r>
          </w:p>
        </w:tc>
      </w:tr>
    </w:tbl>
    <w:p w14:paraId="0AE84270">
      <w:pPr>
        <w:pStyle w:val="4"/>
        <w:widowControl w:val="0"/>
        <w:spacing w:line="480" w:lineRule="exact"/>
        <w:ind w:firstLine="640"/>
        <w:rPr>
          <w:color w:val="000000" w:themeColor="text1"/>
          <w14:textFill>
            <w14:solidFill>
              <w14:schemeClr w14:val="tx1"/>
            </w14:solidFill>
          </w14:textFill>
        </w:rPr>
      </w:pPr>
      <w:bookmarkStart w:id="934" w:name="_Toc23498"/>
      <w:bookmarkStart w:id="935" w:name="_Toc16184"/>
      <w:bookmarkStart w:id="936" w:name="_Toc14061"/>
      <w:bookmarkStart w:id="937" w:name="_Toc19287"/>
      <w:bookmarkStart w:id="938" w:name="_Toc3823"/>
      <w:bookmarkStart w:id="939" w:name="_Toc18636"/>
      <w:bookmarkStart w:id="940" w:name="_Toc5826"/>
      <w:bookmarkStart w:id="941" w:name="_Toc18737"/>
      <w:bookmarkStart w:id="942" w:name="_Toc29160"/>
      <w:bookmarkStart w:id="943" w:name="_Toc11423"/>
      <w:bookmarkStart w:id="944" w:name="_Toc31121"/>
      <w:r>
        <w:rPr>
          <w:rFonts w:hint="eastAsia"/>
          <w:color w:val="000000" w:themeColor="text1"/>
          <w14:textFill>
            <w14:solidFill>
              <w14:schemeClr w14:val="tx1"/>
            </w14:solidFill>
          </w14:textFill>
        </w:rPr>
        <w:t>第八十二条 医疗卫生机构未对医疗废物进行登记或者未保存登记资料的</w:t>
      </w:r>
      <w:bookmarkEnd w:id="934"/>
      <w:bookmarkEnd w:id="935"/>
      <w:bookmarkEnd w:id="936"/>
      <w:bookmarkEnd w:id="937"/>
      <w:bookmarkEnd w:id="938"/>
      <w:bookmarkEnd w:id="939"/>
      <w:bookmarkEnd w:id="940"/>
      <w:bookmarkEnd w:id="941"/>
      <w:bookmarkEnd w:id="942"/>
      <w:bookmarkEnd w:id="943"/>
      <w:bookmarkEnd w:id="944"/>
    </w:p>
    <w:p w14:paraId="16072B61">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3EE08292">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《医疗废物管理条例》第四十五条第（四）项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 </w:t>
      </w:r>
    </w:p>
    <w:p w14:paraId="1D48A8FE">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（四）未对医疗废物进行登记或者未保存登记资料的；</w:t>
      </w:r>
    </w:p>
    <w:p w14:paraId="220082BE">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《医疗废物管理条例》第十二条　医疗卫生机构和医疗废物集中处置单位，应当对医疗废物进行登记，登记内容应当包括医疗废物的来源、种类、重量或者数量、交接时间、处置方法、最终去向以及经办人签名等项目。登记资料至少保存3年。</w:t>
      </w:r>
    </w:p>
    <w:p w14:paraId="4B260BF0">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《医疗废物管理行政处罚办法》第二条第（三）项　医疗卫生机构有《条例》第四十五条规定的下列情形之一的，由县级以上地方人民政府卫生行政主管部门责令限期改正，给予警告；逾期不改正的，处2000元以上5000元以下的罚款：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47B407BF">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（三）未对医疗废物进行登记或者未保存登记资料的；</w:t>
      </w:r>
    </w:p>
    <w:tbl>
      <w:tblPr>
        <w:tblStyle w:val="24"/>
        <w:tblW w:w="13745" w:type="dxa"/>
        <w:tblInd w:w="93" w:type="dxa"/>
        <w:tblLayout w:type="autofit"/>
        <w:tblCellMar>
          <w:top w:w="0" w:type="dxa"/>
          <w:left w:w="108" w:type="dxa"/>
          <w:bottom w:w="0" w:type="dxa"/>
          <w:right w:w="108" w:type="dxa"/>
        </w:tblCellMar>
      </w:tblPr>
      <w:tblGrid>
        <w:gridCol w:w="1877"/>
        <w:gridCol w:w="7131"/>
        <w:gridCol w:w="4737"/>
      </w:tblGrid>
      <w:tr w14:paraId="2710589A">
        <w:tblPrEx>
          <w:tblCellMar>
            <w:top w:w="0" w:type="dxa"/>
            <w:left w:w="108" w:type="dxa"/>
            <w:bottom w:w="0" w:type="dxa"/>
            <w:right w:w="108" w:type="dxa"/>
          </w:tblCellMar>
        </w:tblPrEx>
        <w:trPr>
          <w:trHeight w:val="390" w:hRule="atLeast"/>
        </w:trPr>
        <w:tc>
          <w:tcPr>
            <w:tcW w:w="13745" w:type="dxa"/>
            <w:gridSpan w:val="3"/>
            <w:tcBorders>
              <w:top w:val="nil"/>
              <w:left w:val="nil"/>
              <w:bottom w:val="single" w:color="auto" w:sz="4" w:space="0"/>
              <w:right w:val="nil"/>
            </w:tcBorders>
            <w:noWrap/>
            <w:vAlign w:val="center"/>
          </w:tcPr>
          <w:p w14:paraId="133A0B61">
            <w:pPr>
              <w:widowControl w:val="0"/>
              <w:spacing w:line="440" w:lineRule="exact"/>
              <w:jc w:val="center"/>
              <w:textAlignment w:val="center"/>
              <w:rPr>
                <w:rFonts w:hint="eastAsia" w:ascii="Times New Roman" w:hAnsi="Times New Roman" w:cs="微软雅黑"/>
                <w:b/>
                <w:bCs/>
                <w:color w:val="000000" w:themeColor="text1"/>
                <w:sz w:val="32"/>
                <w:szCs w:val="32"/>
                <w14:textFill>
                  <w14:solidFill>
                    <w14:schemeClr w14:val="tx1"/>
                  </w14:solidFill>
                </w14:textFill>
              </w:rPr>
            </w:pPr>
            <w:r>
              <w:rPr>
                <w:rFonts w:hint="eastAsia" w:ascii="Times New Roman" w:hAnsi="Times New Roman" w:cs="微软雅黑"/>
                <w:b/>
                <w:bCs/>
                <w:color w:val="000000" w:themeColor="text1"/>
                <w:sz w:val="32"/>
                <w:szCs w:val="32"/>
                <w:lang w:bidi="ar"/>
                <w14:textFill>
                  <w14:solidFill>
                    <w14:schemeClr w14:val="tx1"/>
                  </w14:solidFill>
                </w14:textFill>
              </w:rPr>
              <w:t>裁量标准</w:t>
            </w:r>
          </w:p>
        </w:tc>
      </w:tr>
      <w:tr w14:paraId="0564CA64">
        <w:tblPrEx>
          <w:tblCellMar>
            <w:top w:w="0" w:type="dxa"/>
            <w:left w:w="108" w:type="dxa"/>
            <w:bottom w:w="0" w:type="dxa"/>
            <w:right w:w="108" w:type="dxa"/>
          </w:tblCellMar>
        </w:tblPrEx>
        <w:trPr>
          <w:trHeight w:val="680" w:hRule="atLeast"/>
        </w:trPr>
        <w:tc>
          <w:tcPr>
            <w:tcW w:w="1877" w:type="dxa"/>
            <w:tcBorders>
              <w:top w:val="single" w:color="auto" w:sz="4" w:space="0"/>
              <w:left w:val="single" w:color="auto" w:sz="4" w:space="0"/>
              <w:bottom w:val="single" w:color="auto" w:sz="4" w:space="0"/>
              <w:right w:val="single" w:color="auto" w:sz="4" w:space="0"/>
            </w:tcBorders>
            <w:vAlign w:val="center"/>
          </w:tcPr>
          <w:p w14:paraId="74272DAD">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131" w:type="dxa"/>
            <w:tcBorders>
              <w:top w:val="single" w:color="auto" w:sz="4" w:space="0"/>
              <w:left w:val="single" w:color="auto" w:sz="4" w:space="0"/>
              <w:bottom w:val="single" w:color="auto" w:sz="4" w:space="0"/>
              <w:right w:val="single" w:color="auto" w:sz="4" w:space="0"/>
            </w:tcBorders>
            <w:vAlign w:val="center"/>
          </w:tcPr>
          <w:p w14:paraId="7B0FF2A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37" w:type="dxa"/>
            <w:tcBorders>
              <w:top w:val="single" w:color="auto" w:sz="4" w:space="0"/>
              <w:left w:val="single" w:color="auto" w:sz="4" w:space="0"/>
              <w:bottom w:val="single" w:color="auto" w:sz="4" w:space="0"/>
              <w:right w:val="single" w:color="auto" w:sz="4" w:space="0"/>
            </w:tcBorders>
            <w:vAlign w:val="center"/>
          </w:tcPr>
          <w:p w14:paraId="7AAA78F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3863429">
        <w:tblPrEx>
          <w:tblCellMar>
            <w:top w:w="0" w:type="dxa"/>
            <w:left w:w="108" w:type="dxa"/>
            <w:bottom w:w="0" w:type="dxa"/>
            <w:right w:w="108" w:type="dxa"/>
          </w:tblCellMar>
        </w:tblPrEx>
        <w:trPr>
          <w:trHeight w:val="587" w:hRule="atLeast"/>
        </w:trPr>
        <w:tc>
          <w:tcPr>
            <w:tcW w:w="1877" w:type="dxa"/>
            <w:tcBorders>
              <w:top w:val="single" w:color="auto" w:sz="4" w:space="0"/>
              <w:left w:val="single" w:color="auto" w:sz="4" w:space="0"/>
              <w:bottom w:val="single" w:color="auto" w:sz="4" w:space="0"/>
              <w:right w:val="single" w:color="auto" w:sz="4" w:space="0"/>
            </w:tcBorders>
            <w:vAlign w:val="center"/>
          </w:tcPr>
          <w:p w14:paraId="7C1EFBA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131" w:type="dxa"/>
            <w:tcBorders>
              <w:top w:val="single" w:color="auto" w:sz="4" w:space="0"/>
              <w:left w:val="single" w:color="auto" w:sz="4" w:space="0"/>
              <w:bottom w:val="single" w:color="auto" w:sz="4" w:space="0"/>
              <w:right w:val="single" w:color="auto" w:sz="4" w:space="0"/>
            </w:tcBorders>
            <w:vAlign w:val="center"/>
          </w:tcPr>
          <w:p w14:paraId="29AC9BA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4737" w:type="dxa"/>
            <w:tcBorders>
              <w:top w:val="single" w:color="auto" w:sz="4" w:space="0"/>
              <w:left w:val="single" w:color="auto" w:sz="4" w:space="0"/>
              <w:bottom w:val="single" w:color="auto" w:sz="4" w:space="0"/>
              <w:right w:val="single" w:color="auto" w:sz="4" w:space="0"/>
            </w:tcBorders>
            <w:vAlign w:val="center"/>
          </w:tcPr>
          <w:p w14:paraId="288430E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18670F20">
        <w:tblPrEx>
          <w:tblCellMar>
            <w:top w:w="0" w:type="dxa"/>
            <w:left w:w="108" w:type="dxa"/>
            <w:bottom w:w="0" w:type="dxa"/>
            <w:right w:w="108" w:type="dxa"/>
          </w:tblCellMar>
        </w:tblPrEx>
        <w:trPr>
          <w:trHeight w:val="964" w:hRule="atLeast"/>
        </w:trPr>
        <w:tc>
          <w:tcPr>
            <w:tcW w:w="1877" w:type="dxa"/>
            <w:tcBorders>
              <w:top w:val="single" w:color="auto" w:sz="4" w:space="0"/>
              <w:left w:val="single" w:color="auto" w:sz="4" w:space="0"/>
              <w:bottom w:val="single" w:color="auto" w:sz="4" w:space="0"/>
              <w:right w:val="single" w:color="auto" w:sz="4" w:space="0"/>
            </w:tcBorders>
            <w:vAlign w:val="center"/>
          </w:tcPr>
          <w:p w14:paraId="5BC9F3C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131" w:type="dxa"/>
            <w:tcBorders>
              <w:top w:val="single" w:color="auto" w:sz="4" w:space="0"/>
              <w:left w:val="single" w:color="auto" w:sz="4" w:space="0"/>
              <w:bottom w:val="single" w:color="auto" w:sz="4" w:space="0"/>
              <w:right w:val="single" w:color="auto" w:sz="4" w:space="0"/>
            </w:tcBorders>
            <w:vAlign w:val="center"/>
          </w:tcPr>
          <w:p w14:paraId="70EE7B3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责令限期改正后，逾期不改正。（1）医疗废物登记记录不规范或者保存登记资料不全的；（2）未对医疗废物进行登记或者未保存登记资料的；（3）对医疗废物，虚假登记或伪造保存登记资料的。</w:t>
            </w:r>
          </w:p>
        </w:tc>
        <w:tc>
          <w:tcPr>
            <w:tcW w:w="4737" w:type="dxa"/>
            <w:tcBorders>
              <w:top w:val="single" w:color="auto" w:sz="4" w:space="0"/>
              <w:left w:val="single" w:color="auto" w:sz="4" w:space="0"/>
              <w:bottom w:val="single" w:color="auto" w:sz="4" w:space="0"/>
              <w:right w:val="single" w:color="auto" w:sz="4" w:space="0"/>
            </w:tcBorders>
            <w:vAlign w:val="center"/>
          </w:tcPr>
          <w:p w14:paraId="4349538F">
            <w:pPr>
              <w:widowControl w:val="0"/>
              <w:numPr>
                <w:ilvl w:val="-1"/>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处2000元以上2900元以下罚款；</w:t>
            </w:r>
          </w:p>
          <w:p w14:paraId="18138F7E">
            <w:pPr>
              <w:widowControl w:val="0"/>
              <w:numPr>
                <w:ilvl w:val="-1"/>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处2900元以上4100元以下罚款；</w:t>
            </w:r>
          </w:p>
          <w:p w14:paraId="2A5DC650">
            <w:pPr>
              <w:widowControl w:val="0"/>
              <w:numPr>
                <w:ilvl w:val="-1"/>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处4100元以上5000元以下罚款。</w:t>
            </w:r>
          </w:p>
        </w:tc>
      </w:tr>
    </w:tbl>
    <w:p w14:paraId="596A1EBB">
      <w:pPr>
        <w:pStyle w:val="4"/>
        <w:widowControl w:val="0"/>
        <w:ind w:firstLine="640"/>
        <w:rPr>
          <w:color w:val="000000" w:themeColor="text1"/>
          <w14:textFill>
            <w14:solidFill>
              <w14:schemeClr w14:val="tx1"/>
            </w14:solidFill>
          </w14:textFill>
        </w:rPr>
      </w:pPr>
      <w:bookmarkStart w:id="945" w:name="_Toc12424"/>
      <w:bookmarkStart w:id="946" w:name="_Toc23954"/>
      <w:bookmarkStart w:id="947" w:name="_Toc22309"/>
      <w:bookmarkStart w:id="948" w:name="_Toc23385"/>
      <w:bookmarkStart w:id="949" w:name="_Toc7923"/>
      <w:bookmarkStart w:id="950" w:name="_Toc20318"/>
      <w:bookmarkStart w:id="951" w:name="_Toc562"/>
      <w:bookmarkStart w:id="952" w:name="_Toc358"/>
      <w:bookmarkStart w:id="953" w:name="_Toc10435"/>
      <w:bookmarkStart w:id="954" w:name="_Toc25978"/>
      <w:bookmarkStart w:id="955" w:name="_Toc20132"/>
      <w:r>
        <w:rPr>
          <w:rFonts w:hint="eastAsia"/>
          <w:color w:val="000000" w:themeColor="text1"/>
          <w14:textFill>
            <w14:solidFill>
              <w14:schemeClr w14:val="tx1"/>
            </w14:solidFill>
          </w14:textFill>
        </w:rPr>
        <w:t>第八十三条 医疗卫生机构对使用后的医疗废物运送工具或者运送车辆未在指定地点及时进行消毒和清洁的</w:t>
      </w:r>
      <w:bookmarkEnd w:id="945"/>
      <w:bookmarkEnd w:id="946"/>
      <w:bookmarkEnd w:id="947"/>
      <w:bookmarkEnd w:id="948"/>
      <w:bookmarkEnd w:id="949"/>
      <w:bookmarkEnd w:id="950"/>
      <w:bookmarkEnd w:id="951"/>
      <w:bookmarkEnd w:id="952"/>
      <w:bookmarkEnd w:id="953"/>
      <w:bookmarkEnd w:id="954"/>
      <w:bookmarkEnd w:id="955"/>
    </w:p>
    <w:p w14:paraId="0D5C538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C6942E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《医疗废物管理条例》第四十五条第（五）项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 </w:t>
      </w:r>
    </w:p>
    <w:p w14:paraId="7C74378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（五）对使用后的医疗废物运送工具或者运送车辆未在指定地点及时进行消毒和清洁的；</w:t>
      </w:r>
    </w:p>
    <w:p w14:paraId="601A24D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《医疗废物管理条例》第十八条第二款 运送工具使用后应当在医疗卫生机构内指定的地点及时消毒和清洁。</w:t>
      </w:r>
    </w:p>
    <w:p w14:paraId="4B755314">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《医疗废物管理行政处罚办法》第二条第（四）项　医疗卫生机构有《条例》第四十五条规定的下列情形之一的，由县级以上地方人民政府卫生行政主管部门责令限期改正，给予警告；逾期不改正的，处2000元以上5000元以下的罚款：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66BFAE5D">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（四）对使用后的医疗废物运送工具或者运送车辆未在指定地点及时进行消毒和清洁的；</w:t>
      </w:r>
    </w:p>
    <w:tbl>
      <w:tblPr>
        <w:tblStyle w:val="24"/>
        <w:tblW w:w="13837" w:type="dxa"/>
        <w:tblInd w:w="93" w:type="dxa"/>
        <w:tblLayout w:type="autofit"/>
        <w:tblCellMar>
          <w:top w:w="0" w:type="dxa"/>
          <w:left w:w="108" w:type="dxa"/>
          <w:bottom w:w="0" w:type="dxa"/>
          <w:right w:w="108" w:type="dxa"/>
        </w:tblCellMar>
      </w:tblPr>
      <w:tblGrid>
        <w:gridCol w:w="1600"/>
        <w:gridCol w:w="7395"/>
        <w:gridCol w:w="4842"/>
      </w:tblGrid>
      <w:tr w14:paraId="43B4727F">
        <w:tblPrEx>
          <w:tblCellMar>
            <w:top w:w="0" w:type="dxa"/>
            <w:left w:w="108" w:type="dxa"/>
            <w:bottom w:w="0" w:type="dxa"/>
            <w:right w:w="108" w:type="dxa"/>
          </w:tblCellMar>
        </w:tblPrEx>
        <w:trPr>
          <w:trHeight w:val="390" w:hRule="atLeast"/>
        </w:trPr>
        <w:tc>
          <w:tcPr>
            <w:tcW w:w="13837" w:type="dxa"/>
            <w:gridSpan w:val="3"/>
            <w:tcBorders>
              <w:top w:val="nil"/>
              <w:left w:val="nil"/>
              <w:bottom w:val="single" w:color="auto" w:sz="4" w:space="0"/>
              <w:right w:val="nil"/>
            </w:tcBorders>
            <w:noWrap/>
            <w:vAlign w:val="center"/>
          </w:tcPr>
          <w:p w14:paraId="6BEEFFDF">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49EDE979">
        <w:tblPrEx>
          <w:tblCellMar>
            <w:top w:w="0" w:type="dxa"/>
            <w:left w:w="108" w:type="dxa"/>
            <w:bottom w:w="0" w:type="dxa"/>
            <w:right w:w="108" w:type="dxa"/>
          </w:tblCellMar>
        </w:tblPrEx>
        <w:trPr>
          <w:trHeight w:val="567" w:hRule="atLeast"/>
        </w:trPr>
        <w:tc>
          <w:tcPr>
            <w:tcW w:w="1600" w:type="dxa"/>
            <w:tcBorders>
              <w:top w:val="single" w:color="auto" w:sz="4" w:space="0"/>
              <w:left w:val="single" w:color="auto" w:sz="4" w:space="0"/>
              <w:bottom w:val="single" w:color="auto" w:sz="4" w:space="0"/>
              <w:right w:val="single" w:color="auto" w:sz="4" w:space="0"/>
            </w:tcBorders>
            <w:vAlign w:val="center"/>
          </w:tcPr>
          <w:p w14:paraId="1DA28E60">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395" w:type="dxa"/>
            <w:tcBorders>
              <w:top w:val="single" w:color="auto" w:sz="4" w:space="0"/>
              <w:left w:val="single" w:color="auto" w:sz="4" w:space="0"/>
              <w:bottom w:val="single" w:color="auto" w:sz="4" w:space="0"/>
              <w:right w:val="single" w:color="auto" w:sz="4" w:space="0"/>
            </w:tcBorders>
            <w:vAlign w:val="center"/>
          </w:tcPr>
          <w:p w14:paraId="472902B4">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842" w:type="dxa"/>
            <w:tcBorders>
              <w:top w:val="single" w:color="auto" w:sz="4" w:space="0"/>
              <w:left w:val="single" w:color="auto" w:sz="4" w:space="0"/>
              <w:bottom w:val="single" w:color="auto" w:sz="4" w:space="0"/>
              <w:right w:val="single" w:color="auto" w:sz="4" w:space="0"/>
            </w:tcBorders>
            <w:vAlign w:val="center"/>
          </w:tcPr>
          <w:p w14:paraId="0BA3499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FF9793F">
        <w:tblPrEx>
          <w:tblCellMar>
            <w:top w:w="0" w:type="dxa"/>
            <w:left w:w="108" w:type="dxa"/>
            <w:bottom w:w="0" w:type="dxa"/>
            <w:right w:w="108" w:type="dxa"/>
          </w:tblCellMar>
        </w:tblPrEx>
        <w:trPr>
          <w:trHeight w:val="57" w:hRule="atLeast"/>
        </w:trPr>
        <w:tc>
          <w:tcPr>
            <w:tcW w:w="1600" w:type="dxa"/>
            <w:tcBorders>
              <w:top w:val="single" w:color="auto" w:sz="4" w:space="0"/>
              <w:left w:val="single" w:color="auto" w:sz="4" w:space="0"/>
              <w:bottom w:val="single" w:color="auto" w:sz="4" w:space="0"/>
              <w:right w:val="single" w:color="auto" w:sz="4" w:space="0"/>
            </w:tcBorders>
            <w:vAlign w:val="center"/>
          </w:tcPr>
          <w:p w14:paraId="2BE0C7F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395" w:type="dxa"/>
            <w:tcBorders>
              <w:top w:val="single" w:color="auto" w:sz="4" w:space="0"/>
              <w:left w:val="single" w:color="auto" w:sz="4" w:space="0"/>
              <w:bottom w:val="single" w:color="auto" w:sz="4" w:space="0"/>
              <w:right w:val="single" w:color="auto" w:sz="4" w:space="0"/>
            </w:tcBorders>
            <w:vAlign w:val="center"/>
          </w:tcPr>
          <w:p w14:paraId="25B6F1E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4842" w:type="dxa"/>
            <w:tcBorders>
              <w:top w:val="single" w:color="auto" w:sz="4" w:space="0"/>
              <w:left w:val="single" w:color="auto" w:sz="4" w:space="0"/>
              <w:bottom w:val="single" w:color="auto" w:sz="4" w:space="0"/>
              <w:right w:val="single" w:color="auto" w:sz="4" w:space="0"/>
            </w:tcBorders>
            <w:vAlign w:val="center"/>
          </w:tcPr>
          <w:p w14:paraId="20F8886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2F97ECEE">
        <w:tblPrEx>
          <w:tblCellMar>
            <w:top w:w="0" w:type="dxa"/>
            <w:left w:w="108" w:type="dxa"/>
            <w:bottom w:w="0" w:type="dxa"/>
            <w:right w:w="108" w:type="dxa"/>
          </w:tblCellMar>
        </w:tblPrEx>
        <w:trPr>
          <w:trHeight w:val="57" w:hRule="atLeast"/>
        </w:trPr>
        <w:tc>
          <w:tcPr>
            <w:tcW w:w="1600" w:type="dxa"/>
            <w:tcBorders>
              <w:top w:val="single" w:color="auto" w:sz="4" w:space="0"/>
              <w:left w:val="single" w:color="auto" w:sz="4" w:space="0"/>
              <w:bottom w:val="single" w:color="auto" w:sz="4" w:space="0"/>
              <w:right w:val="single" w:color="auto" w:sz="4" w:space="0"/>
            </w:tcBorders>
            <w:vAlign w:val="center"/>
          </w:tcPr>
          <w:p w14:paraId="76BD0CB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395" w:type="dxa"/>
            <w:tcBorders>
              <w:top w:val="single" w:color="auto" w:sz="4" w:space="0"/>
              <w:left w:val="single" w:color="auto" w:sz="4" w:space="0"/>
              <w:bottom w:val="single" w:color="auto" w:sz="4" w:space="0"/>
              <w:right w:val="single" w:color="auto" w:sz="4" w:space="0"/>
            </w:tcBorders>
            <w:vAlign w:val="center"/>
          </w:tcPr>
          <w:p w14:paraId="1FAB30C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责令限期改正后，逾期不改正。（1）在指定地点之外的地点消毒和清洁的；（2）未及时消毒和清洁的；（3）该行为曾被行政处罚或造成危害后果的。</w:t>
            </w:r>
          </w:p>
        </w:tc>
        <w:tc>
          <w:tcPr>
            <w:tcW w:w="4842" w:type="dxa"/>
            <w:tcBorders>
              <w:top w:val="single" w:color="auto" w:sz="4" w:space="0"/>
              <w:left w:val="single" w:color="auto" w:sz="4" w:space="0"/>
              <w:bottom w:val="single" w:color="auto" w:sz="4" w:space="0"/>
              <w:right w:val="single" w:color="auto" w:sz="4" w:space="0"/>
            </w:tcBorders>
            <w:vAlign w:val="center"/>
          </w:tcPr>
          <w:p w14:paraId="7373B8C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（1）处2000元以上2900元以下罚款；（2）处2900元以上4100元以下罚款；（3）处4100元以上5000元以下罚款。</w:t>
            </w:r>
          </w:p>
        </w:tc>
      </w:tr>
    </w:tbl>
    <w:p w14:paraId="13555182">
      <w:pPr>
        <w:pStyle w:val="4"/>
        <w:widowControl w:val="0"/>
        <w:ind w:firstLine="640"/>
        <w:rPr>
          <w:rFonts w:hint="eastAsia" w:ascii="Times New Roman" w:hAnsi="Times New Roman" w:eastAsia="方正仿宋_GB2312" w:cs="方正仿宋_GB2312"/>
          <w:bCs/>
          <w:color w:val="000000" w:themeColor="text1"/>
          <w14:textFill>
            <w14:solidFill>
              <w14:schemeClr w14:val="tx1"/>
            </w14:solidFill>
          </w14:textFill>
        </w:rPr>
      </w:pPr>
      <w:bookmarkStart w:id="956" w:name="_Toc763"/>
      <w:bookmarkStart w:id="957" w:name="_Toc2273"/>
      <w:bookmarkStart w:id="958" w:name="_Toc10831"/>
      <w:bookmarkStart w:id="959" w:name="_Toc21371"/>
      <w:bookmarkStart w:id="960" w:name="_Toc27231"/>
      <w:bookmarkStart w:id="961" w:name="_Toc8827"/>
      <w:bookmarkStart w:id="962" w:name="_Toc5132"/>
      <w:bookmarkStart w:id="963" w:name="_Toc25185"/>
      <w:bookmarkStart w:id="964" w:name="_Toc28775"/>
      <w:bookmarkStart w:id="965" w:name="_Toc16604"/>
      <w:bookmarkStart w:id="966" w:name="_Toc29969"/>
      <w:r>
        <w:rPr>
          <w:rFonts w:hint="eastAsia"/>
          <w:color w:val="000000" w:themeColor="text1"/>
          <w14:textFill>
            <w14:solidFill>
              <w14:schemeClr w14:val="tx1"/>
            </w14:solidFill>
          </w14:textFill>
        </w:rPr>
        <w:t xml:space="preserve">第八十四条 </w:t>
      </w:r>
      <w:r>
        <w:rPr>
          <w:rFonts w:hint="eastAsia" w:ascii="Times New Roman" w:hAnsi="Times New Roman" w:cs="仿宋_GB2312"/>
          <w:bCs/>
          <w:color w:val="000000" w:themeColor="text1"/>
          <w14:textFill>
            <w14:solidFill>
              <w14:schemeClr w14:val="tx1"/>
            </w14:solidFill>
          </w14:textFill>
        </w:rPr>
        <w:t>自行建有医疗废物处置设施的医疗卫生机构未定期对医疗废物处置设施的卫生学效果进行检测、评价，或者未将检测、评价效果存档、报告的</w:t>
      </w:r>
      <w:bookmarkEnd w:id="956"/>
      <w:bookmarkEnd w:id="957"/>
      <w:bookmarkEnd w:id="958"/>
      <w:bookmarkEnd w:id="959"/>
      <w:bookmarkEnd w:id="960"/>
      <w:bookmarkEnd w:id="961"/>
      <w:bookmarkEnd w:id="962"/>
      <w:bookmarkEnd w:id="963"/>
      <w:bookmarkEnd w:id="964"/>
      <w:bookmarkEnd w:id="965"/>
      <w:bookmarkEnd w:id="966"/>
    </w:p>
    <w:p w14:paraId="280005A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32562D6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《医疗废物管理条例》第四十五条第（七）项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 </w:t>
      </w:r>
    </w:p>
    <w:p w14:paraId="48DA853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（七）未定期对医疗废物处置设施的环境污染防治和卫生学效果进行检测、评价，或者未将检测、评价效果存档、报告的。</w:t>
      </w:r>
    </w:p>
    <w:p w14:paraId="4579044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《医疗卫生机构医疗废物管理办法》第三十九条第（六）项　医疗卫生机构违反《医疗废物管理条例》及本办法规定，有下列情形之一的，由县级以上地方人民政府卫生行政主管部门责令限期改正、给予警告；逾期不改正的，处以2000元以上5000元以下的罚款：</w:t>
      </w:r>
    </w:p>
    <w:p w14:paraId="6F1B6D94">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（六）自行建有医疗废物处置设施的医疗卫生机构，未定期对医疗废物处置设施的卫生学效果进行检测、评价，或者未将检测、评价效果存档、报告的。</w:t>
      </w:r>
    </w:p>
    <w:p w14:paraId="4765A90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《医疗废物管理行政处罚办法》第二条第（五）项　医疗卫生机构有《条例》第四十五条规定的下列情形之一的，由县级以上地方人民政府卫生行政主管部门责令限期改正，给予警告；逾期不改正的，处2000元以上5000元以下的罚款：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6FAB62A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（五）依照《条例》自行建有医疗废物处置设施的医疗卫生机构未定期对医疗废物处置设施的污染防治和卫生学效果进行检测、评价，或者未将检测、评价效果存档、报告的。</w:t>
      </w:r>
    </w:p>
    <w:tbl>
      <w:tblPr>
        <w:tblStyle w:val="24"/>
        <w:tblW w:w="13837" w:type="dxa"/>
        <w:tblInd w:w="93" w:type="dxa"/>
        <w:tblLayout w:type="autofit"/>
        <w:tblCellMar>
          <w:top w:w="0" w:type="dxa"/>
          <w:left w:w="108" w:type="dxa"/>
          <w:bottom w:w="0" w:type="dxa"/>
          <w:right w:w="108" w:type="dxa"/>
        </w:tblCellMar>
      </w:tblPr>
      <w:tblGrid>
        <w:gridCol w:w="1508"/>
        <w:gridCol w:w="7948"/>
        <w:gridCol w:w="4381"/>
      </w:tblGrid>
      <w:tr w14:paraId="0C68CDD1">
        <w:tblPrEx>
          <w:tblCellMar>
            <w:top w:w="0" w:type="dxa"/>
            <w:left w:w="108" w:type="dxa"/>
            <w:bottom w:w="0" w:type="dxa"/>
            <w:right w:w="108" w:type="dxa"/>
          </w:tblCellMar>
        </w:tblPrEx>
        <w:trPr>
          <w:trHeight w:val="390" w:hRule="atLeast"/>
        </w:trPr>
        <w:tc>
          <w:tcPr>
            <w:tcW w:w="13837" w:type="dxa"/>
            <w:gridSpan w:val="3"/>
            <w:tcBorders>
              <w:top w:val="nil"/>
              <w:left w:val="nil"/>
              <w:bottom w:val="single" w:color="auto" w:sz="4" w:space="0"/>
              <w:right w:val="nil"/>
            </w:tcBorders>
            <w:noWrap/>
            <w:vAlign w:val="center"/>
          </w:tcPr>
          <w:p w14:paraId="7525C97E">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0CC1FC7E">
        <w:tblPrEx>
          <w:tblCellMar>
            <w:top w:w="0" w:type="dxa"/>
            <w:left w:w="108" w:type="dxa"/>
            <w:bottom w:w="0" w:type="dxa"/>
            <w:right w:w="108" w:type="dxa"/>
          </w:tblCellMar>
        </w:tblPrEx>
        <w:trPr>
          <w:trHeight w:val="680" w:hRule="atLeast"/>
        </w:trPr>
        <w:tc>
          <w:tcPr>
            <w:tcW w:w="1508" w:type="dxa"/>
            <w:tcBorders>
              <w:top w:val="single" w:color="auto" w:sz="4" w:space="0"/>
              <w:left w:val="single" w:color="auto" w:sz="4" w:space="0"/>
              <w:bottom w:val="single" w:color="auto" w:sz="4" w:space="0"/>
              <w:right w:val="single" w:color="auto" w:sz="4" w:space="0"/>
            </w:tcBorders>
            <w:vAlign w:val="center"/>
          </w:tcPr>
          <w:p w14:paraId="767C78F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948" w:type="dxa"/>
            <w:tcBorders>
              <w:top w:val="single" w:color="auto" w:sz="4" w:space="0"/>
              <w:left w:val="single" w:color="auto" w:sz="4" w:space="0"/>
              <w:bottom w:val="single" w:color="auto" w:sz="4" w:space="0"/>
              <w:right w:val="single" w:color="auto" w:sz="4" w:space="0"/>
            </w:tcBorders>
            <w:vAlign w:val="center"/>
          </w:tcPr>
          <w:p w14:paraId="22ABFB3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381" w:type="dxa"/>
            <w:tcBorders>
              <w:top w:val="single" w:color="auto" w:sz="4" w:space="0"/>
              <w:left w:val="single" w:color="auto" w:sz="4" w:space="0"/>
              <w:bottom w:val="single" w:color="auto" w:sz="4" w:space="0"/>
              <w:right w:val="single" w:color="auto" w:sz="4" w:space="0"/>
            </w:tcBorders>
            <w:vAlign w:val="center"/>
          </w:tcPr>
          <w:p w14:paraId="62BD86A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12799EB">
        <w:tblPrEx>
          <w:tblCellMar>
            <w:top w:w="0" w:type="dxa"/>
            <w:left w:w="108" w:type="dxa"/>
            <w:bottom w:w="0" w:type="dxa"/>
            <w:right w:w="108" w:type="dxa"/>
          </w:tblCellMar>
        </w:tblPrEx>
        <w:trPr>
          <w:trHeight w:val="57" w:hRule="atLeast"/>
        </w:trPr>
        <w:tc>
          <w:tcPr>
            <w:tcW w:w="1508" w:type="dxa"/>
            <w:tcBorders>
              <w:top w:val="single" w:color="auto" w:sz="4" w:space="0"/>
              <w:left w:val="single" w:color="auto" w:sz="4" w:space="0"/>
              <w:bottom w:val="single" w:color="auto" w:sz="4" w:space="0"/>
              <w:right w:val="single" w:color="auto" w:sz="4" w:space="0"/>
            </w:tcBorders>
            <w:vAlign w:val="center"/>
          </w:tcPr>
          <w:p w14:paraId="5FD8CBA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948" w:type="dxa"/>
            <w:tcBorders>
              <w:top w:val="single" w:color="auto" w:sz="4" w:space="0"/>
              <w:left w:val="single" w:color="auto" w:sz="4" w:space="0"/>
              <w:bottom w:val="single" w:color="auto" w:sz="4" w:space="0"/>
              <w:right w:val="single" w:color="auto" w:sz="4" w:space="0"/>
            </w:tcBorders>
            <w:vAlign w:val="center"/>
          </w:tcPr>
          <w:p w14:paraId="4E726F3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4381" w:type="dxa"/>
            <w:tcBorders>
              <w:top w:val="single" w:color="auto" w:sz="4" w:space="0"/>
              <w:left w:val="single" w:color="auto" w:sz="4" w:space="0"/>
              <w:bottom w:val="single" w:color="auto" w:sz="4" w:space="0"/>
              <w:right w:val="single" w:color="auto" w:sz="4" w:space="0"/>
            </w:tcBorders>
            <w:vAlign w:val="center"/>
          </w:tcPr>
          <w:p w14:paraId="49762BF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6293B12A">
        <w:tblPrEx>
          <w:tblCellMar>
            <w:top w:w="0" w:type="dxa"/>
            <w:left w:w="108" w:type="dxa"/>
            <w:bottom w:w="0" w:type="dxa"/>
            <w:right w:w="108" w:type="dxa"/>
          </w:tblCellMar>
        </w:tblPrEx>
        <w:trPr>
          <w:trHeight w:val="57" w:hRule="atLeast"/>
        </w:trPr>
        <w:tc>
          <w:tcPr>
            <w:tcW w:w="1508" w:type="dxa"/>
            <w:tcBorders>
              <w:top w:val="single" w:color="auto" w:sz="4" w:space="0"/>
              <w:left w:val="single" w:color="auto" w:sz="4" w:space="0"/>
              <w:bottom w:val="single" w:color="auto" w:sz="4" w:space="0"/>
              <w:right w:val="single" w:color="auto" w:sz="4" w:space="0"/>
            </w:tcBorders>
            <w:vAlign w:val="center"/>
          </w:tcPr>
          <w:p w14:paraId="6519BE9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948" w:type="dxa"/>
            <w:tcBorders>
              <w:top w:val="single" w:color="auto" w:sz="4" w:space="0"/>
              <w:left w:val="single" w:color="auto" w:sz="4" w:space="0"/>
              <w:bottom w:val="single" w:color="auto" w:sz="4" w:space="0"/>
              <w:right w:val="single" w:color="auto" w:sz="4" w:space="0"/>
            </w:tcBorders>
            <w:vAlign w:val="center"/>
          </w:tcPr>
          <w:p w14:paraId="605D3CC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1）已对医疗废物处置设施的环境污染防治和卫生学效果进行检测、评价，但未将检测、评价效果存档、报告的；（2）未对医疗废物处置设施的环境污染防治和卫生学效果进行检测、评价的；（3）未定期对医疗废物处置设施的环境污染防治和卫生学效果进行检测、评价，发生危害后果的。</w:t>
            </w:r>
          </w:p>
        </w:tc>
        <w:tc>
          <w:tcPr>
            <w:tcW w:w="4381" w:type="dxa"/>
            <w:tcBorders>
              <w:top w:val="single" w:color="auto" w:sz="4" w:space="0"/>
              <w:left w:val="single" w:color="auto" w:sz="4" w:space="0"/>
              <w:bottom w:val="single" w:color="auto" w:sz="4" w:space="0"/>
              <w:right w:val="single" w:color="auto" w:sz="4" w:space="0"/>
            </w:tcBorders>
            <w:vAlign w:val="center"/>
          </w:tcPr>
          <w:p w14:paraId="650EF80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（1）处2000元以上2900元以下罚款；（2）处2900元以上4100元以下罚款；（3）处4100元以上5000元以下罚款。</w:t>
            </w:r>
          </w:p>
        </w:tc>
      </w:tr>
    </w:tbl>
    <w:p w14:paraId="29BB4045">
      <w:pPr>
        <w:pStyle w:val="4"/>
        <w:widowControl w:val="0"/>
        <w:ind w:firstLine="640"/>
        <w:rPr>
          <w:color w:val="000000" w:themeColor="text1"/>
          <w14:textFill>
            <w14:solidFill>
              <w14:schemeClr w14:val="tx1"/>
            </w14:solidFill>
          </w14:textFill>
        </w:rPr>
      </w:pPr>
      <w:bookmarkStart w:id="967" w:name="_Toc6089"/>
      <w:bookmarkStart w:id="968" w:name="_Toc17078"/>
      <w:bookmarkStart w:id="969" w:name="_Toc18082"/>
      <w:bookmarkStart w:id="970" w:name="_Toc6292"/>
      <w:bookmarkStart w:id="971" w:name="_Toc4792"/>
      <w:bookmarkStart w:id="972" w:name="_Toc18485"/>
      <w:bookmarkStart w:id="973" w:name="_Toc19660"/>
      <w:bookmarkStart w:id="974" w:name="_Toc22549"/>
      <w:bookmarkStart w:id="975" w:name="_Toc14572"/>
      <w:bookmarkStart w:id="976" w:name="_Toc1752"/>
      <w:bookmarkStart w:id="977" w:name="_Toc19262"/>
      <w:r>
        <w:rPr>
          <w:rFonts w:hint="eastAsia"/>
          <w:color w:val="000000" w:themeColor="text1"/>
          <w14:textFill>
            <w14:solidFill>
              <w14:schemeClr w14:val="tx1"/>
            </w14:solidFill>
          </w14:textFill>
        </w:rPr>
        <w:t>第八十五条 医疗卫生机构医疗废物暂时贮存地点、设施或者设备不符合卫生要求的</w:t>
      </w:r>
      <w:bookmarkEnd w:id="967"/>
      <w:bookmarkEnd w:id="968"/>
      <w:bookmarkEnd w:id="969"/>
      <w:bookmarkEnd w:id="970"/>
      <w:bookmarkEnd w:id="971"/>
      <w:bookmarkEnd w:id="972"/>
      <w:bookmarkEnd w:id="973"/>
      <w:bookmarkEnd w:id="974"/>
      <w:bookmarkEnd w:id="975"/>
      <w:bookmarkEnd w:id="976"/>
      <w:bookmarkEnd w:id="977"/>
    </w:p>
    <w:p w14:paraId="5602E69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法律依据： </w:t>
      </w:r>
    </w:p>
    <w:p w14:paraId="4D16555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《医疗废物管理条例》第四十六条第（一）项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w:t>
      </w:r>
    </w:p>
    <w:p w14:paraId="63EFC0D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（一）贮存设施或者设备不符合环境保护、卫生要求的；</w:t>
      </w:r>
    </w:p>
    <w:p w14:paraId="2981108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《医疗废物管理条例》第十七条第一款、第二款、第三款　医疗卫生机构应当建立医疗废物的暂时贮存设施、设备，不得露天存放医疗废物；医疗废物暂时贮存的时间不得超过2天。 </w:t>
      </w:r>
    </w:p>
    <w:p w14:paraId="5F316AE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医疗废物的暂时贮存设施、设备，应当远离医疗区、食品加工区和人员活动区以及生活垃圾存放场所，并设置明显的警示标识和防渗漏、防鼠、防蚊蝇、防蟑螂、防盗以及预防儿童接触等安全措施。</w:t>
      </w:r>
    </w:p>
    <w:p w14:paraId="434BCD11">
      <w:pPr>
        <w:widowControl w:val="0"/>
        <w:spacing w:after="0" w:line="440" w:lineRule="exact"/>
        <w:ind w:firstLine="64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医疗废物的暂时贮存设施、设备应当定期消毒和清洁。</w:t>
      </w:r>
    </w:p>
    <w:p w14:paraId="114DE9C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《医疗卫生机构医疗废物管理办法》第四十条第（一）项 　医疗卫生机构违反《医疗废物管理条例》及本办法规定，有下列情形之一的，由县级以上地方人民政府卫生行政主管部门责令限期改正、给予警告，可以并处5000元以下的罚款；逾期不改正的，处5000元以上3万元以下的罚款：</w:t>
      </w:r>
    </w:p>
    <w:p w14:paraId="5C45E4B8">
      <w:pPr>
        <w:widowControl w:val="0"/>
        <w:numPr>
          <w:ilvl w:val="0"/>
          <w:numId w:val="4"/>
        </w:numPr>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医疗废物暂时贮存地点、设施或者设备不符合卫生要求的；</w:t>
      </w:r>
    </w:p>
    <w:p w14:paraId="2731C20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《医疗卫生机构医疗废物管理办法》第二十一条　医疗卫生机构建立的医疗废物暂时贮存设施、设备应当达到以下要求：（一）远离医疗区、食品加工区、人员活动区和生活垃圾存放场所，方便医疗废物运送人员及运送工具、车辆的出入；（二）有严密的封闭措施，设专（兼）职人员管理，防止非工作人员接触医疗废物；（三）有防鼠、防蚊蝇、防蟑螂的安全措施；（四）防止渗漏和雨水冲刷；（五）易于清洁和消毒；（六）避免阳光直射；（七）设有明显的医疗废物警示标识和“禁止吸烟、饮食”的警示标识。</w:t>
      </w:r>
    </w:p>
    <w:p w14:paraId="73F6CC3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《医疗卫生机构医疗废物管理办法》第二十二条　暂时贮存病理性废物，应当具备低温贮存或者防腐条件。</w:t>
      </w:r>
    </w:p>
    <w:p w14:paraId="6CBBE05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《医疗废物管理行政处罚办法》第五条第（一）项　医疗卫生机构有《条例》第四十六条规定的下列情形之一的，由县级以上地方人民政府卫生行政主管部门责令限期改正，给予警告，可以并处5000元以下的罚款，逾期不改正的，处5000元以上3万元以下的罚款：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11977F1C">
      <w:pPr>
        <w:widowControl w:val="0"/>
        <w:spacing w:after="0" w:line="440" w:lineRule="exact"/>
        <w:ind w:firstLine="640" w:firstLineChars="200"/>
        <w:jc w:val="both"/>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（一）贮存设施或者设备不符合环境保护、卫生要求的；</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tbl>
      <w:tblPr>
        <w:tblStyle w:val="24"/>
        <w:tblW w:w="13969" w:type="dxa"/>
        <w:tblInd w:w="93" w:type="dxa"/>
        <w:tblLayout w:type="autofit"/>
        <w:tblCellMar>
          <w:top w:w="0" w:type="dxa"/>
          <w:left w:w="108" w:type="dxa"/>
          <w:bottom w:w="0" w:type="dxa"/>
          <w:right w:w="108" w:type="dxa"/>
        </w:tblCellMar>
      </w:tblPr>
      <w:tblGrid>
        <w:gridCol w:w="1521"/>
        <w:gridCol w:w="7737"/>
        <w:gridCol w:w="4711"/>
      </w:tblGrid>
      <w:tr w14:paraId="321A6719">
        <w:tblPrEx>
          <w:tblCellMar>
            <w:top w:w="0" w:type="dxa"/>
            <w:left w:w="108" w:type="dxa"/>
            <w:bottom w:w="0" w:type="dxa"/>
            <w:right w:w="108" w:type="dxa"/>
          </w:tblCellMar>
        </w:tblPrEx>
        <w:trPr>
          <w:trHeight w:val="535" w:hRule="atLeast"/>
        </w:trPr>
        <w:tc>
          <w:tcPr>
            <w:tcW w:w="13969" w:type="dxa"/>
            <w:gridSpan w:val="3"/>
            <w:tcBorders>
              <w:top w:val="nil"/>
              <w:left w:val="nil"/>
              <w:bottom w:val="single" w:color="auto" w:sz="4" w:space="0"/>
              <w:right w:val="nil"/>
            </w:tcBorders>
            <w:noWrap/>
            <w:vAlign w:val="center"/>
          </w:tcPr>
          <w:p w14:paraId="5A3FEE4F">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5AD0163A">
        <w:tblPrEx>
          <w:tblCellMar>
            <w:top w:w="0" w:type="dxa"/>
            <w:left w:w="108" w:type="dxa"/>
            <w:bottom w:w="0" w:type="dxa"/>
            <w:right w:w="108" w:type="dxa"/>
          </w:tblCellMar>
        </w:tblPrEx>
        <w:trPr>
          <w:trHeight w:val="680" w:hRule="atLeast"/>
        </w:trPr>
        <w:tc>
          <w:tcPr>
            <w:tcW w:w="1521" w:type="dxa"/>
            <w:tcBorders>
              <w:top w:val="single" w:color="auto" w:sz="4" w:space="0"/>
              <w:left w:val="single" w:color="auto" w:sz="4" w:space="0"/>
              <w:bottom w:val="single" w:color="auto" w:sz="4" w:space="0"/>
              <w:right w:val="single" w:color="auto" w:sz="4" w:space="0"/>
            </w:tcBorders>
            <w:vAlign w:val="center"/>
          </w:tcPr>
          <w:p w14:paraId="227E39D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37" w:type="dxa"/>
            <w:tcBorders>
              <w:top w:val="single" w:color="auto" w:sz="4" w:space="0"/>
              <w:left w:val="single" w:color="auto" w:sz="4" w:space="0"/>
              <w:bottom w:val="single" w:color="auto" w:sz="4" w:space="0"/>
              <w:right w:val="single" w:color="auto" w:sz="4" w:space="0"/>
            </w:tcBorders>
            <w:vAlign w:val="center"/>
          </w:tcPr>
          <w:p w14:paraId="1F04EE2B">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11" w:type="dxa"/>
            <w:tcBorders>
              <w:top w:val="single" w:color="auto" w:sz="4" w:space="0"/>
              <w:left w:val="single" w:color="auto" w:sz="4" w:space="0"/>
              <w:bottom w:val="single" w:color="auto" w:sz="4" w:space="0"/>
              <w:right w:val="single" w:color="auto" w:sz="4" w:space="0"/>
            </w:tcBorders>
            <w:vAlign w:val="center"/>
          </w:tcPr>
          <w:p w14:paraId="28E94880">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A63C555">
        <w:tblPrEx>
          <w:tblCellMar>
            <w:top w:w="0" w:type="dxa"/>
            <w:left w:w="108" w:type="dxa"/>
            <w:bottom w:w="0" w:type="dxa"/>
            <w:right w:w="108" w:type="dxa"/>
          </w:tblCellMar>
        </w:tblPrEx>
        <w:trPr>
          <w:trHeight w:val="680" w:hRule="atLeast"/>
        </w:trPr>
        <w:tc>
          <w:tcPr>
            <w:tcW w:w="1521" w:type="dxa"/>
            <w:tcBorders>
              <w:top w:val="single" w:color="auto" w:sz="4" w:space="0"/>
              <w:left w:val="single" w:color="auto" w:sz="4" w:space="0"/>
              <w:bottom w:val="single" w:color="auto" w:sz="4" w:space="0"/>
              <w:right w:val="single" w:color="auto" w:sz="4" w:space="0"/>
            </w:tcBorders>
            <w:vAlign w:val="center"/>
          </w:tcPr>
          <w:p w14:paraId="315D457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737" w:type="dxa"/>
            <w:tcBorders>
              <w:top w:val="single" w:color="auto" w:sz="4" w:space="0"/>
              <w:left w:val="single" w:color="auto" w:sz="4" w:space="0"/>
              <w:bottom w:val="single" w:color="auto" w:sz="4" w:space="0"/>
              <w:right w:val="single" w:color="auto" w:sz="4" w:space="0"/>
            </w:tcBorders>
            <w:vAlign w:val="center"/>
          </w:tcPr>
          <w:p w14:paraId="5F8DD1B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4711" w:type="dxa"/>
            <w:tcBorders>
              <w:top w:val="single" w:color="auto" w:sz="4" w:space="0"/>
              <w:left w:val="single" w:color="auto" w:sz="4" w:space="0"/>
              <w:bottom w:val="single" w:color="auto" w:sz="4" w:space="0"/>
              <w:right w:val="single" w:color="auto" w:sz="4" w:space="0"/>
            </w:tcBorders>
            <w:vAlign w:val="center"/>
          </w:tcPr>
          <w:p w14:paraId="533BEA9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警告，并处5000元以下的罚款。</w:t>
            </w:r>
          </w:p>
        </w:tc>
      </w:tr>
      <w:tr w14:paraId="4564A76B">
        <w:tblPrEx>
          <w:tblCellMar>
            <w:top w:w="0" w:type="dxa"/>
            <w:left w:w="108" w:type="dxa"/>
            <w:bottom w:w="0" w:type="dxa"/>
            <w:right w:w="108" w:type="dxa"/>
          </w:tblCellMar>
        </w:tblPrEx>
        <w:trPr>
          <w:trHeight w:val="680" w:hRule="atLeast"/>
        </w:trPr>
        <w:tc>
          <w:tcPr>
            <w:tcW w:w="1521" w:type="dxa"/>
            <w:vMerge w:val="restart"/>
            <w:tcBorders>
              <w:top w:val="single" w:color="auto" w:sz="4" w:space="0"/>
              <w:left w:val="single" w:color="auto" w:sz="4" w:space="0"/>
              <w:bottom w:val="single" w:color="auto" w:sz="4" w:space="0"/>
              <w:right w:val="single" w:color="auto" w:sz="4" w:space="0"/>
            </w:tcBorders>
            <w:vAlign w:val="center"/>
          </w:tcPr>
          <w:p w14:paraId="5E2E738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37" w:type="dxa"/>
            <w:tcBorders>
              <w:top w:val="single" w:color="auto" w:sz="4" w:space="0"/>
              <w:left w:val="single" w:color="auto" w:sz="4" w:space="0"/>
              <w:bottom w:val="single" w:color="auto" w:sz="4" w:space="0"/>
              <w:right w:val="single" w:color="auto" w:sz="4" w:space="0"/>
            </w:tcBorders>
            <w:vAlign w:val="center"/>
          </w:tcPr>
          <w:p w14:paraId="24A4382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违反本条例第十七条第一款规定的。</w:t>
            </w:r>
          </w:p>
        </w:tc>
        <w:tc>
          <w:tcPr>
            <w:tcW w:w="4711" w:type="dxa"/>
            <w:tcBorders>
              <w:top w:val="single" w:color="auto" w:sz="4" w:space="0"/>
              <w:left w:val="single" w:color="auto" w:sz="4" w:space="0"/>
              <w:bottom w:val="single" w:color="auto" w:sz="4" w:space="0"/>
              <w:right w:val="single" w:color="auto" w:sz="4" w:space="0"/>
            </w:tcBorders>
            <w:vAlign w:val="center"/>
          </w:tcPr>
          <w:p w14:paraId="240B329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处5000元以上1万元以下的罚款。</w:t>
            </w:r>
          </w:p>
        </w:tc>
      </w:tr>
      <w:tr w14:paraId="614DA5AA">
        <w:tblPrEx>
          <w:tblCellMar>
            <w:top w:w="0" w:type="dxa"/>
            <w:left w:w="108" w:type="dxa"/>
            <w:bottom w:w="0" w:type="dxa"/>
            <w:right w:w="108" w:type="dxa"/>
          </w:tblCellMar>
        </w:tblPrEx>
        <w:trPr>
          <w:trHeight w:val="680" w:hRule="atLeast"/>
        </w:trPr>
        <w:tc>
          <w:tcPr>
            <w:tcW w:w="1521" w:type="dxa"/>
            <w:vMerge w:val="continue"/>
            <w:tcBorders>
              <w:top w:val="single" w:color="auto" w:sz="4" w:space="0"/>
              <w:left w:val="single" w:color="auto" w:sz="4" w:space="0"/>
              <w:bottom w:val="single" w:color="auto" w:sz="4" w:space="0"/>
              <w:right w:val="single" w:color="auto" w:sz="4" w:space="0"/>
            </w:tcBorders>
            <w:vAlign w:val="center"/>
          </w:tcPr>
          <w:p w14:paraId="2F317A03">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7737" w:type="dxa"/>
            <w:tcBorders>
              <w:top w:val="single" w:color="auto" w:sz="4" w:space="0"/>
              <w:left w:val="single" w:color="auto" w:sz="4" w:space="0"/>
              <w:bottom w:val="single" w:color="auto" w:sz="4" w:space="0"/>
              <w:right w:val="single" w:color="auto" w:sz="4" w:space="0"/>
            </w:tcBorders>
            <w:vAlign w:val="center"/>
          </w:tcPr>
          <w:p w14:paraId="016EB9B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违反本条例第十七条第一款和第二款规定的。</w:t>
            </w:r>
          </w:p>
        </w:tc>
        <w:tc>
          <w:tcPr>
            <w:tcW w:w="4711" w:type="dxa"/>
            <w:tcBorders>
              <w:top w:val="single" w:color="auto" w:sz="4" w:space="0"/>
              <w:left w:val="single" w:color="auto" w:sz="4" w:space="0"/>
              <w:bottom w:val="single" w:color="auto" w:sz="4" w:space="0"/>
              <w:right w:val="single" w:color="auto" w:sz="4" w:space="0"/>
            </w:tcBorders>
            <w:vAlign w:val="center"/>
          </w:tcPr>
          <w:p w14:paraId="17B9F35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处1万元以上2万元以下的罚款。</w:t>
            </w:r>
          </w:p>
        </w:tc>
      </w:tr>
      <w:tr w14:paraId="65C29352">
        <w:tblPrEx>
          <w:tblCellMar>
            <w:top w:w="0" w:type="dxa"/>
            <w:left w:w="108" w:type="dxa"/>
            <w:bottom w:w="0" w:type="dxa"/>
            <w:right w:w="108" w:type="dxa"/>
          </w:tblCellMar>
        </w:tblPrEx>
        <w:trPr>
          <w:trHeight w:val="680" w:hRule="atLeast"/>
        </w:trPr>
        <w:tc>
          <w:tcPr>
            <w:tcW w:w="1521" w:type="dxa"/>
            <w:vMerge w:val="continue"/>
            <w:tcBorders>
              <w:top w:val="single" w:color="auto" w:sz="4" w:space="0"/>
              <w:left w:val="single" w:color="auto" w:sz="4" w:space="0"/>
              <w:bottom w:val="single" w:color="auto" w:sz="4" w:space="0"/>
              <w:right w:val="single" w:color="auto" w:sz="4" w:space="0"/>
            </w:tcBorders>
            <w:vAlign w:val="center"/>
          </w:tcPr>
          <w:p w14:paraId="51E417EC">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7737" w:type="dxa"/>
            <w:tcBorders>
              <w:top w:val="single" w:color="auto" w:sz="4" w:space="0"/>
              <w:left w:val="single" w:color="auto" w:sz="4" w:space="0"/>
              <w:bottom w:val="single" w:color="auto" w:sz="4" w:space="0"/>
              <w:right w:val="single" w:color="auto" w:sz="4" w:space="0"/>
            </w:tcBorders>
            <w:vAlign w:val="center"/>
          </w:tcPr>
          <w:p w14:paraId="6E6E801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违反本条例第十七条第一款、第二款和第三款规定的。</w:t>
            </w:r>
          </w:p>
        </w:tc>
        <w:tc>
          <w:tcPr>
            <w:tcW w:w="4711" w:type="dxa"/>
            <w:tcBorders>
              <w:top w:val="single" w:color="auto" w:sz="4" w:space="0"/>
              <w:left w:val="single" w:color="auto" w:sz="4" w:space="0"/>
              <w:bottom w:val="single" w:color="auto" w:sz="4" w:space="0"/>
              <w:right w:val="single" w:color="auto" w:sz="4" w:space="0"/>
            </w:tcBorders>
            <w:vAlign w:val="center"/>
          </w:tcPr>
          <w:p w14:paraId="18D586D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处2万元以上3万元以下的罚款。</w:t>
            </w:r>
          </w:p>
        </w:tc>
      </w:tr>
    </w:tbl>
    <w:p w14:paraId="7BD1EE72">
      <w:pPr>
        <w:pStyle w:val="4"/>
        <w:widowControl w:val="0"/>
        <w:ind w:firstLine="640"/>
        <w:rPr>
          <w:color w:val="000000" w:themeColor="text1"/>
          <w14:textFill>
            <w14:solidFill>
              <w14:schemeClr w14:val="tx1"/>
            </w14:solidFill>
          </w14:textFill>
        </w:rPr>
      </w:pPr>
      <w:bookmarkStart w:id="978" w:name="_Toc18780"/>
      <w:bookmarkStart w:id="979" w:name="_Toc18512"/>
      <w:bookmarkStart w:id="980" w:name="_Toc8966"/>
      <w:bookmarkStart w:id="981" w:name="_Toc7434"/>
      <w:bookmarkStart w:id="982" w:name="_Toc18507"/>
      <w:bookmarkStart w:id="983" w:name="_Toc21719"/>
      <w:bookmarkStart w:id="984" w:name="_Toc21487"/>
      <w:bookmarkStart w:id="985" w:name="_Toc23175"/>
      <w:bookmarkStart w:id="986" w:name="_Toc29430"/>
      <w:bookmarkStart w:id="987" w:name="_Toc30175"/>
      <w:bookmarkStart w:id="988" w:name="_Toc17765"/>
      <w:r>
        <w:rPr>
          <w:rFonts w:hint="eastAsia"/>
          <w:color w:val="000000" w:themeColor="text1"/>
          <w14:textFill>
            <w14:solidFill>
              <w14:schemeClr w14:val="tx1"/>
            </w14:solidFill>
          </w14:textFill>
        </w:rPr>
        <w:t>第八十六条 医疗卫生机构未将医疗废物按照类别分置于专用包装物或者容器的</w:t>
      </w:r>
      <w:bookmarkEnd w:id="978"/>
      <w:bookmarkEnd w:id="979"/>
      <w:bookmarkEnd w:id="980"/>
      <w:bookmarkEnd w:id="981"/>
      <w:bookmarkEnd w:id="982"/>
      <w:bookmarkEnd w:id="983"/>
      <w:bookmarkEnd w:id="984"/>
      <w:bookmarkEnd w:id="985"/>
      <w:bookmarkEnd w:id="986"/>
      <w:bookmarkEnd w:id="987"/>
      <w:bookmarkEnd w:id="988"/>
    </w:p>
    <w:p w14:paraId="30A6115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27F2903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《医疗废物管理条例》第四十六条第（二）项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w:t>
      </w:r>
    </w:p>
    <w:p w14:paraId="27FCB69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（二）未将医疗废物按照类别分置于专用包装物或者容器的。</w:t>
      </w:r>
    </w:p>
    <w:p w14:paraId="71E1511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《医疗废物管理条例》第十六条第一款第二款　 医疗卫生机构应当及时收集本单位产生的医疗废物，并按照类别分置于防渗漏、防锐器穿透的专用包装物或者密闭的容器内。</w:t>
      </w:r>
    </w:p>
    <w:p w14:paraId="50C0B69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医疗废物专用包装物、容器，应当有明显的警示标识和警示说明。</w:t>
      </w:r>
    </w:p>
    <w:p w14:paraId="1EF4FA7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《医疗卫生机构医疗废物管理办法》第四十条第（二）项 　医疗卫生机构违反《医疗废物管理条例》及本办法规定，有下列情形之一的，由县级以上地方人民政府卫生行政主管部门责令限期改正、给予警告，可以并处5000元以下的罚款；逾期不改正的，处5000元以上3万元以下的罚款：</w:t>
      </w:r>
    </w:p>
    <w:p w14:paraId="3E3D3E7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（二）未将医疗废物按类别分置于专用包装物或者容器的；</w:t>
      </w:r>
    </w:p>
    <w:p w14:paraId="102424A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《医疗卫生机构医疗废物管理办法》第十一条　医疗卫生机构应当按照以下要求，及时分类收集医疗废物：（一）根据医疗废物的类别，将医疗废物分置于符合《医疗废物专用包装物、容器的标准和警示标识的规定》的包装物或者容器内；（二）在盛装医疗废物前，应当对医疗废物包装物或者容器进行认真检查，确保无破损、渗漏和其他缺陷；（三）感染性废物、病理性废物、损伤性废物、药物性废物及化学性废物不能混合收集。少量的药物性废物可以混入感染性废物，但应当在标签上注明；（四）废弃的麻醉、精神、放射性、毒性等药品及其相关的废物的管理，依照有关法律、行政法规和国家有关规定、标准执行；（五）化学性废物中批量的废化学试剂、废消毒剂应当交由专门机构处置；</w:t>
      </w:r>
    </w:p>
    <w:p w14:paraId="17E1690A">
      <w:pPr>
        <w:widowControl w:val="0"/>
        <w:numPr>
          <w:ilvl w:val="-1"/>
          <w:numId w:val="0"/>
        </w:numPr>
        <w:spacing w:after="0" w:line="440" w:lineRule="exact"/>
        <w:ind w:firstLine="0" w:firstLineChars="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（六）</w:t>
      </w:r>
      <w:r>
        <w:rPr>
          <w:rFonts w:hint="eastAsia" w:ascii="Times New Roman" w:hAnsi="Times New Roman" w:eastAsia="方正仿宋_GB2312" w:cs="方正仿宋_GB2312"/>
          <w:color w:val="000000" w:themeColor="text1"/>
          <w:sz w:val="32"/>
          <w:szCs w:val="32"/>
          <w14:textFill>
            <w14:solidFill>
              <w14:schemeClr w14:val="tx1"/>
            </w14:solidFill>
          </w14:textFill>
        </w:rPr>
        <w:t>批量的含有汞的体温计、血压计等医疗器具报废时，应当交由专门机构处置；（七）医疗废物中病原体的培养基、标本和菌种、毒种保存液等高危险废物，应当首先在产生地点进行压力蒸汽灭菌或者化学消毒处理，然后按感染性废物收集处理；（八）隔离的传染病病人或者疑似传染病病人产生的具有传染性的排泄物，应当按照国家规定严格消毒，达到国家规定的排放标准后方可排入污水处理系统；（九）隔离的传染病病人或者疑似传染病病人产生的医疗废物应当使用双层包装物，并及时密封；（十）放入包装物或者容器内的感染性废物、病理性废物、损伤性废物不得取出。</w:t>
      </w:r>
    </w:p>
    <w:p w14:paraId="1AC0A58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《医疗卫生机构医疗废物管理办法》第十三条　盛装的医疗废物达到包装物或者容器的3/4时，应当使用有效的封口方式，使包装物或者容器的封口紧实、严密。</w:t>
      </w:r>
    </w:p>
    <w:p w14:paraId="09BA6FA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《医疗卫生机构医疗废物管理办法》第十四条　包装物或者容器的外表面被感染性废物污染时，应当对被污染处进行消毒处理或者增加一层包装。</w:t>
      </w:r>
    </w:p>
    <w:p w14:paraId="4C4ABE6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《医疗卫生机构医疗废物管理办法》第十五条　盛装医疗废物的每个包装物、容器外表面应当有警示标识，在每个包装物、容器上应当系中文标签，中文标签的内容应当包括：医疗废物产生单位、产生日期、类别及需要的特别说明等。</w:t>
      </w:r>
    </w:p>
    <w:p w14:paraId="07B294C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《医疗废物管理行政处罚办法》第五条第（二）项　医疗卫生机构有《条例》第四十六条规定的下列情形之一的，由县级以上地方人民政府卫生行政主管部门责令限期改正，给予警告，可以并处5000元以下的罚款，逾期不改正的，处5000元以上3万元以下的罚款：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65FD078D">
      <w:pPr>
        <w:widowControl w:val="0"/>
        <w:spacing w:after="0" w:line="440" w:lineRule="exact"/>
        <w:ind w:firstLine="640" w:firstLineChars="200"/>
        <w:jc w:val="both"/>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（二）未将医疗废物按照类别分置于专用包装物或者容器的；</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tbl>
      <w:tblPr>
        <w:tblStyle w:val="24"/>
        <w:tblW w:w="13942" w:type="dxa"/>
        <w:tblInd w:w="93" w:type="dxa"/>
        <w:tblLayout w:type="autofit"/>
        <w:tblCellMar>
          <w:top w:w="0" w:type="dxa"/>
          <w:left w:w="108" w:type="dxa"/>
          <w:bottom w:w="0" w:type="dxa"/>
          <w:right w:w="108" w:type="dxa"/>
        </w:tblCellMar>
      </w:tblPr>
      <w:tblGrid>
        <w:gridCol w:w="1982"/>
        <w:gridCol w:w="7289"/>
        <w:gridCol w:w="4671"/>
      </w:tblGrid>
      <w:tr w14:paraId="47A4DB59">
        <w:tblPrEx>
          <w:tblCellMar>
            <w:top w:w="0" w:type="dxa"/>
            <w:left w:w="108" w:type="dxa"/>
            <w:bottom w:w="0" w:type="dxa"/>
            <w:right w:w="108" w:type="dxa"/>
          </w:tblCellMar>
        </w:tblPrEx>
        <w:trPr>
          <w:trHeight w:val="390" w:hRule="atLeast"/>
        </w:trPr>
        <w:tc>
          <w:tcPr>
            <w:tcW w:w="13942" w:type="dxa"/>
            <w:gridSpan w:val="3"/>
            <w:tcBorders>
              <w:top w:val="nil"/>
              <w:left w:val="nil"/>
              <w:bottom w:val="single" w:color="auto" w:sz="4" w:space="0"/>
              <w:right w:val="nil"/>
            </w:tcBorders>
            <w:noWrap/>
            <w:vAlign w:val="center"/>
          </w:tcPr>
          <w:p w14:paraId="474EED87">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8DF9FE6">
        <w:tblPrEx>
          <w:tblCellMar>
            <w:top w:w="0" w:type="dxa"/>
            <w:left w:w="108" w:type="dxa"/>
            <w:bottom w:w="0" w:type="dxa"/>
            <w:right w:w="108" w:type="dxa"/>
          </w:tblCellMar>
        </w:tblPrEx>
        <w:trPr>
          <w:trHeight w:val="680" w:hRule="atLeast"/>
        </w:trPr>
        <w:tc>
          <w:tcPr>
            <w:tcW w:w="1982" w:type="dxa"/>
            <w:tcBorders>
              <w:top w:val="single" w:color="auto" w:sz="4" w:space="0"/>
              <w:left w:val="single" w:color="auto" w:sz="4" w:space="0"/>
              <w:bottom w:val="single" w:color="auto" w:sz="4" w:space="0"/>
              <w:right w:val="single" w:color="auto" w:sz="4" w:space="0"/>
            </w:tcBorders>
            <w:vAlign w:val="center"/>
          </w:tcPr>
          <w:p w14:paraId="53123332">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289" w:type="dxa"/>
            <w:tcBorders>
              <w:top w:val="single" w:color="auto" w:sz="4" w:space="0"/>
              <w:left w:val="single" w:color="auto" w:sz="4" w:space="0"/>
              <w:bottom w:val="single" w:color="auto" w:sz="4" w:space="0"/>
              <w:right w:val="single" w:color="auto" w:sz="4" w:space="0"/>
            </w:tcBorders>
            <w:vAlign w:val="center"/>
          </w:tcPr>
          <w:p w14:paraId="0790038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71" w:type="dxa"/>
            <w:tcBorders>
              <w:top w:val="single" w:color="auto" w:sz="4" w:space="0"/>
              <w:left w:val="single" w:color="auto" w:sz="4" w:space="0"/>
              <w:bottom w:val="single" w:color="auto" w:sz="4" w:space="0"/>
              <w:right w:val="single" w:color="auto" w:sz="4" w:space="0"/>
            </w:tcBorders>
            <w:vAlign w:val="center"/>
          </w:tcPr>
          <w:p w14:paraId="1A12EE0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73B98A6">
        <w:tblPrEx>
          <w:tblCellMar>
            <w:top w:w="0" w:type="dxa"/>
            <w:left w:w="108" w:type="dxa"/>
            <w:bottom w:w="0" w:type="dxa"/>
            <w:right w:w="108" w:type="dxa"/>
          </w:tblCellMar>
        </w:tblPrEx>
        <w:trPr>
          <w:trHeight w:val="454" w:hRule="atLeast"/>
        </w:trPr>
        <w:tc>
          <w:tcPr>
            <w:tcW w:w="1982" w:type="dxa"/>
            <w:tcBorders>
              <w:top w:val="single" w:color="auto" w:sz="4" w:space="0"/>
              <w:left w:val="single" w:color="auto" w:sz="4" w:space="0"/>
              <w:bottom w:val="single" w:color="auto" w:sz="4" w:space="0"/>
              <w:right w:val="single" w:color="auto" w:sz="4" w:space="0"/>
            </w:tcBorders>
            <w:vAlign w:val="center"/>
          </w:tcPr>
          <w:p w14:paraId="5EAA1A2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289" w:type="dxa"/>
            <w:tcBorders>
              <w:top w:val="single" w:color="auto" w:sz="4" w:space="0"/>
              <w:left w:val="single" w:color="auto" w:sz="4" w:space="0"/>
              <w:bottom w:val="single" w:color="auto" w:sz="4" w:space="0"/>
              <w:right w:val="single" w:color="auto" w:sz="4" w:space="0"/>
            </w:tcBorders>
            <w:vAlign w:val="center"/>
          </w:tcPr>
          <w:p w14:paraId="54C3CC7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4671" w:type="dxa"/>
            <w:tcBorders>
              <w:top w:val="single" w:color="auto" w:sz="4" w:space="0"/>
              <w:left w:val="single" w:color="auto" w:sz="4" w:space="0"/>
              <w:bottom w:val="single" w:color="auto" w:sz="4" w:space="0"/>
              <w:right w:val="single" w:color="auto" w:sz="4" w:space="0"/>
            </w:tcBorders>
            <w:vAlign w:val="center"/>
          </w:tcPr>
          <w:p w14:paraId="0BCD993C">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警告，并处5000元以下的罚款。</w:t>
            </w:r>
          </w:p>
        </w:tc>
      </w:tr>
      <w:tr w14:paraId="3C55FC80">
        <w:tblPrEx>
          <w:tblCellMar>
            <w:top w:w="0" w:type="dxa"/>
            <w:left w:w="108" w:type="dxa"/>
            <w:bottom w:w="0" w:type="dxa"/>
            <w:right w:w="108" w:type="dxa"/>
          </w:tblCellMar>
        </w:tblPrEx>
        <w:trPr>
          <w:trHeight w:val="737" w:hRule="atLeast"/>
        </w:trPr>
        <w:tc>
          <w:tcPr>
            <w:tcW w:w="1982" w:type="dxa"/>
            <w:vMerge w:val="restart"/>
            <w:tcBorders>
              <w:top w:val="single" w:color="auto" w:sz="4" w:space="0"/>
              <w:left w:val="single" w:color="auto" w:sz="4" w:space="0"/>
              <w:bottom w:val="single" w:color="auto" w:sz="4" w:space="0"/>
              <w:right w:val="single" w:color="auto" w:sz="4" w:space="0"/>
            </w:tcBorders>
            <w:vAlign w:val="center"/>
          </w:tcPr>
          <w:p w14:paraId="5F7345E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289" w:type="dxa"/>
            <w:tcBorders>
              <w:top w:val="single" w:color="auto" w:sz="4" w:space="0"/>
              <w:left w:val="single" w:color="auto" w:sz="4" w:space="0"/>
              <w:bottom w:val="single" w:color="auto" w:sz="4" w:space="0"/>
              <w:right w:val="single" w:color="auto" w:sz="4" w:space="0"/>
            </w:tcBorders>
            <w:vAlign w:val="center"/>
          </w:tcPr>
          <w:p w14:paraId="477777E0">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有1至3处医疗废物未按照类别分置于专用包装物或者容器的。</w:t>
            </w:r>
          </w:p>
        </w:tc>
        <w:tc>
          <w:tcPr>
            <w:tcW w:w="4671" w:type="dxa"/>
            <w:tcBorders>
              <w:top w:val="single" w:color="auto" w:sz="4" w:space="0"/>
              <w:left w:val="single" w:color="auto" w:sz="4" w:space="0"/>
              <w:bottom w:val="single" w:color="auto" w:sz="4" w:space="0"/>
              <w:right w:val="single" w:color="auto" w:sz="4" w:space="0"/>
            </w:tcBorders>
            <w:vAlign w:val="center"/>
          </w:tcPr>
          <w:p w14:paraId="207E0A0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处5000元以上1万元以下的罚款。</w:t>
            </w:r>
          </w:p>
        </w:tc>
      </w:tr>
      <w:tr w14:paraId="03E25FF2">
        <w:tblPrEx>
          <w:tblCellMar>
            <w:top w:w="0" w:type="dxa"/>
            <w:left w:w="108" w:type="dxa"/>
            <w:bottom w:w="0" w:type="dxa"/>
            <w:right w:w="108" w:type="dxa"/>
          </w:tblCellMar>
        </w:tblPrEx>
        <w:trPr>
          <w:trHeight w:val="57" w:hRule="atLeast"/>
        </w:trPr>
        <w:tc>
          <w:tcPr>
            <w:tcW w:w="1982" w:type="dxa"/>
            <w:vMerge w:val="continue"/>
            <w:tcBorders>
              <w:top w:val="single" w:color="auto" w:sz="4" w:space="0"/>
              <w:left w:val="single" w:color="auto" w:sz="4" w:space="0"/>
              <w:bottom w:val="single" w:color="auto" w:sz="4" w:space="0"/>
              <w:right w:val="single" w:color="auto" w:sz="4" w:space="0"/>
            </w:tcBorders>
            <w:vAlign w:val="center"/>
          </w:tcPr>
          <w:p w14:paraId="6D302DD5">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7289" w:type="dxa"/>
            <w:tcBorders>
              <w:top w:val="single" w:color="auto" w:sz="4" w:space="0"/>
              <w:left w:val="single" w:color="auto" w:sz="4" w:space="0"/>
              <w:bottom w:val="single" w:color="auto" w:sz="4" w:space="0"/>
              <w:right w:val="single" w:color="auto" w:sz="4" w:space="0"/>
            </w:tcBorders>
            <w:vAlign w:val="center"/>
          </w:tcPr>
          <w:p w14:paraId="3D2200B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有4至6处医疗废物未按照类别分置于专用包装物或者容器的。</w:t>
            </w:r>
          </w:p>
        </w:tc>
        <w:tc>
          <w:tcPr>
            <w:tcW w:w="4671" w:type="dxa"/>
            <w:tcBorders>
              <w:top w:val="single" w:color="auto" w:sz="4" w:space="0"/>
              <w:left w:val="single" w:color="auto" w:sz="4" w:space="0"/>
              <w:bottom w:val="single" w:color="auto" w:sz="4" w:space="0"/>
              <w:right w:val="single" w:color="auto" w:sz="4" w:space="0"/>
            </w:tcBorders>
            <w:vAlign w:val="center"/>
          </w:tcPr>
          <w:p w14:paraId="4072EBD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处1万元以上2万元以下的罚款。</w:t>
            </w:r>
          </w:p>
        </w:tc>
      </w:tr>
      <w:tr w14:paraId="67B5B57A">
        <w:tblPrEx>
          <w:tblCellMar>
            <w:top w:w="0" w:type="dxa"/>
            <w:left w:w="108" w:type="dxa"/>
            <w:bottom w:w="0" w:type="dxa"/>
            <w:right w:w="108" w:type="dxa"/>
          </w:tblCellMar>
        </w:tblPrEx>
        <w:trPr>
          <w:trHeight w:val="57" w:hRule="atLeast"/>
        </w:trPr>
        <w:tc>
          <w:tcPr>
            <w:tcW w:w="1982" w:type="dxa"/>
            <w:vMerge w:val="continue"/>
            <w:tcBorders>
              <w:top w:val="single" w:color="auto" w:sz="4" w:space="0"/>
              <w:left w:val="single" w:color="auto" w:sz="4" w:space="0"/>
              <w:bottom w:val="single" w:color="auto" w:sz="4" w:space="0"/>
              <w:right w:val="single" w:color="auto" w:sz="4" w:space="0"/>
            </w:tcBorders>
            <w:vAlign w:val="center"/>
          </w:tcPr>
          <w:p w14:paraId="333DA63A">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7289" w:type="dxa"/>
            <w:tcBorders>
              <w:top w:val="single" w:color="auto" w:sz="4" w:space="0"/>
              <w:left w:val="single" w:color="auto" w:sz="4" w:space="0"/>
              <w:bottom w:val="single" w:color="auto" w:sz="4" w:space="0"/>
              <w:right w:val="single" w:color="auto" w:sz="4" w:space="0"/>
            </w:tcBorders>
            <w:vAlign w:val="center"/>
          </w:tcPr>
          <w:p w14:paraId="04C447B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有7处以上医疗废物未按照类别分置于专用包装物或者容器的。</w:t>
            </w:r>
          </w:p>
        </w:tc>
        <w:tc>
          <w:tcPr>
            <w:tcW w:w="4671" w:type="dxa"/>
            <w:tcBorders>
              <w:top w:val="single" w:color="auto" w:sz="4" w:space="0"/>
              <w:left w:val="single" w:color="auto" w:sz="4" w:space="0"/>
              <w:bottom w:val="single" w:color="auto" w:sz="4" w:space="0"/>
              <w:right w:val="single" w:color="auto" w:sz="4" w:space="0"/>
            </w:tcBorders>
            <w:vAlign w:val="center"/>
          </w:tcPr>
          <w:p w14:paraId="660ED55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处2万元以上3万元以下的罚款。</w:t>
            </w:r>
          </w:p>
        </w:tc>
      </w:tr>
    </w:tbl>
    <w:p w14:paraId="446FFC90">
      <w:pPr>
        <w:pStyle w:val="4"/>
        <w:widowControl w:val="0"/>
        <w:ind w:firstLine="640"/>
        <w:rPr>
          <w:color w:val="000000" w:themeColor="text1"/>
          <w14:textFill>
            <w14:solidFill>
              <w14:schemeClr w14:val="tx1"/>
            </w14:solidFill>
          </w14:textFill>
        </w:rPr>
      </w:pPr>
      <w:bookmarkStart w:id="989" w:name="_Toc19705"/>
      <w:bookmarkStart w:id="990" w:name="_Toc19728"/>
      <w:bookmarkStart w:id="991" w:name="_Toc20230"/>
      <w:bookmarkStart w:id="992" w:name="_Toc22687"/>
      <w:bookmarkStart w:id="993" w:name="_Toc30276"/>
      <w:bookmarkStart w:id="994" w:name="_Toc26563"/>
      <w:bookmarkStart w:id="995" w:name="_Toc7593"/>
      <w:bookmarkStart w:id="996" w:name="_Toc4863"/>
      <w:bookmarkStart w:id="997" w:name="_Toc17275"/>
      <w:bookmarkStart w:id="998" w:name="_Toc19220"/>
      <w:bookmarkStart w:id="999" w:name="_Toc25628"/>
      <w:r>
        <w:rPr>
          <w:rFonts w:hint="eastAsia"/>
          <w:color w:val="000000" w:themeColor="text1"/>
          <w14:textFill>
            <w14:solidFill>
              <w14:schemeClr w14:val="tx1"/>
            </w14:solidFill>
          </w14:textFill>
        </w:rPr>
        <w:t>第八十七条 医疗卫生机构未使用符合标准的专用车辆运送医疗废物的</w:t>
      </w:r>
      <w:bookmarkEnd w:id="989"/>
      <w:bookmarkEnd w:id="990"/>
      <w:bookmarkEnd w:id="991"/>
      <w:bookmarkEnd w:id="992"/>
      <w:bookmarkEnd w:id="993"/>
      <w:bookmarkEnd w:id="994"/>
      <w:bookmarkEnd w:id="995"/>
      <w:bookmarkEnd w:id="996"/>
      <w:bookmarkEnd w:id="997"/>
      <w:bookmarkEnd w:id="998"/>
      <w:bookmarkEnd w:id="999"/>
    </w:p>
    <w:p w14:paraId="1313A157">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2C98AD0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《医疗废物管理条例》第四十六条第（三）项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w:t>
      </w:r>
    </w:p>
    <w:p w14:paraId="08B83BD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（三）未使用符合标准的专用车辆运送医疗废物或者使用运送医疗废物的车辆运送其他物品的；</w:t>
      </w:r>
    </w:p>
    <w:p w14:paraId="680631B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《医疗废物管理条例》第十八条　 医疗卫生机构应当使用防渗漏、防遗撒的专用运送工具，按照本单位确定的内部医疗废物运送时间、路线，将医疗废物收集、运送至暂时贮存地点。 </w:t>
      </w:r>
    </w:p>
    <w:p w14:paraId="71F7B29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《医疗卫生机构医疗废物管理办法》第四十条第（三）项 　医疗卫生机构违反《医疗废物管理条例》及本办法规定，有下列情形之一的，由县级以上地方人民政府卫生行政主管部门责令限期改正、给予警告，可以并处5000元以下的罚款；逾期不改正的，处5000元以上3万元以下的罚款：</w:t>
      </w:r>
    </w:p>
    <w:p w14:paraId="7350595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（三）使用的医疗废物运送工具不符合要求的。</w:t>
      </w:r>
    </w:p>
    <w:p w14:paraId="287B63C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《医疗卫生机构医疗废物管理办法》第十九条　运送医疗废物应当使用防渗漏、防遗撒、无锐利边角、易于装卸和清洁的专用运送工具。</w:t>
      </w:r>
    </w:p>
    <w:p w14:paraId="49C9CCA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《医疗废物管理行政处罚办法》第五条第（三）项　医疗卫生机构有《条例》第四十六条规定的下列情形之一的，由县级以上地方人民政府卫生行政主管部门责令限期改正，给予警告，可以并处5000元以下的罚款，逾期不改正的，处5000元以上3万元以下的罚款：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343B83ED">
      <w:pPr>
        <w:widowControl w:val="0"/>
        <w:spacing w:after="0" w:line="440" w:lineRule="exact"/>
        <w:ind w:firstLine="640" w:firstLineChars="200"/>
        <w:jc w:val="both"/>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（三）未使用符合标准的运送工具运送医疗废物的。</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4546071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p>
    <w:tbl>
      <w:tblPr>
        <w:tblStyle w:val="24"/>
        <w:tblW w:w="13824" w:type="dxa"/>
        <w:tblInd w:w="93" w:type="dxa"/>
        <w:tblLayout w:type="autofit"/>
        <w:tblCellMar>
          <w:top w:w="0" w:type="dxa"/>
          <w:left w:w="108" w:type="dxa"/>
          <w:bottom w:w="0" w:type="dxa"/>
          <w:right w:w="108" w:type="dxa"/>
        </w:tblCellMar>
      </w:tblPr>
      <w:tblGrid>
        <w:gridCol w:w="1732"/>
        <w:gridCol w:w="7566"/>
        <w:gridCol w:w="4526"/>
      </w:tblGrid>
      <w:tr w14:paraId="3AC169D8">
        <w:tblPrEx>
          <w:tblCellMar>
            <w:top w:w="0" w:type="dxa"/>
            <w:left w:w="108" w:type="dxa"/>
            <w:bottom w:w="0" w:type="dxa"/>
            <w:right w:w="108" w:type="dxa"/>
          </w:tblCellMar>
        </w:tblPrEx>
        <w:trPr>
          <w:trHeight w:val="390" w:hRule="atLeast"/>
        </w:trPr>
        <w:tc>
          <w:tcPr>
            <w:tcW w:w="13824" w:type="dxa"/>
            <w:gridSpan w:val="3"/>
            <w:tcBorders>
              <w:top w:val="nil"/>
              <w:left w:val="nil"/>
              <w:bottom w:val="single" w:color="auto" w:sz="4" w:space="0"/>
              <w:right w:val="nil"/>
            </w:tcBorders>
            <w:noWrap/>
            <w:vAlign w:val="center"/>
          </w:tcPr>
          <w:p w14:paraId="7A8BAB87">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3E78F323">
        <w:tblPrEx>
          <w:tblCellMar>
            <w:top w:w="0" w:type="dxa"/>
            <w:left w:w="108" w:type="dxa"/>
            <w:bottom w:w="0" w:type="dxa"/>
            <w:right w:w="108" w:type="dxa"/>
          </w:tblCellMar>
        </w:tblPrEx>
        <w:trPr>
          <w:trHeight w:val="680" w:hRule="atLeast"/>
        </w:trPr>
        <w:tc>
          <w:tcPr>
            <w:tcW w:w="1732" w:type="dxa"/>
            <w:tcBorders>
              <w:top w:val="single" w:color="auto" w:sz="4" w:space="0"/>
              <w:left w:val="single" w:color="auto" w:sz="4" w:space="0"/>
              <w:bottom w:val="single" w:color="auto" w:sz="4" w:space="0"/>
              <w:right w:val="single" w:color="auto" w:sz="4" w:space="0"/>
            </w:tcBorders>
            <w:vAlign w:val="center"/>
          </w:tcPr>
          <w:p w14:paraId="62DCC15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66" w:type="dxa"/>
            <w:tcBorders>
              <w:top w:val="single" w:color="auto" w:sz="4" w:space="0"/>
              <w:left w:val="single" w:color="auto" w:sz="4" w:space="0"/>
              <w:bottom w:val="single" w:color="auto" w:sz="4" w:space="0"/>
              <w:right w:val="single" w:color="auto" w:sz="4" w:space="0"/>
            </w:tcBorders>
            <w:vAlign w:val="center"/>
          </w:tcPr>
          <w:p w14:paraId="57F6B65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26" w:type="dxa"/>
            <w:tcBorders>
              <w:top w:val="single" w:color="auto" w:sz="4" w:space="0"/>
              <w:left w:val="single" w:color="auto" w:sz="4" w:space="0"/>
              <w:bottom w:val="single" w:color="auto" w:sz="4" w:space="0"/>
              <w:right w:val="single" w:color="auto" w:sz="4" w:space="0"/>
            </w:tcBorders>
            <w:vAlign w:val="center"/>
          </w:tcPr>
          <w:p w14:paraId="6E3BAE0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1C232CE">
        <w:tblPrEx>
          <w:tblCellMar>
            <w:top w:w="0" w:type="dxa"/>
            <w:left w:w="108" w:type="dxa"/>
            <w:bottom w:w="0" w:type="dxa"/>
            <w:right w:w="108" w:type="dxa"/>
          </w:tblCellMar>
        </w:tblPrEx>
        <w:trPr>
          <w:trHeight w:val="454" w:hRule="atLeast"/>
        </w:trPr>
        <w:tc>
          <w:tcPr>
            <w:tcW w:w="1732" w:type="dxa"/>
            <w:tcBorders>
              <w:top w:val="single" w:color="auto" w:sz="4" w:space="0"/>
              <w:left w:val="single" w:color="auto" w:sz="4" w:space="0"/>
              <w:bottom w:val="single" w:color="auto" w:sz="4" w:space="0"/>
              <w:right w:val="single" w:color="auto" w:sz="4" w:space="0"/>
            </w:tcBorders>
            <w:vAlign w:val="center"/>
          </w:tcPr>
          <w:p w14:paraId="0464E6D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566" w:type="dxa"/>
            <w:tcBorders>
              <w:top w:val="single" w:color="auto" w:sz="4" w:space="0"/>
              <w:left w:val="single" w:color="auto" w:sz="4" w:space="0"/>
              <w:bottom w:val="single" w:color="auto" w:sz="4" w:space="0"/>
              <w:right w:val="single" w:color="auto" w:sz="4" w:space="0"/>
            </w:tcBorders>
            <w:vAlign w:val="center"/>
          </w:tcPr>
          <w:p w14:paraId="5172C4D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首次发现违法行为，未造成传染病传播等严重后果的。</w:t>
            </w:r>
          </w:p>
        </w:tc>
        <w:tc>
          <w:tcPr>
            <w:tcW w:w="4526" w:type="dxa"/>
            <w:tcBorders>
              <w:top w:val="single" w:color="auto" w:sz="4" w:space="0"/>
              <w:left w:val="single" w:color="auto" w:sz="4" w:space="0"/>
              <w:bottom w:val="single" w:color="auto" w:sz="4" w:space="0"/>
              <w:right w:val="single" w:color="auto" w:sz="4" w:space="0"/>
            </w:tcBorders>
            <w:vAlign w:val="center"/>
          </w:tcPr>
          <w:p w14:paraId="2E74709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给予警告，并处5000元以下的罚款。</w:t>
            </w:r>
          </w:p>
        </w:tc>
      </w:tr>
      <w:tr w14:paraId="14A0728F">
        <w:tblPrEx>
          <w:tblCellMar>
            <w:top w:w="0" w:type="dxa"/>
            <w:left w:w="108" w:type="dxa"/>
            <w:bottom w:w="0" w:type="dxa"/>
            <w:right w:w="108" w:type="dxa"/>
          </w:tblCellMar>
        </w:tblPrEx>
        <w:trPr>
          <w:trHeight w:val="454" w:hRule="atLeast"/>
        </w:trPr>
        <w:tc>
          <w:tcPr>
            <w:tcW w:w="1732" w:type="dxa"/>
            <w:vMerge w:val="restart"/>
            <w:tcBorders>
              <w:top w:val="single" w:color="auto" w:sz="4" w:space="0"/>
              <w:left w:val="single" w:color="auto" w:sz="4" w:space="0"/>
              <w:bottom w:val="single" w:color="auto" w:sz="4" w:space="0"/>
              <w:right w:val="single" w:color="auto" w:sz="4" w:space="0"/>
            </w:tcBorders>
            <w:vAlign w:val="center"/>
          </w:tcPr>
          <w:p w14:paraId="7690842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566" w:type="dxa"/>
            <w:tcBorders>
              <w:top w:val="single" w:color="auto" w:sz="4" w:space="0"/>
              <w:left w:val="single" w:color="auto" w:sz="4" w:space="0"/>
              <w:bottom w:val="single" w:color="auto" w:sz="4" w:space="0"/>
              <w:right w:val="single" w:color="auto" w:sz="4" w:space="0"/>
            </w:tcBorders>
            <w:vAlign w:val="center"/>
          </w:tcPr>
          <w:p w14:paraId="5F0639E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未使用符合标准的专用车辆运送医疗废物，时间不足1个月的；</w:t>
            </w:r>
          </w:p>
        </w:tc>
        <w:tc>
          <w:tcPr>
            <w:tcW w:w="4526" w:type="dxa"/>
            <w:tcBorders>
              <w:top w:val="single" w:color="auto" w:sz="4" w:space="0"/>
              <w:left w:val="single" w:color="auto" w:sz="4" w:space="0"/>
              <w:bottom w:val="single" w:color="auto" w:sz="4" w:space="0"/>
              <w:right w:val="single" w:color="auto" w:sz="4" w:space="0"/>
            </w:tcBorders>
            <w:vAlign w:val="center"/>
          </w:tcPr>
          <w:p w14:paraId="1A9721C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处5000元以上1万元以下的罚款。</w:t>
            </w:r>
          </w:p>
        </w:tc>
      </w:tr>
      <w:tr w14:paraId="7B728262">
        <w:tblPrEx>
          <w:tblCellMar>
            <w:top w:w="0" w:type="dxa"/>
            <w:left w:w="108" w:type="dxa"/>
            <w:bottom w:w="0" w:type="dxa"/>
            <w:right w:w="108" w:type="dxa"/>
          </w:tblCellMar>
        </w:tblPrEx>
        <w:trPr>
          <w:trHeight w:val="454" w:hRule="atLeast"/>
        </w:trPr>
        <w:tc>
          <w:tcPr>
            <w:tcW w:w="1732" w:type="dxa"/>
            <w:vMerge w:val="continue"/>
            <w:tcBorders>
              <w:top w:val="single" w:color="auto" w:sz="4" w:space="0"/>
              <w:left w:val="single" w:color="auto" w:sz="4" w:space="0"/>
              <w:bottom w:val="single" w:color="auto" w:sz="4" w:space="0"/>
              <w:right w:val="single" w:color="auto" w:sz="4" w:space="0"/>
            </w:tcBorders>
            <w:vAlign w:val="center"/>
          </w:tcPr>
          <w:p w14:paraId="7988354A">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7566" w:type="dxa"/>
            <w:tcBorders>
              <w:top w:val="single" w:color="auto" w:sz="4" w:space="0"/>
              <w:left w:val="single" w:color="auto" w:sz="4" w:space="0"/>
              <w:bottom w:val="single" w:color="auto" w:sz="4" w:space="0"/>
              <w:right w:val="single" w:color="auto" w:sz="4" w:space="0"/>
            </w:tcBorders>
            <w:vAlign w:val="center"/>
          </w:tcPr>
          <w:p w14:paraId="37F41C5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未使用符合标准的专用车辆运送医疗废物，时间在1至3个月的；</w:t>
            </w:r>
          </w:p>
        </w:tc>
        <w:tc>
          <w:tcPr>
            <w:tcW w:w="4526" w:type="dxa"/>
            <w:tcBorders>
              <w:top w:val="single" w:color="auto" w:sz="4" w:space="0"/>
              <w:left w:val="single" w:color="auto" w:sz="4" w:space="0"/>
              <w:bottom w:val="single" w:color="auto" w:sz="4" w:space="0"/>
              <w:right w:val="single" w:color="auto" w:sz="4" w:space="0"/>
            </w:tcBorders>
            <w:vAlign w:val="center"/>
          </w:tcPr>
          <w:p w14:paraId="0D731EC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处1万元以上2万元以下的罚款。</w:t>
            </w:r>
          </w:p>
        </w:tc>
      </w:tr>
      <w:tr w14:paraId="3E17F070">
        <w:tblPrEx>
          <w:tblCellMar>
            <w:top w:w="0" w:type="dxa"/>
            <w:left w:w="108" w:type="dxa"/>
            <w:bottom w:w="0" w:type="dxa"/>
            <w:right w:w="108" w:type="dxa"/>
          </w:tblCellMar>
        </w:tblPrEx>
        <w:trPr>
          <w:trHeight w:val="454" w:hRule="atLeast"/>
        </w:trPr>
        <w:tc>
          <w:tcPr>
            <w:tcW w:w="1732" w:type="dxa"/>
            <w:vMerge w:val="continue"/>
            <w:tcBorders>
              <w:top w:val="single" w:color="auto" w:sz="4" w:space="0"/>
              <w:left w:val="single" w:color="auto" w:sz="4" w:space="0"/>
              <w:bottom w:val="single" w:color="auto" w:sz="4" w:space="0"/>
              <w:right w:val="single" w:color="auto" w:sz="4" w:space="0"/>
            </w:tcBorders>
            <w:vAlign w:val="center"/>
          </w:tcPr>
          <w:p w14:paraId="74499159">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7566" w:type="dxa"/>
            <w:tcBorders>
              <w:top w:val="single" w:color="auto" w:sz="4" w:space="0"/>
              <w:left w:val="single" w:color="auto" w:sz="4" w:space="0"/>
              <w:bottom w:val="single" w:color="auto" w:sz="4" w:space="0"/>
              <w:right w:val="single" w:color="auto" w:sz="4" w:space="0"/>
            </w:tcBorders>
            <w:vAlign w:val="center"/>
          </w:tcPr>
          <w:p w14:paraId="5D7B49F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r>
              <w:rPr>
                <w:rFonts w:hint="eastAsia" w:ascii="Times New Roman" w:hAnsi="Times New Roman" w:eastAsia="仿宋_GB2312" w:cs="Times New Roman"/>
                <w:color w:val="000000" w:themeColor="text1"/>
                <w:sz w:val="24"/>
                <w:szCs w:val="22"/>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szCs w:val="22"/>
                <w:lang w:bidi="ar"/>
                <w14:textFill>
                  <w14:solidFill>
                    <w14:schemeClr w14:val="tx1"/>
                  </w14:solidFill>
                </w14:textFill>
              </w:rPr>
              <w:t>未使用符合标准的专用车辆运送医疗废物，时间超过3个月的。</w:t>
            </w:r>
          </w:p>
        </w:tc>
        <w:tc>
          <w:tcPr>
            <w:tcW w:w="4526" w:type="dxa"/>
            <w:tcBorders>
              <w:top w:val="single" w:color="auto" w:sz="4" w:space="0"/>
              <w:left w:val="single" w:color="auto" w:sz="4" w:space="0"/>
              <w:bottom w:val="single" w:color="auto" w:sz="4" w:space="0"/>
              <w:right w:val="single" w:color="auto" w:sz="4" w:space="0"/>
            </w:tcBorders>
            <w:vAlign w:val="center"/>
          </w:tcPr>
          <w:p w14:paraId="4B98302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处2万元以上3万元以下的罚款。</w:t>
            </w:r>
          </w:p>
        </w:tc>
      </w:tr>
    </w:tbl>
    <w:p w14:paraId="5EB3BF5D">
      <w:pPr>
        <w:pStyle w:val="4"/>
        <w:widowControl w:val="0"/>
        <w:ind w:firstLine="640"/>
        <w:rPr>
          <w:rFonts w:hint="eastAsia" w:ascii="Times New Roman" w:hAnsi="Times New Roman" w:cs="仿宋_GB2312"/>
          <w:color w:val="000000" w:themeColor="text1"/>
          <w14:textFill>
            <w14:solidFill>
              <w14:schemeClr w14:val="tx1"/>
            </w14:solidFill>
          </w14:textFill>
        </w:rPr>
      </w:pPr>
      <w:bookmarkStart w:id="1000" w:name="_Toc9971"/>
      <w:bookmarkStart w:id="1001" w:name="_Toc5931"/>
      <w:bookmarkStart w:id="1002" w:name="_Toc29367"/>
      <w:bookmarkStart w:id="1003" w:name="_Toc23776"/>
      <w:bookmarkStart w:id="1004" w:name="_Toc18727"/>
      <w:bookmarkStart w:id="1005" w:name="_Toc23835"/>
      <w:bookmarkStart w:id="1006" w:name="_Toc4334"/>
      <w:bookmarkStart w:id="1007" w:name="_Toc10495"/>
      <w:bookmarkStart w:id="1008" w:name="_Toc26736"/>
      <w:bookmarkStart w:id="1009" w:name="_Toc29603"/>
      <w:bookmarkStart w:id="1010" w:name="_Toc32521"/>
      <w:r>
        <w:rPr>
          <w:rFonts w:hint="eastAsia"/>
          <w:color w:val="000000" w:themeColor="text1"/>
          <w14:textFill>
            <w14:solidFill>
              <w14:schemeClr w14:val="tx1"/>
            </w14:solidFill>
          </w14:textFill>
        </w:rPr>
        <w:t>第八十八条</w:t>
      </w:r>
      <w:r>
        <w:rPr>
          <w:rFonts w:hint="eastAsia"/>
          <w:color w:val="000000" w:themeColor="text1"/>
          <w:lang w:eastAsia="zh-CN"/>
          <w14:textFill>
            <w14:solidFill>
              <w14:schemeClr w14:val="tx1"/>
            </w14:solidFill>
          </w14:textFill>
        </w:rPr>
        <w:t xml:space="preserve"> </w:t>
      </w:r>
      <w:r>
        <w:rPr>
          <w:rFonts w:hint="eastAsia" w:ascii="Times New Roman" w:hAnsi="Times New Roman" w:cs="仿宋_GB2312"/>
          <w:bCs/>
          <w:color w:val="000000" w:themeColor="text1"/>
          <w14:textFill>
            <w14:solidFill>
              <w14:schemeClr w14:val="tx1"/>
            </w14:solidFill>
          </w14:textFill>
        </w:rPr>
        <w:t>在医疗卫生机构内运送过程中丢弃医疗废物，在</w:t>
      </w:r>
      <w:r>
        <w:rPr>
          <w:rFonts w:hint="eastAsia" w:ascii="Times New Roman" w:hAnsi="Times New Roman" w:eastAsia="仿宋_GB2312" w:cs="仿宋_GB2312"/>
          <w:bCs/>
          <w:color w:val="000000" w:themeColor="text1"/>
          <w14:textFill>
            <w14:solidFill>
              <w14:schemeClr w14:val="tx1"/>
            </w14:solidFill>
          </w14:textFill>
        </w:rPr>
        <w:t>非暂时贮存地点</w:t>
      </w:r>
      <w:r>
        <w:rPr>
          <w:rFonts w:hint="eastAsia" w:ascii="Times New Roman" w:hAnsi="Times New Roman" w:cs="仿宋_GB2312"/>
          <w:bCs/>
          <w:color w:val="000000" w:themeColor="text1"/>
          <w14:textFill>
            <w14:solidFill>
              <w14:schemeClr w14:val="tx1"/>
            </w14:solidFill>
          </w14:textFill>
        </w:rPr>
        <w:t>倾倒、堆放医疗废物或者将医疗废物混入其他废物和生活垃圾的</w:t>
      </w:r>
      <w:bookmarkEnd w:id="1000"/>
      <w:bookmarkEnd w:id="1001"/>
      <w:bookmarkEnd w:id="1002"/>
      <w:bookmarkEnd w:id="1003"/>
      <w:bookmarkEnd w:id="1004"/>
      <w:bookmarkEnd w:id="1005"/>
      <w:bookmarkEnd w:id="1006"/>
      <w:bookmarkEnd w:id="1007"/>
      <w:bookmarkEnd w:id="1008"/>
      <w:bookmarkEnd w:id="1009"/>
      <w:bookmarkEnd w:id="1010"/>
      <w:r>
        <w:rPr>
          <w:rFonts w:hint="eastAsia" w:cs="仿宋_GB2312"/>
          <w:bCs/>
          <w:color w:val="000000" w:themeColor="text1"/>
          <w:lang w:eastAsia="zh-CN"/>
          <w14:textFill>
            <w14:solidFill>
              <w14:schemeClr w14:val="tx1"/>
            </w14:solidFill>
          </w14:textFill>
        </w:rPr>
        <w:t xml:space="preserve"> </w:t>
      </w:r>
    </w:p>
    <w:p w14:paraId="4CA9F62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 xml:space="preserve">法律依据： </w:t>
      </w:r>
    </w:p>
    <w:p w14:paraId="7472488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《医疗废物管理条例》第四十七条第（一）项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14:paraId="44D08A2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（一）在运送过程中丢弃医疗废物，在非贮存地点倾倒、堆放医疗废物或者将医疗废物混入其他废物和生活垃圾的；</w:t>
      </w:r>
    </w:p>
    <w:p w14:paraId="04297BA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《医疗废物管理条例》第十四条第二款　 禁止在运送过程中丢弃医疗废物；禁止在非贮存地点倾倒、堆放医疗废物或者将医疗废物混入其他废物和生活垃圾。</w:t>
      </w:r>
    </w:p>
    <w:p w14:paraId="29FF60AE">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《医疗卫生机构医疗废物管理办法》第四十一条第（一）项　医疗卫生机构违反《医疗废物管理条例》及本办法规定，有下列情形之一的，由县级以上地方人民政府卫生行政主管部门责令限期改正，给予警告，并处5000元以上1万元以下的罚款；逾期不改正的，处1万元以上3万元以下的罚款；造成传染病传播的，由原发证部门暂扣或者吊销医疗卫生机构执业许可证件；构成犯罪的，依法追究刑事责任：</w:t>
      </w:r>
    </w:p>
    <w:p w14:paraId="76CDFBD4">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（一）在医疗卫生机构内丢弃医疗废物和在非贮存地点倾倒、堆放医疗废物或者将医疗废物混入其他废物和生活垃圾的；</w:t>
      </w:r>
    </w:p>
    <w:p w14:paraId="7CA5C35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《医疗卫生机构医疗废物管理办法》第十八条　运送人员在运送医疗废物时，应当防止造成包装物或容器破损和医疗废物的流失、泄漏和扩散，并防止医疗废物直接接触身体。</w:t>
      </w:r>
    </w:p>
    <w:p w14:paraId="4F5C5E5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《医疗卫生机构医疗废物管理办法》第二十六条第二款</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禁止在非收集、非暂时贮存地点倾倒、堆放医疗废物，禁止将医疗废物混入其他废物和生活垃圾。</w:t>
      </w:r>
    </w:p>
    <w:p w14:paraId="6F487D0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《医疗废物管理行政处罚办法》第七条第一项 医疗卫生机构有《条例》第四十七条规定的下列情形之一的，由县级以上地方人民政府卫生行政主管部门责令限期改正，给予警告，并处5000元以上1万元以下的罚款;逾期不改正的，处1万元以上3万元以下的罚款:</w:t>
      </w:r>
    </w:p>
    <w:p w14:paraId="25352519">
      <w:pPr>
        <w:widowControl w:val="0"/>
        <w:numPr>
          <w:ilvl w:val="0"/>
          <w:numId w:val="5"/>
        </w:numPr>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在医疗卫生机构内运送过程中丢弃医疗废物，在非贮存地点倾倒、堆放医疗废物或者将医疗废物混入其他废物和生活垃圾的；</w:t>
      </w:r>
    </w:p>
    <w:tbl>
      <w:tblPr>
        <w:tblStyle w:val="24"/>
        <w:tblW w:w="13745" w:type="dxa"/>
        <w:tblInd w:w="93" w:type="dxa"/>
        <w:tblLayout w:type="autofit"/>
        <w:tblCellMar>
          <w:top w:w="0" w:type="dxa"/>
          <w:left w:w="108" w:type="dxa"/>
          <w:bottom w:w="0" w:type="dxa"/>
          <w:right w:w="108" w:type="dxa"/>
        </w:tblCellMar>
      </w:tblPr>
      <w:tblGrid>
        <w:gridCol w:w="1877"/>
        <w:gridCol w:w="6684"/>
        <w:gridCol w:w="5184"/>
      </w:tblGrid>
      <w:tr w14:paraId="26461609">
        <w:tblPrEx>
          <w:tblCellMar>
            <w:top w:w="0" w:type="dxa"/>
            <w:left w:w="108" w:type="dxa"/>
            <w:bottom w:w="0" w:type="dxa"/>
            <w:right w:w="108" w:type="dxa"/>
          </w:tblCellMar>
        </w:tblPrEx>
        <w:trPr>
          <w:trHeight w:val="390" w:hRule="atLeast"/>
        </w:trPr>
        <w:tc>
          <w:tcPr>
            <w:tcW w:w="13745" w:type="dxa"/>
            <w:gridSpan w:val="3"/>
            <w:tcBorders>
              <w:top w:val="nil"/>
              <w:left w:val="nil"/>
              <w:bottom w:val="single" w:color="auto" w:sz="4" w:space="0"/>
              <w:right w:val="nil"/>
            </w:tcBorders>
            <w:noWrap/>
            <w:vAlign w:val="center"/>
          </w:tcPr>
          <w:p w14:paraId="356B673F">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281E7D00">
        <w:tblPrEx>
          <w:tblCellMar>
            <w:top w:w="0" w:type="dxa"/>
            <w:left w:w="108" w:type="dxa"/>
            <w:bottom w:w="0" w:type="dxa"/>
            <w:right w:w="108" w:type="dxa"/>
          </w:tblCellMar>
        </w:tblPrEx>
        <w:trPr>
          <w:trHeight w:val="680" w:hRule="atLeast"/>
        </w:trPr>
        <w:tc>
          <w:tcPr>
            <w:tcW w:w="1877" w:type="dxa"/>
            <w:tcBorders>
              <w:top w:val="single" w:color="auto" w:sz="4" w:space="0"/>
              <w:left w:val="single" w:color="auto" w:sz="4" w:space="0"/>
              <w:bottom w:val="single" w:color="auto" w:sz="4" w:space="0"/>
              <w:right w:val="single" w:color="auto" w:sz="4" w:space="0"/>
            </w:tcBorders>
            <w:vAlign w:val="center"/>
          </w:tcPr>
          <w:p w14:paraId="091F49E0">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684" w:type="dxa"/>
            <w:tcBorders>
              <w:top w:val="single" w:color="auto" w:sz="4" w:space="0"/>
              <w:left w:val="single" w:color="auto" w:sz="4" w:space="0"/>
              <w:bottom w:val="single" w:color="auto" w:sz="4" w:space="0"/>
              <w:right w:val="single" w:color="auto" w:sz="4" w:space="0"/>
            </w:tcBorders>
            <w:vAlign w:val="center"/>
          </w:tcPr>
          <w:p w14:paraId="243A009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184" w:type="dxa"/>
            <w:tcBorders>
              <w:top w:val="single" w:color="auto" w:sz="4" w:space="0"/>
              <w:left w:val="single" w:color="auto" w:sz="4" w:space="0"/>
              <w:bottom w:val="single" w:color="auto" w:sz="4" w:space="0"/>
              <w:right w:val="single" w:color="auto" w:sz="4" w:space="0"/>
            </w:tcBorders>
            <w:vAlign w:val="center"/>
          </w:tcPr>
          <w:p w14:paraId="4AA0543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5AC1E30">
        <w:tblPrEx>
          <w:tblCellMar>
            <w:top w:w="0" w:type="dxa"/>
            <w:left w:w="108" w:type="dxa"/>
            <w:bottom w:w="0" w:type="dxa"/>
            <w:right w:w="108" w:type="dxa"/>
          </w:tblCellMar>
        </w:tblPrEx>
        <w:trPr>
          <w:trHeight w:val="563" w:hRule="atLeast"/>
        </w:trPr>
        <w:tc>
          <w:tcPr>
            <w:tcW w:w="1877" w:type="dxa"/>
            <w:tcBorders>
              <w:top w:val="single" w:color="auto" w:sz="4" w:space="0"/>
              <w:left w:val="single" w:color="auto" w:sz="4" w:space="0"/>
              <w:bottom w:val="single" w:color="auto" w:sz="4" w:space="0"/>
              <w:right w:val="single" w:color="auto" w:sz="4" w:space="0"/>
            </w:tcBorders>
            <w:vAlign w:val="center"/>
          </w:tcPr>
          <w:p w14:paraId="6F209A9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轻微</w:t>
            </w:r>
          </w:p>
        </w:tc>
        <w:tc>
          <w:tcPr>
            <w:tcW w:w="6684" w:type="dxa"/>
            <w:tcBorders>
              <w:top w:val="single" w:color="auto" w:sz="4" w:space="0"/>
              <w:left w:val="single" w:color="auto" w:sz="4" w:space="0"/>
              <w:bottom w:val="single" w:color="auto" w:sz="4" w:space="0"/>
              <w:right w:val="single" w:color="auto" w:sz="4" w:space="0"/>
            </w:tcBorders>
            <w:vAlign w:val="center"/>
          </w:tcPr>
          <w:p w14:paraId="0AE5D08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首次发现违法行为，未造成传染病传播等严重后果的。</w:t>
            </w:r>
          </w:p>
        </w:tc>
        <w:tc>
          <w:tcPr>
            <w:tcW w:w="5184" w:type="dxa"/>
            <w:tcBorders>
              <w:top w:val="single" w:color="auto" w:sz="4" w:space="0"/>
              <w:left w:val="single" w:color="auto" w:sz="4" w:space="0"/>
              <w:bottom w:val="single" w:color="auto" w:sz="4" w:space="0"/>
              <w:right w:val="single" w:color="auto" w:sz="4" w:space="0"/>
            </w:tcBorders>
            <w:vAlign w:val="center"/>
          </w:tcPr>
          <w:p w14:paraId="4B2D18A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给予警告，并处5000元以上1万元以下的罚款。</w:t>
            </w:r>
          </w:p>
        </w:tc>
      </w:tr>
      <w:tr w14:paraId="49834F2E">
        <w:tblPrEx>
          <w:tblCellMar>
            <w:top w:w="0" w:type="dxa"/>
            <w:left w:w="108" w:type="dxa"/>
            <w:bottom w:w="0" w:type="dxa"/>
            <w:right w:w="108" w:type="dxa"/>
          </w:tblCellMar>
        </w:tblPrEx>
        <w:trPr>
          <w:trHeight w:val="581" w:hRule="atLeast"/>
        </w:trPr>
        <w:tc>
          <w:tcPr>
            <w:tcW w:w="1877" w:type="dxa"/>
            <w:tcBorders>
              <w:top w:val="single" w:color="auto" w:sz="4" w:space="0"/>
              <w:left w:val="single" w:color="auto" w:sz="4" w:space="0"/>
              <w:bottom w:val="single" w:color="auto" w:sz="4" w:space="0"/>
              <w:right w:val="single" w:color="auto" w:sz="4" w:space="0"/>
            </w:tcBorders>
            <w:vAlign w:val="center"/>
          </w:tcPr>
          <w:p w14:paraId="72BE3CF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684" w:type="dxa"/>
            <w:tcBorders>
              <w:top w:val="single" w:color="auto" w:sz="4" w:space="0"/>
              <w:left w:val="single" w:color="auto" w:sz="4" w:space="0"/>
              <w:bottom w:val="single" w:color="auto" w:sz="4" w:space="0"/>
              <w:right w:val="single" w:color="auto" w:sz="4" w:space="0"/>
            </w:tcBorders>
            <w:vAlign w:val="center"/>
          </w:tcPr>
          <w:p w14:paraId="18AD1E3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5184" w:type="dxa"/>
            <w:tcBorders>
              <w:top w:val="single" w:color="auto" w:sz="4" w:space="0"/>
              <w:left w:val="single" w:color="auto" w:sz="4" w:space="0"/>
              <w:bottom w:val="single" w:color="auto" w:sz="4" w:space="0"/>
              <w:right w:val="single" w:color="auto" w:sz="4" w:space="0"/>
            </w:tcBorders>
            <w:vAlign w:val="center"/>
          </w:tcPr>
          <w:p w14:paraId="4620C761">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处1万元以上2万元以下的罚款。</w:t>
            </w:r>
          </w:p>
        </w:tc>
      </w:tr>
      <w:tr w14:paraId="0AA90C8D">
        <w:tblPrEx>
          <w:tblCellMar>
            <w:top w:w="0" w:type="dxa"/>
            <w:left w:w="108" w:type="dxa"/>
            <w:bottom w:w="0" w:type="dxa"/>
            <w:right w:w="108" w:type="dxa"/>
          </w:tblCellMar>
        </w:tblPrEx>
        <w:trPr>
          <w:trHeight w:val="796" w:hRule="atLeast"/>
        </w:trPr>
        <w:tc>
          <w:tcPr>
            <w:tcW w:w="1877" w:type="dxa"/>
            <w:tcBorders>
              <w:top w:val="single" w:color="auto" w:sz="4" w:space="0"/>
              <w:left w:val="single" w:color="auto" w:sz="4" w:space="0"/>
              <w:bottom w:val="single" w:color="auto" w:sz="4" w:space="0"/>
              <w:right w:val="single" w:color="auto" w:sz="4" w:space="0"/>
            </w:tcBorders>
            <w:vAlign w:val="center"/>
          </w:tcPr>
          <w:p w14:paraId="5B6690D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684" w:type="dxa"/>
            <w:tcBorders>
              <w:top w:val="single" w:color="auto" w:sz="4" w:space="0"/>
              <w:left w:val="single" w:color="auto" w:sz="4" w:space="0"/>
              <w:bottom w:val="single" w:color="auto" w:sz="4" w:space="0"/>
              <w:right w:val="single" w:color="auto" w:sz="4" w:space="0"/>
            </w:tcBorders>
            <w:vAlign w:val="center"/>
          </w:tcPr>
          <w:p w14:paraId="3A52C33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造成传染病传播、流行等严重后果的。</w:t>
            </w:r>
          </w:p>
        </w:tc>
        <w:tc>
          <w:tcPr>
            <w:tcW w:w="5184" w:type="dxa"/>
            <w:tcBorders>
              <w:top w:val="single" w:color="auto" w:sz="4" w:space="0"/>
              <w:left w:val="single" w:color="auto" w:sz="4" w:space="0"/>
              <w:bottom w:val="single" w:color="auto" w:sz="4" w:space="0"/>
              <w:right w:val="single" w:color="auto" w:sz="4" w:space="0"/>
            </w:tcBorders>
            <w:vAlign w:val="center"/>
          </w:tcPr>
          <w:p w14:paraId="0FD457D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处2万元以上3万元以下的罚款，由原发证部门暂扣或者吊销执业许可证件或者经营许可证件。</w:t>
            </w:r>
          </w:p>
        </w:tc>
      </w:tr>
    </w:tbl>
    <w:p w14:paraId="4F84BC3B">
      <w:pPr>
        <w:pStyle w:val="4"/>
        <w:widowControl w:val="0"/>
        <w:ind w:firstLine="640"/>
        <w:rPr>
          <w:rFonts w:hint="eastAsia" w:eastAsia="仿宋_GB2312"/>
          <w:color w:val="000000" w:themeColor="text1"/>
          <w:lang w:eastAsia="zh-CN"/>
          <w14:textFill>
            <w14:solidFill>
              <w14:schemeClr w14:val="tx1"/>
            </w14:solidFill>
          </w14:textFill>
        </w:rPr>
      </w:pPr>
      <w:bookmarkStart w:id="1011" w:name="_Toc19770"/>
      <w:bookmarkStart w:id="1012" w:name="_Toc13555"/>
      <w:bookmarkStart w:id="1013" w:name="_Toc24336"/>
      <w:bookmarkStart w:id="1014" w:name="_Toc8284"/>
      <w:bookmarkStart w:id="1015" w:name="_Toc25729"/>
      <w:bookmarkStart w:id="1016" w:name="_Toc6188"/>
      <w:bookmarkStart w:id="1017" w:name="_Toc2691"/>
      <w:bookmarkStart w:id="1018" w:name="_Toc21149"/>
      <w:bookmarkStart w:id="1019" w:name="_Toc14918"/>
      <w:bookmarkStart w:id="1020" w:name="_Toc11046"/>
      <w:bookmarkStart w:id="1021" w:name="_Toc16261"/>
      <w:r>
        <w:rPr>
          <w:rFonts w:hint="eastAsia"/>
          <w:color w:val="000000" w:themeColor="text1"/>
          <w14:textFill>
            <w14:solidFill>
              <w14:schemeClr w14:val="tx1"/>
            </w14:solidFill>
          </w14:textFill>
        </w:rPr>
        <w:t>第八十九条 医疗卫生机构未按照医疗废物管理条例的规定对污水、传染病病人或者疑似传染病病人的排泄物，进行严格消毒，或者未达到国家规定的排放标准，排入医疗卫生机构内的污水处理系统的</w:t>
      </w:r>
      <w:bookmarkEnd w:id="1011"/>
      <w:bookmarkEnd w:id="1012"/>
      <w:bookmarkEnd w:id="1013"/>
      <w:bookmarkEnd w:id="1014"/>
      <w:bookmarkEnd w:id="1015"/>
      <w:bookmarkEnd w:id="1016"/>
      <w:bookmarkEnd w:id="1017"/>
      <w:bookmarkEnd w:id="1018"/>
      <w:bookmarkEnd w:id="1019"/>
      <w:bookmarkEnd w:id="1020"/>
      <w:bookmarkEnd w:id="1021"/>
      <w:r>
        <w:rPr>
          <w:rFonts w:hint="eastAsia"/>
          <w:color w:val="000000" w:themeColor="text1"/>
          <w:lang w:eastAsia="zh-CN"/>
          <w14:textFill>
            <w14:solidFill>
              <w14:schemeClr w14:val="tx1"/>
            </w14:solidFill>
          </w14:textFill>
        </w:rPr>
        <w:t xml:space="preserve"> </w:t>
      </w:r>
    </w:p>
    <w:p w14:paraId="28C38F2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5EF1C91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《医疗废物管理条例》第四十七条第（五）项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14:paraId="1B11574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（五）未按照本条例的规定对污水、传染病病人或者疑似传染病病人的排泄物，进行严格消毒，或者未达到国家规定的排放标准，排入污水处理系统的；</w:t>
      </w:r>
    </w:p>
    <w:p w14:paraId="6FE539F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《医疗废物管理条例》第二十条　 医疗卫生机构产生的污水、传染病病人或者疑似传染病病人的排泄物，应当按照国家规定严格消毒；达到国家规定的排放标准后，方可排入污水处理系统。</w:t>
      </w:r>
    </w:p>
    <w:p w14:paraId="75874785">
      <w:pPr>
        <w:pStyle w:val="63"/>
        <w:widowControl w:val="0"/>
        <w:spacing w:after="0" w:line="440" w:lineRule="atLeast"/>
        <w:ind w:right="374"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《医疗废物管理行政处罚办法》第七条第一款第（二）项　医疗卫生机构有《条例》第四十七条规定的下列情形之一的，由县级以上地方人民政府卫生行政主管部门责令限期改正，给予警告，并处5000元以上1万元以下的罚款；逾期不改正的，处1万元以上3万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466C571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（二）未按照《条例》的规定对污水、传染病病人或者疑似传染病病人的排泄物，进行严格消毒的，或者未达到国家规定的排放标准，排入医疗卫生机构内的污水处理系统的；</w:t>
      </w:r>
    </w:p>
    <w:p w14:paraId="597D1FD2">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p>
    <w:tbl>
      <w:tblPr>
        <w:tblStyle w:val="24"/>
        <w:tblW w:w="13772" w:type="dxa"/>
        <w:tblInd w:w="93" w:type="dxa"/>
        <w:tblLayout w:type="autofit"/>
        <w:tblCellMar>
          <w:top w:w="0" w:type="dxa"/>
          <w:left w:w="108" w:type="dxa"/>
          <w:bottom w:w="0" w:type="dxa"/>
          <w:right w:w="108" w:type="dxa"/>
        </w:tblCellMar>
      </w:tblPr>
      <w:tblGrid>
        <w:gridCol w:w="2233"/>
        <w:gridCol w:w="6221"/>
        <w:gridCol w:w="5318"/>
      </w:tblGrid>
      <w:tr w14:paraId="520AC8C3">
        <w:tblPrEx>
          <w:tblCellMar>
            <w:top w:w="0" w:type="dxa"/>
            <w:left w:w="108" w:type="dxa"/>
            <w:bottom w:w="0" w:type="dxa"/>
            <w:right w:w="108" w:type="dxa"/>
          </w:tblCellMar>
        </w:tblPrEx>
        <w:trPr>
          <w:trHeight w:val="390" w:hRule="atLeast"/>
        </w:trPr>
        <w:tc>
          <w:tcPr>
            <w:tcW w:w="13772" w:type="dxa"/>
            <w:gridSpan w:val="3"/>
            <w:tcBorders>
              <w:top w:val="nil"/>
              <w:left w:val="nil"/>
              <w:bottom w:val="single" w:color="auto" w:sz="4" w:space="0"/>
              <w:right w:val="nil"/>
            </w:tcBorders>
            <w:noWrap/>
            <w:vAlign w:val="center"/>
          </w:tcPr>
          <w:p w14:paraId="2F3E73C1">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74ACB1DD">
        <w:tblPrEx>
          <w:tblCellMar>
            <w:top w:w="0" w:type="dxa"/>
            <w:left w:w="108" w:type="dxa"/>
            <w:bottom w:w="0" w:type="dxa"/>
            <w:right w:w="108" w:type="dxa"/>
          </w:tblCellMar>
        </w:tblPrEx>
        <w:trPr>
          <w:trHeight w:val="680" w:hRule="atLeast"/>
        </w:trPr>
        <w:tc>
          <w:tcPr>
            <w:tcW w:w="2233" w:type="dxa"/>
            <w:tcBorders>
              <w:top w:val="single" w:color="auto" w:sz="4" w:space="0"/>
              <w:left w:val="single" w:color="auto" w:sz="4" w:space="0"/>
              <w:bottom w:val="single" w:color="auto" w:sz="4" w:space="0"/>
              <w:right w:val="single" w:color="auto" w:sz="4" w:space="0"/>
            </w:tcBorders>
            <w:vAlign w:val="center"/>
          </w:tcPr>
          <w:p w14:paraId="56E5669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221" w:type="dxa"/>
            <w:tcBorders>
              <w:top w:val="single" w:color="auto" w:sz="4" w:space="0"/>
              <w:left w:val="single" w:color="auto" w:sz="4" w:space="0"/>
              <w:bottom w:val="single" w:color="auto" w:sz="4" w:space="0"/>
              <w:right w:val="single" w:color="auto" w:sz="4" w:space="0"/>
            </w:tcBorders>
            <w:vAlign w:val="center"/>
          </w:tcPr>
          <w:p w14:paraId="33EDB6A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318" w:type="dxa"/>
            <w:tcBorders>
              <w:top w:val="single" w:color="auto" w:sz="4" w:space="0"/>
              <w:left w:val="single" w:color="auto" w:sz="4" w:space="0"/>
              <w:bottom w:val="single" w:color="auto" w:sz="4" w:space="0"/>
              <w:right w:val="single" w:color="auto" w:sz="4" w:space="0"/>
            </w:tcBorders>
            <w:vAlign w:val="center"/>
          </w:tcPr>
          <w:p w14:paraId="63C553F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7837699">
        <w:tblPrEx>
          <w:tblCellMar>
            <w:top w:w="0" w:type="dxa"/>
            <w:left w:w="108" w:type="dxa"/>
            <w:bottom w:w="0" w:type="dxa"/>
            <w:right w:w="108" w:type="dxa"/>
          </w:tblCellMar>
        </w:tblPrEx>
        <w:trPr>
          <w:trHeight w:val="90" w:hRule="atLeast"/>
        </w:trPr>
        <w:tc>
          <w:tcPr>
            <w:tcW w:w="2233" w:type="dxa"/>
            <w:tcBorders>
              <w:top w:val="single" w:color="auto" w:sz="4" w:space="0"/>
              <w:left w:val="single" w:color="auto" w:sz="4" w:space="0"/>
              <w:bottom w:val="single" w:color="auto" w:sz="4" w:space="0"/>
              <w:right w:val="single" w:color="auto" w:sz="4" w:space="0"/>
            </w:tcBorders>
            <w:vAlign w:val="center"/>
          </w:tcPr>
          <w:p w14:paraId="00E2F8F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轻微</w:t>
            </w:r>
          </w:p>
        </w:tc>
        <w:tc>
          <w:tcPr>
            <w:tcW w:w="6221" w:type="dxa"/>
            <w:tcBorders>
              <w:top w:val="single" w:color="auto" w:sz="4" w:space="0"/>
              <w:left w:val="single" w:color="auto" w:sz="4" w:space="0"/>
              <w:bottom w:val="single" w:color="auto" w:sz="4" w:space="0"/>
              <w:right w:val="single" w:color="auto" w:sz="4" w:space="0"/>
            </w:tcBorders>
            <w:vAlign w:val="center"/>
          </w:tcPr>
          <w:p w14:paraId="22A27F31">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首次发现违法行为，未造成传染病传播等严重后果的。</w:t>
            </w:r>
          </w:p>
        </w:tc>
        <w:tc>
          <w:tcPr>
            <w:tcW w:w="5318" w:type="dxa"/>
            <w:tcBorders>
              <w:top w:val="single" w:color="auto" w:sz="4" w:space="0"/>
              <w:left w:val="single" w:color="auto" w:sz="4" w:space="0"/>
              <w:bottom w:val="single" w:color="auto" w:sz="4" w:space="0"/>
              <w:right w:val="single" w:color="auto" w:sz="4" w:space="0"/>
            </w:tcBorders>
            <w:vAlign w:val="center"/>
          </w:tcPr>
          <w:p w14:paraId="0AFC75CF">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给予警告，并处5000元以上1万元以下的罚款。</w:t>
            </w:r>
          </w:p>
        </w:tc>
      </w:tr>
      <w:tr w14:paraId="19310BD3">
        <w:tblPrEx>
          <w:tblCellMar>
            <w:top w:w="0" w:type="dxa"/>
            <w:left w:w="108" w:type="dxa"/>
            <w:bottom w:w="0" w:type="dxa"/>
            <w:right w:w="108" w:type="dxa"/>
          </w:tblCellMar>
        </w:tblPrEx>
        <w:trPr>
          <w:trHeight w:val="574" w:hRule="atLeast"/>
        </w:trPr>
        <w:tc>
          <w:tcPr>
            <w:tcW w:w="2233" w:type="dxa"/>
            <w:tcBorders>
              <w:top w:val="single" w:color="auto" w:sz="4" w:space="0"/>
              <w:left w:val="single" w:color="auto" w:sz="4" w:space="0"/>
              <w:bottom w:val="single" w:color="auto" w:sz="4" w:space="0"/>
              <w:right w:val="single" w:color="auto" w:sz="4" w:space="0"/>
            </w:tcBorders>
            <w:vAlign w:val="center"/>
          </w:tcPr>
          <w:p w14:paraId="13A6B53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221" w:type="dxa"/>
            <w:tcBorders>
              <w:top w:val="single" w:color="auto" w:sz="4" w:space="0"/>
              <w:left w:val="single" w:color="auto" w:sz="4" w:space="0"/>
              <w:bottom w:val="single" w:color="auto" w:sz="4" w:space="0"/>
              <w:right w:val="single" w:color="auto" w:sz="4" w:space="0"/>
            </w:tcBorders>
            <w:vAlign w:val="center"/>
          </w:tcPr>
          <w:p w14:paraId="3BD21621">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5318" w:type="dxa"/>
            <w:tcBorders>
              <w:top w:val="single" w:color="auto" w:sz="4" w:space="0"/>
              <w:left w:val="single" w:color="auto" w:sz="4" w:space="0"/>
              <w:bottom w:val="single" w:color="auto" w:sz="4" w:space="0"/>
              <w:right w:val="single" w:color="auto" w:sz="4" w:space="0"/>
            </w:tcBorders>
            <w:vAlign w:val="center"/>
          </w:tcPr>
          <w:p w14:paraId="5FA8C400">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处1万元以上2万元以下的罚款。</w:t>
            </w:r>
          </w:p>
        </w:tc>
      </w:tr>
      <w:tr w14:paraId="0F307746">
        <w:tblPrEx>
          <w:tblCellMar>
            <w:top w:w="0" w:type="dxa"/>
            <w:left w:w="108" w:type="dxa"/>
            <w:bottom w:w="0" w:type="dxa"/>
            <w:right w:w="108" w:type="dxa"/>
          </w:tblCellMar>
        </w:tblPrEx>
        <w:trPr>
          <w:trHeight w:val="736" w:hRule="atLeast"/>
        </w:trPr>
        <w:tc>
          <w:tcPr>
            <w:tcW w:w="2233" w:type="dxa"/>
            <w:tcBorders>
              <w:top w:val="single" w:color="auto" w:sz="4" w:space="0"/>
              <w:left w:val="single" w:color="auto" w:sz="4" w:space="0"/>
              <w:bottom w:val="single" w:color="auto" w:sz="4" w:space="0"/>
              <w:right w:val="single" w:color="auto" w:sz="4" w:space="0"/>
            </w:tcBorders>
            <w:vAlign w:val="center"/>
          </w:tcPr>
          <w:p w14:paraId="2D50471F">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221" w:type="dxa"/>
            <w:tcBorders>
              <w:top w:val="single" w:color="auto" w:sz="4" w:space="0"/>
              <w:left w:val="single" w:color="auto" w:sz="4" w:space="0"/>
              <w:bottom w:val="single" w:color="auto" w:sz="4" w:space="0"/>
              <w:right w:val="single" w:color="auto" w:sz="4" w:space="0"/>
            </w:tcBorders>
            <w:vAlign w:val="center"/>
          </w:tcPr>
          <w:p w14:paraId="57CDCBCC">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造成传染病传播等严重后果的。</w:t>
            </w:r>
          </w:p>
        </w:tc>
        <w:tc>
          <w:tcPr>
            <w:tcW w:w="5318" w:type="dxa"/>
            <w:tcBorders>
              <w:top w:val="single" w:color="auto" w:sz="4" w:space="0"/>
              <w:left w:val="single" w:color="auto" w:sz="4" w:space="0"/>
              <w:bottom w:val="single" w:color="auto" w:sz="4" w:space="0"/>
              <w:right w:val="single" w:color="auto" w:sz="4" w:space="0"/>
            </w:tcBorders>
            <w:vAlign w:val="center"/>
          </w:tcPr>
          <w:p w14:paraId="6745F7E6">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处2万元以上3万元以下的罚款，由原发证部门暂扣或者吊销执业许可证件或者经营许可证件。</w:t>
            </w:r>
          </w:p>
        </w:tc>
      </w:tr>
    </w:tbl>
    <w:p w14:paraId="2C8FED99">
      <w:pPr>
        <w:pStyle w:val="4"/>
        <w:widowControl w:val="0"/>
        <w:ind w:firstLine="640"/>
        <w:rPr>
          <w:color w:val="000000" w:themeColor="text1"/>
          <w14:textFill>
            <w14:solidFill>
              <w14:schemeClr w14:val="tx1"/>
            </w14:solidFill>
          </w14:textFill>
        </w:rPr>
      </w:pPr>
      <w:bookmarkStart w:id="1022" w:name="_Toc21014"/>
      <w:bookmarkStart w:id="1023" w:name="_Toc2697"/>
      <w:bookmarkStart w:id="1024" w:name="_Toc23476"/>
      <w:bookmarkStart w:id="1025" w:name="_Toc10078"/>
      <w:bookmarkStart w:id="1026" w:name="_Toc13343"/>
      <w:bookmarkStart w:id="1027" w:name="_Toc29149"/>
      <w:bookmarkStart w:id="1028" w:name="_Toc10927"/>
      <w:bookmarkStart w:id="1029" w:name="_Toc19456"/>
      <w:bookmarkStart w:id="1030" w:name="_Toc12994"/>
      <w:bookmarkStart w:id="1031" w:name="_Toc19966"/>
      <w:bookmarkStart w:id="1032" w:name="_Toc6635"/>
      <w:r>
        <w:rPr>
          <w:rFonts w:hint="eastAsia"/>
          <w:color w:val="000000" w:themeColor="text1"/>
          <w14:textFill>
            <w14:solidFill>
              <w14:schemeClr w14:val="tx1"/>
            </w14:solidFill>
          </w14:textFill>
        </w:rPr>
        <w:t>第九十条 医疗卫生机构对收治的传染病病人或者疑似传染病病人产生的生活垃圾，未按照医疗废物进行管理和处置的</w:t>
      </w:r>
      <w:bookmarkEnd w:id="1022"/>
      <w:bookmarkEnd w:id="1023"/>
      <w:bookmarkEnd w:id="1024"/>
      <w:bookmarkEnd w:id="1025"/>
      <w:bookmarkEnd w:id="1026"/>
      <w:bookmarkEnd w:id="1027"/>
      <w:bookmarkEnd w:id="1028"/>
      <w:bookmarkEnd w:id="1029"/>
      <w:bookmarkEnd w:id="1030"/>
      <w:bookmarkEnd w:id="1031"/>
      <w:bookmarkEnd w:id="1032"/>
    </w:p>
    <w:p w14:paraId="4D8E7DAC">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6C386A70">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《医疗废物管理条例》第四十七条第（六）项</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14:paraId="09209A26">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（六）对收治的传染病病人或者疑似传染病病人产生的生活垃圾，未按照医疗废物进行管理和处置的。</w:t>
      </w:r>
    </w:p>
    <w:p w14:paraId="25F0F3F4">
      <w:pPr>
        <w:pStyle w:val="63"/>
        <w:widowControl w:val="0"/>
        <w:spacing w:after="0" w:line="440" w:lineRule="atLeast"/>
        <w:ind w:right="374"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《医疗废物管理行政处罚办法》第七条第一款第（三）项　医疗卫生机构有《条例》第四十七条规定的下列情形之一的，由县级以上地方人民政府卫生行政主管部门责令限期改正，给予警告，并处5000元以上1万元以下的罚款；逾期不改正的，处1万元以上3万元以下的罚款：</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170E67C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（三）对收治的传染病病人或者疑似传染病病人产生的生活垃圾，未按照医疗废物进行管理和处置的。</w:t>
      </w:r>
    </w:p>
    <w:p w14:paraId="21BC1F69">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p>
    <w:tbl>
      <w:tblPr>
        <w:tblStyle w:val="24"/>
        <w:tblW w:w="13854" w:type="dxa"/>
        <w:tblInd w:w="93" w:type="dxa"/>
        <w:tblLayout w:type="autofit"/>
        <w:tblCellMar>
          <w:top w:w="0" w:type="dxa"/>
          <w:left w:w="108" w:type="dxa"/>
          <w:bottom w:w="0" w:type="dxa"/>
          <w:right w:w="108" w:type="dxa"/>
        </w:tblCellMar>
      </w:tblPr>
      <w:tblGrid>
        <w:gridCol w:w="2775"/>
        <w:gridCol w:w="5488"/>
        <w:gridCol w:w="5591"/>
      </w:tblGrid>
      <w:tr w14:paraId="6C712F7B">
        <w:tblPrEx>
          <w:tblCellMar>
            <w:top w:w="0" w:type="dxa"/>
            <w:left w:w="108" w:type="dxa"/>
            <w:bottom w:w="0" w:type="dxa"/>
            <w:right w:w="108" w:type="dxa"/>
          </w:tblCellMar>
        </w:tblPrEx>
        <w:trPr>
          <w:trHeight w:val="390" w:hRule="atLeast"/>
        </w:trPr>
        <w:tc>
          <w:tcPr>
            <w:tcW w:w="13854" w:type="dxa"/>
            <w:gridSpan w:val="3"/>
            <w:tcBorders>
              <w:top w:val="nil"/>
              <w:left w:val="nil"/>
              <w:bottom w:val="single" w:color="auto" w:sz="4" w:space="0"/>
              <w:right w:val="nil"/>
            </w:tcBorders>
            <w:noWrap/>
            <w:vAlign w:val="center"/>
          </w:tcPr>
          <w:p w14:paraId="49C6E4DF">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4467BA6A">
        <w:tblPrEx>
          <w:tblCellMar>
            <w:top w:w="0" w:type="dxa"/>
            <w:left w:w="108" w:type="dxa"/>
            <w:bottom w:w="0" w:type="dxa"/>
            <w:right w:w="108" w:type="dxa"/>
          </w:tblCellMar>
        </w:tblPrEx>
        <w:trPr>
          <w:trHeight w:val="680" w:hRule="atLeast"/>
        </w:trPr>
        <w:tc>
          <w:tcPr>
            <w:tcW w:w="2775" w:type="dxa"/>
            <w:tcBorders>
              <w:top w:val="single" w:color="auto" w:sz="4" w:space="0"/>
              <w:left w:val="single" w:color="auto" w:sz="4" w:space="0"/>
              <w:bottom w:val="single" w:color="auto" w:sz="4" w:space="0"/>
              <w:right w:val="single" w:color="auto" w:sz="4" w:space="0"/>
            </w:tcBorders>
            <w:vAlign w:val="center"/>
          </w:tcPr>
          <w:p w14:paraId="463C9CE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488" w:type="dxa"/>
            <w:tcBorders>
              <w:top w:val="single" w:color="auto" w:sz="4" w:space="0"/>
              <w:left w:val="single" w:color="auto" w:sz="4" w:space="0"/>
              <w:bottom w:val="single" w:color="auto" w:sz="4" w:space="0"/>
              <w:right w:val="single" w:color="auto" w:sz="4" w:space="0"/>
            </w:tcBorders>
            <w:vAlign w:val="center"/>
          </w:tcPr>
          <w:p w14:paraId="54B43E04">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591" w:type="dxa"/>
            <w:tcBorders>
              <w:top w:val="single" w:color="auto" w:sz="4" w:space="0"/>
              <w:left w:val="single" w:color="auto" w:sz="4" w:space="0"/>
              <w:bottom w:val="single" w:color="auto" w:sz="4" w:space="0"/>
              <w:right w:val="single" w:color="auto" w:sz="4" w:space="0"/>
            </w:tcBorders>
            <w:vAlign w:val="center"/>
          </w:tcPr>
          <w:p w14:paraId="1D8D620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1D7EC41">
        <w:tblPrEx>
          <w:tblCellMar>
            <w:top w:w="0" w:type="dxa"/>
            <w:left w:w="108" w:type="dxa"/>
            <w:bottom w:w="0" w:type="dxa"/>
            <w:right w:w="108" w:type="dxa"/>
          </w:tblCellMar>
        </w:tblPrEx>
        <w:trPr>
          <w:trHeight w:val="454" w:hRule="atLeast"/>
        </w:trPr>
        <w:tc>
          <w:tcPr>
            <w:tcW w:w="2775" w:type="dxa"/>
            <w:tcBorders>
              <w:top w:val="single" w:color="auto" w:sz="4" w:space="0"/>
              <w:left w:val="single" w:color="auto" w:sz="4" w:space="0"/>
              <w:bottom w:val="single" w:color="auto" w:sz="4" w:space="0"/>
              <w:right w:val="single" w:color="auto" w:sz="4" w:space="0"/>
            </w:tcBorders>
            <w:vAlign w:val="center"/>
          </w:tcPr>
          <w:p w14:paraId="488B1D9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轻微</w:t>
            </w:r>
          </w:p>
        </w:tc>
        <w:tc>
          <w:tcPr>
            <w:tcW w:w="5488" w:type="dxa"/>
            <w:tcBorders>
              <w:top w:val="single" w:color="auto" w:sz="4" w:space="0"/>
              <w:left w:val="single" w:color="auto" w:sz="4" w:space="0"/>
              <w:bottom w:val="single" w:color="auto" w:sz="4" w:space="0"/>
              <w:right w:val="single" w:color="auto" w:sz="4" w:space="0"/>
            </w:tcBorders>
            <w:vAlign w:val="center"/>
          </w:tcPr>
          <w:p w14:paraId="3E26C437">
            <w:pPr>
              <w:widowControl w:val="0"/>
              <w:spacing w:after="0" w:line="320" w:lineRule="exact"/>
              <w:jc w:val="left"/>
              <w:textAlignment w:val="auto"/>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首次发现违法行为，未造成传染病传播等严重后果的。</w:t>
            </w:r>
          </w:p>
        </w:tc>
        <w:tc>
          <w:tcPr>
            <w:tcW w:w="5591" w:type="dxa"/>
            <w:tcBorders>
              <w:top w:val="single" w:color="auto" w:sz="4" w:space="0"/>
              <w:left w:val="single" w:color="auto" w:sz="4" w:space="0"/>
              <w:bottom w:val="single" w:color="auto" w:sz="4" w:space="0"/>
              <w:right w:val="single" w:color="auto" w:sz="4" w:space="0"/>
            </w:tcBorders>
            <w:vAlign w:val="center"/>
          </w:tcPr>
          <w:p w14:paraId="4430FA11">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给予警告，并处5000元以上1万元以下的罚款。</w:t>
            </w:r>
          </w:p>
        </w:tc>
      </w:tr>
      <w:tr w14:paraId="4F3C0550">
        <w:tblPrEx>
          <w:tblCellMar>
            <w:top w:w="0" w:type="dxa"/>
            <w:left w:w="108" w:type="dxa"/>
            <w:bottom w:w="0" w:type="dxa"/>
            <w:right w:w="108" w:type="dxa"/>
          </w:tblCellMar>
        </w:tblPrEx>
        <w:trPr>
          <w:trHeight w:val="454" w:hRule="atLeast"/>
        </w:trPr>
        <w:tc>
          <w:tcPr>
            <w:tcW w:w="2775" w:type="dxa"/>
            <w:tcBorders>
              <w:top w:val="single" w:color="auto" w:sz="4" w:space="0"/>
              <w:left w:val="single" w:color="auto" w:sz="4" w:space="0"/>
              <w:bottom w:val="single" w:color="auto" w:sz="4" w:space="0"/>
              <w:right w:val="single" w:color="auto" w:sz="4" w:space="0"/>
            </w:tcBorders>
            <w:vAlign w:val="center"/>
          </w:tcPr>
          <w:p w14:paraId="5FA8F447">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488" w:type="dxa"/>
            <w:tcBorders>
              <w:top w:val="single" w:color="auto" w:sz="4" w:space="0"/>
              <w:left w:val="single" w:color="auto" w:sz="4" w:space="0"/>
              <w:bottom w:val="single" w:color="auto" w:sz="4" w:space="0"/>
              <w:right w:val="single" w:color="auto" w:sz="4" w:space="0"/>
            </w:tcBorders>
            <w:vAlign w:val="center"/>
          </w:tcPr>
          <w:p w14:paraId="09AD98DC">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 xml:space="preserve">责令限期改正后，逾期不改正的。 </w:t>
            </w:r>
          </w:p>
        </w:tc>
        <w:tc>
          <w:tcPr>
            <w:tcW w:w="5591" w:type="dxa"/>
            <w:tcBorders>
              <w:top w:val="single" w:color="auto" w:sz="4" w:space="0"/>
              <w:left w:val="single" w:color="auto" w:sz="4" w:space="0"/>
              <w:bottom w:val="single" w:color="auto" w:sz="4" w:space="0"/>
              <w:right w:val="single" w:color="auto" w:sz="4" w:space="0"/>
            </w:tcBorders>
            <w:vAlign w:val="center"/>
          </w:tcPr>
          <w:p w14:paraId="6EF62FB8">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处1万元以上2万元以下的罚款。</w:t>
            </w:r>
          </w:p>
        </w:tc>
      </w:tr>
      <w:tr w14:paraId="012B8FAF">
        <w:tblPrEx>
          <w:tblCellMar>
            <w:top w:w="0" w:type="dxa"/>
            <w:left w:w="108" w:type="dxa"/>
            <w:bottom w:w="0" w:type="dxa"/>
            <w:right w:w="108" w:type="dxa"/>
          </w:tblCellMar>
        </w:tblPrEx>
        <w:trPr>
          <w:trHeight w:val="454" w:hRule="atLeast"/>
        </w:trPr>
        <w:tc>
          <w:tcPr>
            <w:tcW w:w="2775" w:type="dxa"/>
            <w:tcBorders>
              <w:top w:val="single" w:color="auto" w:sz="4" w:space="0"/>
              <w:left w:val="single" w:color="auto" w:sz="4" w:space="0"/>
              <w:bottom w:val="single" w:color="auto" w:sz="4" w:space="0"/>
              <w:right w:val="single" w:color="auto" w:sz="4" w:space="0"/>
            </w:tcBorders>
            <w:vAlign w:val="center"/>
          </w:tcPr>
          <w:p w14:paraId="20D238E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488" w:type="dxa"/>
            <w:tcBorders>
              <w:top w:val="single" w:color="auto" w:sz="4" w:space="0"/>
              <w:left w:val="single" w:color="auto" w:sz="4" w:space="0"/>
              <w:bottom w:val="single" w:color="auto" w:sz="4" w:space="0"/>
              <w:right w:val="single" w:color="auto" w:sz="4" w:space="0"/>
            </w:tcBorders>
            <w:vAlign w:val="center"/>
          </w:tcPr>
          <w:p w14:paraId="483B45F9">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造成传染病传播等严重后果的。</w:t>
            </w:r>
          </w:p>
        </w:tc>
        <w:tc>
          <w:tcPr>
            <w:tcW w:w="5591" w:type="dxa"/>
            <w:tcBorders>
              <w:top w:val="single" w:color="auto" w:sz="4" w:space="0"/>
              <w:left w:val="single" w:color="auto" w:sz="4" w:space="0"/>
              <w:bottom w:val="single" w:color="auto" w:sz="4" w:space="0"/>
              <w:right w:val="single" w:color="auto" w:sz="4" w:space="0"/>
            </w:tcBorders>
            <w:vAlign w:val="center"/>
          </w:tcPr>
          <w:p w14:paraId="3FF2899C">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处2万元以上3万元以下的罚款，由原发证部门暂扣或者吊销执业许可证件或者经营许可证件。</w:t>
            </w:r>
          </w:p>
        </w:tc>
      </w:tr>
    </w:tbl>
    <w:p w14:paraId="48D3265C">
      <w:pPr>
        <w:pStyle w:val="4"/>
        <w:widowControl w:val="0"/>
        <w:ind w:firstLine="640"/>
        <w:rPr>
          <w:color w:val="000000" w:themeColor="text1"/>
          <w14:textFill>
            <w14:solidFill>
              <w14:schemeClr w14:val="tx1"/>
            </w14:solidFill>
          </w14:textFill>
        </w:rPr>
      </w:pPr>
      <w:bookmarkStart w:id="1033" w:name="_Toc32621"/>
      <w:bookmarkStart w:id="1034" w:name="_Toc23265"/>
      <w:bookmarkStart w:id="1035" w:name="_Toc14196"/>
      <w:bookmarkStart w:id="1036" w:name="_Toc3729"/>
      <w:bookmarkStart w:id="1037" w:name="_Toc2033"/>
      <w:bookmarkStart w:id="1038" w:name="_Toc19390"/>
      <w:bookmarkStart w:id="1039" w:name="_Toc5851"/>
      <w:bookmarkStart w:id="1040" w:name="_Toc27820"/>
      <w:bookmarkStart w:id="1041" w:name="_Toc11252"/>
      <w:bookmarkStart w:id="1042" w:name="_Toc1237"/>
      <w:bookmarkStart w:id="1043" w:name="_Toc28357"/>
      <w:r>
        <w:rPr>
          <w:rFonts w:hint="eastAsia"/>
          <w:color w:val="000000" w:themeColor="text1"/>
          <w14:textFill>
            <w14:solidFill>
              <w14:schemeClr w14:val="tx1"/>
            </w14:solidFill>
          </w14:textFill>
        </w:rPr>
        <w:t>第九十一条 医疗卫生机构发生医疗废物流失、泄漏、扩散时，未采取紧急处理措施，或者未及时向卫生行政主管部门报告的</w:t>
      </w:r>
      <w:bookmarkEnd w:id="1033"/>
      <w:bookmarkEnd w:id="1034"/>
      <w:bookmarkEnd w:id="1035"/>
      <w:bookmarkEnd w:id="1036"/>
      <w:bookmarkEnd w:id="1037"/>
      <w:bookmarkEnd w:id="1038"/>
      <w:bookmarkEnd w:id="1039"/>
      <w:bookmarkEnd w:id="1040"/>
      <w:bookmarkEnd w:id="1041"/>
      <w:bookmarkEnd w:id="1042"/>
      <w:bookmarkEnd w:id="1043"/>
    </w:p>
    <w:p w14:paraId="156D7BB1">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4511A518">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《医疗废物管理条例》第四十九条</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1万元以上3万元以下的罚款；造成传染病传播或者环境污染事故的，由原发证部门暂扣或者吊销执业许可证件或者经营许可证件；构成犯罪的，依法追究刑事责任。</w:t>
      </w:r>
    </w:p>
    <w:p w14:paraId="38936E3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《医疗卫生机构医疗废物管理办法》第四十三条　医疗卫生机构发生医疗废物流失、泄漏、扩散时，未采取紧急处理措施，或者未及时向卫生行政主管部门报告的，由县级以上地方人民政府卫生行政主管部门责令改正，给予警告，并处1万元以上3万元以下的罚款；造成传染病传播的，由原发证部门暂扣或者吊销医疗卫生机构执业许可证件；构成犯罪的，依法追究刑事责任。</w:t>
      </w:r>
    </w:p>
    <w:p w14:paraId="550665EB">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《医疗卫生机构医疗废物管理办法》第八条第一款、第三款、第六款　医疗卫生机构发生因医疗废物管理不当导致1人以上死亡或者3人以上健康损害，需要对致病人员提供医疗救护和现场救援的重大事故时，应当在12小时内向所在地的县级人民政府卫生行政主管部门报告，并按照《医疗废物管理条例》和本办法的规定，采取相应紧急处理措施。</w:t>
      </w:r>
    </w:p>
    <w:p w14:paraId="584F545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发生因医疗废物管理不当导致3人以上死亡或者10人以上健康损害，需要对致病人员提供医疗救护和现场救援的重大事故时，应当在2小时内向所在地的县级人民政府卫生行政主管部门报告，并按照《医疗废物管理条例》和本办法的规定，采取相应紧急处理措施。</w:t>
      </w:r>
    </w:p>
    <w:p w14:paraId="5EBA17E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发生因医疗废物管理不当导致传染病传播事故，或者有证据证明传染病传播的事故有可能发生时，应当按照《传染病防治法》及有关规定报告，并采取相应措施。</w:t>
      </w:r>
    </w:p>
    <w:p w14:paraId="1E8AC555">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《医疗卫生机构医疗废物管理办法》第二十八条第一款、第二款　医疗卫生机构发生医疗废物流失、泄漏、扩散和意外事故时，应当按照以下要求及时采取紧急处理措施：（一）确定流失、泄漏、扩散的医疗废物的类别、数量、发生时间、影响范围及严重程度；（二）组织有关人员尽快按照应急方案，对发生医疗废物泄漏、扩散的现场进行处理；（三）对被医疗废物污染的区域进行处理时，应当尽可能减少对病人、医务人员、其他现场人员及环境的影响；（四）采取适当的安全处置措施，对泄漏物及受污染的区域、物品进行消毒或者其他无害化处置，必要时封锁污染区域，以防扩大污染；（五）对感染性废物污染区域进行消毒时，消毒工作从污染最轻区域向污染最严重区域进行，对可能被污染的所有使用过的工具也应当进行消毒；（六）工作人员应当做好卫生安全防护后进行工作。</w:t>
      </w:r>
    </w:p>
    <w:p w14:paraId="41B4AC40">
      <w:pPr>
        <w:widowControl w:val="0"/>
        <w:spacing w:after="0" w:line="440" w:lineRule="exact"/>
        <w:ind w:firstLine="640" w:firstLineChars="200"/>
        <w:jc w:val="both"/>
        <w:rPr>
          <w:rFonts w:hint="eastAsia" w:ascii="Times New Roman" w:hAnsi="Times New Roman" w:eastAsia="等线" w:cs="等线"/>
          <w:color w:val="000000" w:themeColor="text1"/>
          <w:sz w:val="21"/>
          <w:szCs w:val="21"/>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处理工作结束后，医疗卫生机构应当对事件的起因进行调查，并采取有效的防范措施预防类似事件的发生。</w:t>
      </w:r>
    </w:p>
    <w:p w14:paraId="42B1E07F">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十一条：有《条例》第四十九条规定的情形，医疗卫生机构发生医疗废物流失、泄露、扩散时，未采取紧急处理措施，或者未及时向卫生行政主管部门报告的，由县级以上地方人民政府卫生行政主管部门责令改正，给予警告，并处1万元以上3万元以下的罚款。</w:t>
      </w:r>
    </w:p>
    <w:tbl>
      <w:tblPr>
        <w:tblStyle w:val="24"/>
        <w:tblW w:w="13759" w:type="dxa"/>
        <w:tblInd w:w="93" w:type="dxa"/>
        <w:tblLayout w:type="autofit"/>
        <w:tblCellMar>
          <w:top w:w="0" w:type="dxa"/>
          <w:left w:w="108" w:type="dxa"/>
          <w:bottom w:w="0" w:type="dxa"/>
          <w:right w:w="108" w:type="dxa"/>
        </w:tblCellMar>
      </w:tblPr>
      <w:tblGrid>
        <w:gridCol w:w="2059"/>
        <w:gridCol w:w="5881"/>
        <w:gridCol w:w="5819"/>
      </w:tblGrid>
      <w:tr w14:paraId="6FDFA58D">
        <w:tblPrEx>
          <w:tblCellMar>
            <w:top w:w="0" w:type="dxa"/>
            <w:left w:w="108" w:type="dxa"/>
            <w:bottom w:w="0" w:type="dxa"/>
            <w:right w:w="108" w:type="dxa"/>
          </w:tblCellMar>
        </w:tblPrEx>
        <w:trPr>
          <w:trHeight w:val="390" w:hRule="atLeast"/>
        </w:trPr>
        <w:tc>
          <w:tcPr>
            <w:tcW w:w="13759" w:type="dxa"/>
            <w:gridSpan w:val="3"/>
            <w:tcBorders>
              <w:top w:val="nil"/>
              <w:left w:val="nil"/>
              <w:bottom w:val="single" w:color="auto" w:sz="4" w:space="0"/>
              <w:right w:val="nil"/>
            </w:tcBorders>
            <w:noWrap/>
            <w:vAlign w:val="center"/>
          </w:tcPr>
          <w:p w14:paraId="644D4D30">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5E9AB8CC">
        <w:tblPrEx>
          <w:tblCellMar>
            <w:top w:w="0" w:type="dxa"/>
            <w:left w:w="108" w:type="dxa"/>
            <w:bottom w:w="0" w:type="dxa"/>
            <w:right w:w="108" w:type="dxa"/>
          </w:tblCellMar>
        </w:tblPrEx>
        <w:trPr>
          <w:trHeight w:val="680" w:hRule="atLeast"/>
        </w:trPr>
        <w:tc>
          <w:tcPr>
            <w:tcW w:w="2059" w:type="dxa"/>
            <w:tcBorders>
              <w:top w:val="single" w:color="auto" w:sz="4" w:space="0"/>
              <w:left w:val="single" w:color="auto" w:sz="4" w:space="0"/>
              <w:bottom w:val="single" w:color="auto" w:sz="4" w:space="0"/>
              <w:right w:val="single" w:color="auto" w:sz="4" w:space="0"/>
            </w:tcBorders>
            <w:vAlign w:val="center"/>
          </w:tcPr>
          <w:p w14:paraId="16C00F6B">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881" w:type="dxa"/>
            <w:tcBorders>
              <w:top w:val="single" w:color="auto" w:sz="4" w:space="0"/>
              <w:left w:val="single" w:color="auto" w:sz="4" w:space="0"/>
              <w:bottom w:val="single" w:color="auto" w:sz="4" w:space="0"/>
              <w:right w:val="single" w:color="auto" w:sz="4" w:space="0"/>
            </w:tcBorders>
            <w:vAlign w:val="center"/>
          </w:tcPr>
          <w:p w14:paraId="0C7DDEE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819" w:type="dxa"/>
            <w:tcBorders>
              <w:top w:val="single" w:color="auto" w:sz="4" w:space="0"/>
              <w:left w:val="single" w:color="auto" w:sz="4" w:space="0"/>
              <w:bottom w:val="single" w:color="auto" w:sz="4" w:space="0"/>
              <w:right w:val="single" w:color="auto" w:sz="4" w:space="0"/>
            </w:tcBorders>
            <w:vAlign w:val="center"/>
          </w:tcPr>
          <w:p w14:paraId="57F4F70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A9F2B20">
        <w:tblPrEx>
          <w:tblCellMar>
            <w:top w:w="0" w:type="dxa"/>
            <w:left w:w="108" w:type="dxa"/>
            <w:bottom w:w="0" w:type="dxa"/>
            <w:right w:w="108" w:type="dxa"/>
          </w:tblCellMar>
        </w:tblPrEx>
        <w:trPr>
          <w:trHeight w:val="794" w:hRule="atLeast"/>
        </w:trPr>
        <w:tc>
          <w:tcPr>
            <w:tcW w:w="2059" w:type="dxa"/>
            <w:tcBorders>
              <w:top w:val="single" w:color="auto" w:sz="4" w:space="0"/>
              <w:left w:val="single" w:color="auto" w:sz="4" w:space="0"/>
              <w:bottom w:val="single" w:color="auto" w:sz="4" w:space="0"/>
              <w:right w:val="single" w:color="auto" w:sz="4" w:space="0"/>
            </w:tcBorders>
            <w:vAlign w:val="center"/>
          </w:tcPr>
          <w:p w14:paraId="7ADB3A8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5881" w:type="dxa"/>
            <w:tcBorders>
              <w:top w:val="single" w:color="auto" w:sz="4" w:space="0"/>
              <w:left w:val="single" w:color="auto" w:sz="4" w:space="0"/>
              <w:bottom w:val="single" w:color="auto" w:sz="4" w:space="0"/>
              <w:right w:val="single" w:color="auto" w:sz="4" w:space="0"/>
            </w:tcBorders>
            <w:vAlign w:val="center"/>
          </w:tcPr>
          <w:p w14:paraId="6D8234D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发生医疗废物流失、泄漏、扩散时，未及时向卫生行政主管部门报告的。</w:t>
            </w:r>
          </w:p>
        </w:tc>
        <w:tc>
          <w:tcPr>
            <w:tcW w:w="5819" w:type="dxa"/>
            <w:tcBorders>
              <w:top w:val="single" w:color="auto" w:sz="4" w:space="0"/>
              <w:left w:val="single" w:color="auto" w:sz="4" w:space="0"/>
              <w:bottom w:val="single" w:color="auto" w:sz="4" w:space="0"/>
              <w:right w:val="single" w:color="auto" w:sz="4" w:space="0"/>
            </w:tcBorders>
            <w:vAlign w:val="center"/>
          </w:tcPr>
          <w:p w14:paraId="6FEFDA87">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警告，处罚10000元以上12000元以下罚款。</w:t>
            </w:r>
          </w:p>
        </w:tc>
      </w:tr>
      <w:tr w14:paraId="1BD7EC30">
        <w:tblPrEx>
          <w:tblCellMar>
            <w:top w:w="0" w:type="dxa"/>
            <w:left w:w="108" w:type="dxa"/>
            <w:bottom w:w="0" w:type="dxa"/>
            <w:right w:w="108" w:type="dxa"/>
          </w:tblCellMar>
        </w:tblPrEx>
        <w:trPr>
          <w:trHeight w:val="794" w:hRule="atLeast"/>
        </w:trPr>
        <w:tc>
          <w:tcPr>
            <w:tcW w:w="2059" w:type="dxa"/>
            <w:tcBorders>
              <w:top w:val="single" w:color="auto" w:sz="4" w:space="0"/>
              <w:left w:val="single" w:color="auto" w:sz="4" w:space="0"/>
              <w:bottom w:val="single" w:color="auto" w:sz="4" w:space="0"/>
              <w:right w:val="single" w:color="auto" w:sz="4" w:space="0"/>
            </w:tcBorders>
            <w:vAlign w:val="center"/>
          </w:tcPr>
          <w:p w14:paraId="443D6279">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881" w:type="dxa"/>
            <w:tcBorders>
              <w:top w:val="single" w:color="auto" w:sz="4" w:space="0"/>
              <w:left w:val="single" w:color="auto" w:sz="4" w:space="0"/>
              <w:bottom w:val="single" w:color="auto" w:sz="4" w:space="0"/>
              <w:right w:val="single" w:color="auto" w:sz="4" w:space="0"/>
            </w:tcBorders>
            <w:vAlign w:val="center"/>
          </w:tcPr>
          <w:p w14:paraId="6A4FB9B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发生医疗废物流失、泄漏、扩散时，未采取紧急处理措施的。</w:t>
            </w:r>
          </w:p>
        </w:tc>
        <w:tc>
          <w:tcPr>
            <w:tcW w:w="5819" w:type="dxa"/>
            <w:tcBorders>
              <w:top w:val="single" w:color="auto" w:sz="4" w:space="0"/>
              <w:left w:val="single" w:color="auto" w:sz="4" w:space="0"/>
              <w:bottom w:val="single" w:color="auto" w:sz="4" w:space="0"/>
              <w:right w:val="single" w:color="auto" w:sz="4" w:space="0"/>
            </w:tcBorders>
            <w:vAlign w:val="center"/>
          </w:tcPr>
          <w:p w14:paraId="2F6A971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警告，罚款12000元以上15000元以下。</w:t>
            </w:r>
          </w:p>
        </w:tc>
      </w:tr>
      <w:tr w14:paraId="29201939">
        <w:tblPrEx>
          <w:tblCellMar>
            <w:top w:w="0" w:type="dxa"/>
            <w:left w:w="108" w:type="dxa"/>
            <w:bottom w:w="0" w:type="dxa"/>
            <w:right w:w="108" w:type="dxa"/>
          </w:tblCellMar>
        </w:tblPrEx>
        <w:trPr>
          <w:trHeight w:val="794" w:hRule="atLeast"/>
        </w:trPr>
        <w:tc>
          <w:tcPr>
            <w:tcW w:w="2059" w:type="dxa"/>
            <w:tcBorders>
              <w:top w:val="single" w:color="auto" w:sz="4" w:space="0"/>
              <w:left w:val="single" w:color="auto" w:sz="4" w:space="0"/>
              <w:bottom w:val="single" w:color="auto" w:sz="4" w:space="0"/>
              <w:right w:val="single" w:color="auto" w:sz="4" w:space="0"/>
            </w:tcBorders>
            <w:vAlign w:val="center"/>
          </w:tcPr>
          <w:p w14:paraId="51389612">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5881" w:type="dxa"/>
            <w:tcBorders>
              <w:top w:val="single" w:color="auto" w:sz="4" w:space="0"/>
              <w:left w:val="single" w:color="auto" w:sz="4" w:space="0"/>
              <w:bottom w:val="single" w:color="auto" w:sz="4" w:space="0"/>
              <w:right w:val="single" w:color="auto" w:sz="4" w:space="0"/>
            </w:tcBorders>
            <w:vAlign w:val="center"/>
          </w:tcPr>
          <w:p w14:paraId="4C4DAB1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发生医疗废物流失、泄漏、扩散时，未采取紧急处理措施，并且未向卫生行政主管部门报告的。</w:t>
            </w:r>
          </w:p>
        </w:tc>
        <w:tc>
          <w:tcPr>
            <w:tcW w:w="5819" w:type="dxa"/>
            <w:tcBorders>
              <w:top w:val="single" w:color="auto" w:sz="4" w:space="0"/>
              <w:left w:val="single" w:color="auto" w:sz="4" w:space="0"/>
              <w:bottom w:val="single" w:color="auto" w:sz="4" w:space="0"/>
              <w:right w:val="single" w:color="auto" w:sz="4" w:space="0"/>
            </w:tcBorders>
            <w:vAlign w:val="center"/>
          </w:tcPr>
          <w:p w14:paraId="6FE47738">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警告，罚款15000元以上20000元以下。</w:t>
            </w:r>
          </w:p>
        </w:tc>
      </w:tr>
      <w:tr w14:paraId="498553DF">
        <w:tblPrEx>
          <w:tblCellMar>
            <w:top w:w="0" w:type="dxa"/>
            <w:left w:w="108" w:type="dxa"/>
            <w:bottom w:w="0" w:type="dxa"/>
            <w:right w:w="108" w:type="dxa"/>
          </w:tblCellMar>
        </w:tblPrEx>
        <w:trPr>
          <w:trHeight w:val="794" w:hRule="atLeast"/>
        </w:trPr>
        <w:tc>
          <w:tcPr>
            <w:tcW w:w="2059" w:type="dxa"/>
            <w:vMerge w:val="restart"/>
            <w:tcBorders>
              <w:top w:val="single" w:color="auto" w:sz="4" w:space="0"/>
              <w:left w:val="single" w:color="auto" w:sz="4" w:space="0"/>
              <w:bottom w:val="single" w:color="auto" w:sz="4" w:space="0"/>
              <w:right w:val="single" w:color="auto" w:sz="4" w:space="0"/>
            </w:tcBorders>
            <w:vAlign w:val="center"/>
          </w:tcPr>
          <w:p w14:paraId="6FD86211">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881" w:type="dxa"/>
            <w:tcBorders>
              <w:top w:val="single" w:color="auto" w:sz="4" w:space="0"/>
              <w:left w:val="single" w:color="auto" w:sz="4" w:space="0"/>
              <w:bottom w:val="single" w:color="auto" w:sz="4" w:space="0"/>
              <w:right w:val="single" w:color="auto" w:sz="4" w:space="0"/>
            </w:tcBorders>
            <w:vAlign w:val="center"/>
          </w:tcPr>
          <w:p w14:paraId="404E9DE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造成丙类传染病流行的。</w:t>
            </w:r>
          </w:p>
        </w:tc>
        <w:tc>
          <w:tcPr>
            <w:tcW w:w="5819" w:type="dxa"/>
            <w:tcBorders>
              <w:top w:val="single" w:color="auto" w:sz="4" w:space="0"/>
              <w:left w:val="single" w:color="auto" w:sz="4" w:space="0"/>
              <w:bottom w:val="single" w:color="auto" w:sz="4" w:space="0"/>
              <w:right w:val="single" w:color="auto" w:sz="4" w:space="0"/>
            </w:tcBorders>
            <w:vAlign w:val="center"/>
          </w:tcPr>
          <w:p w14:paraId="516AA78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警告，罚款20000元以上23000元以下，暂扣执业许可证1个月以上3个月以下。</w:t>
            </w:r>
          </w:p>
        </w:tc>
      </w:tr>
      <w:tr w14:paraId="18EA52CD">
        <w:tblPrEx>
          <w:tblCellMar>
            <w:top w:w="0" w:type="dxa"/>
            <w:left w:w="108" w:type="dxa"/>
            <w:bottom w:w="0" w:type="dxa"/>
            <w:right w:w="108" w:type="dxa"/>
          </w:tblCellMar>
        </w:tblPrEx>
        <w:trPr>
          <w:trHeight w:val="794" w:hRule="atLeast"/>
        </w:trPr>
        <w:tc>
          <w:tcPr>
            <w:tcW w:w="2059" w:type="dxa"/>
            <w:vMerge w:val="continue"/>
            <w:tcBorders>
              <w:top w:val="single" w:color="auto" w:sz="4" w:space="0"/>
              <w:left w:val="single" w:color="auto" w:sz="4" w:space="0"/>
              <w:bottom w:val="single" w:color="auto" w:sz="4" w:space="0"/>
              <w:right w:val="single" w:color="auto" w:sz="4" w:space="0"/>
            </w:tcBorders>
            <w:vAlign w:val="center"/>
          </w:tcPr>
          <w:p w14:paraId="1704DBF2">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5881" w:type="dxa"/>
            <w:tcBorders>
              <w:top w:val="single" w:color="auto" w:sz="4" w:space="0"/>
              <w:left w:val="single" w:color="auto" w:sz="4" w:space="0"/>
              <w:bottom w:val="single" w:color="auto" w:sz="4" w:space="0"/>
              <w:right w:val="single" w:color="auto" w:sz="4" w:space="0"/>
            </w:tcBorders>
            <w:vAlign w:val="center"/>
          </w:tcPr>
          <w:p w14:paraId="43F754C2">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造成其它乙类传染病和伤寒副伤寒、痢疾、梅毒、淋病、乙型肝炎、白喉、疟疾的流行的。</w:t>
            </w:r>
          </w:p>
        </w:tc>
        <w:tc>
          <w:tcPr>
            <w:tcW w:w="5819" w:type="dxa"/>
            <w:tcBorders>
              <w:top w:val="single" w:color="auto" w:sz="4" w:space="0"/>
              <w:left w:val="single" w:color="auto" w:sz="4" w:space="0"/>
              <w:bottom w:val="single" w:color="auto" w:sz="4" w:space="0"/>
              <w:right w:val="single" w:color="auto" w:sz="4" w:space="0"/>
            </w:tcBorders>
            <w:vAlign w:val="center"/>
          </w:tcPr>
          <w:p w14:paraId="416566D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警告，罚款23000元以上26000元以下，暂扣执业许可证3个月以上6个月以下。</w:t>
            </w:r>
          </w:p>
        </w:tc>
      </w:tr>
      <w:tr w14:paraId="44253098">
        <w:tblPrEx>
          <w:tblCellMar>
            <w:top w:w="0" w:type="dxa"/>
            <w:left w:w="108" w:type="dxa"/>
            <w:bottom w:w="0" w:type="dxa"/>
            <w:right w:w="108" w:type="dxa"/>
          </w:tblCellMar>
        </w:tblPrEx>
        <w:trPr>
          <w:trHeight w:val="794" w:hRule="atLeast"/>
        </w:trPr>
        <w:tc>
          <w:tcPr>
            <w:tcW w:w="2059" w:type="dxa"/>
            <w:vMerge w:val="continue"/>
            <w:tcBorders>
              <w:top w:val="single" w:color="auto" w:sz="4" w:space="0"/>
              <w:left w:val="single" w:color="auto" w:sz="4" w:space="0"/>
              <w:bottom w:val="single" w:color="auto" w:sz="4" w:space="0"/>
              <w:right w:val="single" w:color="auto" w:sz="4" w:space="0"/>
            </w:tcBorders>
            <w:vAlign w:val="center"/>
          </w:tcPr>
          <w:p w14:paraId="1D4D7A3B">
            <w:pPr>
              <w:widowControl w:val="0"/>
              <w:spacing w:line="440" w:lineRule="exact"/>
              <w:jc w:val="center"/>
              <w:rPr>
                <w:rFonts w:hint="eastAsia" w:ascii="Times New Roman" w:hAnsi="Times New Roman" w:eastAsia="方正仿宋_GB2312" w:cs="方正仿宋_GB2312"/>
                <w:b/>
                <w:bCs/>
                <w:color w:val="000000" w:themeColor="text1"/>
                <w:sz w:val="24"/>
                <w:szCs w:val="24"/>
                <w14:textFill>
                  <w14:solidFill>
                    <w14:schemeClr w14:val="tx1"/>
                  </w14:solidFill>
                </w14:textFill>
              </w:rPr>
            </w:pPr>
          </w:p>
        </w:tc>
        <w:tc>
          <w:tcPr>
            <w:tcW w:w="5881" w:type="dxa"/>
            <w:tcBorders>
              <w:top w:val="single" w:color="auto" w:sz="4" w:space="0"/>
              <w:left w:val="single" w:color="auto" w:sz="4" w:space="0"/>
              <w:bottom w:val="single" w:color="auto" w:sz="4" w:space="0"/>
              <w:right w:val="single" w:color="auto" w:sz="4" w:space="0"/>
            </w:tcBorders>
            <w:vAlign w:val="center"/>
          </w:tcPr>
          <w:p w14:paraId="281990E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造成甲类传染病、传染性非典型肺炎和乙类传染病中艾滋病、肺炭疽、脊髓灰质炎流行的或者环境污染事故的。</w:t>
            </w:r>
          </w:p>
        </w:tc>
        <w:tc>
          <w:tcPr>
            <w:tcW w:w="5819" w:type="dxa"/>
            <w:tcBorders>
              <w:top w:val="single" w:color="auto" w:sz="4" w:space="0"/>
              <w:left w:val="single" w:color="auto" w:sz="4" w:space="0"/>
              <w:bottom w:val="single" w:color="auto" w:sz="4" w:space="0"/>
              <w:right w:val="single" w:color="auto" w:sz="4" w:space="0"/>
            </w:tcBorders>
            <w:vAlign w:val="center"/>
          </w:tcPr>
          <w:p w14:paraId="7262AB2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警告，罚款2</w:t>
            </w:r>
            <w:r>
              <w:rPr>
                <w:rFonts w:hint="eastAsia" w:ascii="Times New Roman" w:hAnsi="Times New Roman" w:eastAsia="仿宋_GB2312" w:cs="Times New Roman"/>
                <w:color w:val="000000" w:themeColor="text1"/>
                <w:sz w:val="24"/>
                <w:szCs w:val="22"/>
                <w:lang w:val="en" w:bidi="ar"/>
                <w14:textFill>
                  <w14:solidFill>
                    <w14:schemeClr w14:val="tx1"/>
                  </w14:solidFill>
                </w14:textFill>
              </w:rPr>
              <w:t>6</w:t>
            </w:r>
            <w:r>
              <w:rPr>
                <w:rFonts w:hint="eastAsia" w:ascii="Times New Roman" w:hAnsi="Times New Roman" w:eastAsia="仿宋_GB2312" w:cs="Times New Roman"/>
                <w:color w:val="000000" w:themeColor="text1"/>
                <w:sz w:val="24"/>
                <w:szCs w:val="22"/>
                <w:lang w:bidi="ar"/>
                <w14:textFill>
                  <w14:solidFill>
                    <w14:schemeClr w14:val="tx1"/>
                  </w14:solidFill>
                </w14:textFill>
              </w:rPr>
              <w:t>000元以上30000元以下，吊销执业许可证。</w:t>
            </w:r>
          </w:p>
        </w:tc>
      </w:tr>
    </w:tbl>
    <w:p w14:paraId="1F1AABF2">
      <w:pPr>
        <w:pStyle w:val="4"/>
        <w:widowControl w:val="0"/>
        <w:spacing w:line="480" w:lineRule="exact"/>
        <w:ind w:firstLine="640"/>
        <w:jc w:val="both"/>
        <w:rPr>
          <w:color w:val="000000" w:themeColor="text1"/>
          <w14:textFill>
            <w14:solidFill>
              <w14:schemeClr w14:val="tx1"/>
            </w14:solidFill>
          </w14:textFill>
        </w:rPr>
      </w:pPr>
      <w:bookmarkStart w:id="1044" w:name="_Toc18403"/>
      <w:bookmarkStart w:id="1045" w:name="_Toc15084"/>
      <w:bookmarkStart w:id="1046" w:name="_Toc4415"/>
      <w:bookmarkStart w:id="1047" w:name="_Toc18500"/>
      <w:bookmarkStart w:id="1048" w:name="_Toc6993"/>
      <w:bookmarkStart w:id="1049" w:name="_Toc9938"/>
      <w:bookmarkStart w:id="1050" w:name="_Toc13859"/>
      <w:bookmarkStart w:id="1051" w:name="_Toc9025"/>
      <w:bookmarkStart w:id="1052" w:name="_Toc3723"/>
      <w:bookmarkStart w:id="1053" w:name="_Toc22269"/>
      <w:bookmarkStart w:id="1054" w:name="_Toc474"/>
      <w:r>
        <w:rPr>
          <w:rFonts w:hint="eastAsia"/>
          <w:color w:val="000000" w:themeColor="text1"/>
          <w14:textFill>
            <w14:solidFill>
              <w14:schemeClr w14:val="tx1"/>
            </w14:solidFill>
          </w14:textFill>
        </w:rPr>
        <w:t>第九十二条 对医疗卫生机构，无正当理由，阻碍卫生行政主管部门或者环境保护行政主管部门执法人员执行职务，拒绝执法人员进入现场，或者不配合执法部门的检查、监测、调查取证的</w:t>
      </w:r>
      <w:bookmarkEnd w:id="1044"/>
      <w:bookmarkEnd w:id="1045"/>
      <w:bookmarkEnd w:id="1046"/>
      <w:bookmarkEnd w:id="1047"/>
      <w:bookmarkEnd w:id="1048"/>
      <w:bookmarkEnd w:id="1049"/>
      <w:bookmarkEnd w:id="1050"/>
      <w:bookmarkEnd w:id="1051"/>
      <w:bookmarkEnd w:id="1052"/>
      <w:bookmarkEnd w:id="1053"/>
      <w:bookmarkEnd w:id="1054"/>
    </w:p>
    <w:p w14:paraId="6A03A2EB">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6530E15C">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《医疗废物管理条例》第五十条</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医疗卫生机构、医疗废物集中处置单位，无正当理由，阻碍卫生行政主管部门或者环境保护行政主管部门执法人员执行职务，拒绝执法人员进入现场，或者不配合执法部门的检查、监测、调查取证的，由县级以上地方人民政府卫生行政主管部门或者环境保护行政主管部门按照各自的职责责令改正，给予警告；拒不改正的，由原发证部门暂扣或者吊销执业许可证件或者经营许可证件；触犯《中华人民共和国治安管理处罚条例》【现为修订为《中华人民共和国治安管理处罚法》】，构成违反治安管理行为的，由公安机关依法予以处罚；构成犯罪的，依法追究刑事责任。</w:t>
      </w:r>
    </w:p>
    <w:p w14:paraId="17272F11">
      <w:pPr>
        <w:widowControl w:val="0"/>
        <w:spacing w:after="0" w:line="48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《医疗废物管理条例》第四十一条　医疗卫生机构和医疗废物集中处置单位，对有关部门的检查、监测、调查取证，应当予以配合，不得拒绝和阻碍，不得提供虚假材料。</w:t>
      </w:r>
    </w:p>
    <w:p w14:paraId="3FF5A43E">
      <w:pPr>
        <w:pStyle w:val="63"/>
        <w:widowControl w:val="0"/>
        <w:spacing w:after="0" w:line="480" w:lineRule="exact"/>
        <w:ind w:right="0" w:firstLine="640" w:firstLineChars="200"/>
        <w:jc w:val="both"/>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《医疗废物管理行政处罚办法》第十二条　有《条例》第五十条规定的情形，医疗卫生机构、医疗废物集中处置单位阻碍卫生行政主管部门执法人员执行职务，拒绝执法人员进入现场，或者不配合执法部门的检查、监测、调查取证的，由县级以上地方人民政府卫生行政主管部门责令改正，给予警告；拒不改正的，由原发证的卫生行政主管部门暂扣或者吊销医疗卫生机构的执业许可证件。</w:t>
      </w:r>
    </w:p>
    <w:tbl>
      <w:tblPr>
        <w:tblStyle w:val="24"/>
        <w:tblW w:w="13970" w:type="dxa"/>
        <w:tblInd w:w="93" w:type="dxa"/>
        <w:tblLayout w:type="autofit"/>
        <w:tblCellMar>
          <w:top w:w="0" w:type="dxa"/>
          <w:left w:w="108" w:type="dxa"/>
          <w:bottom w:w="0" w:type="dxa"/>
          <w:right w:w="108" w:type="dxa"/>
        </w:tblCellMar>
      </w:tblPr>
      <w:tblGrid>
        <w:gridCol w:w="1813"/>
        <w:gridCol w:w="8100"/>
        <w:gridCol w:w="4057"/>
      </w:tblGrid>
      <w:tr w14:paraId="6DB5F249">
        <w:tblPrEx>
          <w:tblCellMar>
            <w:top w:w="0" w:type="dxa"/>
            <w:left w:w="108" w:type="dxa"/>
            <w:bottom w:w="0" w:type="dxa"/>
            <w:right w:w="108" w:type="dxa"/>
          </w:tblCellMar>
        </w:tblPrEx>
        <w:trPr>
          <w:trHeight w:val="390" w:hRule="atLeast"/>
        </w:trPr>
        <w:tc>
          <w:tcPr>
            <w:tcW w:w="13970" w:type="dxa"/>
            <w:gridSpan w:val="3"/>
            <w:tcBorders>
              <w:top w:val="nil"/>
              <w:left w:val="nil"/>
              <w:bottom w:val="single" w:color="auto" w:sz="4" w:space="0"/>
              <w:right w:val="nil"/>
            </w:tcBorders>
            <w:noWrap/>
            <w:vAlign w:val="center"/>
          </w:tcPr>
          <w:p w14:paraId="674121F6">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4EFD3344">
        <w:tblPrEx>
          <w:tblCellMar>
            <w:top w:w="0" w:type="dxa"/>
            <w:left w:w="108" w:type="dxa"/>
            <w:bottom w:w="0" w:type="dxa"/>
            <w:right w:w="108" w:type="dxa"/>
          </w:tblCellMar>
        </w:tblPrEx>
        <w:trPr>
          <w:trHeight w:val="680" w:hRule="atLeast"/>
        </w:trPr>
        <w:tc>
          <w:tcPr>
            <w:tcW w:w="1813" w:type="dxa"/>
            <w:tcBorders>
              <w:top w:val="single" w:color="auto" w:sz="4" w:space="0"/>
              <w:left w:val="single" w:color="auto" w:sz="4" w:space="0"/>
              <w:bottom w:val="single" w:color="auto" w:sz="4" w:space="0"/>
              <w:right w:val="single" w:color="auto" w:sz="4" w:space="0"/>
            </w:tcBorders>
            <w:vAlign w:val="center"/>
          </w:tcPr>
          <w:p w14:paraId="69048A64">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00" w:type="dxa"/>
            <w:tcBorders>
              <w:top w:val="single" w:color="auto" w:sz="4" w:space="0"/>
              <w:left w:val="single" w:color="auto" w:sz="4" w:space="0"/>
              <w:bottom w:val="single" w:color="auto" w:sz="4" w:space="0"/>
              <w:right w:val="single" w:color="auto" w:sz="4" w:space="0"/>
            </w:tcBorders>
            <w:vAlign w:val="center"/>
          </w:tcPr>
          <w:p w14:paraId="7F83F7E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057" w:type="dxa"/>
            <w:tcBorders>
              <w:top w:val="single" w:color="auto" w:sz="4" w:space="0"/>
              <w:left w:val="single" w:color="auto" w:sz="4" w:space="0"/>
              <w:bottom w:val="single" w:color="auto" w:sz="4" w:space="0"/>
              <w:right w:val="single" w:color="auto" w:sz="4" w:space="0"/>
            </w:tcBorders>
            <w:vAlign w:val="center"/>
          </w:tcPr>
          <w:p w14:paraId="4AFFF30B">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89A6F9D">
        <w:tblPrEx>
          <w:tblCellMar>
            <w:top w:w="0" w:type="dxa"/>
            <w:left w:w="108" w:type="dxa"/>
            <w:bottom w:w="0" w:type="dxa"/>
            <w:right w:w="108" w:type="dxa"/>
          </w:tblCellMar>
        </w:tblPrEx>
        <w:trPr>
          <w:trHeight w:val="57" w:hRule="atLeast"/>
        </w:trPr>
        <w:tc>
          <w:tcPr>
            <w:tcW w:w="1813" w:type="dxa"/>
            <w:tcBorders>
              <w:top w:val="single" w:color="auto" w:sz="4" w:space="0"/>
              <w:left w:val="single" w:color="auto" w:sz="4" w:space="0"/>
              <w:bottom w:val="single" w:color="auto" w:sz="4" w:space="0"/>
              <w:right w:val="single" w:color="auto" w:sz="4" w:space="0"/>
            </w:tcBorders>
            <w:vAlign w:val="center"/>
          </w:tcPr>
          <w:p w14:paraId="4077677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8100" w:type="dxa"/>
            <w:tcBorders>
              <w:top w:val="single" w:color="auto" w:sz="4" w:space="0"/>
              <w:left w:val="single" w:color="auto" w:sz="4" w:space="0"/>
              <w:bottom w:val="single" w:color="auto" w:sz="4" w:space="0"/>
              <w:right w:val="single" w:color="auto" w:sz="4" w:space="0"/>
            </w:tcBorders>
            <w:vAlign w:val="center"/>
          </w:tcPr>
          <w:p w14:paraId="5EC8730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医疗卫生机构无正当理由，阻碍卫生行政主管部门执法人员执行职务，拒绝执法人员进入现场，或者不配合执法部门的检查、监测、调查取证。</w:t>
            </w:r>
          </w:p>
        </w:tc>
        <w:tc>
          <w:tcPr>
            <w:tcW w:w="4057" w:type="dxa"/>
            <w:tcBorders>
              <w:top w:val="single" w:color="auto" w:sz="4" w:space="0"/>
              <w:left w:val="single" w:color="auto" w:sz="4" w:space="0"/>
              <w:bottom w:val="single" w:color="auto" w:sz="4" w:space="0"/>
              <w:right w:val="single" w:color="auto" w:sz="4" w:space="0"/>
            </w:tcBorders>
            <w:vAlign w:val="center"/>
          </w:tcPr>
          <w:p w14:paraId="4226ABC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12FCCC78">
        <w:tblPrEx>
          <w:tblCellMar>
            <w:top w:w="0" w:type="dxa"/>
            <w:left w:w="108" w:type="dxa"/>
            <w:bottom w:w="0" w:type="dxa"/>
            <w:right w:w="108" w:type="dxa"/>
          </w:tblCellMar>
        </w:tblPrEx>
        <w:trPr>
          <w:trHeight w:val="57" w:hRule="atLeast"/>
        </w:trPr>
        <w:tc>
          <w:tcPr>
            <w:tcW w:w="1813" w:type="dxa"/>
            <w:tcBorders>
              <w:top w:val="single" w:color="auto" w:sz="4" w:space="0"/>
              <w:left w:val="single" w:color="auto" w:sz="4" w:space="0"/>
              <w:bottom w:val="single" w:color="auto" w:sz="4" w:space="0"/>
              <w:right w:val="single" w:color="auto" w:sz="4" w:space="0"/>
            </w:tcBorders>
            <w:vAlign w:val="center"/>
          </w:tcPr>
          <w:p w14:paraId="5EB0B13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8100" w:type="dxa"/>
            <w:tcBorders>
              <w:top w:val="single" w:color="auto" w:sz="4" w:space="0"/>
              <w:left w:val="single" w:color="auto" w:sz="4" w:space="0"/>
              <w:bottom w:val="single" w:color="auto" w:sz="4" w:space="0"/>
              <w:right w:val="single" w:color="auto" w:sz="4" w:space="0"/>
            </w:tcBorders>
            <w:vAlign w:val="center"/>
          </w:tcPr>
          <w:p w14:paraId="6B93504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责令改正后，拒不改正的。</w:t>
            </w:r>
          </w:p>
        </w:tc>
        <w:tc>
          <w:tcPr>
            <w:tcW w:w="4057" w:type="dxa"/>
            <w:tcBorders>
              <w:top w:val="single" w:color="auto" w:sz="4" w:space="0"/>
              <w:left w:val="single" w:color="auto" w:sz="4" w:space="0"/>
              <w:bottom w:val="single" w:color="auto" w:sz="4" w:space="0"/>
              <w:right w:val="single" w:color="auto" w:sz="4" w:space="0"/>
            </w:tcBorders>
            <w:vAlign w:val="center"/>
          </w:tcPr>
          <w:p w14:paraId="7C5EBFA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由原发证部门暂扣或者吊销执业许可证件或者经营许可证件。</w:t>
            </w:r>
          </w:p>
        </w:tc>
      </w:tr>
    </w:tbl>
    <w:p w14:paraId="22AA6E80">
      <w:pPr>
        <w:pStyle w:val="4"/>
        <w:widowControl w:val="0"/>
        <w:ind w:firstLine="640"/>
        <w:rPr>
          <w:color w:val="000000" w:themeColor="text1"/>
          <w:spacing w:val="-6"/>
          <w14:textFill>
            <w14:solidFill>
              <w14:schemeClr w14:val="tx1"/>
            </w14:solidFill>
          </w14:textFill>
        </w:rPr>
      </w:pPr>
      <w:bookmarkStart w:id="1055" w:name="_Toc9795"/>
      <w:bookmarkStart w:id="1056" w:name="_Toc3750"/>
      <w:bookmarkStart w:id="1057" w:name="_Toc24139"/>
      <w:bookmarkStart w:id="1058" w:name="_Toc15773"/>
      <w:bookmarkStart w:id="1059" w:name="_Toc31152"/>
      <w:bookmarkStart w:id="1060" w:name="_Toc22762"/>
      <w:bookmarkStart w:id="1061" w:name="_Toc197"/>
      <w:bookmarkStart w:id="1062" w:name="_Toc26015"/>
      <w:bookmarkStart w:id="1063" w:name="_Toc32566"/>
      <w:bookmarkStart w:id="1064" w:name="_Toc32486"/>
      <w:bookmarkStart w:id="1065" w:name="_Toc15815"/>
      <w:r>
        <w:rPr>
          <w:rFonts w:hint="eastAsia"/>
          <w:color w:val="000000" w:themeColor="text1"/>
          <w14:textFill>
            <w14:solidFill>
              <w14:schemeClr w14:val="tx1"/>
            </w14:solidFill>
          </w14:textFill>
        </w:rPr>
        <w:t xml:space="preserve">第九十三条 </w:t>
      </w:r>
      <w:r>
        <w:rPr>
          <w:rFonts w:hint="eastAsia"/>
          <w:color w:val="000000" w:themeColor="text1"/>
          <w:spacing w:val="-6"/>
          <w14:textFill>
            <w14:solidFill>
              <w14:schemeClr w14:val="tx1"/>
            </w14:solidFill>
          </w14:textFill>
        </w:rPr>
        <w:t>不具备集中处置医疗废物条件的农村，医疗卫生机构未按照规定要求处置医疗废物的</w:t>
      </w:r>
      <w:bookmarkEnd w:id="1055"/>
      <w:bookmarkEnd w:id="1056"/>
      <w:bookmarkEnd w:id="1057"/>
      <w:bookmarkEnd w:id="1058"/>
      <w:bookmarkEnd w:id="1059"/>
      <w:bookmarkEnd w:id="1060"/>
      <w:bookmarkEnd w:id="1061"/>
      <w:bookmarkEnd w:id="1062"/>
      <w:bookmarkEnd w:id="1063"/>
      <w:bookmarkEnd w:id="1064"/>
      <w:bookmarkEnd w:id="1065"/>
    </w:p>
    <w:p w14:paraId="5D255A53">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2EC4945A">
      <w:pPr>
        <w:widowControl w:val="0"/>
        <w:spacing w:after="0" w:line="440" w:lineRule="exact"/>
        <w:ind w:firstLine="640" w:firstLineChars="200"/>
        <w:jc w:val="both"/>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《医疗废物管理条例》第五十一条</w:t>
      </w:r>
      <w:r>
        <w:rPr>
          <w:rFonts w:hint="eastAsia" w:ascii="Times New Roman" w:hAnsi="Times New Roman" w:eastAsia="方正仿宋_GB2312" w:cs="方正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方正仿宋_GB2312" w:cs="方正仿宋_GB2312"/>
          <w:color w:val="000000" w:themeColor="text1"/>
          <w:sz w:val="32"/>
          <w:szCs w:val="32"/>
          <w14:textFill>
            <w14:solidFill>
              <w14:schemeClr w14:val="tx1"/>
            </w14:solidFill>
          </w14:textFill>
        </w:rPr>
        <w:t>不具备集中处置医疗废物条件的农村，医疗卫生机构未按照本条例的要求处置医疗废物的，由县级人民政府卫生行政主管部门或者环境保护行政主管部门按照各自的职责责令限期改正，给予警告；逾期不改正的，处1000元以上5000元以下的罚款；造成传染病传播或者环境污染事故的，由原发证部门暂扣或者吊销执业许可证件；构成犯罪的，依法追究刑事责任。</w:t>
      </w:r>
    </w:p>
    <w:p w14:paraId="29D132D5">
      <w:pPr>
        <w:pStyle w:val="63"/>
        <w:widowControl w:val="0"/>
        <w:spacing w:after="0" w:line="440" w:lineRule="atLeast"/>
        <w:ind w:right="0" w:firstLine="640" w:firstLineChars="200"/>
        <w:jc w:val="both"/>
        <w:rPr>
          <w:rFonts w:ascii="Times New Roman" w:hAnsi="Times New Roman"/>
        </w:rPr>
      </w:pPr>
      <w:r>
        <w:rPr>
          <w:rFonts w:hint="eastAsia" w:ascii="Times New Roman" w:hAnsi="Times New Roman" w:eastAsia="方正仿宋_GB2312" w:cs="方正仿宋_GB2312"/>
          <w:color w:val="000000" w:themeColor="text1"/>
          <w:sz w:val="32"/>
          <w:szCs w:val="32"/>
          <w14:textFill>
            <w14:solidFill>
              <w14:schemeClr w14:val="tx1"/>
            </w14:solidFill>
          </w14:textFill>
        </w:rPr>
        <w:t>《医疗废物管理条例》第二十一条　不具备集中处置医疗废物条件的农村，医疗卫生机构应当按照县级人民政府卫生行政主管部门、环境保护行政主管部门的要求，自行就地处置其产生的医疗废物。自行处置医疗废物的，应当符合下列基本要求：（一）使用后的一次性医疗器具和容易致人损伤的医疗废物，应当消毒并作毁形处理；（二）能够焚烧的，应当及时焚烧；（三）不能焚烧的，消毒后集中填埋。</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tbl>
      <w:tblPr>
        <w:tblStyle w:val="24"/>
        <w:tblW w:w="5000" w:type="pct"/>
        <w:jc w:val="center"/>
        <w:tblLayout w:type="autofit"/>
        <w:tblCellMar>
          <w:top w:w="0" w:type="dxa"/>
          <w:left w:w="108" w:type="dxa"/>
          <w:bottom w:w="0" w:type="dxa"/>
          <w:right w:w="108" w:type="dxa"/>
        </w:tblCellMar>
      </w:tblPr>
      <w:tblGrid>
        <w:gridCol w:w="3382"/>
        <w:gridCol w:w="5395"/>
        <w:gridCol w:w="5397"/>
      </w:tblGrid>
      <w:tr w14:paraId="4377D60A">
        <w:trPr>
          <w:trHeight w:val="390" w:hRule="atLeast"/>
          <w:jc w:val="center"/>
        </w:trPr>
        <w:tc>
          <w:tcPr>
            <w:tcW w:w="5000" w:type="pct"/>
            <w:gridSpan w:val="3"/>
            <w:tcBorders>
              <w:top w:val="nil"/>
              <w:left w:val="nil"/>
              <w:bottom w:val="single" w:color="auto" w:sz="4" w:space="0"/>
              <w:right w:val="nil"/>
            </w:tcBorders>
            <w:noWrap/>
            <w:vAlign w:val="center"/>
          </w:tcPr>
          <w:p w14:paraId="034C6205">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6AF8E01">
        <w:tblPrEx>
          <w:tblCellMar>
            <w:top w:w="0" w:type="dxa"/>
            <w:left w:w="108" w:type="dxa"/>
            <w:bottom w:w="0" w:type="dxa"/>
            <w:right w:w="108" w:type="dxa"/>
          </w:tblCellMar>
        </w:tblPrEx>
        <w:trPr>
          <w:trHeight w:val="680" w:hRule="atLeast"/>
          <w:jc w:val="center"/>
        </w:trPr>
        <w:tc>
          <w:tcPr>
            <w:tcW w:w="1193" w:type="pct"/>
            <w:tcBorders>
              <w:top w:val="single" w:color="auto" w:sz="4" w:space="0"/>
              <w:left w:val="single" w:color="auto" w:sz="4" w:space="0"/>
              <w:bottom w:val="single" w:color="auto" w:sz="4" w:space="0"/>
              <w:right w:val="single" w:color="auto" w:sz="4" w:space="0"/>
            </w:tcBorders>
            <w:vAlign w:val="center"/>
          </w:tcPr>
          <w:p w14:paraId="197079A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1903" w:type="pct"/>
            <w:tcBorders>
              <w:top w:val="single" w:color="auto" w:sz="4" w:space="0"/>
              <w:left w:val="single" w:color="auto" w:sz="4" w:space="0"/>
              <w:bottom w:val="single" w:color="auto" w:sz="4" w:space="0"/>
              <w:right w:val="single" w:color="auto" w:sz="4" w:space="0"/>
            </w:tcBorders>
            <w:vAlign w:val="center"/>
          </w:tcPr>
          <w:p w14:paraId="488B09B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903" w:type="pct"/>
            <w:tcBorders>
              <w:top w:val="single" w:color="auto" w:sz="4" w:space="0"/>
              <w:left w:val="single" w:color="auto" w:sz="4" w:space="0"/>
              <w:bottom w:val="single" w:color="auto" w:sz="4" w:space="0"/>
              <w:right w:val="single" w:color="auto" w:sz="4" w:space="0"/>
            </w:tcBorders>
            <w:vAlign w:val="center"/>
          </w:tcPr>
          <w:p w14:paraId="6551693A">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A2638ED">
        <w:tblPrEx>
          <w:tblCellMar>
            <w:top w:w="0" w:type="dxa"/>
            <w:left w:w="108" w:type="dxa"/>
            <w:bottom w:w="0" w:type="dxa"/>
            <w:right w:w="108" w:type="dxa"/>
          </w:tblCellMar>
        </w:tblPrEx>
        <w:trPr>
          <w:trHeight w:val="561" w:hRule="atLeast"/>
          <w:jc w:val="center"/>
        </w:trPr>
        <w:tc>
          <w:tcPr>
            <w:tcW w:w="1193" w:type="pct"/>
            <w:tcBorders>
              <w:top w:val="single" w:color="auto" w:sz="4" w:space="0"/>
              <w:left w:val="single" w:color="auto" w:sz="4" w:space="0"/>
              <w:bottom w:val="single" w:color="auto" w:sz="4" w:space="0"/>
              <w:right w:val="single" w:color="auto" w:sz="4" w:space="0"/>
            </w:tcBorders>
            <w:vAlign w:val="center"/>
          </w:tcPr>
          <w:p w14:paraId="6846E1C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1903" w:type="pct"/>
            <w:tcBorders>
              <w:top w:val="single" w:color="auto" w:sz="4" w:space="0"/>
              <w:left w:val="single" w:color="auto" w:sz="4" w:space="0"/>
              <w:bottom w:val="single" w:color="auto" w:sz="4" w:space="0"/>
              <w:right w:val="single" w:color="auto" w:sz="4" w:space="0"/>
            </w:tcBorders>
            <w:vAlign w:val="center"/>
          </w:tcPr>
          <w:p w14:paraId="0F2D415B">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1903" w:type="pct"/>
            <w:tcBorders>
              <w:top w:val="single" w:color="auto" w:sz="4" w:space="0"/>
              <w:left w:val="single" w:color="auto" w:sz="4" w:space="0"/>
              <w:bottom w:val="single" w:color="auto" w:sz="4" w:space="0"/>
              <w:right w:val="single" w:color="auto" w:sz="4" w:space="0"/>
            </w:tcBorders>
            <w:vAlign w:val="center"/>
          </w:tcPr>
          <w:p w14:paraId="4ECC9BC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6F37142D">
        <w:tblPrEx>
          <w:tblCellMar>
            <w:top w:w="0" w:type="dxa"/>
            <w:left w:w="108" w:type="dxa"/>
            <w:bottom w:w="0" w:type="dxa"/>
            <w:right w:w="108" w:type="dxa"/>
          </w:tblCellMar>
        </w:tblPrEx>
        <w:trPr>
          <w:trHeight w:val="561" w:hRule="atLeast"/>
          <w:jc w:val="center"/>
        </w:trPr>
        <w:tc>
          <w:tcPr>
            <w:tcW w:w="1193" w:type="pct"/>
            <w:tcBorders>
              <w:top w:val="single" w:color="auto" w:sz="4" w:space="0"/>
              <w:left w:val="single" w:color="auto" w:sz="4" w:space="0"/>
              <w:bottom w:val="single" w:color="auto" w:sz="4" w:space="0"/>
              <w:right w:val="single" w:color="auto" w:sz="4" w:space="0"/>
            </w:tcBorders>
            <w:vAlign w:val="center"/>
          </w:tcPr>
          <w:p w14:paraId="3D1D861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1903" w:type="pct"/>
            <w:tcBorders>
              <w:top w:val="single" w:color="auto" w:sz="4" w:space="0"/>
              <w:left w:val="single" w:color="auto" w:sz="4" w:space="0"/>
              <w:bottom w:val="single" w:color="auto" w:sz="4" w:space="0"/>
              <w:right w:val="single" w:color="auto" w:sz="4" w:space="0"/>
            </w:tcBorders>
            <w:vAlign w:val="center"/>
          </w:tcPr>
          <w:p w14:paraId="58E792D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1903" w:type="pct"/>
            <w:tcBorders>
              <w:top w:val="single" w:color="auto" w:sz="4" w:space="0"/>
              <w:left w:val="single" w:color="auto" w:sz="4" w:space="0"/>
              <w:bottom w:val="single" w:color="auto" w:sz="4" w:space="0"/>
              <w:right w:val="single" w:color="auto" w:sz="4" w:space="0"/>
            </w:tcBorders>
            <w:vAlign w:val="center"/>
          </w:tcPr>
          <w:p w14:paraId="5F8B90EA">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警告，处1000元以上5000元以下的罚款。</w:t>
            </w:r>
          </w:p>
        </w:tc>
      </w:tr>
      <w:tr w14:paraId="75ED9442">
        <w:tblPrEx>
          <w:tblCellMar>
            <w:top w:w="0" w:type="dxa"/>
            <w:left w:w="108" w:type="dxa"/>
            <w:bottom w:w="0" w:type="dxa"/>
            <w:right w:w="108" w:type="dxa"/>
          </w:tblCellMar>
        </w:tblPrEx>
        <w:trPr>
          <w:trHeight w:val="436" w:hRule="atLeast"/>
          <w:jc w:val="center"/>
        </w:trPr>
        <w:tc>
          <w:tcPr>
            <w:tcW w:w="1193" w:type="pct"/>
            <w:tcBorders>
              <w:top w:val="single" w:color="auto" w:sz="4" w:space="0"/>
              <w:left w:val="single" w:color="auto" w:sz="4" w:space="0"/>
              <w:bottom w:val="single" w:color="auto" w:sz="4" w:space="0"/>
              <w:right w:val="single" w:color="auto" w:sz="4" w:space="0"/>
            </w:tcBorders>
            <w:vAlign w:val="center"/>
          </w:tcPr>
          <w:p w14:paraId="6A1CB96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1903" w:type="pct"/>
            <w:tcBorders>
              <w:top w:val="single" w:color="auto" w:sz="4" w:space="0"/>
              <w:left w:val="single" w:color="auto" w:sz="4" w:space="0"/>
              <w:bottom w:val="single" w:color="auto" w:sz="4" w:space="0"/>
              <w:right w:val="single" w:color="auto" w:sz="4" w:space="0"/>
            </w:tcBorders>
            <w:vAlign w:val="center"/>
          </w:tcPr>
          <w:p w14:paraId="7036F32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造成传染病传播等严重后果的。</w:t>
            </w:r>
          </w:p>
        </w:tc>
        <w:tc>
          <w:tcPr>
            <w:tcW w:w="1903" w:type="pct"/>
            <w:tcBorders>
              <w:top w:val="single" w:color="auto" w:sz="4" w:space="0"/>
              <w:left w:val="single" w:color="auto" w:sz="4" w:space="0"/>
              <w:bottom w:val="single" w:color="auto" w:sz="4" w:space="0"/>
              <w:right w:val="single" w:color="auto" w:sz="4" w:space="0"/>
            </w:tcBorders>
            <w:vAlign w:val="center"/>
          </w:tcPr>
          <w:p w14:paraId="29C7687F">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由原发证部门暂扣或者吊销执业许可证件。</w:t>
            </w:r>
          </w:p>
        </w:tc>
      </w:tr>
    </w:tbl>
    <w:p w14:paraId="462F2770">
      <w:pPr>
        <w:pStyle w:val="3"/>
        <w:keepNext w:val="0"/>
        <w:keepLines w:val="0"/>
        <w:widowControl w:val="0"/>
        <w:spacing w:before="0" w:after="0" w:line="440" w:lineRule="exact"/>
        <w:ind w:firstLine="643" w:firstLineChars="200"/>
        <w:rPr>
          <w:rFonts w:ascii="Times New Roman" w:hAnsi="Times New Roman" w:eastAsia="楷体_GB2312"/>
          <w:color w:val="000000" w:themeColor="text1"/>
          <w14:textFill>
            <w14:solidFill>
              <w14:schemeClr w14:val="tx1"/>
            </w14:solidFill>
          </w14:textFill>
        </w:rPr>
      </w:pPr>
      <w:bookmarkStart w:id="1066" w:name="_Toc26567"/>
      <w:bookmarkStart w:id="1067" w:name="_Toc23165"/>
      <w:bookmarkStart w:id="1068" w:name="_Toc24263"/>
      <w:bookmarkStart w:id="1069" w:name="_Toc4997"/>
      <w:bookmarkStart w:id="1070" w:name="_Toc23284"/>
      <w:bookmarkStart w:id="1071" w:name="_Toc22183"/>
      <w:bookmarkStart w:id="1072" w:name="_Toc12535"/>
      <w:bookmarkStart w:id="1073" w:name="_Toc30463"/>
      <w:bookmarkStart w:id="1074" w:name="_Toc15122"/>
      <w:bookmarkStart w:id="1075" w:name="_Toc24712"/>
      <w:bookmarkStart w:id="1076" w:name="_Toc13418"/>
      <w:bookmarkStart w:id="1077" w:name="_Toc948"/>
      <w:bookmarkStart w:id="1078" w:name="_Toc23249"/>
      <w:r>
        <w:rPr>
          <w:rFonts w:hint="eastAsia" w:ascii="Times New Roman" w:hAnsi="Times New Roman" w:eastAsia="楷体_GB2312"/>
          <w:color w:val="000000" w:themeColor="text1"/>
          <w14:textFill>
            <w14:solidFill>
              <w14:schemeClr w14:val="tx1"/>
            </w14:solidFill>
          </w14:textFill>
        </w:rPr>
        <w:t>（九）《消毒管理办法》</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5DC50CBA">
      <w:pPr>
        <w:pStyle w:val="4"/>
        <w:widowControl w:val="0"/>
        <w:ind w:firstLine="640"/>
        <w:rPr>
          <w:color w:val="000000" w:themeColor="text1"/>
          <w14:textFill>
            <w14:solidFill>
              <w14:schemeClr w14:val="tx1"/>
            </w14:solidFill>
          </w14:textFill>
        </w:rPr>
      </w:pPr>
      <w:bookmarkStart w:id="1079" w:name="_Toc2960"/>
      <w:bookmarkStart w:id="1080" w:name="_Toc7661"/>
      <w:bookmarkStart w:id="1081" w:name="_Toc19568"/>
      <w:bookmarkStart w:id="1082" w:name="_Toc22495"/>
      <w:bookmarkStart w:id="1083" w:name="_Toc16768"/>
      <w:bookmarkStart w:id="1084" w:name="_Toc7939"/>
      <w:bookmarkStart w:id="1085" w:name="_Toc2671"/>
      <w:bookmarkStart w:id="1086" w:name="_Toc9132"/>
      <w:bookmarkStart w:id="1087" w:name="_Toc32147"/>
      <w:bookmarkStart w:id="1088" w:name="_Toc8537"/>
      <w:bookmarkStart w:id="1089" w:name="_Toc29276"/>
      <w:r>
        <w:rPr>
          <w:rFonts w:hint="eastAsia"/>
          <w:color w:val="000000" w:themeColor="text1"/>
          <w14:textFill>
            <w14:solidFill>
              <w14:schemeClr w14:val="tx1"/>
            </w14:solidFill>
          </w14:textFill>
        </w:rPr>
        <w:t>第九十四条 医疗卫生机构未建立消毒管理组织、制定消毒管理制度、执行国家有关规范、标准和规定，未定期开展消毒与灭菌效果检测工作的</w:t>
      </w:r>
      <w:bookmarkEnd w:id="1079"/>
      <w:bookmarkEnd w:id="1080"/>
      <w:bookmarkEnd w:id="1081"/>
      <w:bookmarkEnd w:id="1082"/>
      <w:bookmarkEnd w:id="1083"/>
      <w:bookmarkEnd w:id="1084"/>
      <w:bookmarkEnd w:id="1085"/>
      <w:bookmarkEnd w:id="1086"/>
      <w:bookmarkEnd w:id="1087"/>
      <w:bookmarkEnd w:id="1088"/>
      <w:bookmarkEnd w:id="1089"/>
    </w:p>
    <w:p w14:paraId="3C3B422F">
      <w:pPr>
        <w:widowControl w:val="0"/>
        <w:spacing w:after="0" w:line="440" w:lineRule="exact"/>
        <w:ind w:firstLine="640" w:firstLineChars="200"/>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52742C0F">
      <w:pPr>
        <w:widowControl w:val="0"/>
        <w:spacing w:after="0" w:line="440" w:lineRule="exact"/>
        <w:ind w:firstLine="640" w:firstLineChars="200"/>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《消毒管理办法》第四十一条　医疗卫生机构违反本办法第四、五、六、七、八、九条规定的，由县级以上地方卫生计生行政部门责令限期改正，可以处5000元以下罚款；造成感染性疾病暴发的，可以处5000元以上20000元以下罚款。</w:t>
      </w:r>
    </w:p>
    <w:p w14:paraId="52DE10DE">
      <w:pPr>
        <w:widowControl w:val="0"/>
        <w:spacing w:after="0" w:line="440" w:lineRule="exact"/>
        <w:ind w:firstLine="640" w:firstLineChars="200"/>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《消毒管理办法》第四条　医疗卫生机构应当建立消毒管理组织，制定消毒管理制度，执行国家有关规范、标准和规定，定期开展消毒与灭菌效果检测工作。</w:t>
      </w:r>
    </w:p>
    <w:tbl>
      <w:tblPr>
        <w:tblStyle w:val="24"/>
        <w:tblW w:w="14031" w:type="dxa"/>
        <w:tblInd w:w="93" w:type="dxa"/>
        <w:tblLayout w:type="fixed"/>
        <w:tblCellMar>
          <w:top w:w="0" w:type="dxa"/>
          <w:left w:w="108" w:type="dxa"/>
          <w:bottom w:w="0" w:type="dxa"/>
          <w:right w:w="108" w:type="dxa"/>
        </w:tblCellMar>
      </w:tblPr>
      <w:tblGrid>
        <w:gridCol w:w="2100"/>
        <w:gridCol w:w="7377"/>
        <w:gridCol w:w="4554"/>
      </w:tblGrid>
      <w:tr w14:paraId="25FD4CC1">
        <w:tblPrEx>
          <w:tblCellMar>
            <w:top w:w="0" w:type="dxa"/>
            <w:left w:w="108" w:type="dxa"/>
            <w:bottom w:w="0" w:type="dxa"/>
            <w:right w:w="108" w:type="dxa"/>
          </w:tblCellMar>
        </w:tblPrEx>
        <w:trPr>
          <w:trHeight w:val="390" w:hRule="atLeast"/>
        </w:trPr>
        <w:tc>
          <w:tcPr>
            <w:tcW w:w="14031" w:type="dxa"/>
            <w:gridSpan w:val="3"/>
            <w:tcBorders>
              <w:top w:val="nil"/>
              <w:left w:val="nil"/>
              <w:bottom w:val="single" w:color="auto" w:sz="4" w:space="0"/>
              <w:right w:val="nil"/>
            </w:tcBorders>
            <w:noWrap/>
            <w:vAlign w:val="center"/>
          </w:tcPr>
          <w:p w14:paraId="5036B375">
            <w:pPr>
              <w:widowControl w:val="0"/>
              <w:spacing w:line="440" w:lineRule="exact"/>
              <w:jc w:val="center"/>
              <w:textAlignment w:val="center"/>
              <w:rPr>
                <w:rFonts w:hint="eastAsia" w:ascii="Times New Roman" w:hAnsi="Times New Roman" w:cs="微软雅黑"/>
                <w:b/>
                <w:bCs/>
                <w:color w:val="000000" w:themeColor="text1"/>
                <w:sz w:val="32"/>
                <w:szCs w:val="32"/>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1E271651">
        <w:tblPrEx>
          <w:tblCellMar>
            <w:top w:w="0" w:type="dxa"/>
            <w:left w:w="108" w:type="dxa"/>
            <w:bottom w:w="0" w:type="dxa"/>
            <w:right w:w="108" w:type="dxa"/>
          </w:tblCellMar>
        </w:tblPrEx>
        <w:trPr>
          <w:trHeight w:val="680" w:hRule="atLeast"/>
        </w:trPr>
        <w:tc>
          <w:tcPr>
            <w:tcW w:w="2100" w:type="dxa"/>
            <w:tcBorders>
              <w:top w:val="single" w:color="auto" w:sz="4" w:space="0"/>
              <w:left w:val="single" w:color="auto" w:sz="4" w:space="0"/>
              <w:bottom w:val="single" w:color="auto" w:sz="4" w:space="0"/>
              <w:right w:val="single" w:color="auto" w:sz="4" w:space="0"/>
            </w:tcBorders>
            <w:vAlign w:val="center"/>
          </w:tcPr>
          <w:p w14:paraId="4BFC4D9E">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377" w:type="dxa"/>
            <w:tcBorders>
              <w:top w:val="single" w:color="auto" w:sz="4" w:space="0"/>
              <w:left w:val="single" w:color="auto" w:sz="4" w:space="0"/>
              <w:bottom w:val="single" w:color="auto" w:sz="4" w:space="0"/>
              <w:right w:val="single" w:color="auto" w:sz="4" w:space="0"/>
            </w:tcBorders>
            <w:vAlign w:val="center"/>
          </w:tcPr>
          <w:p w14:paraId="71D1751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54" w:type="dxa"/>
            <w:tcBorders>
              <w:top w:val="single" w:color="auto" w:sz="4" w:space="0"/>
              <w:left w:val="single" w:color="auto" w:sz="4" w:space="0"/>
              <w:bottom w:val="single" w:color="auto" w:sz="4" w:space="0"/>
              <w:right w:val="single" w:color="auto" w:sz="4" w:space="0"/>
            </w:tcBorders>
            <w:vAlign w:val="center"/>
          </w:tcPr>
          <w:p w14:paraId="6BF1357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bl>
    <w:p w14:paraId="0F7E0D3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sectPr>
          <w:footerReference r:id="rId5" w:type="default"/>
          <w:pgSz w:w="16838" w:h="11906" w:orient="landscape"/>
          <w:pgMar w:top="1800" w:right="1440" w:bottom="1800" w:left="1440" w:header="720" w:footer="720" w:gutter="0"/>
          <w:pgNumType w:fmt="decimal" w:start="58"/>
          <w:cols w:space="720" w:num="1"/>
          <w:docGrid w:type="lines" w:linePitch="312" w:charSpace="0"/>
        </w:sectPr>
      </w:pPr>
    </w:p>
    <w:tbl>
      <w:tblPr>
        <w:tblStyle w:val="24"/>
        <w:tblW w:w="14031" w:type="dxa"/>
        <w:tblInd w:w="93" w:type="dxa"/>
        <w:tblLayout w:type="fixed"/>
        <w:tblCellMar>
          <w:top w:w="0" w:type="dxa"/>
          <w:left w:w="108" w:type="dxa"/>
          <w:bottom w:w="0" w:type="dxa"/>
          <w:right w:w="108" w:type="dxa"/>
        </w:tblCellMar>
      </w:tblPr>
      <w:tblGrid>
        <w:gridCol w:w="2100"/>
        <w:gridCol w:w="7377"/>
        <w:gridCol w:w="4554"/>
      </w:tblGrid>
      <w:tr w14:paraId="3C6484AF">
        <w:tblPrEx>
          <w:tblCellMar>
            <w:top w:w="0" w:type="dxa"/>
            <w:left w:w="108" w:type="dxa"/>
            <w:bottom w:w="0" w:type="dxa"/>
            <w:right w:w="108" w:type="dxa"/>
          </w:tblCellMar>
        </w:tblPrEx>
        <w:trPr>
          <w:trHeight w:val="312" w:hRule="atLeast"/>
        </w:trPr>
        <w:tc>
          <w:tcPr>
            <w:tcW w:w="2100" w:type="dxa"/>
            <w:vMerge w:val="restart"/>
            <w:tcBorders>
              <w:top w:val="single" w:color="auto" w:sz="4" w:space="0"/>
              <w:left w:val="single" w:color="auto" w:sz="4" w:space="0"/>
              <w:bottom w:val="single" w:color="auto" w:sz="4" w:space="0"/>
              <w:right w:val="single" w:color="auto" w:sz="4" w:space="0"/>
            </w:tcBorders>
            <w:vAlign w:val="center"/>
          </w:tcPr>
          <w:p w14:paraId="4FEF6F1B">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377" w:type="dxa"/>
            <w:vMerge w:val="restart"/>
            <w:tcBorders>
              <w:top w:val="single" w:color="auto" w:sz="4" w:space="0"/>
              <w:left w:val="single" w:color="auto" w:sz="4" w:space="0"/>
              <w:bottom w:val="single" w:color="auto" w:sz="4" w:space="0"/>
              <w:right w:val="single" w:color="auto" w:sz="4" w:space="0"/>
            </w:tcBorders>
            <w:vAlign w:val="center"/>
          </w:tcPr>
          <w:p w14:paraId="4F85BEA6">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（1）未建立消毒管理组织的；（2）未制定消毒管理制度的；（3）未执行国家有关规范、标准和规定的；（4）未定期开展消毒与灭菌效果检测工作的。</w:t>
            </w:r>
          </w:p>
        </w:tc>
        <w:tc>
          <w:tcPr>
            <w:tcW w:w="4554" w:type="dxa"/>
            <w:vMerge w:val="restart"/>
            <w:tcBorders>
              <w:top w:val="single" w:color="auto" w:sz="4" w:space="0"/>
              <w:left w:val="single" w:color="auto" w:sz="4" w:space="0"/>
              <w:bottom w:val="single" w:color="auto" w:sz="4" w:space="0"/>
              <w:right w:val="single" w:color="auto" w:sz="4" w:space="0"/>
            </w:tcBorders>
            <w:vAlign w:val="center"/>
          </w:tcPr>
          <w:p w14:paraId="0790506F">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有（1）或（2）的情节，处1000元以下罚款；（3）处3000元以上5000元以下罚款；（4）处2000元以上3000元以下罚款。</w:t>
            </w:r>
          </w:p>
        </w:tc>
      </w:tr>
      <w:tr w14:paraId="6798F56B">
        <w:tblPrEx>
          <w:tblCellMar>
            <w:top w:w="0" w:type="dxa"/>
            <w:left w:w="108" w:type="dxa"/>
            <w:bottom w:w="0" w:type="dxa"/>
            <w:right w:w="108" w:type="dxa"/>
          </w:tblCellMar>
        </w:tblPrEx>
        <w:trPr>
          <w:trHeight w:val="312" w:hRule="atLeast"/>
        </w:trPr>
        <w:tc>
          <w:tcPr>
            <w:tcW w:w="2100" w:type="dxa"/>
            <w:vMerge w:val="continue"/>
            <w:tcBorders>
              <w:top w:val="single" w:color="auto" w:sz="4" w:space="0"/>
              <w:left w:val="single" w:color="auto" w:sz="4" w:space="0"/>
              <w:bottom w:val="single" w:color="auto" w:sz="4" w:space="0"/>
              <w:right w:val="single" w:color="auto" w:sz="4" w:space="0"/>
            </w:tcBorders>
            <w:vAlign w:val="center"/>
          </w:tcPr>
          <w:p w14:paraId="30B93B63">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377" w:type="dxa"/>
            <w:vMerge w:val="continue"/>
            <w:tcBorders>
              <w:top w:val="single" w:color="auto" w:sz="4" w:space="0"/>
              <w:left w:val="single" w:color="auto" w:sz="4" w:space="0"/>
              <w:bottom w:val="single" w:color="auto" w:sz="4" w:space="0"/>
              <w:right w:val="single" w:color="auto" w:sz="4" w:space="0"/>
            </w:tcBorders>
            <w:vAlign w:val="center"/>
          </w:tcPr>
          <w:p w14:paraId="2FA1596C">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4554" w:type="dxa"/>
            <w:vMerge w:val="continue"/>
            <w:tcBorders>
              <w:top w:val="single" w:color="auto" w:sz="4" w:space="0"/>
              <w:left w:val="single" w:color="auto" w:sz="4" w:space="0"/>
              <w:bottom w:val="single" w:color="auto" w:sz="4" w:space="0"/>
              <w:right w:val="single" w:color="auto" w:sz="4" w:space="0"/>
            </w:tcBorders>
            <w:vAlign w:val="center"/>
          </w:tcPr>
          <w:p w14:paraId="452ED8C4">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1198FACA">
        <w:tblPrEx>
          <w:tblCellMar>
            <w:top w:w="0" w:type="dxa"/>
            <w:left w:w="108" w:type="dxa"/>
            <w:bottom w:w="0" w:type="dxa"/>
            <w:right w:w="108" w:type="dxa"/>
          </w:tblCellMar>
        </w:tblPrEx>
        <w:trPr>
          <w:trHeight w:val="312" w:hRule="atLeast"/>
        </w:trPr>
        <w:tc>
          <w:tcPr>
            <w:tcW w:w="2100" w:type="dxa"/>
            <w:vMerge w:val="continue"/>
            <w:tcBorders>
              <w:top w:val="single" w:color="auto" w:sz="4" w:space="0"/>
              <w:left w:val="single" w:color="auto" w:sz="4" w:space="0"/>
              <w:bottom w:val="single" w:color="auto" w:sz="4" w:space="0"/>
              <w:right w:val="single" w:color="auto" w:sz="4" w:space="0"/>
            </w:tcBorders>
            <w:vAlign w:val="center"/>
          </w:tcPr>
          <w:p w14:paraId="29BF3A6A">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377" w:type="dxa"/>
            <w:vMerge w:val="continue"/>
            <w:tcBorders>
              <w:top w:val="single" w:color="auto" w:sz="4" w:space="0"/>
              <w:left w:val="single" w:color="auto" w:sz="4" w:space="0"/>
              <w:bottom w:val="single" w:color="auto" w:sz="4" w:space="0"/>
              <w:right w:val="single" w:color="auto" w:sz="4" w:space="0"/>
            </w:tcBorders>
            <w:vAlign w:val="center"/>
          </w:tcPr>
          <w:p w14:paraId="0DA862F4">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4554" w:type="dxa"/>
            <w:vMerge w:val="continue"/>
            <w:tcBorders>
              <w:top w:val="single" w:color="auto" w:sz="4" w:space="0"/>
              <w:left w:val="single" w:color="auto" w:sz="4" w:space="0"/>
              <w:bottom w:val="single" w:color="auto" w:sz="4" w:space="0"/>
              <w:right w:val="single" w:color="auto" w:sz="4" w:space="0"/>
            </w:tcBorders>
            <w:vAlign w:val="center"/>
          </w:tcPr>
          <w:p w14:paraId="583D252B">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2C109F46">
        <w:tblPrEx>
          <w:tblCellMar>
            <w:top w:w="0" w:type="dxa"/>
            <w:left w:w="108" w:type="dxa"/>
            <w:bottom w:w="0" w:type="dxa"/>
            <w:right w:w="108" w:type="dxa"/>
          </w:tblCellMar>
        </w:tblPrEx>
        <w:trPr>
          <w:trHeight w:val="312" w:hRule="atLeast"/>
        </w:trPr>
        <w:tc>
          <w:tcPr>
            <w:tcW w:w="2100" w:type="dxa"/>
            <w:vMerge w:val="continue"/>
            <w:tcBorders>
              <w:top w:val="single" w:color="auto" w:sz="4" w:space="0"/>
              <w:left w:val="single" w:color="auto" w:sz="4" w:space="0"/>
              <w:bottom w:val="single" w:color="auto" w:sz="4" w:space="0"/>
              <w:right w:val="single" w:color="auto" w:sz="4" w:space="0"/>
            </w:tcBorders>
            <w:vAlign w:val="center"/>
          </w:tcPr>
          <w:p w14:paraId="0567583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377" w:type="dxa"/>
            <w:vMerge w:val="continue"/>
            <w:tcBorders>
              <w:top w:val="single" w:color="auto" w:sz="4" w:space="0"/>
              <w:left w:val="single" w:color="auto" w:sz="4" w:space="0"/>
              <w:bottom w:val="single" w:color="auto" w:sz="4" w:space="0"/>
              <w:right w:val="single" w:color="auto" w:sz="4" w:space="0"/>
            </w:tcBorders>
            <w:vAlign w:val="center"/>
          </w:tcPr>
          <w:p w14:paraId="585B5D8A">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c>
          <w:tcPr>
            <w:tcW w:w="4554" w:type="dxa"/>
            <w:vMerge w:val="continue"/>
            <w:tcBorders>
              <w:top w:val="single" w:color="auto" w:sz="4" w:space="0"/>
              <w:left w:val="single" w:color="auto" w:sz="4" w:space="0"/>
              <w:bottom w:val="single" w:color="auto" w:sz="4" w:space="0"/>
              <w:right w:val="single" w:color="auto" w:sz="4" w:space="0"/>
            </w:tcBorders>
            <w:vAlign w:val="center"/>
          </w:tcPr>
          <w:p w14:paraId="082CDC0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49B511E8">
        <w:tblPrEx>
          <w:tblCellMar>
            <w:top w:w="0" w:type="dxa"/>
            <w:left w:w="108" w:type="dxa"/>
            <w:bottom w:w="0" w:type="dxa"/>
            <w:right w:w="108" w:type="dxa"/>
          </w:tblCellMar>
        </w:tblPrEx>
        <w:trPr>
          <w:trHeight w:val="312" w:hRule="atLeast"/>
        </w:trPr>
        <w:tc>
          <w:tcPr>
            <w:tcW w:w="2100" w:type="dxa"/>
            <w:vMerge w:val="restart"/>
            <w:tcBorders>
              <w:top w:val="single" w:color="auto" w:sz="4" w:space="0"/>
              <w:left w:val="single" w:color="auto" w:sz="4" w:space="0"/>
              <w:bottom w:val="single" w:color="auto" w:sz="4" w:space="0"/>
              <w:right w:val="single" w:color="auto" w:sz="4" w:space="0"/>
            </w:tcBorders>
            <w:vAlign w:val="center"/>
          </w:tcPr>
          <w:p w14:paraId="0F037D6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377" w:type="dxa"/>
            <w:vMerge w:val="restart"/>
            <w:tcBorders>
              <w:top w:val="single" w:color="auto" w:sz="4" w:space="0"/>
              <w:left w:val="single" w:color="auto" w:sz="4" w:space="0"/>
              <w:bottom w:val="single" w:color="auto" w:sz="4" w:space="0"/>
              <w:right w:val="single" w:color="auto" w:sz="4" w:space="0"/>
            </w:tcBorders>
            <w:vAlign w:val="center"/>
          </w:tcPr>
          <w:p w14:paraId="14435CDE">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（1）造成感染性疾病暴发，病例数5例以下的；（2）造成感染性疾病暴发，病例数超过5例的。</w:t>
            </w:r>
          </w:p>
        </w:tc>
        <w:tc>
          <w:tcPr>
            <w:tcW w:w="4554" w:type="dxa"/>
            <w:vMerge w:val="restart"/>
            <w:tcBorders>
              <w:top w:val="single" w:color="auto" w:sz="4" w:space="0"/>
              <w:left w:val="single" w:color="auto" w:sz="4" w:space="0"/>
              <w:bottom w:val="single" w:color="auto" w:sz="4" w:space="0"/>
              <w:right w:val="single" w:color="auto" w:sz="4" w:space="0"/>
            </w:tcBorders>
            <w:vAlign w:val="center"/>
          </w:tcPr>
          <w:p w14:paraId="66250C0C">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（1）处5000元以上10000元以下罚款；（2）处10000元以上20000元以下罚款。</w:t>
            </w:r>
          </w:p>
        </w:tc>
      </w:tr>
      <w:tr w14:paraId="45477030">
        <w:tblPrEx>
          <w:tblCellMar>
            <w:top w:w="0" w:type="dxa"/>
            <w:left w:w="108" w:type="dxa"/>
            <w:bottom w:w="0" w:type="dxa"/>
            <w:right w:w="108" w:type="dxa"/>
          </w:tblCellMar>
        </w:tblPrEx>
        <w:trPr>
          <w:trHeight w:val="765" w:hRule="atLeast"/>
        </w:trPr>
        <w:tc>
          <w:tcPr>
            <w:tcW w:w="2100" w:type="dxa"/>
            <w:vMerge w:val="continue"/>
            <w:tcBorders>
              <w:top w:val="single" w:color="auto" w:sz="4" w:space="0"/>
              <w:left w:val="single" w:color="auto" w:sz="4" w:space="0"/>
              <w:bottom w:val="single" w:color="auto" w:sz="4" w:space="0"/>
              <w:right w:val="single" w:color="000000" w:sz="8" w:space="0"/>
            </w:tcBorders>
            <w:vAlign w:val="center"/>
          </w:tcPr>
          <w:p w14:paraId="04243AD0">
            <w:pPr>
              <w:widowControl w:val="0"/>
              <w:spacing w:line="440" w:lineRule="exact"/>
              <w:jc w:val="center"/>
              <w:rPr>
                <w:rFonts w:hint="eastAsia" w:ascii="Times New Roman" w:hAnsi="Times New Roman" w:eastAsia="仿宋_GB2312" w:cs="仿宋_GB2312"/>
                <w:b/>
                <w:bCs/>
                <w:color w:val="000000" w:themeColor="text1"/>
                <w:sz w:val="32"/>
                <w:szCs w:val="32"/>
                <w14:textFill>
                  <w14:solidFill>
                    <w14:schemeClr w14:val="tx1"/>
                  </w14:solidFill>
                </w14:textFill>
              </w:rPr>
            </w:pPr>
          </w:p>
        </w:tc>
        <w:tc>
          <w:tcPr>
            <w:tcW w:w="7377" w:type="dxa"/>
            <w:vMerge w:val="continue"/>
            <w:tcBorders>
              <w:top w:val="single" w:color="auto" w:sz="4" w:space="0"/>
              <w:left w:val="nil"/>
              <w:bottom w:val="single" w:color="auto" w:sz="4" w:space="0"/>
              <w:right w:val="single" w:color="000000" w:sz="8" w:space="0"/>
            </w:tcBorders>
            <w:vAlign w:val="center"/>
          </w:tcPr>
          <w:p w14:paraId="3673B9F1">
            <w:pPr>
              <w:widowControl w:val="0"/>
              <w:spacing w:line="440" w:lineRule="exact"/>
              <w:jc w:val="center"/>
              <w:rPr>
                <w:rFonts w:hint="eastAsia" w:ascii="Times New Roman" w:hAnsi="Times New Roman" w:eastAsia="仿宋_GB2312" w:cs="仿宋_GB2312"/>
                <w:color w:val="000000" w:themeColor="text1"/>
                <w:sz w:val="32"/>
                <w:szCs w:val="32"/>
                <w14:textFill>
                  <w14:solidFill>
                    <w14:schemeClr w14:val="tx1"/>
                  </w14:solidFill>
                </w14:textFill>
              </w:rPr>
            </w:pPr>
          </w:p>
        </w:tc>
        <w:tc>
          <w:tcPr>
            <w:tcW w:w="4554" w:type="dxa"/>
            <w:vMerge w:val="continue"/>
            <w:tcBorders>
              <w:top w:val="single" w:color="auto" w:sz="4" w:space="0"/>
              <w:left w:val="nil"/>
              <w:bottom w:val="single" w:color="auto" w:sz="4" w:space="0"/>
              <w:right w:val="single" w:color="auto" w:sz="4" w:space="0"/>
            </w:tcBorders>
            <w:vAlign w:val="center"/>
          </w:tcPr>
          <w:p w14:paraId="4F9952B2">
            <w:pPr>
              <w:widowControl w:val="0"/>
              <w:spacing w:line="440" w:lineRule="exact"/>
              <w:jc w:val="center"/>
              <w:rPr>
                <w:rFonts w:hint="eastAsia" w:ascii="Times New Roman" w:hAnsi="Times New Roman" w:eastAsia="仿宋_GB2312" w:cs="仿宋_GB2312"/>
                <w:color w:val="000000" w:themeColor="text1"/>
                <w:sz w:val="32"/>
                <w:szCs w:val="32"/>
                <w14:textFill>
                  <w14:solidFill>
                    <w14:schemeClr w14:val="tx1"/>
                  </w14:solidFill>
                </w14:textFill>
              </w:rPr>
            </w:pPr>
          </w:p>
        </w:tc>
      </w:tr>
    </w:tbl>
    <w:p w14:paraId="739941BC">
      <w:pPr>
        <w:pStyle w:val="4"/>
        <w:widowControl w:val="0"/>
        <w:ind w:firstLine="640"/>
        <w:rPr>
          <w:color w:val="000000" w:themeColor="text1"/>
          <w14:textFill>
            <w14:solidFill>
              <w14:schemeClr w14:val="tx1"/>
            </w14:solidFill>
          </w14:textFill>
        </w:rPr>
      </w:pPr>
      <w:bookmarkStart w:id="1090" w:name="_Toc9591"/>
      <w:bookmarkStart w:id="1091" w:name="_Toc26393"/>
      <w:bookmarkStart w:id="1092" w:name="_Toc12939"/>
      <w:bookmarkStart w:id="1093" w:name="_Toc19918"/>
      <w:bookmarkStart w:id="1094" w:name="_Toc6648"/>
      <w:bookmarkStart w:id="1095" w:name="_Toc23272"/>
      <w:bookmarkStart w:id="1096" w:name="_Toc7610"/>
      <w:bookmarkStart w:id="1097" w:name="_Toc10403"/>
      <w:bookmarkStart w:id="1098" w:name="_Toc11926"/>
      <w:bookmarkStart w:id="1099" w:name="_Toc28553"/>
      <w:bookmarkStart w:id="1100" w:name="_Toc4576"/>
      <w:r>
        <w:rPr>
          <w:rFonts w:hint="eastAsia"/>
          <w:color w:val="000000" w:themeColor="text1"/>
          <w14:textFill>
            <w14:solidFill>
              <w14:schemeClr w14:val="tx1"/>
            </w14:solidFill>
          </w14:textFill>
        </w:rPr>
        <w:t>第九十五条 医疗卫生机构工作人员未接受消毒技术培训、掌握消毒知识，并且未按规定严格执行消毒隔离制度的</w:t>
      </w:r>
      <w:bookmarkEnd w:id="1090"/>
      <w:bookmarkEnd w:id="1091"/>
      <w:bookmarkEnd w:id="1092"/>
      <w:bookmarkEnd w:id="1093"/>
      <w:bookmarkEnd w:id="1094"/>
      <w:bookmarkEnd w:id="1095"/>
      <w:bookmarkEnd w:id="1096"/>
      <w:bookmarkEnd w:id="1097"/>
      <w:bookmarkEnd w:id="1098"/>
      <w:bookmarkEnd w:id="1099"/>
      <w:bookmarkEnd w:id="1100"/>
    </w:p>
    <w:p w14:paraId="408A1799">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A0D044F">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《消毒管理办法》第四十一条　医疗卫生机构违反本办法第四、五、六、七、八、九条规定的，由县级以上地方卫生计生行政部门责令限期改正，可以处5000元以下罚款；造成感染性疾病暴发的，可以处5000元以上20000元以下罚款。</w:t>
      </w:r>
    </w:p>
    <w:p w14:paraId="31EA2947">
      <w:pPr>
        <w:widowControl w:val="0"/>
        <w:spacing w:after="0" w:line="440" w:lineRule="exact"/>
        <w:ind w:firstLine="42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《消毒管理办法》第五条　医疗卫生机构工作人员应当接受消毒技术培训、掌握消毒知识，并按规定严格执行消毒隔离制度。　</w:t>
      </w:r>
    </w:p>
    <w:tbl>
      <w:tblPr>
        <w:tblStyle w:val="24"/>
        <w:tblW w:w="14045" w:type="dxa"/>
        <w:tblInd w:w="93" w:type="dxa"/>
        <w:tblLayout w:type="fixed"/>
        <w:tblCellMar>
          <w:top w:w="0" w:type="dxa"/>
          <w:left w:w="108" w:type="dxa"/>
          <w:bottom w:w="0" w:type="dxa"/>
          <w:right w:w="108" w:type="dxa"/>
        </w:tblCellMar>
      </w:tblPr>
      <w:tblGrid>
        <w:gridCol w:w="1581"/>
        <w:gridCol w:w="7364"/>
        <w:gridCol w:w="5100"/>
      </w:tblGrid>
      <w:tr w14:paraId="242A5418">
        <w:tblPrEx>
          <w:tblCellMar>
            <w:top w:w="0" w:type="dxa"/>
            <w:left w:w="108" w:type="dxa"/>
            <w:bottom w:w="0" w:type="dxa"/>
            <w:right w:w="108" w:type="dxa"/>
          </w:tblCellMar>
        </w:tblPrEx>
        <w:trPr>
          <w:trHeight w:val="346" w:hRule="atLeast"/>
        </w:trPr>
        <w:tc>
          <w:tcPr>
            <w:tcW w:w="14045" w:type="dxa"/>
            <w:gridSpan w:val="3"/>
            <w:tcBorders>
              <w:top w:val="nil"/>
              <w:left w:val="nil"/>
              <w:bottom w:val="single" w:color="auto" w:sz="4" w:space="0"/>
              <w:right w:val="nil"/>
            </w:tcBorders>
            <w:noWrap/>
            <w:vAlign w:val="center"/>
          </w:tcPr>
          <w:p w14:paraId="72EF3E2B">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59CE285C">
        <w:tblPrEx>
          <w:tblCellMar>
            <w:top w:w="0" w:type="dxa"/>
            <w:left w:w="108" w:type="dxa"/>
            <w:bottom w:w="0" w:type="dxa"/>
            <w:right w:w="108" w:type="dxa"/>
          </w:tblCellMar>
        </w:tblPrEx>
        <w:trPr>
          <w:trHeight w:val="680" w:hRule="atLeast"/>
        </w:trPr>
        <w:tc>
          <w:tcPr>
            <w:tcW w:w="1581" w:type="dxa"/>
            <w:tcBorders>
              <w:top w:val="single" w:color="auto" w:sz="4" w:space="0"/>
              <w:left w:val="single" w:color="auto" w:sz="4" w:space="0"/>
              <w:bottom w:val="single" w:color="auto" w:sz="4" w:space="0"/>
              <w:right w:val="single" w:color="auto" w:sz="4" w:space="0"/>
            </w:tcBorders>
            <w:vAlign w:val="center"/>
          </w:tcPr>
          <w:p w14:paraId="6A8AA0C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364" w:type="dxa"/>
            <w:tcBorders>
              <w:top w:val="single" w:color="auto" w:sz="4" w:space="0"/>
              <w:left w:val="single" w:color="auto" w:sz="4" w:space="0"/>
              <w:bottom w:val="single" w:color="auto" w:sz="4" w:space="0"/>
              <w:right w:val="single" w:color="auto" w:sz="4" w:space="0"/>
            </w:tcBorders>
            <w:vAlign w:val="center"/>
          </w:tcPr>
          <w:p w14:paraId="14D39F21">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100" w:type="dxa"/>
            <w:tcBorders>
              <w:top w:val="single" w:color="auto" w:sz="4" w:space="0"/>
              <w:left w:val="single" w:color="auto" w:sz="4" w:space="0"/>
              <w:bottom w:val="single" w:color="auto" w:sz="4" w:space="0"/>
              <w:right w:val="single" w:color="auto" w:sz="4" w:space="0"/>
            </w:tcBorders>
            <w:vAlign w:val="center"/>
          </w:tcPr>
          <w:p w14:paraId="09B93C05">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A7CF9A9">
        <w:tblPrEx>
          <w:tblCellMar>
            <w:top w:w="0" w:type="dxa"/>
            <w:left w:w="108" w:type="dxa"/>
            <w:bottom w:w="0" w:type="dxa"/>
            <w:right w:w="108" w:type="dxa"/>
          </w:tblCellMar>
        </w:tblPrEx>
        <w:trPr>
          <w:trHeight w:val="907" w:hRule="atLeast"/>
        </w:trPr>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0E94748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364" w:type="dxa"/>
            <w:tcBorders>
              <w:top w:val="single" w:color="auto" w:sz="4" w:space="0"/>
              <w:left w:val="single" w:color="auto" w:sz="4" w:space="0"/>
              <w:bottom w:val="single" w:color="auto" w:sz="4" w:space="0"/>
              <w:right w:val="single" w:color="auto" w:sz="4" w:space="0"/>
            </w:tcBorders>
            <w:shd w:val="clear" w:color="auto" w:fill="auto"/>
            <w:vAlign w:val="center"/>
          </w:tcPr>
          <w:p w14:paraId="053BB31A">
            <w:pPr>
              <w:widowControl w:val="0"/>
              <w:numPr>
                <w:ilvl w:val="-1"/>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w:t>
            </w:r>
            <w:r>
              <w:rPr>
                <w:rFonts w:hint="eastAsia" w:ascii="Times New Roman" w:hAnsi="Times New Roman" w:eastAsia="仿宋_GB2312" w:cs="Times New Roman"/>
                <w:color w:val="000000" w:themeColor="text1"/>
                <w:sz w:val="24"/>
                <w:szCs w:val="22"/>
                <w:lang w:val="en-US" w:eastAsia="zh-CN" w:bidi="ar"/>
                <w14:textFill>
                  <w14:solidFill>
                    <w14:schemeClr w14:val="tx1"/>
                  </w14:solidFill>
                </w14:textFill>
              </w:rPr>
              <w:t>1</w:t>
            </w:r>
            <w:r>
              <w:rPr>
                <w:rFonts w:hint="eastAsia" w:ascii="Times New Roman" w:hAnsi="Times New Roman" w:eastAsia="仿宋_GB2312" w:cs="Times New Roman"/>
                <w:color w:val="000000" w:themeColor="text1"/>
                <w:sz w:val="24"/>
                <w:szCs w:val="22"/>
                <w:lang w:bidi="ar"/>
                <w14:textFill>
                  <w14:solidFill>
                    <w14:schemeClr w14:val="tx1"/>
                  </w14:solidFill>
                </w14:textFill>
              </w:rPr>
              <w:t>）未接受消毒技术培训、掌握消毒知识的；</w:t>
            </w:r>
          </w:p>
          <w:p w14:paraId="1008B33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（2）未按规定严格执行消毒隔离制度。</w:t>
            </w:r>
          </w:p>
        </w:tc>
        <w:tc>
          <w:tcPr>
            <w:tcW w:w="5100" w:type="dxa"/>
            <w:tcBorders>
              <w:top w:val="single" w:color="auto" w:sz="4" w:space="0"/>
              <w:left w:val="single" w:color="auto" w:sz="4" w:space="0"/>
              <w:bottom w:val="single" w:color="auto" w:sz="4" w:space="0"/>
              <w:right w:val="single" w:color="auto" w:sz="4" w:space="0"/>
            </w:tcBorders>
            <w:shd w:val="clear" w:color="auto" w:fill="auto"/>
            <w:vAlign w:val="center"/>
          </w:tcPr>
          <w:p w14:paraId="18FF5BD5">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（1）处3000元以下罚款；</w:t>
            </w:r>
          </w:p>
          <w:p w14:paraId="6B7D5E5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（2）3000元以上5</w:t>
            </w:r>
            <w:r>
              <w:rPr>
                <w:rFonts w:hint="eastAsia" w:ascii="Times New Roman" w:hAnsi="Times New Roman" w:eastAsia="仿宋_GB2312" w:cs="Times New Roman"/>
                <w:color w:val="000000" w:themeColor="text1"/>
                <w:sz w:val="24"/>
                <w:szCs w:val="22"/>
                <w:lang w:val="en-US" w:eastAsia="zh-CN" w:bidi="ar"/>
                <w14:textFill>
                  <w14:solidFill>
                    <w14:schemeClr w14:val="tx1"/>
                  </w14:solidFill>
                </w14:textFill>
              </w:rPr>
              <w:t xml:space="preserve"> </w:t>
            </w:r>
            <w:r>
              <w:rPr>
                <w:rFonts w:hint="eastAsia" w:ascii="Times New Roman" w:hAnsi="Times New Roman" w:eastAsia="仿宋_GB2312" w:cs="Times New Roman"/>
                <w:color w:val="000000" w:themeColor="text1"/>
                <w:sz w:val="24"/>
                <w:szCs w:val="22"/>
                <w:lang w:bidi="ar"/>
                <w14:textFill>
                  <w14:solidFill>
                    <w14:schemeClr w14:val="tx1"/>
                  </w14:solidFill>
                </w14:textFill>
              </w:rPr>
              <w:t>000元以下罚款。</w:t>
            </w:r>
          </w:p>
        </w:tc>
      </w:tr>
      <w:tr w14:paraId="7610D2E6">
        <w:tblPrEx>
          <w:tblCellMar>
            <w:top w:w="0" w:type="dxa"/>
            <w:left w:w="108" w:type="dxa"/>
            <w:bottom w:w="0" w:type="dxa"/>
            <w:right w:w="108" w:type="dxa"/>
          </w:tblCellMar>
        </w:tblPrEx>
        <w:trPr>
          <w:trHeight w:val="340" w:hRule="atLeast"/>
        </w:trPr>
        <w:tc>
          <w:tcPr>
            <w:tcW w:w="1581" w:type="dxa"/>
            <w:vMerge w:val="restart"/>
            <w:tcBorders>
              <w:top w:val="single" w:color="auto" w:sz="4" w:space="0"/>
              <w:left w:val="single" w:color="auto" w:sz="4" w:space="0"/>
              <w:bottom w:val="single" w:color="auto" w:sz="4" w:space="0"/>
              <w:right w:val="single" w:color="auto" w:sz="4" w:space="0"/>
            </w:tcBorders>
            <w:vAlign w:val="center"/>
          </w:tcPr>
          <w:p w14:paraId="1959FF7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364" w:type="dxa"/>
            <w:vMerge w:val="restart"/>
            <w:tcBorders>
              <w:top w:val="single" w:color="auto" w:sz="4" w:space="0"/>
              <w:left w:val="single" w:color="auto" w:sz="4" w:space="0"/>
              <w:bottom w:val="single" w:color="auto" w:sz="4" w:space="0"/>
              <w:right w:val="single" w:color="auto" w:sz="4" w:space="0"/>
            </w:tcBorders>
            <w:vAlign w:val="center"/>
          </w:tcPr>
          <w:p w14:paraId="4D31F462">
            <w:pPr>
              <w:widowControl w:val="0"/>
              <w:numPr>
                <w:ilvl w:val="-1"/>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w:t>
            </w:r>
            <w:r>
              <w:rPr>
                <w:rFonts w:hint="eastAsia" w:ascii="Times New Roman" w:hAnsi="Times New Roman" w:eastAsia="仿宋_GB2312" w:cs="Times New Roman"/>
                <w:color w:val="000000" w:themeColor="text1"/>
                <w:sz w:val="24"/>
                <w:szCs w:val="22"/>
                <w:lang w:val="en-US" w:eastAsia="zh-CN" w:bidi="ar"/>
                <w14:textFill>
                  <w14:solidFill>
                    <w14:schemeClr w14:val="tx1"/>
                  </w14:solidFill>
                </w14:textFill>
              </w:rPr>
              <w:t>1</w:t>
            </w:r>
            <w:r>
              <w:rPr>
                <w:rFonts w:hint="eastAsia" w:ascii="Times New Roman" w:hAnsi="Times New Roman" w:eastAsia="仿宋_GB2312" w:cs="Times New Roman"/>
                <w:color w:val="000000" w:themeColor="text1"/>
                <w:sz w:val="24"/>
                <w:szCs w:val="22"/>
                <w:lang w:bidi="ar"/>
                <w14:textFill>
                  <w14:solidFill>
                    <w14:schemeClr w14:val="tx1"/>
                  </w14:solidFill>
                </w14:textFill>
              </w:rPr>
              <w:t>）造成感染性疾病暴发，病例数5例以下的；</w:t>
            </w:r>
          </w:p>
          <w:p w14:paraId="24FC4A5D">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（2）造成感染性疾病暴发，病例数超过5例的。</w:t>
            </w:r>
          </w:p>
        </w:tc>
        <w:tc>
          <w:tcPr>
            <w:tcW w:w="5100" w:type="dxa"/>
            <w:vMerge w:val="restart"/>
            <w:tcBorders>
              <w:top w:val="single" w:color="auto" w:sz="4" w:space="0"/>
              <w:left w:val="single" w:color="auto" w:sz="4" w:space="0"/>
              <w:bottom w:val="single" w:color="auto" w:sz="4" w:space="0"/>
              <w:right w:val="single" w:color="auto" w:sz="4" w:space="0"/>
            </w:tcBorders>
            <w:vAlign w:val="center"/>
          </w:tcPr>
          <w:p w14:paraId="5189FC4E">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（1）处5000元以上10000元以下罚款；</w:t>
            </w:r>
          </w:p>
          <w:p w14:paraId="4E983276">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（2）处10000元以上20000元以下罚款。</w:t>
            </w:r>
          </w:p>
        </w:tc>
      </w:tr>
      <w:tr w14:paraId="1D4064E8">
        <w:tblPrEx>
          <w:tblCellMar>
            <w:top w:w="0" w:type="dxa"/>
            <w:left w:w="108" w:type="dxa"/>
            <w:bottom w:w="0" w:type="dxa"/>
            <w:right w:w="108" w:type="dxa"/>
          </w:tblCellMar>
        </w:tblPrEx>
        <w:trPr>
          <w:trHeight w:val="640" w:hRule="atLeast"/>
        </w:trPr>
        <w:tc>
          <w:tcPr>
            <w:tcW w:w="1581" w:type="dxa"/>
            <w:vMerge w:val="continue"/>
            <w:tcBorders>
              <w:top w:val="single" w:color="auto" w:sz="4" w:space="0"/>
              <w:left w:val="single" w:color="auto" w:sz="4" w:space="0"/>
              <w:bottom w:val="single" w:color="auto" w:sz="4" w:space="0"/>
              <w:right w:val="single" w:color="000000" w:sz="8" w:space="0"/>
            </w:tcBorders>
            <w:vAlign w:val="center"/>
          </w:tcPr>
          <w:p w14:paraId="1038A870">
            <w:pPr>
              <w:widowControl w:val="0"/>
              <w:spacing w:line="440" w:lineRule="exact"/>
              <w:jc w:val="center"/>
              <w:rPr>
                <w:rFonts w:hint="eastAsia" w:ascii="Times New Roman" w:hAnsi="Times New Roman" w:eastAsia="仿宋_GB2312" w:cs="仿宋_GB2312"/>
                <w:b/>
                <w:bCs/>
                <w:color w:val="000000" w:themeColor="text1"/>
                <w:sz w:val="32"/>
                <w:szCs w:val="32"/>
                <w14:textFill>
                  <w14:solidFill>
                    <w14:schemeClr w14:val="tx1"/>
                  </w14:solidFill>
                </w14:textFill>
              </w:rPr>
            </w:pPr>
          </w:p>
        </w:tc>
        <w:tc>
          <w:tcPr>
            <w:tcW w:w="7364" w:type="dxa"/>
            <w:vMerge w:val="continue"/>
            <w:tcBorders>
              <w:top w:val="single" w:color="auto" w:sz="4" w:space="0"/>
              <w:left w:val="nil"/>
              <w:bottom w:val="single" w:color="auto" w:sz="4" w:space="0"/>
              <w:right w:val="single" w:color="000000" w:sz="8" w:space="0"/>
            </w:tcBorders>
            <w:vAlign w:val="center"/>
          </w:tcPr>
          <w:p w14:paraId="7880AF43">
            <w:pPr>
              <w:widowControl w:val="0"/>
              <w:spacing w:line="440" w:lineRule="exact"/>
              <w:jc w:val="center"/>
              <w:rPr>
                <w:rFonts w:hint="eastAsia" w:ascii="Times New Roman" w:hAnsi="Times New Roman" w:eastAsia="仿宋_GB2312" w:cs="仿宋_GB2312"/>
                <w:color w:val="000000" w:themeColor="text1"/>
                <w:sz w:val="32"/>
                <w:szCs w:val="32"/>
                <w14:textFill>
                  <w14:solidFill>
                    <w14:schemeClr w14:val="tx1"/>
                  </w14:solidFill>
                </w14:textFill>
              </w:rPr>
            </w:pPr>
          </w:p>
        </w:tc>
        <w:tc>
          <w:tcPr>
            <w:tcW w:w="5100" w:type="dxa"/>
            <w:vMerge w:val="continue"/>
            <w:tcBorders>
              <w:top w:val="single" w:color="auto" w:sz="4" w:space="0"/>
              <w:left w:val="nil"/>
              <w:bottom w:val="single" w:color="auto" w:sz="4" w:space="0"/>
              <w:right w:val="single" w:color="auto" w:sz="4" w:space="0"/>
            </w:tcBorders>
            <w:vAlign w:val="center"/>
          </w:tcPr>
          <w:p w14:paraId="098E129C">
            <w:pPr>
              <w:widowControl w:val="0"/>
              <w:spacing w:line="440" w:lineRule="exact"/>
              <w:jc w:val="center"/>
              <w:rPr>
                <w:rFonts w:hint="eastAsia" w:ascii="Times New Roman" w:hAnsi="Times New Roman" w:eastAsia="仿宋_GB2312" w:cs="仿宋_GB2312"/>
                <w:color w:val="000000" w:themeColor="text1"/>
                <w:sz w:val="32"/>
                <w:szCs w:val="32"/>
                <w14:textFill>
                  <w14:solidFill>
                    <w14:schemeClr w14:val="tx1"/>
                  </w14:solidFill>
                </w14:textFill>
              </w:rPr>
            </w:pPr>
          </w:p>
        </w:tc>
      </w:tr>
    </w:tbl>
    <w:p w14:paraId="357D6B5B">
      <w:pPr>
        <w:pStyle w:val="4"/>
        <w:widowControl w:val="0"/>
        <w:ind w:firstLine="640"/>
        <w:jc w:val="both"/>
        <w:rPr>
          <w:rFonts w:hint="eastAsia" w:cs="仿宋_GB2312"/>
          <w:bCs/>
          <w:color w:val="000000" w:themeColor="text1"/>
          <w14:textFill>
            <w14:solidFill>
              <w14:schemeClr w14:val="tx1"/>
            </w14:solidFill>
          </w14:textFill>
        </w:rPr>
      </w:pPr>
      <w:bookmarkStart w:id="1101" w:name="_Toc15075"/>
      <w:bookmarkStart w:id="1102" w:name="_Toc8900"/>
      <w:bookmarkStart w:id="1103" w:name="_Toc9760"/>
      <w:bookmarkStart w:id="1104" w:name="_Toc13518"/>
      <w:bookmarkStart w:id="1105" w:name="_Toc25024"/>
      <w:bookmarkStart w:id="1106" w:name="_Toc8292"/>
      <w:bookmarkStart w:id="1107" w:name="_Toc30265"/>
      <w:bookmarkStart w:id="1108" w:name="_Toc9898"/>
      <w:bookmarkStart w:id="1109" w:name="_Toc14076"/>
      <w:bookmarkStart w:id="1110" w:name="_Toc16459"/>
      <w:bookmarkStart w:id="1111" w:name="_Toc9917"/>
      <w:r>
        <w:rPr>
          <w:rFonts w:hint="eastAsia" w:cs="仿宋_GB2312"/>
          <w:bCs/>
          <w:color w:val="000000" w:themeColor="text1"/>
          <w14:textFill>
            <w14:solidFill>
              <w14:schemeClr w14:val="tx1"/>
            </w14:solidFill>
          </w14:textFill>
        </w:rPr>
        <w:t>第九十六条 医疗卫生机构使用的进入人体组织或无菌器官的医疗用品未达到灭菌要求，各种注射、穿刺、采血器具未一人一用一灭菌的，或接触皮肤、粘膜的器械和用品未达到消毒要求的，或医疗卫生机构使用的一次性使用医疗用品用后未及时进行无害化处理的</w:t>
      </w:r>
      <w:bookmarkEnd w:id="1101"/>
      <w:bookmarkEnd w:id="1102"/>
      <w:bookmarkEnd w:id="1103"/>
      <w:bookmarkEnd w:id="1104"/>
      <w:bookmarkEnd w:id="1105"/>
      <w:bookmarkEnd w:id="1106"/>
      <w:bookmarkEnd w:id="1107"/>
      <w:bookmarkEnd w:id="1108"/>
      <w:bookmarkEnd w:id="1109"/>
      <w:bookmarkEnd w:id="1110"/>
      <w:bookmarkEnd w:id="1111"/>
    </w:p>
    <w:p w14:paraId="0F3AECEC">
      <w:pPr>
        <w:widowControl w:val="0"/>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CB1D2F0">
      <w:pPr>
        <w:widowControl w:val="0"/>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《消毒管理办法》第四十一条　医疗卫生机构违反本办法第四、五、六、七、八、九条规定的，由县级以上地方卫生计生行政部门责令限期改正，可以处5000元以下罚款；造成感染性疾病暴发的，可以处5000元以上20000元以下罚款。</w:t>
      </w:r>
    </w:p>
    <w:p w14:paraId="55AD09E9">
      <w:pPr>
        <w:widowControl w:val="0"/>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《消毒管理办法》第六条　医疗卫生机构使用的进入人体组织或无菌器官的医疗用品必须达到灭菌要求。各种注射、穿刺、采血器具应当一人一用一灭菌。凡接触皮肤、粘膜的器械和用品必须达到消毒要求。</w:t>
      </w:r>
    </w:p>
    <w:p w14:paraId="3907C19C">
      <w:pPr>
        <w:widowControl w:val="0"/>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医疗卫生机构使用的一次性使用医疗用品用后应当及时进行无害化处理。</w:t>
      </w:r>
    </w:p>
    <w:tbl>
      <w:tblPr>
        <w:tblStyle w:val="24"/>
        <w:tblW w:w="13759" w:type="dxa"/>
        <w:tblInd w:w="91" w:type="dxa"/>
        <w:tblLayout w:type="autofit"/>
        <w:tblCellMar>
          <w:top w:w="0" w:type="dxa"/>
          <w:left w:w="108" w:type="dxa"/>
          <w:bottom w:w="0" w:type="dxa"/>
          <w:right w:w="108" w:type="dxa"/>
        </w:tblCellMar>
      </w:tblPr>
      <w:tblGrid>
        <w:gridCol w:w="2408"/>
        <w:gridCol w:w="7001"/>
        <w:gridCol w:w="4350"/>
      </w:tblGrid>
      <w:tr w14:paraId="584EC47D">
        <w:tblPrEx>
          <w:tblCellMar>
            <w:top w:w="0" w:type="dxa"/>
            <w:left w:w="108" w:type="dxa"/>
            <w:bottom w:w="0" w:type="dxa"/>
            <w:right w:w="108" w:type="dxa"/>
          </w:tblCellMar>
        </w:tblPrEx>
        <w:trPr>
          <w:trHeight w:val="227" w:hRule="atLeast"/>
        </w:trPr>
        <w:tc>
          <w:tcPr>
            <w:tcW w:w="13759" w:type="dxa"/>
            <w:gridSpan w:val="3"/>
            <w:tcBorders>
              <w:top w:val="nil"/>
              <w:left w:val="nil"/>
              <w:bottom w:val="single" w:color="auto" w:sz="4" w:space="0"/>
              <w:right w:val="nil"/>
            </w:tcBorders>
            <w:noWrap/>
            <w:tcMar>
              <w:top w:w="108" w:type="dxa"/>
              <w:left w:w="108" w:type="dxa"/>
              <w:bottom w:w="108" w:type="dxa"/>
              <w:right w:w="108" w:type="dxa"/>
            </w:tcMar>
            <w:vAlign w:val="center"/>
          </w:tcPr>
          <w:p w14:paraId="4F9C4EB3">
            <w:pPr>
              <w:widowControl w:val="0"/>
              <w:spacing w:after="0"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316163B6">
        <w:tblPrEx>
          <w:tblCellMar>
            <w:top w:w="0" w:type="dxa"/>
            <w:left w:w="108" w:type="dxa"/>
            <w:bottom w:w="0" w:type="dxa"/>
            <w:right w:w="108" w:type="dxa"/>
          </w:tblCellMar>
        </w:tblPrEx>
        <w:trPr>
          <w:trHeight w:val="454" w:hRule="atLeast"/>
        </w:trPr>
        <w:tc>
          <w:tcPr>
            <w:tcW w:w="2408"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center"/>
          </w:tcPr>
          <w:p w14:paraId="1EF275BD">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001"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center"/>
          </w:tcPr>
          <w:p w14:paraId="4B13D40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350"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center"/>
          </w:tcPr>
          <w:p w14:paraId="2CD9493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075EDE5">
        <w:tblPrEx>
          <w:tblCellMar>
            <w:top w:w="0" w:type="dxa"/>
            <w:left w:w="108" w:type="dxa"/>
            <w:bottom w:w="0" w:type="dxa"/>
            <w:right w:w="108" w:type="dxa"/>
          </w:tblCellMar>
        </w:tblPrEx>
        <w:trPr>
          <w:trHeight w:val="312" w:hRule="atLeast"/>
        </w:trPr>
        <w:tc>
          <w:tcPr>
            <w:tcW w:w="2408"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center"/>
          </w:tcPr>
          <w:p w14:paraId="0A8B6370">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001" w:type="dxa"/>
            <w:tcBorders>
              <w:top w:val="single" w:color="auto" w:sz="4" w:space="0"/>
              <w:left w:val="single" w:color="auto" w:sz="4" w:space="0"/>
              <w:bottom w:val="single" w:color="auto" w:sz="4" w:space="0"/>
              <w:right w:val="single" w:color="auto" w:sz="4" w:space="0"/>
            </w:tcBorders>
            <w:shd w:val="clear" w:color="auto" w:fill="auto"/>
            <w:tcMar>
              <w:top w:w="108" w:type="dxa"/>
              <w:left w:w="108" w:type="dxa"/>
              <w:bottom w:w="108" w:type="dxa"/>
              <w:right w:w="108" w:type="dxa"/>
            </w:tcMar>
            <w:vAlign w:val="center"/>
          </w:tcPr>
          <w:p w14:paraId="448901B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使用的一次性使用医疗用品用后未及时进行无害化处理的；（2）凡接触皮肤、粘膜的器械和用品未达到消毒要求的；（3）各种注射、穿刺、采血器具未一人一用一灭菌的；（4）使用的进入人体组织或无菌器官的医疗用品未达到灭菌要求的。</w:t>
            </w:r>
          </w:p>
        </w:tc>
        <w:tc>
          <w:tcPr>
            <w:tcW w:w="4350"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center"/>
          </w:tcPr>
          <w:p w14:paraId="2F604F6A">
            <w:pPr>
              <w:widowControl w:val="0"/>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（1）处1000元以下罚款；（2）处1000元以上2000元以下罚款；（3）处2000元以上3000元以下罚款；（4）处3000元以上5000元以下罚款。</w:t>
            </w:r>
          </w:p>
        </w:tc>
      </w:tr>
      <w:tr w14:paraId="561D7FA3">
        <w:tblPrEx>
          <w:tblCellMar>
            <w:top w:w="0" w:type="dxa"/>
            <w:left w:w="108" w:type="dxa"/>
            <w:bottom w:w="0" w:type="dxa"/>
            <w:right w:w="108" w:type="dxa"/>
          </w:tblCellMar>
        </w:tblPrEx>
        <w:trPr>
          <w:trHeight w:val="312" w:hRule="atLeast"/>
        </w:trPr>
        <w:tc>
          <w:tcPr>
            <w:tcW w:w="2408"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center"/>
          </w:tcPr>
          <w:p w14:paraId="2242B22F">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001" w:type="dxa"/>
            <w:tcBorders>
              <w:top w:val="single" w:color="auto" w:sz="4" w:space="0"/>
              <w:left w:val="single" w:color="auto" w:sz="4" w:space="0"/>
              <w:bottom w:val="single" w:color="auto" w:sz="4" w:space="0"/>
              <w:right w:val="single" w:color="auto" w:sz="4" w:space="0"/>
            </w:tcBorders>
            <w:shd w:val="clear" w:color="auto" w:fill="auto"/>
            <w:tcMar>
              <w:top w:w="108" w:type="dxa"/>
              <w:left w:w="108" w:type="dxa"/>
              <w:bottom w:w="108" w:type="dxa"/>
              <w:right w:w="108" w:type="dxa"/>
            </w:tcMar>
            <w:vAlign w:val="center"/>
          </w:tcPr>
          <w:p w14:paraId="38B4C064">
            <w:pPr>
              <w:widowControl w:val="0"/>
              <w:numPr>
                <w:ilvl w:val="-1"/>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w:t>
            </w:r>
            <w:r>
              <w:rPr>
                <w:rFonts w:hint="eastAsia" w:ascii="Times New Roman" w:hAnsi="Times New Roman" w:eastAsia="仿宋_GB2312" w:cs="Times New Roman"/>
                <w:color w:val="000000" w:themeColor="text1"/>
                <w:sz w:val="24"/>
                <w:szCs w:val="22"/>
                <w:lang w:val="en-US" w:eastAsia="zh-CN" w:bidi="ar"/>
                <w14:textFill>
                  <w14:solidFill>
                    <w14:schemeClr w14:val="tx1"/>
                  </w14:solidFill>
                </w14:textFill>
              </w:rPr>
              <w:t>1</w:t>
            </w:r>
            <w:r>
              <w:rPr>
                <w:rFonts w:hint="eastAsia" w:ascii="Times New Roman" w:hAnsi="Times New Roman" w:eastAsia="仿宋_GB2312" w:cs="Times New Roman"/>
                <w:color w:val="000000" w:themeColor="text1"/>
                <w:sz w:val="24"/>
                <w:szCs w:val="22"/>
                <w:lang w:bidi="ar"/>
                <w14:textFill>
                  <w14:solidFill>
                    <w14:schemeClr w14:val="tx1"/>
                  </w14:solidFill>
                </w14:textFill>
              </w:rPr>
              <w:t>）造成感染性疾病暴发，病例数5例以下；</w:t>
            </w:r>
          </w:p>
          <w:p w14:paraId="33F79E6E">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（2）造成感染性疾病暴发，病例数超过5例。</w:t>
            </w:r>
          </w:p>
        </w:tc>
        <w:tc>
          <w:tcPr>
            <w:tcW w:w="4350"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center"/>
          </w:tcPr>
          <w:p w14:paraId="124A05D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（1）处5000元以上10000元以下罚款；（2）处10000元以上20000元以下罚款。</w:t>
            </w:r>
          </w:p>
        </w:tc>
      </w:tr>
    </w:tbl>
    <w:p w14:paraId="7EFF79C6">
      <w:pPr>
        <w:pStyle w:val="4"/>
        <w:widowControl w:val="0"/>
        <w:ind w:firstLine="640"/>
        <w:jc w:val="both"/>
        <w:rPr>
          <w:rFonts w:hint="eastAsia" w:cs="仿宋_GB2312"/>
          <w:bCs/>
          <w:color w:val="000000" w:themeColor="text1"/>
          <w14:textFill>
            <w14:solidFill>
              <w14:schemeClr w14:val="tx1"/>
            </w14:solidFill>
          </w14:textFill>
        </w:rPr>
      </w:pPr>
      <w:bookmarkStart w:id="1112" w:name="_Toc21109"/>
      <w:bookmarkStart w:id="1113" w:name="_Toc2097"/>
      <w:bookmarkStart w:id="1114" w:name="_Toc4533"/>
      <w:bookmarkStart w:id="1115" w:name="_Toc13026"/>
      <w:bookmarkStart w:id="1116" w:name="_Toc30634"/>
      <w:bookmarkStart w:id="1117" w:name="_Toc22653"/>
      <w:bookmarkStart w:id="1118" w:name="_Toc18322"/>
      <w:bookmarkStart w:id="1119" w:name="_Toc8072"/>
      <w:bookmarkStart w:id="1120" w:name="_Toc14119"/>
      <w:bookmarkStart w:id="1121" w:name="_Toc13716"/>
      <w:bookmarkStart w:id="1122" w:name="_Toc6286"/>
      <w:r>
        <w:rPr>
          <w:rFonts w:hint="eastAsia" w:cs="仿宋_GB2312"/>
          <w:bCs/>
          <w:color w:val="000000" w:themeColor="text1"/>
          <w14:textFill>
            <w14:solidFill>
              <w14:schemeClr w14:val="tx1"/>
            </w14:solidFill>
          </w14:textFill>
        </w:rPr>
        <w:t>第九十七条 医疗卫生机构购进消毒产品未建立并执行进货检查验收制度</w:t>
      </w:r>
      <w:bookmarkEnd w:id="1112"/>
      <w:bookmarkEnd w:id="1113"/>
      <w:bookmarkEnd w:id="1114"/>
      <w:bookmarkEnd w:id="1115"/>
      <w:bookmarkEnd w:id="1116"/>
      <w:bookmarkEnd w:id="1117"/>
      <w:bookmarkEnd w:id="1118"/>
      <w:bookmarkEnd w:id="1119"/>
      <w:bookmarkEnd w:id="1120"/>
      <w:bookmarkEnd w:id="1121"/>
      <w:bookmarkEnd w:id="1122"/>
    </w:p>
    <w:p w14:paraId="59922201">
      <w:pPr>
        <w:widowControl w:val="0"/>
        <w:spacing w:after="0" w:line="440" w:lineRule="exact"/>
        <w:ind w:firstLine="420"/>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法律依据：</w:t>
      </w:r>
    </w:p>
    <w:p w14:paraId="5D766205">
      <w:pPr>
        <w:widowControl w:val="0"/>
        <w:spacing w:after="0" w:line="440" w:lineRule="exact"/>
        <w:ind w:firstLine="420"/>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《消毒管理办法》第四十一条　医疗卫生机构违反本办法第四、五、六、七、八、九条规定的，由县级以上地方卫生计生行政部门责令限期改正，可以处5000元以下罚款；造成感染性疾病暴发的，可以处5000元以上20000元以下罚款。</w:t>
      </w:r>
    </w:p>
    <w:p w14:paraId="2D73C33A">
      <w:pPr>
        <w:widowControl w:val="0"/>
        <w:spacing w:after="0" w:line="440" w:lineRule="exact"/>
        <w:ind w:firstLine="420"/>
        <w:rPr>
          <w:rFonts w:hint="eastAsia" w:ascii="Times New Roman" w:hAnsi="Times New Roman" w:eastAsia="方正仿宋_GB2312" w:cs="方正仿宋_GB2312"/>
          <w:color w:val="000000" w:themeColor="text1"/>
          <w:sz w:val="32"/>
          <w:szCs w:val="32"/>
          <w14:textFill>
            <w14:solidFill>
              <w14:schemeClr w14:val="tx1"/>
            </w14:solidFill>
          </w14:textFill>
        </w:rPr>
      </w:pPr>
      <w:r>
        <w:rPr>
          <w:rFonts w:hint="eastAsia" w:ascii="Times New Roman" w:hAnsi="Times New Roman" w:eastAsia="方正仿宋_GB2312" w:cs="方正仿宋_GB2312"/>
          <w:color w:val="000000" w:themeColor="text1"/>
          <w:sz w:val="32"/>
          <w:szCs w:val="32"/>
          <w14:textFill>
            <w14:solidFill>
              <w14:schemeClr w14:val="tx1"/>
            </w14:solidFill>
          </w14:textFill>
        </w:rPr>
        <w:t>《消毒管理办法》第七条　医疗卫生机构购进消毒产品必须建立并执行进货检查验收制度。</w:t>
      </w:r>
    </w:p>
    <w:tbl>
      <w:tblPr>
        <w:tblStyle w:val="24"/>
        <w:tblW w:w="13827" w:type="dxa"/>
        <w:tblInd w:w="93" w:type="dxa"/>
        <w:tblLayout w:type="autofit"/>
        <w:tblCellMar>
          <w:top w:w="0" w:type="dxa"/>
          <w:left w:w="108" w:type="dxa"/>
          <w:bottom w:w="0" w:type="dxa"/>
          <w:right w:w="108" w:type="dxa"/>
        </w:tblCellMar>
      </w:tblPr>
      <w:tblGrid>
        <w:gridCol w:w="2775"/>
        <w:gridCol w:w="6338"/>
        <w:gridCol w:w="4714"/>
      </w:tblGrid>
      <w:tr w14:paraId="7175E01B">
        <w:tblPrEx>
          <w:tblCellMar>
            <w:top w:w="0" w:type="dxa"/>
            <w:left w:w="108" w:type="dxa"/>
            <w:bottom w:w="0" w:type="dxa"/>
            <w:right w:w="108" w:type="dxa"/>
          </w:tblCellMar>
        </w:tblPrEx>
        <w:trPr>
          <w:trHeight w:val="390" w:hRule="atLeast"/>
        </w:trPr>
        <w:tc>
          <w:tcPr>
            <w:tcW w:w="13827" w:type="dxa"/>
            <w:gridSpan w:val="3"/>
            <w:tcBorders>
              <w:top w:val="nil"/>
              <w:left w:val="nil"/>
              <w:bottom w:val="single" w:color="auto" w:sz="4" w:space="0"/>
              <w:right w:val="nil"/>
            </w:tcBorders>
            <w:noWrap/>
            <w:vAlign w:val="center"/>
          </w:tcPr>
          <w:p w14:paraId="04027988">
            <w:pPr>
              <w:widowControl w:val="0"/>
              <w:spacing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2D59D3E8">
        <w:tblPrEx>
          <w:tblCellMar>
            <w:top w:w="0" w:type="dxa"/>
            <w:left w:w="108" w:type="dxa"/>
            <w:bottom w:w="0" w:type="dxa"/>
            <w:right w:w="108" w:type="dxa"/>
          </w:tblCellMar>
        </w:tblPrEx>
        <w:trPr>
          <w:trHeight w:val="680" w:hRule="atLeast"/>
        </w:trPr>
        <w:tc>
          <w:tcPr>
            <w:tcW w:w="2775" w:type="dxa"/>
            <w:tcBorders>
              <w:top w:val="single" w:color="auto" w:sz="4" w:space="0"/>
              <w:left w:val="single" w:color="auto" w:sz="4" w:space="0"/>
              <w:bottom w:val="single" w:color="auto" w:sz="4" w:space="0"/>
              <w:right w:val="single" w:color="auto" w:sz="4" w:space="0"/>
            </w:tcBorders>
            <w:vAlign w:val="center"/>
          </w:tcPr>
          <w:p w14:paraId="584615D6">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338" w:type="dxa"/>
            <w:tcBorders>
              <w:top w:val="single" w:color="auto" w:sz="4" w:space="0"/>
              <w:left w:val="single" w:color="auto" w:sz="4" w:space="0"/>
              <w:bottom w:val="single" w:color="auto" w:sz="4" w:space="0"/>
              <w:right w:val="single" w:color="auto" w:sz="4" w:space="0"/>
            </w:tcBorders>
            <w:vAlign w:val="center"/>
          </w:tcPr>
          <w:p w14:paraId="7528DB19">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14" w:type="dxa"/>
            <w:tcBorders>
              <w:top w:val="single" w:color="auto" w:sz="4" w:space="0"/>
              <w:left w:val="single" w:color="auto" w:sz="4" w:space="0"/>
              <w:bottom w:val="single" w:color="auto" w:sz="4" w:space="0"/>
              <w:right w:val="single" w:color="auto" w:sz="4" w:space="0"/>
            </w:tcBorders>
            <w:vAlign w:val="center"/>
          </w:tcPr>
          <w:p w14:paraId="5F80823D">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55D5D25">
        <w:tblPrEx>
          <w:tblCellMar>
            <w:top w:w="0" w:type="dxa"/>
            <w:left w:w="108" w:type="dxa"/>
            <w:bottom w:w="0" w:type="dxa"/>
            <w:right w:w="108" w:type="dxa"/>
          </w:tblCellMar>
        </w:tblPrEx>
        <w:trPr>
          <w:trHeight w:val="925" w:hRule="atLeast"/>
        </w:trPr>
        <w:tc>
          <w:tcPr>
            <w:tcW w:w="2775" w:type="dxa"/>
            <w:tcBorders>
              <w:top w:val="single" w:color="auto" w:sz="4" w:space="0"/>
              <w:left w:val="single" w:color="auto" w:sz="4" w:space="0"/>
              <w:bottom w:val="single" w:color="auto" w:sz="4" w:space="0"/>
              <w:right w:val="single" w:color="auto" w:sz="4" w:space="0"/>
            </w:tcBorders>
            <w:vAlign w:val="center"/>
          </w:tcPr>
          <w:p w14:paraId="0CE2A9E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338" w:type="dxa"/>
            <w:tcBorders>
              <w:top w:val="single" w:color="auto" w:sz="4" w:space="0"/>
              <w:left w:val="single" w:color="auto" w:sz="4" w:space="0"/>
              <w:bottom w:val="single" w:color="auto" w:sz="4" w:space="0"/>
              <w:right w:val="single" w:color="auto" w:sz="4" w:space="0"/>
            </w:tcBorders>
            <w:vAlign w:val="center"/>
          </w:tcPr>
          <w:p w14:paraId="227985FB">
            <w:pPr>
              <w:widowControl w:val="0"/>
              <w:numPr>
                <w:ilvl w:val="0"/>
                <w:numId w:val="0"/>
              </w:numPr>
              <w:spacing w:after="0" w:line="320" w:lineRule="exact"/>
              <w:jc w:val="left"/>
              <w:textAlignment w:val="auto"/>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（1）购进消毒产品未建立进货检查验收制度的；（2）购进消毒产品未执行进货检查验收制度的；（3）购进消毒产品未建立并执行进货检查验收制度的。</w:t>
            </w:r>
          </w:p>
        </w:tc>
        <w:tc>
          <w:tcPr>
            <w:tcW w:w="4714" w:type="dxa"/>
            <w:tcBorders>
              <w:top w:val="single" w:color="auto" w:sz="4" w:space="0"/>
              <w:left w:val="single" w:color="auto" w:sz="4" w:space="0"/>
              <w:bottom w:val="single" w:color="auto" w:sz="4" w:space="0"/>
              <w:right w:val="single" w:color="auto" w:sz="4" w:space="0"/>
            </w:tcBorders>
            <w:vAlign w:val="center"/>
          </w:tcPr>
          <w:p w14:paraId="2943B168">
            <w:pPr>
              <w:widowControl w:val="0"/>
              <w:numPr>
                <w:ilvl w:val="0"/>
                <w:numId w:val="0"/>
              </w:numPr>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（1）处1000元以下罚款；</w:t>
            </w:r>
          </w:p>
          <w:p w14:paraId="61B6037F">
            <w:pPr>
              <w:widowControl w:val="0"/>
              <w:numPr>
                <w:ilvl w:val="0"/>
                <w:numId w:val="0"/>
              </w:numPr>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（2）处1000元以上3000元以下罚款；</w:t>
            </w:r>
          </w:p>
          <w:p w14:paraId="22DB7EB5">
            <w:pPr>
              <w:widowControl w:val="0"/>
              <w:numPr>
                <w:ilvl w:val="0"/>
                <w:numId w:val="0"/>
              </w:numPr>
              <w:spacing w:after="0" w:line="320" w:lineRule="exact"/>
              <w:jc w:val="left"/>
              <w:textAlignment w:val="auto"/>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（3）处3000元以上5000元以下罚款。</w:t>
            </w:r>
          </w:p>
        </w:tc>
      </w:tr>
      <w:tr w14:paraId="68658162">
        <w:tblPrEx>
          <w:tblCellMar>
            <w:top w:w="0" w:type="dxa"/>
            <w:left w:w="108" w:type="dxa"/>
            <w:bottom w:w="0" w:type="dxa"/>
            <w:right w:w="108" w:type="dxa"/>
          </w:tblCellMar>
        </w:tblPrEx>
        <w:trPr>
          <w:trHeight w:val="925" w:hRule="atLeast"/>
        </w:trPr>
        <w:tc>
          <w:tcPr>
            <w:tcW w:w="2775" w:type="dxa"/>
            <w:tcBorders>
              <w:top w:val="single" w:color="auto" w:sz="4" w:space="0"/>
              <w:left w:val="single" w:color="auto" w:sz="4" w:space="0"/>
              <w:bottom w:val="single" w:color="auto" w:sz="4" w:space="0"/>
              <w:right w:val="single" w:color="auto" w:sz="4" w:space="0"/>
            </w:tcBorders>
            <w:vAlign w:val="center"/>
          </w:tcPr>
          <w:p w14:paraId="342BFBCD">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338" w:type="dxa"/>
            <w:tcBorders>
              <w:top w:val="single" w:color="auto" w:sz="4" w:space="0"/>
              <w:left w:val="single" w:color="auto" w:sz="4" w:space="0"/>
              <w:bottom w:val="single" w:color="auto" w:sz="4" w:space="0"/>
              <w:right w:val="single" w:color="auto" w:sz="4" w:space="0"/>
            </w:tcBorders>
            <w:vAlign w:val="center"/>
          </w:tcPr>
          <w:p w14:paraId="6AA91BEA">
            <w:pPr>
              <w:widowControl w:val="0"/>
              <w:numPr>
                <w:ilvl w:val="0"/>
                <w:numId w:val="0"/>
              </w:numPr>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（1）造成感染性疾病暴发，病例数5例以下的；（2）造成感染性疾病暴发，病例数超过5例的。</w:t>
            </w:r>
          </w:p>
        </w:tc>
        <w:tc>
          <w:tcPr>
            <w:tcW w:w="4714" w:type="dxa"/>
            <w:tcBorders>
              <w:top w:val="single" w:color="auto" w:sz="4" w:space="0"/>
              <w:left w:val="single" w:color="auto" w:sz="4" w:space="0"/>
              <w:bottom w:val="single" w:color="auto" w:sz="4" w:space="0"/>
              <w:right w:val="single" w:color="auto" w:sz="4" w:space="0"/>
            </w:tcBorders>
            <w:vAlign w:val="center"/>
          </w:tcPr>
          <w:p w14:paraId="4FF524B0">
            <w:pPr>
              <w:widowControl w:val="0"/>
              <w:numPr>
                <w:ilvl w:val="0"/>
                <w:numId w:val="0"/>
              </w:numPr>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（1）处5000元以上10000元以下罚款；（2）处10000元以上20000元以下罚款。</w:t>
            </w:r>
          </w:p>
        </w:tc>
      </w:tr>
    </w:tbl>
    <w:p w14:paraId="4DFB7EC8">
      <w:pPr>
        <w:pStyle w:val="4"/>
        <w:widowControl w:val="0"/>
        <w:ind w:firstLine="640"/>
        <w:jc w:val="both"/>
        <w:rPr>
          <w:rFonts w:hint="eastAsia" w:cs="仿宋_GB2312"/>
          <w:bCs/>
          <w:color w:val="000000" w:themeColor="text1"/>
          <w14:textFill>
            <w14:solidFill>
              <w14:schemeClr w14:val="tx1"/>
            </w14:solidFill>
          </w14:textFill>
        </w:rPr>
      </w:pPr>
      <w:bookmarkStart w:id="1123" w:name="_Toc24271"/>
      <w:bookmarkStart w:id="1124" w:name="_Toc1715"/>
      <w:bookmarkStart w:id="1125" w:name="_Toc32097"/>
      <w:bookmarkStart w:id="1126" w:name="_Toc23648"/>
      <w:bookmarkStart w:id="1127" w:name="_Toc32515"/>
      <w:bookmarkStart w:id="1128" w:name="_Toc2222"/>
      <w:bookmarkStart w:id="1129" w:name="_Toc27702"/>
      <w:bookmarkStart w:id="1130" w:name="_Toc23626"/>
      <w:bookmarkStart w:id="1131" w:name="_Toc5036"/>
      <w:bookmarkStart w:id="1132" w:name="_Toc14497"/>
      <w:bookmarkStart w:id="1133" w:name="_Toc12347"/>
      <w:r>
        <w:rPr>
          <w:rFonts w:hint="eastAsia" w:cs="仿宋_GB2312"/>
          <w:bCs/>
          <w:color w:val="000000" w:themeColor="text1"/>
          <w14:textFill>
            <w14:solidFill>
              <w14:schemeClr w14:val="tx1"/>
            </w14:solidFill>
          </w14:textFill>
        </w:rPr>
        <w:t>第九十八条 医疗卫生机构的环境、物品不符合国家有关规范、标准和规定；排放废弃的污水、污物未按照国家有关规定进行无害化处理；运送传染病病人及其污染物品的车辆、工具未随时进行消毒处理的</w:t>
      </w:r>
      <w:bookmarkEnd w:id="1123"/>
      <w:bookmarkEnd w:id="1124"/>
      <w:bookmarkEnd w:id="1125"/>
      <w:bookmarkEnd w:id="1126"/>
      <w:bookmarkEnd w:id="1127"/>
      <w:bookmarkEnd w:id="1128"/>
      <w:bookmarkEnd w:id="1129"/>
      <w:bookmarkEnd w:id="1130"/>
      <w:bookmarkEnd w:id="1131"/>
      <w:bookmarkEnd w:id="1132"/>
      <w:bookmarkEnd w:id="1133"/>
    </w:p>
    <w:p w14:paraId="16C90D77">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8FCDFE4">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《消毒管理办法》第四十一条　医疗卫生机构违反本办法第四、五、六、七、八、九条规定的，由县级以上地方卫生计生行政部门责令限期改正，可以处5000元以下罚款；造成感染性疾病暴发的，可以处5000元以上20000元以下罚款。</w:t>
      </w:r>
    </w:p>
    <w:p w14:paraId="2A480905">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《消毒管理办法》第八条　医疗卫生机构的环境、物品应当符合国家有关规范、标准和规定。排放废弃的污水、污物应当按照国家有关规定进行无害化处理。运送传染病病人及其污染物品的车辆、工具必须随时进行消毒处理。　</w:t>
      </w:r>
    </w:p>
    <w:tbl>
      <w:tblPr>
        <w:tblStyle w:val="24"/>
        <w:tblW w:w="13895" w:type="dxa"/>
        <w:tblInd w:w="93" w:type="dxa"/>
        <w:tblLayout w:type="autofit"/>
        <w:tblCellMar>
          <w:top w:w="0" w:type="dxa"/>
          <w:left w:w="108" w:type="dxa"/>
          <w:bottom w:w="0" w:type="dxa"/>
          <w:right w:w="108" w:type="dxa"/>
        </w:tblCellMar>
      </w:tblPr>
      <w:tblGrid>
        <w:gridCol w:w="2059"/>
        <w:gridCol w:w="7704"/>
        <w:gridCol w:w="4132"/>
      </w:tblGrid>
      <w:tr w14:paraId="2FFE4F4F">
        <w:tblPrEx>
          <w:tblCellMar>
            <w:top w:w="0" w:type="dxa"/>
            <w:left w:w="108" w:type="dxa"/>
            <w:bottom w:w="0" w:type="dxa"/>
            <w:right w:w="108" w:type="dxa"/>
          </w:tblCellMar>
        </w:tblPrEx>
        <w:trPr>
          <w:trHeight w:val="680" w:hRule="atLeast"/>
        </w:trPr>
        <w:tc>
          <w:tcPr>
            <w:tcW w:w="13895" w:type="dxa"/>
            <w:gridSpan w:val="3"/>
            <w:tcBorders>
              <w:top w:val="nil"/>
              <w:left w:val="nil"/>
              <w:bottom w:val="single" w:color="auto" w:sz="4" w:space="0"/>
              <w:right w:val="nil"/>
            </w:tcBorders>
            <w:noWrap/>
            <w:vAlign w:val="center"/>
          </w:tcPr>
          <w:p w14:paraId="5116F0F0">
            <w:pPr>
              <w:widowControl w:val="0"/>
              <w:spacing w:after="0" w:line="440" w:lineRule="exact"/>
              <w:jc w:val="center"/>
              <w:textAlignment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c>
      </w:tr>
      <w:tr w14:paraId="67C35F9B">
        <w:tblPrEx>
          <w:tblCellMar>
            <w:top w:w="0" w:type="dxa"/>
            <w:left w:w="108" w:type="dxa"/>
            <w:bottom w:w="0" w:type="dxa"/>
            <w:right w:w="108" w:type="dxa"/>
          </w:tblCellMar>
        </w:tblPrEx>
        <w:trPr>
          <w:trHeight w:val="90" w:hRule="atLeast"/>
        </w:trPr>
        <w:tc>
          <w:tcPr>
            <w:tcW w:w="2059" w:type="dxa"/>
            <w:tcBorders>
              <w:top w:val="single" w:color="auto" w:sz="4" w:space="0"/>
              <w:left w:val="single" w:color="auto" w:sz="4" w:space="0"/>
              <w:bottom w:val="single" w:color="auto" w:sz="4" w:space="0"/>
              <w:right w:val="single" w:color="auto" w:sz="4" w:space="0"/>
            </w:tcBorders>
            <w:vAlign w:val="center"/>
          </w:tcPr>
          <w:p w14:paraId="205CCBE7">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04" w:type="dxa"/>
            <w:tcBorders>
              <w:top w:val="single" w:color="auto" w:sz="4" w:space="0"/>
              <w:left w:val="single" w:color="auto" w:sz="4" w:space="0"/>
              <w:bottom w:val="single" w:color="auto" w:sz="4" w:space="0"/>
              <w:right w:val="single" w:color="auto" w:sz="4" w:space="0"/>
            </w:tcBorders>
            <w:vAlign w:val="center"/>
          </w:tcPr>
          <w:p w14:paraId="4555D0FC">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32" w:type="dxa"/>
            <w:tcBorders>
              <w:top w:val="single" w:color="auto" w:sz="4" w:space="0"/>
              <w:left w:val="single" w:color="auto" w:sz="4" w:space="0"/>
              <w:bottom w:val="single" w:color="auto" w:sz="4" w:space="0"/>
              <w:right w:val="single" w:color="auto" w:sz="4" w:space="0"/>
            </w:tcBorders>
            <w:vAlign w:val="center"/>
          </w:tcPr>
          <w:p w14:paraId="2C283C88">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C634DCE">
        <w:tblPrEx>
          <w:tblCellMar>
            <w:top w:w="0" w:type="dxa"/>
            <w:left w:w="108" w:type="dxa"/>
            <w:bottom w:w="0" w:type="dxa"/>
            <w:right w:w="108" w:type="dxa"/>
          </w:tblCellMar>
        </w:tblPrEx>
        <w:trPr>
          <w:trHeight w:val="680" w:hRule="atLeast"/>
        </w:trPr>
        <w:tc>
          <w:tcPr>
            <w:tcW w:w="2059" w:type="dxa"/>
            <w:tcBorders>
              <w:top w:val="single" w:color="auto" w:sz="4" w:space="0"/>
              <w:left w:val="single" w:color="auto" w:sz="4" w:space="0"/>
              <w:bottom w:val="single" w:color="auto" w:sz="4" w:space="0"/>
              <w:right w:val="single" w:color="auto" w:sz="4" w:space="0"/>
            </w:tcBorders>
            <w:vAlign w:val="center"/>
          </w:tcPr>
          <w:p w14:paraId="605A166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轻微</w:t>
            </w:r>
          </w:p>
        </w:tc>
        <w:tc>
          <w:tcPr>
            <w:tcW w:w="7704" w:type="dxa"/>
            <w:tcBorders>
              <w:top w:val="single" w:color="auto" w:sz="4" w:space="0"/>
              <w:left w:val="single" w:color="auto" w:sz="4" w:space="0"/>
              <w:bottom w:val="single" w:color="auto" w:sz="4" w:space="0"/>
              <w:right w:val="single" w:color="auto" w:sz="4" w:space="0"/>
            </w:tcBorders>
            <w:vAlign w:val="center"/>
          </w:tcPr>
          <w:p w14:paraId="60AC456E">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违反本条其中任意一项的。</w:t>
            </w:r>
          </w:p>
        </w:tc>
        <w:tc>
          <w:tcPr>
            <w:tcW w:w="4132" w:type="dxa"/>
            <w:tcBorders>
              <w:top w:val="single" w:color="auto" w:sz="4" w:space="0"/>
              <w:left w:val="single" w:color="auto" w:sz="4" w:space="0"/>
              <w:bottom w:val="single" w:color="auto" w:sz="4" w:space="0"/>
              <w:right w:val="single" w:color="auto" w:sz="4" w:space="0"/>
            </w:tcBorders>
            <w:vAlign w:val="center"/>
          </w:tcPr>
          <w:p w14:paraId="3E0F9784">
            <w:pPr>
              <w:widowControl w:val="0"/>
              <w:numPr>
                <w:ilvl w:val="0"/>
                <w:numId w:val="0"/>
              </w:numPr>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违反其中任意一项的处3000元以下罚款。</w:t>
            </w:r>
          </w:p>
        </w:tc>
      </w:tr>
      <w:tr w14:paraId="4B7E9E19">
        <w:tblPrEx>
          <w:tblCellMar>
            <w:top w:w="0" w:type="dxa"/>
            <w:left w:w="108" w:type="dxa"/>
            <w:bottom w:w="0" w:type="dxa"/>
            <w:right w:w="108" w:type="dxa"/>
          </w:tblCellMar>
        </w:tblPrEx>
        <w:trPr>
          <w:trHeight w:val="680" w:hRule="atLeast"/>
        </w:trPr>
        <w:tc>
          <w:tcPr>
            <w:tcW w:w="2059" w:type="dxa"/>
            <w:tcBorders>
              <w:top w:val="single" w:color="auto" w:sz="4" w:space="0"/>
              <w:left w:val="single" w:color="auto" w:sz="4" w:space="0"/>
              <w:bottom w:val="single" w:color="auto" w:sz="4" w:space="0"/>
              <w:right w:val="single" w:color="auto" w:sz="4" w:space="0"/>
            </w:tcBorders>
            <w:shd w:val="clear" w:color="auto" w:fill="auto"/>
            <w:vAlign w:val="center"/>
          </w:tcPr>
          <w:p w14:paraId="756ED1F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04" w:type="dxa"/>
            <w:tcBorders>
              <w:top w:val="single" w:color="auto" w:sz="4" w:space="0"/>
              <w:left w:val="single" w:color="auto" w:sz="4" w:space="0"/>
              <w:bottom w:val="single" w:color="auto" w:sz="4" w:space="0"/>
              <w:right w:val="single" w:color="auto" w:sz="4" w:space="0"/>
            </w:tcBorders>
            <w:shd w:val="clear" w:color="auto" w:fill="auto"/>
            <w:vAlign w:val="center"/>
          </w:tcPr>
          <w:p w14:paraId="6AE82826">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违反本条其中任意两项的。</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14:paraId="0667F71B">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处3000元以上4000元以下罚款。</w:t>
            </w:r>
          </w:p>
        </w:tc>
      </w:tr>
      <w:tr w14:paraId="5DF4015B">
        <w:tblPrEx>
          <w:tblCellMar>
            <w:top w:w="0" w:type="dxa"/>
            <w:left w:w="108" w:type="dxa"/>
            <w:bottom w:w="0" w:type="dxa"/>
            <w:right w:w="108" w:type="dxa"/>
          </w:tblCellMar>
        </w:tblPrEx>
        <w:trPr>
          <w:trHeight w:val="680" w:hRule="atLeast"/>
        </w:trPr>
        <w:tc>
          <w:tcPr>
            <w:tcW w:w="2059" w:type="dxa"/>
            <w:tcBorders>
              <w:top w:val="single" w:color="auto" w:sz="4" w:space="0"/>
              <w:left w:val="single" w:color="auto" w:sz="4" w:space="0"/>
              <w:bottom w:val="single" w:color="auto" w:sz="4" w:space="0"/>
              <w:right w:val="single" w:color="auto" w:sz="4" w:space="0"/>
            </w:tcBorders>
            <w:shd w:val="clear" w:color="auto" w:fill="auto"/>
            <w:vAlign w:val="center"/>
          </w:tcPr>
          <w:p w14:paraId="7C66A615">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704" w:type="dxa"/>
            <w:tcBorders>
              <w:top w:val="single" w:color="auto" w:sz="4" w:space="0"/>
              <w:left w:val="single" w:color="auto" w:sz="4" w:space="0"/>
              <w:bottom w:val="single" w:color="auto" w:sz="4" w:space="0"/>
              <w:right w:val="single" w:color="auto" w:sz="4" w:space="0"/>
            </w:tcBorders>
            <w:shd w:val="clear" w:color="auto" w:fill="auto"/>
            <w:vAlign w:val="center"/>
          </w:tcPr>
          <w:p w14:paraId="33E0E189">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违反本条其中全部三项的。</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14:paraId="109D5E0A">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处4000元以上5000元以下罚款。</w:t>
            </w:r>
          </w:p>
        </w:tc>
      </w:tr>
      <w:tr w14:paraId="1F9D15A7">
        <w:tblPrEx>
          <w:tblCellMar>
            <w:top w:w="0" w:type="dxa"/>
            <w:left w:w="108" w:type="dxa"/>
            <w:bottom w:w="0" w:type="dxa"/>
            <w:right w:w="108" w:type="dxa"/>
          </w:tblCellMar>
        </w:tblPrEx>
        <w:trPr>
          <w:trHeight w:val="680" w:hRule="atLeast"/>
        </w:trPr>
        <w:tc>
          <w:tcPr>
            <w:tcW w:w="2059" w:type="dxa"/>
            <w:tcBorders>
              <w:top w:val="single" w:color="auto" w:sz="4" w:space="0"/>
              <w:left w:val="single" w:color="auto" w:sz="4" w:space="0"/>
              <w:bottom w:val="single" w:color="auto" w:sz="4" w:space="0"/>
              <w:right w:val="single" w:color="auto" w:sz="4" w:space="0"/>
            </w:tcBorders>
            <w:vAlign w:val="center"/>
          </w:tcPr>
          <w:p w14:paraId="50BEC67A">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704" w:type="dxa"/>
            <w:tcBorders>
              <w:top w:val="single" w:color="auto" w:sz="4" w:space="0"/>
              <w:left w:val="single" w:color="auto" w:sz="4" w:space="0"/>
              <w:bottom w:val="single" w:color="auto" w:sz="4" w:space="0"/>
              <w:right w:val="single" w:color="auto" w:sz="4" w:space="0"/>
            </w:tcBorders>
            <w:vAlign w:val="center"/>
          </w:tcPr>
          <w:p w14:paraId="16B2C3F7">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（1）造成感染性疾病暴发，病例数5例以下的；</w:t>
            </w:r>
          </w:p>
          <w:p w14:paraId="0B7B7C46">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（2）造成感染性疾病暴发，病例数超过5例的。</w:t>
            </w:r>
          </w:p>
        </w:tc>
        <w:tc>
          <w:tcPr>
            <w:tcW w:w="4132" w:type="dxa"/>
            <w:tcBorders>
              <w:top w:val="single" w:color="auto" w:sz="4" w:space="0"/>
              <w:left w:val="single" w:color="auto" w:sz="4" w:space="0"/>
              <w:bottom w:val="single" w:color="auto" w:sz="4" w:space="0"/>
              <w:right w:val="single" w:color="auto" w:sz="4" w:space="0"/>
            </w:tcBorders>
            <w:vAlign w:val="center"/>
          </w:tcPr>
          <w:p w14:paraId="3E42F1B7">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（1）处5000元以上10000元以下罚款；（2）处10000元以上20000元以下罚款。</w:t>
            </w:r>
          </w:p>
        </w:tc>
      </w:tr>
    </w:tbl>
    <w:p w14:paraId="627233B5">
      <w:pPr>
        <w:pStyle w:val="4"/>
        <w:widowControl w:val="0"/>
        <w:ind w:firstLine="640"/>
        <w:jc w:val="both"/>
        <w:rPr>
          <w:rFonts w:hint="eastAsia" w:cs="仿宋_GB2312"/>
          <w:bCs/>
          <w:color w:val="000000" w:themeColor="text1"/>
          <w14:textFill>
            <w14:solidFill>
              <w14:schemeClr w14:val="tx1"/>
            </w14:solidFill>
          </w14:textFill>
        </w:rPr>
      </w:pPr>
      <w:bookmarkStart w:id="1134" w:name="_Toc10493"/>
      <w:bookmarkStart w:id="1135" w:name="_Toc2516"/>
      <w:bookmarkStart w:id="1136" w:name="_Toc4650"/>
      <w:bookmarkStart w:id="1137" w:name="_Toc25463"/>
      <w:bookmarkStart w:id="1138" w:name="_Toc15045"/>
      <w:bookmarkStart w:id="1139" w:name="_Toc12827"/>
      <w:bookmarkStart w:id="1140" w:name="_Toc21804"/>
      <w:bookmarkStart w:id="1141" w:name="_Toc15417"/>
      <w:bookmarkStart w:id="1142" w:name="_Toc31116"/>
      <w:bookmarkStart w:id="1143" w:name="_Toc22317"/>
      <w:bookmarkStart w:id="1144" w:name="_Toc5073"/>
      <w:r>
        <w:rPr>
          <w:rFonts w:hint="eastAsia" w:cs="仿宋_GB2312"/>
          <w:bCs/>
          <w:color w:val="000000" w:themeColor="text1"/>
          <w14:textFill>
            <w14:solidFill>
              <w14:schemeClr w14:val="tx1"/>
            </w14:solidFill>
          </w14:textFill>
        </w:rPr>
        <w:t>第九十九条 医疗卫生机构发生感染性疾病暴发、流行时，未及时报告当地卫生计生行政部门，并采取有效消毒措施的</w:t>
      </w:r>
      <w:bookmarkEnd w:id="1134"/>
      <w:bookmarkEnd w:id="1135"/>
      <w:bookmarkEnd w:id="1136"/>
      <w:bookmarkEnd w:id="1137"/>
      <w:bookmarkEnd w:id="1138"/>
      <w:bookmarkEnd w:id="1139"/>
      <w:bookmarkEnd w:id="1140"/>
      <w:bookmarkEnd w:id="1141"/>
      <w:bookmarkEnd w:id="1142"/>
      <w:bookmarkEnd w:id="1143"/>
      <w:bookmarkEnd w:id="1144"/>
    </w:p>
    <w:p w14:paraId="0C0C7EA1">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69FA589">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《消毒管理办法》第四十一条　医疗卫生机构违反本办法第四、五、六、七、八、九条规定的，由县级以上地方卫生计生行政部门责令限期改正，可以处5000元以下罚款；造成感染性疾病暴发的，可以处5000元以上20000元以下罚款。</w:t>
      </w:r>
    </w:p>
    <w:p w14:paraId="239CC550">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《消毒管理办法》第九条　医疗卫生机构发生感染性疾病暴发、流行时，应当及时报告当地卫生计生行政部门，并采取有效消毒措施。</w:t>
      </w:r>
    </w:p>
    <w:p w14:paraId="76D9E47E">
      <w:pPr>
        <w:widowControl w:val="0"/>
        <w:spacing w:after="0" w:line="440" w:lineRule="exact"/>
        <w:ind w:firstLine="0" w:firstLineChars="0"/>
        <w:jc w:val="center"/>
        <w:rPr>
          <w:rFonts w:hint="eastAsia" w:ascii="Times New Roman" w:hAnsi="Times New Roman" w:eastAsia="仿宋_GB2312" w:cs="仿宋_GB2312"/>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54" w:type="dxa"/>
        <w:tblInd w:w="91" w:type="dxa"/>
        <w:tblLayout w:type="fixed"/>
        <w:tblCellMar>
          <w:top w:w="0" w:type="dxa"/>
          <w:left w:w="108" w:type="dxa"/>
          <w:bottom w:w="0" w:type="dxa"/>
          <w:right w:w="108" w:type="dxa"/>
        </w:tblCellMar>
      </w:tblPr>
      <w:tblGrid>
        <w:gridCol w:w="1800"/>
        <w:gridCol w:w="7780"/>
        <w:gridCol w:w="4274"/>
      </w:tblGrid>
      <w:tr w14:paraId="527DFEC7">
        <w:tblPrEx>
          <w:tblCellMar>
            <w:top w:w="0" w:type="dxa"/>
            <w:left w:w="108" w:type="dxa"/>
            <w:bottom w:w="0" w:type="dxa"/>
            <w:right w:w="108" w:type="dxa"/>
          </w:tblCellMar>
        </w:tblPrEx>
        <w:trPr>
          <w:trHeight w:val="642" w:hRule="atLeast"/>
        </w:trPr>
        <w:tc>
          <w:tcPr>
            <w:tcW w:w="1800" w:type="dxa"/>
            <w:tcBorders>
              <w:top w:val="single" w:color="auto" w:sz="4" w:space="0"/>
              <w:left w:val="single" w:color="auto" w:sz="4" w:space="0"/>
              <w:bottom w:val="single" w:color="auto" w:sz="4" w:space="0"/>
              <w:right w:val="single" w:color="auto" w:sz="4" w:space="0"/>
            </w:tcBorders>
            <w:vAlign w:val="center"/>
          </w:tcPr>
          <w:p w14:paraId="13840672">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80" w:type="dxa"/>
            <w:tcBorders>
              <w:top w:val="single" w:color="auto" w:sz="4" w:space="0"/>
              <w:left w:val="single" w:color="auto" w:sz="4" w:space="0"/>
              <w:bottom w:val="single" w:color="auto" w:sz="4" w:space="0"/>
              <w:right w:val="single" w:color="auto" w:sz="4" w:space="0"/>
            </w:tcBorders>
            <w:vAlign w:val="center"/>
          </w:tcPr>
          <w:p w14:paraId="3AF09AFF">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74" w:type="dxa"/>
            <w:tcBorders>
              <w:top w:val="single" w:color="auto" w:sz="4" w:space="0"/>
              <w:left w:val="single" w:color="auto" w:sz="4" w:space="0"/>
              <w:bottom w:val="single" w:color="auto" w:sz="4" w:space="0"/>
              <w:right w:val="single" w:color="auto" w:sz="4" w:space="0"/>
            </w:tcBorders>
            <w:vAlign w:val="center"/>
          </w:tcPr>
          <w:p w14:paraId="18D337BE">
            <w:pPr>
              <w:spacing w:after="0" w:line="240" w:lineRule="auto"/>
              <w:jc w:val="center"/>
              <w:textAlignment w:val="auto"/>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8DCD418">
        <w:tblPrEx>
          <w:tblCellMar>
            <w:top w:w="0" w:type="dxa"/>
            <w:left w:w="108" w:type="dxa"/>
            <w:bottom w:w="0" w:type="dxa"/>
            <w:right w:w="108" w:type="dxa"/>
          </w:tblCellMar>
        </w:tblPrEx>
        <w:trPr>
          <w:trHeight w:val="698" w:hRule="atLeast"/>
        </w:trPr>
        <w:tc>
          <w:tcPr>
            <w:tcW w:w="1800" w:type="dxa"/>
            <w:vMerge w:val="restart"/>
            <w:tcBorders>
              <w:top w:val="single" w:color="auto" w:sz="4" w:space="0"/>
              <w:left w:val="single" w:color="auto" w:sz="4" w:space="0"/>
              <w:bottom w:val="single" w:color="auto" w:sz="4" w:space="0"/>
              <w:right w:val="single" w:color="auto" w:sz="4" w:space="0"/>
            </w:tcBorders>
            <w:vAlign w:val="center"/>
          </w:tcPr>
          <w:p w14:paraId="0A2C938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轻微</w:t>
            </w:r>
          </w:p>
        </w:tc>
        <w:tc>
          <w:tcPr>
            <w:tcW w:w="7780" w:type="dxa"/>
            <w:tcBorders>
              <w:top w:val="single" w:color="auto" w:sz="4" w:space="0"/>
              <w:left w:val="single" w:color="auto" w:sz="4" w:space="0"/>
              <w:bottom w:val="single" w:color="auto" w:sz="4" w:space="0"/>
              <w:right w:val="single" w:color="auto" w:sz="4" w:space="0"/>
            </w:tcBorders>
            <w:vAlign w:val="center"/>
          </w:tcPr>
          <w:p w14:paraId="53B00233">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医疗卫生机构发生感染性疾病暴发、流行时，报告当地卫生行政部门时限超过法定报告时限的一倍，采取有效消毒措施的。</w:t>
            </w:r>
          </w:p>
        </w:tc>
        <w:tc>
          <w:tcPr>
            <w:tcW w:w="4274" w:type="dxa"/>
            <w:tcBorders>
              <w:top w:val="single" w:color="auto" w:sz="4" w:space="0"/>
              <w:left w:val="single" w:color="auto" w:sz="4" w:space="0"/>
              <w:bottom w:val="single" w:color="auto" w:sz="4" w:space="0"/>
              <w:right w:val="single" w:color="auto" w:sz="4" w:space="0"/>
            </w:tcBorders>
            <w:vAlign w:val="center"/>
          </w:tcPr>
          <w:p w14:paraId="72520896">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处1000元以下罚款。</w:t>
            </w:r>
          </w:p>
        </w:tc>
      </w:tr>
      <w:tr w14:paraId="2482DA7C">
        <w:tblPrEx>
          <w:tblCellMar>
            <w:top w:w="0" w:type="dxa"/>
            <w:left w:w="108" w:type="dxa"/>
            <w:bottom w:w="0" w:type="dxa"/>
            <w:right w:w="108" w:type="dxa"/>
          </w:tblCellMar>
        </w:tblPrEx>
        <w:trPr>
          <w:trHeight w:val="687" w:hRule="atLeast"/>
        </w:trPr>
        <w:tc>
          <w:tcPr>
            <w:tcW w:w="1800" w:type="dxa"/>
            <w:vMerge w:val="continue"/>
            <w:tcBorders>
              <w:top w:val="single" w:color="auto" w:sz="4" w:space="0"/>
              <w:left w:val="single" w:color="auto" w:sz="4" w:space="0"/>
              <w:bottom w:val="single" w:color="auto" w:sz="4" w:space="0"/>
              <w:right w:val="single" w:color="auto" w:sz="4" w:space="0"/>
            </w:tcBorders>
            <w:vAlign w:val="center"/>
          </w:tcPr>
          <w:p w14:paraId="227D38F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780" w:type="dxa"/>
            <w:tcBorders>
              <w:top w:val="single" w:color="auto" w:sz="4" w:space="0"/>
              <w:left w:val="single" w:color="auto" w:sz="4" w:space="0"/>
              <w:bottom w:val="single" w:color="auto" w:sz="4" w:space="0"/>
              <w:right w:val="single" w:color="auto" w:sz="4" w:space="0"/>
            </w:tcBorders>
            <w:vAlign w:val="center"/>
          </w:tcPr>
          <w:p w14:paraId="464D2D53">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医疗卫生机构发生感染性疾病暴发、流行时，报告当地卫生行政部门时限超过法定报告时限的二倍及以上，采取有效消毒措施的。</w:t>
            </w:r>
          </w:p>
        </w:tc>
        <w:tc>
          <w:tcPr>
            <w:tcW w:w="4274" w:type="dxa"/>
            <w:tcBorders>
              <w:top w:val="single" w:color="auto" w:sz="4" w:space="0"/>
              <w:left w:val="single" w:color="auto" w:sz="4" w:space="0"/>
              <w:bottom w:val="single" w:color="auto" w:sz="4" w:space="0"/>
              <w:right w:val="single" w:color="auto" w:sz="4" w:space="0"/>
            </w:tcBorders>
            <w:vAlign w:val="center"/>
          </w:tcPr>
          <w:p w14:paraId="32E466B5">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处1000元以上2000元以下罚款。</w:t>
            </w:r>
          </w:p>
        </w:tc>
      </w:tr>
      <w:tr w14:paraId="7340DE37">
        <w:tblPrEx>
          <w:tblCellMar>
            <w:top w:w="0" w:type="dxa"/>
            <w:left w:w="108" w:type="dxa"/>
            <w:bottom w:w="0" w:type="dxa"/>
            <w:right w:w="108" w:type="dxa"/>
          </w:tblCellMar>
        </w:tblPrEx>
        <w:trPr>
          <w:trHeight w:val="535" w:hRule="atLeast"/>
        </w:trPr>
        <w:tc>
          <w:tcPr>
            <w:tcW w:w="1800" w:type="dxa"/>
            <w:tcBorders>
              <w:top w:val="single" w:color="auto" w:sz="4" w:space="0"/>
              <w:left w:val="single" w:color="auto" w:sz="4" w:space="0"/>
              <w:bottom w:val="single" w:color="auto" w:sz="4" w:space="0"/>
              <w:right w:val="single" w:color="auto" w:sz="4" w:space="0"/>
            </w:tcBorders>
            <w:vAlign w:val="center"/>
          </w:tcPr>
          <w:p w14:paraId="5ACFF4D4">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80" w:type="dxa"/>
            <w:tcBorders>
              <w:top w:val="single" w:color="auto" w:sz="4" w:space="0"/>
              <w:left w:val="single" w:color="auto" w:sz="4" w:space="0"/>
              <w:bottom w:val="single" w:color="auto" w:sz="4" w:space="0"/>
              <w:right w:val="single" w:color="auto" w:sz="4" w:space="0"/>
            </w:tcBorders>
            <w:vAlign w:val="center"/>
          </w:tcPr>
          <w:p w14:paraId="3DE452B2">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未采取有效消毒措施的。</w:t>
            </w:r>
          </w:p>
        </w:tc>
        <w:tc>
          <w:tcPr>
            <w:tcW w:w="4274" w:type="dxa"/>
            <w:tcBorders>
              <w:top w:val="single" w:color="auto" w:sz="4" w:space="0"/>
              <w:left w:val="single" w:color="auto" w:sz="4" w:space="0"/>
              <w:bottom w:val="single" w:color="auto" w:sz="4" w:space="0"/>
              <w:right w:val="single" w:color="auto" w:sz="4" w:space="0"/>
            </w:tcBorders>
            <w:vAlign w:val="center"/>
          </w:tcPr>
          <w:p w14:paraId="718DDF90">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处2000元以上3000元以下罚款。</w:t>
            </w:r>
          </w:p>
        </w:tc>
      </w:tr>
      <w:tr w14:paraId="5E79D662">
        <w:tblPrEx>
          <w:tblCellMar>
            <w:top w:w="0" w:type="dxa"/>
            <w:left w:w="108" w:type="dxa"/>
            <w:bottom w:w="0" w:type="dxa"/>
            <w:right w:w="108" w:type="dxa"/>
          </w:tblCellMar>
        </w:tblPrEx>
        <w:trPr>
          <w:trHeight w:val="765" w:hRule="atLeast"/>
        </w:trPr>
        <w:tc>
          <w:tcPr>
            <w:tcW w:w="1800" w:type="dxa"/>
            <w:vMerge w:val="restart"/>
            <w:tcBorders>
              <w:top w:val="single" w:color="auto" w:sz="4" w:space="0"/>
              <w:left w:val="single" w:color="auto" w:sz="4" w:space="0"/>
              <w:bottom w:val="single" w:color="auto" w:sz="4" w:space="0"/>
              <w:right w:val="single" w:color="auto" w:sz="4" w:space="0"/>
            </w:tcBorders>
            <w:vAlign w:val="center"/>
          </w:tcPr>
          <w:p w14:paraId="013FEC1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780" w:type="dxa"/>
            <w:tcBorders>
              <w:top w:val="single" w:color="auto" w:sz="4" w:space="0"/>
              <w:left w:val="single" w:color="auto" w:sz="4" w:space="0"/>
              <w:bottom w:val="single" w:color="auto" w:sz="4" w:space="0"/>
              <w:right w:val="single" w:color="auto" w:sz="4" w:space="0"/>
            </w:tcBorders>
            <w:vAlign w:val="center"/>
          </w:tcPr>
          <w:p w14:paraId="3600075F">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医疗卫生机构发生感染性疾病暴发、流行时，报告当地卫生行政部门时限超过法定报告时限的一倍，未采取有效消毒措施的。</w:t>
            </w:r>
          </w:p>
        </w:tc>
        <w:tc>
          <w:tcPr>
            <w:tcW w:w="4274" w:type="dxa"/>
            <w:tcBorders>
              <w:top w:val="single" w:color="auto" w:sz="4" w:space="0"/>
              <w:left w:val="single" w:color="auto" w:sz="4" w:space="0"/>
              <w:bottom w:val="single" w:color="auto" w:sz="4" w:space="0"/>
              <w:right w:val="single" w:color="auto" w:sz="4" w:space="0"/>
            </w:tcBorders>
            <w:vAlign w:val="center"/>
          </w:tcPr>
          <w:p w14:paraId="06DF2F09">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处3000元以上4000元以下罚款。</w:t>
            </w:r>
          </w:p>
        </w:tc>
      </w:tr>
      <w:tr w14:paraId="23731FFF">
        <w:tblPrEx>
          <w:tblCellMar>
            <w:top w:w="0" w:type="dxa"/>
            <w:left w:w="108" w:type="dxa"/>
            <w:bottom w:w="0" w:type="dxa"/>
            <w:right w:w="108" w:type="dxa"/>
          </w:tblCellMar>
        </w:tblPrEx>
        <w:trPr>
          <w:trHeight w:val="765" w:hRule="atLeast"/>
        </w:trPr>
        <w:tc>
          <w:tcPr>
            <w:tcW w:w="1800" w:type="dxa"/>
            <w:vMerge w:val="continue"/>
            <w:tcBorders>
              <w:top w:val="single" w:color="auto" w:sz="4" w:space="0"/>
              <w:left w:val="single" w:color="auto" w:sz="4" w:space="0"/>
              <w:bottom w:val="single" w:color="auto" w:sz="4" w:space="0"/>
              <w:right w:val="single" w:color="auto" w:sz="4" w:space="0"/>
            </w:tcBorders>
            <w:vAlign w:val="center"/>
          </w:tcPr>
          <w:p w14:paraId="60C8AA16">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780" w:type="dxa"/>
            <w:tcBorders>
              <w:top w:val="single" w:color="auto" w:sz="4" w:space="0"/>
              <w:left w:val="single" w:color="auto" w:sz="4" w:space="0"/>
              <w:bottom w:val="single" w:color="auto" w:sz="4" w:space="0"/>
              <w:right w:val="single" w:color="auto" w:sz="4" w:space="0"/>
            </w:tcBorders>
            <w:shd w:val="clear" w:color="auto" w:fill="auto"/>
            <w:vAlign w:val="center"/>
          </w:tcPr>
          <w:p w14:paraId="191728EB">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医疗卫生机构发生感染性疾病暴发、流行时，报告当地卫生行政部门时限超过法定报告时限的二倍以上，未采取有效消毒措施的。</w:t>
            </w:r>
          </w:p>
        </w:tc>
        <w:tc>
          <w:tcPr>
            <w:tcW w:w="4274" w:type="dxa"/>
            <w:tcBorders>
              <w:top w:val="single" w:color="auto" w:sz="4" w:space="0"/>
              <w:left w:val="single" w:color="auto" w:sz="4" w:space="0"/>
              <w:bottom w:val="single" w:color="auto" w:sz="4" w:space="0"/>
              <w:right w:val="single" w:color="auto" w:sz="4" w:space="0"/>
            </w:tcBorders>
            <w:vAlign w:val="center"/>
          </w:tcPr>
          <w:p w14:paraId="60DDBBAD">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处4000元以上5000元以下罚款。</w:t>
            </w:r>
          </w:p>
        </w:tc>
      </w:tr>
      <w:tr w14:paraId="378D9EBD">
        <w:tblPrEx>
          <w:tblCellMar>
            <w:top w:w="0" w:type="dxa"/>
            <w:left w:w="108" w:type="dxa"/>
            <w:bottom w:w="0" w:type="dxa"/>
            <w:right w:w="108" w:type="dxa"/>
          </w:tblCellMar>
        </w:tblPrEx>
        <w:trPr>
          <w:trHeight w:val="765" w:hRule="atLeast"/>
        </w:trPr>
        <w:tc>
          <w:tcPr>
            <w:tcW w:w="1800" w:type="dxa"/>
            <w:vMerge w:val="restart"/>
            <w:tcBorders>
              <w:top w:val="single" w:color="auto" w:sz="4" w:space="0"/>
              <w:left w:val="single" w:color="auto" w:sz="4" w:space="0"/>
              <w:bottom w:val="single" w:color="auto" w:sz="4" w:space="0"/>
              <w:right w:val="single" w:color="auto" w:sz="4" w:space="0"/>
            </w:tcBorders>
            <w:vAlign w:val="center"/>
          </w:tcPr>
          <w:p w14:paraId="3C30297A">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780" w:type="dxa"/>
            <w:tcBorders>
              <w:top w:val="single" w:color="auto" w:sz="4" w:space="0"/>
              <w:left w:val="single" w:color="auto" w:sz="4" w:space="0"/>
              <w:bottom w:val="single" w:color="auto" w:sz="4" w:space="0"/>
              <w:right w:val="single" w:color="auto" w:sz="4" w:space="0"/>
            </w:tcBorders>
            <w:shd w:val="clear" w:color="auto" w:fill="auto"/>
            <w:vAlign w:val="center"/>
          </w:tcPr>
          <w:p w14:paraId="1F0112A4">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医疗卫生机构发生感染性疾病暴发、流行时，未及时报告当地卫生计生行政部门，并采取有效消毒措施，造成感染性疾病暴发，病例数5例以下的。</w:t>
            </w:r>
          </w:p>
        </w:tc>
        <w:tc>
          <w:tcPr>
            <w:tcW w:w="4274" w:type="dxa"/>
            <w:tcBorders>
              <w:top w:val="single" w:color="auto" w:sz="4" w:space="0"/>
              <w:left w:val="single" w:color="auto" w:sz="4" w:space="0"/>
              <w:bottom w:val="single" w:color="auto" w:sz="4" w:space="0"/>
              <w:right w:val="single" w:color="auto" w:sz="4" w:space="0"/>
            </w:tcBorders>
            <w:vAlign w:val="center"/>
          </w:tcPr>
          <w:p w14:paraId="40707533">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处5000元以上10000元以下罚款。</w:t>
            </w:r>
          </w:p>
        </w:tc>
      </w:tr>
      <w:tr w14:paraId="72DFB3DF">
        <w:tblPrEx>
          <w:tblCellMar>
            <w:top w:w="0" w:type="dxa"/>
            <w:left w:w="108" w:type="dxa"/>
            <w:bottom w:w="0" w:type="dxa"/>
            <w:right w:w="108" w:type="dxa"/>
          </w:tblCellMar>
        </w:tblPrEx>
        <w:trPr>
          <w:trHeight w:val="765" w:hRule="atLeast"/>
        </w:trPr>
        <w:tc>
          <w:tcPr>
            <w:tcW w:w="1800" w:type="dxa"/>
            <w:vMerge w:val="continue"/>
            <w:tcBorders>
              <w:top w:val="single" w:color="auto" w:sz="4" w:space="0"/>
              <w:left w:val="single" w:color="auto" w:sz="4" w:space="0"/>
              <w:bottom w:val="single" w:color="auto" w:sz="4" w:space="0"/>
              <w:right w:val="single" w:color="auto" w:sz="4" w:space="0"/>
            </w:tcBorders>
            <w:vAlign w:val="center"/>
          </w:tcPr>
          <w:p w14:paraId="306825F1">
            <w:pPr>
              <w:widowControl w:val="0"/>
              <w:spacing w:after="0" w:line="440" w:lineRule="exact"/>
              <w:jc w:val="center"/>
              <w:rPr>
                <w:rFonts w:hint="eastAsia" w:ascii="Times New Roman" w:hAnsi="Times New Roman" w:eastAsia="仿宋_GB2312" w:cs="仿宋_GB2312"/>
                <w:b/>
                <w:bCs/>
                <w:color w:val="000000" w:themeColor="text1"/>
                <w:sz w:val="24"/>
                <w:szCs w:val="24"/>
                <w:lang w:bidi="ar"/>
                <w14:textFill>
                  <w14:solidFill>
                    <w14:schemeClr w14:val="tx1"/>
                  </w14:solidFill>
                </w14:textFill>
              </w:rPr>
            </w:pPr>
          </w:p>
        </w:tc>
        <w:tc>
          <w:tcPr>
            <w:tcW w:w="7780" w:type="dxa"/>
            <w:tcBorders>
              <w:top w:val="single" w:color="auto" w:sz="4" w:space="0"/>
              <w:left w:val="single" w:color="auto" w:sz="4" w:space="0"/>
              <w:bottom w:val="single" w:color="auto" w:sz="4" w:space="0"/>
              <w:right w:val="single" w:color="auto" w:sz="4" w:space="0"/>
            </w:tcBorders>
            <w:shd w:val="clear" w:color="auto" w:fill="auto"/>
            <w:vAlign w:val="center"/>
          </w:tcPr>
          <w:p w14:paraId="18D80DDF">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医疗卫生机构发生感染性疾病暴发、流行时，未及时报告当地卫生计生行政部门，并采取有效消毒措施，造成感染性疾病暴发，病例数5例以上的。</w:t>
            </w:r>
          </w:p>
        </w:tc>
        <w:tc>
          <w:tcPr>
            <w:tcW w:w="4274" w:type="dxa"/>
            <w:tcBorders>
              <w:top w:val="single" w:color="auto" w:sz="4" w:space="0"/>
              <w:left w:val="single" w:color="auto" w:sz="4" w:space="0"/>
              <w:bottom w:val="single" w:color="auto" w:sz="4" w:space="0"/>
              <w:right w:val="single" w:color="auto" w:sz="4" w:space="0"/>
            </w:tcBorders>
            <w:vAlign w:val="center"/>
          </w:tcPr>
          <w:p w14:paraId="11AF94AD">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处10000元以上20000元以下罚款。</w:t>
            </w:r>
          </w:p>
        </w:tc>
      </w:tr>
    </w:tbl>
    <w:p w14:paraId="2CA33329">
      <w:pPr>
        <w:pStyle w:val="4"/>
        <w:widowControl w:val="0"/>
        <w:ind w:firstLine="640"/>
        <w:jc w:val="both"/>
        <w:rPr>
          <w:rFonts w:hint="eastAsia" w:cs="仿宋_GB2312"/>
          <w:bCs/>
          <w:color w:val="000000" w:themeColor="text1"/>
          <w14:textFill>
            <w14:solidFill>
              <w14:schemeClr w14:val="tx1"/>
            </w14:solidFill>
          </w14:textFill>
        </w:rPr>
      </w:pPr>
      <w:bookmarkStart w:id="1145" w:name="_Toc19580"/>
      <w:bookmarkStart w:id="1146" w:name="_Toc27439"/>
      <w:bookmarkStart w:id="1147" w:name="_Toc18303"/>
      <w:bookmarkStart w:id="1148" w:name="_Toc6801"/>
      <w:bookmarkStart w:id="1149" w:name="_Toc12839"/>
      <w:bookmarkStart w:id="1150" w:name="_Toc21497"/>
      <w:bookmarkStart w:id="1151" w:name="_Toc25576"/>
      <w:bookmarkStart w:id="1152" w:name="_Toc5250"/>
      <w:bookmarkStart w:id="1153" w:name="_Toc3499"/>
      <w:bookmarkStart w:id="1154" w:name="_Toc14570"/>
      <w:bookmarkStart w:id="1155" w:name="_Toc20315"/>
      <w:r>
        <w:rPr>
          <w:rFonts w:hint="eastAsia" w:cs="仿宋_GB2312"/>
          <w:bCs/>
          <w:color w:val="000000" w:themeColor="text1"/>
          <w14:textFill>
            <w14:solidFill>
              <w14:schemeClr w14:val="tx1"/>
            </w14:solidFill>
          </w14:textFill>
        </w:rPr>
        <w:t>第一百条 消毒产品的命名、标签（含说明书）不符合卫生部的有关规定的，或消毒产品的标签（含说明书）和宣传内容不真实，出现或暗示对疾病的治疗效果的</w:t>
      </w:r>
      <w:bookmarkEnd w:id="1145"/>
      <w:bookmarkEnd w:id="1146"/>
      <w:bookmarkEnd w:id="1147"/>
      <w:bookmarkEnd w:id="1148"/>
      <w:bookmarkEnd w:id="1149"/>
      <w:bookmarkEnd w:id="1150"/>
      <w:bookmarkEnd w:id="1151"/>
      <w:bookmarkEnd w:id="1152"/>
      <w:bookmarkEnd w:id="1153"/>
      <w:bookmarkEnd w:id="1154"/>
      <w:bookmarkEnd w:id="1155"/>
    </w:p>
    <w:p w14:paraId="745AFAF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25CEA85">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《消毒管理办法》第四十三条　消毒产品生产经营单位违反本办法第三十一条、第三十二条规定的，由县级以上地方卫生计生行政部门责令其限期改正，可以处5000元以下罚款；造成感染性疾病暴发的，可以处5000元以上20000元以下的罚款。</w:t>
      </w:r>
    </w:p>
    <w:p w14:paraId="1FBD49A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《消毒管理办法》第三十一条　消毒产品的命名、标签（含说明书）应当符合国家卫生计生委的有关规定。　　</w:t>
      </w:r>
    </w:p>
    <w:p w14:paraId="02C2106C">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消毒产品的标签（含说明书）和宣传内容必须真实，不得出现或暗示对疾病的治疗效果。　</w:t>
      </w:r>
    </w:p>
    <w:p w14:paraId="4B760331">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4010" w:type="dxa"/>
        <w:tblInd w:w="93" w:type="dxa"/>
        <w:tblLayout w:type="autofit"/>
        <w:tblCellMar>
          <w:top w:w="0" w:type="dxa"/>
          <w:left w:w="108" w:type="dxa"/>
          <w:bottom w:w="0" w:type="dxa"/>
          <w:right w:w="108" w:type="dxa"/>
        </w:tblCellMar>
      </w:tblPr>
      <w:tblGrid>
        <w:gridCol w:w="1595"/>
        <w:gridCol w:w="7658"/>
        <w:gridCol w:w="4757"/>
      </w:tblGrid>
      <w:tr w14:paraId="109493B2">
        <w:tblPrEx>
          <w:tblCellMar>
            <w:top w:w="0" w:type="dxa"/>
            <w:left w:w="108" w:type="dxa"/>
            <w:bottom w:w="0" w:type="dxa"/>
            <w:right w:w="108" w:type="dxa"/>
          </w:tblCellMar>
        </w:tblPrEx>
        <w:trPr>
          <w:trHeight w:val="737" w:hRule="atLeast"/>
        </w:trPr>
        <w:tc>
          <w:tcPr>
            <w:tcW w:w="1595" w:type="dxa"/>
            <w:tcBorders>
              <w:top w:val="single" w:color="auto" w:sz="4" w:space="0"/>
              <w:left w:val="single" w:color="auto" w:sz="4" w:space="0"/>
              <w:bottom w:val="single" w:color="auto" w:sz="4" w:space="0"/>
              <w:right w:val="single" w:color="auto" w:sz="4" w:space="0"/>
            </w:tcBorders>
            <w:vAlign w:val="center"/>
          </w:tcPr>
          <w:p w14:paraId="0E1D779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58" w:type="dxa"/>
            <w:tcBorders>
              <w:top w:val="single" w:color="auto" w:sz="4" w:space="0"/>
              <w:left w:val="single" w:color="auto" w:sz="4" w:space="0"/>
              <w:bottom w:val="single" w:color="auto" w:sz="4" w:space="0"/>
              <w:right w:val="single" w:color="auto" w:sz="4" w:space="0"/>
            </w:tcBorders>
            <w:vAlign w:val="center"/>
          </w:tcPr>
          <w:p w14:paraId="24B4E8A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757" w:type="dxa"/>
            <w:tcBorders>
              <w:top w:val="single" w:color="auto" w:sz="4" w:space="0"/>
              <w:left w:val="single" w:color="auto" w:sz="4" w:space="0"/>
              <w:bottom w:val="single" w:color="auto" w:sz="4" w:space="0"/>
              <w:right w:val="single" w:color="auto" w:sz="4" w:space="0"/>
            </w:tcBorders>
            <w:vAlign w:val="center"/>
          </w:tcPr>
          <w:p w14:paraId="4D8E303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D59F1D5">
        <w:tblPrEx>
          <w:tblCellMar>
            <w:top w:w="0" w:type="dxa"/>
            <w:left w:w="108" w:type="dxa"/>
            <w:bottom w:w="0" w:type="dxa"/>
            <w:right w:w="108" w:type="dxa"/>
          </w:tblCellMar>
        </w:tblPrEx>
        <w:trPr>
          <w:trHeight w:val="510" w:hRule="atLeast"/>
        </w:trPr>
        <w:tc>
          <w:tcPr>
            <w:tcW w:w="1595" w:type="dxa"/>
            <w:tcBorders>
              <w:top w:val="single" w:color="auto" w:sz="4" w:space="0"/>
              <w:left w:val="single" w:color="auto" w:sz="4" w:space="0"/>
              <w:bottom w:val="single" w:color="auto" w:sz="4" w:space="0"/>
              <w:right w:val="single" w:color="auto" w:sz="4" w:space="0"/>
            </w:tcBorders>
            <w:vAlign w:val="center"/>
          </w:tcPr>
          <w:p w14:paraId="79A912FE">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658" w:type="dxa"/>
            <w:tcBorders>
              <w:top w:val="single" w:color="auto" w:sz="4" w:space="0"/>
              <w:left w:val="single" w:color="auto" w:sz="4" w:space="0"/>
              <w:bottom w:val="single" w:color="auto" w:sz="4" w:space="0"/>
              <w:right w:val="single" w:color="auto" w:sz="4" w:space="0"/>
            </w:tcBorders>
            <w:vAlign w:val="center"/>
          </w:tcPr>
          <w:p w14:paraId="7A46A2E1">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消毒产品命名、标签（含说明书）不符合有关规定的。</w:t>
            </w:r>
          </w:p>
        </w:tc>
        <w:tc>
          <w:tcPr>
            <w:tcW w:w="4757" w:type="dxa"/>
            <w:tcBorders>
              <w:top w:val="single" w:color="auto" w:sz="4" w:space="0"/>
              <w:left w:val="single" w:color="auto" w:sz="4" w:space="0"/>
              <w:bottom w:val="single" w:color="auto" w:sz="4" w:space="0"/>
              <w:right w:val="single" w:color="auto" w:sz="4" w:space="0"/>
            </w:tcBorders>
            <w:vAlign w:val="center"/>
          </w:tcPr>
          <w:p w14:paraId="6173058B">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处2000元以下罚款。</w:t>
            </w:r>
          </w:p>
        </w:tc>
      </w:tr>
      <w:tr w14:paraId="1DC7211A">
        <w:tblPrEx>
          <w:tblCellMar>
            <w:top w:w="0" w:type="dxa"/>
            <w:left w:w="108" w:type="dxa"/>
            <w:bottom w:w="0" w:type="dxa"/>
            <w:right w:w="108" w:type="dxa"/>
          </w:tblCellMar>
        </w:tblPrEx>
        <w:trPr>
          <w:trHeight w:val="510" w:hRule="atLeast"/>
        </w:trPr>
        <w:tc>
          <w:tcPr>
            <w:tcW w:w="1595" w:type="dxa"/>
            <w:vMerge w:val="restart"/>
            <w:tcBorders>
              <w:top w:val="single" w:color="auto" w:sz="4" w:space="0"/>
              <w:left w:val="single" w:color="auto" w:sz="4" w:space="0"/>
              <w:bottom w:val="single" w:color="auto" w:sz="4" w:space="0"/>
              <w:right w:val="single" w:color="auto" w:sz="4" w:space="0"/>
            </w:tcBorders>
            <w:vAlign w:val="center"/>
          </w:tcPr>
          <w:p w14:paraId="28D6A2E1">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658" w:type="dxa"/>
            <w:tcBorders>
              <w:top w:val="single" w:color="auto" w:sz="4" w:space="0"/>
              <w:left w:val="single" w:color="auto" w:sz="4" w:space="0"/>
              <w:bottom w:val="single" w:color="auto" w:sz="4" w:space="0"/>
              <w:right w:val="single" w:color="auto" w:sz="4" w:space="0"/>
            </w:tcBorders>
            <w:vAlign w:val="center"/>
          </w:tcPr>
          <w:p w14:paraId="5B141E97">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消毒产品标签（含说明书）所载明内容与产品实际情况不符，或其宣传内容存在不实表述，以及在标签（含说明书）及宣传内容中出现或暗示对疾病的治疗效果情形，发现其中任何一种违法情形的。</w:t>
            </w:r>
          </w:p>
        </w:tc>
        <w:tc>
          <w:tcPr>
            <w:tcW w:w="4757" w:type="dxa"/>
            <w:tcBorders>
              <w:top w:val="single" w:color="auto" w:sz="4" w:space="0"/>
              <w:left w:val="single" w:color="auto" w:sz="4" w:space="0"/>
              <w:bottom w:val="single" w:color="auto" w:sz="4" w:space="0"/>
              <w:right w:val="single" w:color="auto" w:sz="4" w:space="0"/>
            </w:tcBorders>
            <w:vAlign w:val="center"/>
          </w:tcPr>
          <w:p w14:paraId="4A8F4382">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处2000元以上3000元以下罚款。</w:t>
            </w:r>
          </w:p>
        </w:tc>
      </w:tr>
      <w:tr w14:paraId="6346AFFC">
        <w:tblPrEx>
          <w:tblCellMar>
            <w:top w:w="0" w:type="dxa"/>
            <w:left w:w="108" w:type="dxa"/>
            <w:bottom w:w="0" w:type="dxa"/>
            <w:right w:w="108" w:type="dxa"/>
          </w:tblCellMar>
        </w:tblPrEx>
        <w:trPr>
          <w:trHeight w:val="510" w:hRule="atLeast"/>
        </w:trPr>
        <w:tc>
          <w:tcPr>
            <w:tcW w:w="1595" w:type="dxa"/>
            <w:vMerge w:val="continue"/>
            <w:tcBorders>
              <w:top w:val="single" w:color="auto" w:sz="4" w:space="0"/>
              <w:left w:val="single" w:color="auto" w:sz="4" w:space="0"/>
              <w:bottom w:val="single" w:color="auto" w:sz="4" w:space="0"/>
              <w:right w:val="single" w:color="auto" w:sz="4" w:space="0"/>
            </w:tcBorders>
            <w:vAlign w:val="center"/>
          </w:tcPr>
          <w:p w14:paraId="5FA50375">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658" w:type="dxa"/>
            <w:tcBorders>
              <w:top w:val="single" w:color="auto" w:sz="4" w:space="0"/>
              <w:left w:val="single" w:color="auto" w:sz="4" w:space="0"/>
              <w:bottom w:val="single" w:color="auto" w:sz="4" w:space="0"/>
              <w:right w:val="single" w:color="auto" w:sz="4" w:space="0"/>
            </w:tcBorders>
            <w:vAlign w:val="center"/>
          </w:tcPr>
          <w:p w14:paraId="41037890">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消毒产品标签（含说明书）所载明内容与产品实际情况不符，或其宣传内容存在不实表述，以及在标签（含说明书）及宣传内容中出现或暗示对疾病的治疗效果情形，发现其中任何二种违法情形的。</w:t>
            </w:r>
          </w:p>
        </w:tc>
        <w:tc>
          <w:tcPr>
            <w:tcW w:w="4757" w:type="dxa"/>
            <w:tcBorders>
              <w:top w:val="single" w:color="auto" w:sz="4" w:space="0"/>
              <w:left w:val="single" w:color="auto" w:sz="4" w:space="0"/>
              <w:bottom w:val="single" w:color="auto" w:sz="4" w:space="0"/>
              <w:right w:val="single" w:color="auto" w:sz="4" w:space="0"/>
            </w:tcBorders>
            <w:vAlign w:val="center"/>
          </w:tcPr>
          <w:p w14:paraId="48413F40">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处3000元以上4000元以下罚款。</w:t>
            </w:r>
          </w:p>
        </w:tc>
      </w:tr>
      <w:tr w14:paraId="16A49683">
        <w:tblPrEx>
          <w:tblCellMar>
            <w:top w:w="0" w:type="dxa"/>
            <w:left w:w="108" w:type="dxa"/>
            <w:bottom w:w="0" w:type="dxa"/>
            <w:right w:w="108" w:type="dxa"/>
          </w:tblCellMar>
        </w:tblPrEx>
        <w:trPr>
          <w:trHeight w:val="510" w:hRule="atLeast"/>
        </w:trPr>
        <w:tc>
          <w:tcPr>
            <w:tcW w:w="1595" w:type="dxa"/>
            <w:vMerge w:val="continue"/>
            <w:tcBorders>
              <w:top w:val="single" w:color="auto" w:sz="4" w:space="0"/>
              <w:left w:val="single" w:color="auto" w:sz="4" w:space="0"/>
              <w:bottom w:val="single" w:color="auto" w:sz="4" w:space="0"/>
              <w:right w:val="single" w:color="auto" w:sz="4" w:space="0"/>
            </w:tcBorders>
            <w:vAlign w:val="center"/>
          </w:tcPr>
          <w:p w14:paraId="6820FBDC">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658" w:type="dxa"/>
            <w:tcBorders>
              <w:top w:val="single" w:color="auto" w:sz="4" w:space="0"/>
              <w:left w:val="single" w:color="auto" w:sz="4" w:space="0"/>
              <w:bottom w:val="single" w:color="auto" w:sz="4" w:space="0"/>
              <w:right w:val="single" w:color="auto" w:sz="4" w:space="0"/>
            </w:tcBorders>
            <w:vAlign w:val="center"/>
          </w:tcPr>
          <w:p w14:paraId="01AA8B53">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消毒产品的标签（含说明书）和宣传内容不真实，出现或暗示对疾病的治疗效果的。</w:t>
            </w:r>
          </w:p>
        </w:tc>
        <w:tc>
          <w:tcPr>
            <w:tcW w:w="4757" w:type="dxa"/>
            <w:tcBorders>
              <w:top w:val="single" w:color="auto" w:sz="4" w:space="0"/>
              <w:left w:val="single" w:color="auto" w:sz="4" w:space="0"/>
              <w:bottom w:val="single" w:color="auto" w:sz="4" w:space="0"/>
              <w:right w:val="single" w:color="auto" w:sz="4" w:space="0"/>
            </w:tcBorders>
            <w:vAlign w:val="center"/>
          </w:tcPr>
          <w:p w14:paraId="2168C772">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处4000元以上5000元以下罚款。</w:t>
            </w:r>
          </w:p>
        </w:tc>
      </w:tr>
      <w:tr w14:paraId="1702A670">
        <w:tblPrEx>
          <w:tblCellMar>
            <w:top w:w="0" w:type="dxa"/>
            <w:left w:w="108" w:type="dxa"/>
            <w:bottom w:w="0" w:type="dxa"/>
            <w:right w:w="108" w:type="dxa"/>
          </w:tblCellMar>
        </w:tblPrEx>
        <w:trPr>
          <w:trHeight w:val="510" w:hRule="atLeast"/>
        </w:trPr>
        <w:tc>
          <w:tcPr>
            <w:tcW w:w="1595" w:type="dxa"/>
            <w:vMerge w:val="restart"/>
            <w:tcBorders>
              <w:top w:val="single" w:color="auto" w:sz="4" w:space="0"/>
              <w:left w:val="single" w:color="auto" w:sz="4" w:space="0"/>
              <w:bottom w:val="single" w:color="auto" w:sz="4" w:space="0"/>
              <w:right w:val="single" w:color="auto" w:sz="4" w:space="0"/>
            </w:tcBorders>
            <w:vAlign w:val="center"/>
          </w:tcPr>
          <w:p w14:paraId="5D2F0D38">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658" w:type="dxa"/>
            <w:tcBorders>
              <w:top w:val="single" w:color="auto" w:sz="4" w:space="0"/>
              <w:left w:val="single" w:color="auto" w:sz="4" w:space="0"/>
              <w:bottom w:val="single" w:color="auto" w:sz="4" w:space="0"/>
              <w:right w:val="single" w:color="auto" w:sz="4" w:space="0"/>
            </w:tcBorders>
            <w:vAlign w:val="center"/>
          </w:tcPr>
          <w:p w14:paraId="30CE0127">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造成感染性疾病暴发，病例数5例以下的。</w:t>
            </w:r>
          </w:p>
        </w:tc>
        <w:tc>
          <w:tcPr>
            <w:tcW w:w="4757" w:type="dxa"/>
            <w:tcBorders>
              <w:top w:val="single" w:color="auto" w:sz="4" w:space="0"/>
              <w:left w:val="single" w:color="auto" w:sz="4" w:space="0"/>
              <w:bottom w:val="single" w:color="auto" w:sz="4" w:space="0"/>
              <w:right w:val="single" w:color="auto" w:sz="4" w:space="0"/>
            </w:tcBorders>
            <w:vAlign w:val="center"/>
          </w:tcPr>
          <w:p w14:paraId="7157B2A5">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处5000元以上10000元以下罚款。</w:t>
            </w:r>
          </w:p>
        </w:tc>
      </w:tr>
      <w:tr w14:paraId="7DF13093">
        <w:tblPrEx>
          <w:tblCellMar>
            <w:top w:w="0" w:type="dxa"/>
            <w:left w:w="108" w:type="dxa"/>
            <w:bottom w:w="0" w:type="dxa"/>
            <w:right w:w="108" w:type="dxa"/>
          </w:tblCellMar>
        </w:tblPrEx>
        <w:trPr>
          <w:trHeight w:val="510" w:hRule="atLeast"/>
        </w:trPr>
        <w:tc>
          <w:tcPr>
            <w:tcW w:w="1595" w:type="dxa"/>
            <w:vMerge w:val="continue"/>
            <w:tcBorders>
              <w:top w:val="single" w:color="auto" w:sz="4" w:space="0"/>
              <w:left w:val="single" w:color="auto" w:sz="4" w:space="0"/>
              <w:bottom w:val="single" w:color="auto" w:sz="4" w:space="0"/>
              <w:right w:val="single" w:color="auto" w:sz="4" w:space="0"/>
            </w:tcBorders>
            <w:vAlign w:val="center"/>
          </w:tcPr>
          <w:p w14:paraId="5926B720">
            <w:pPr>
              <w:widowControl w:val="0"/>
              <w:spacing w:after="0" w:line="440" w:lineRule="exact"/>
              <w:jc w:val="both"/>
              <w:rPr>
                <w:rFonts w:ascii="Times New Roman" w:hAnsi="Times New Roman" w:eastAsia="仿宋_GB2312" w:cs="Times New Roman"/>
                <w:color w:val="000000" w:themeColor="text1"/>
                <w:sz w:val="24"/>
                <w:szCs w:val="24"/>
                <w14:textFill>
                  <w14:solidFill>
                    <w14:schemeClr w14:val="tx1"/>
                  </w14:solidFill>
                </w14:textFill>
              </w:rPr>
            </w:pPr>
          </w:p>
        </w:tc>
        <w:tc>
          <w:tcPr>
            <w:tcW w:w="7658" w:type="dxa"/>
            <w:tcBorders>
              <w:top w:val="single" w:color="auto" w:sz="4" w:space="0"/>
              <w:left w:val="single" w:color="auto" w:sz="4" w:space="0"/>
              <w:bottom w:val="single" w:color="auto" w:sz="4" w:space="0"/>
              <w:right w:val="single" w:color="auto" w:sz="4" w:space="0"/>
            </w:tcBorders>
            <w:vAlign w:val="center"/>
          </w:tcPr>
          <w:p w14:paraId="23CF4489">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造成感染性疾病暴发，病例数超过5例的。</w:t>
            </w:r>
          </w:p>
        </w:tc>
        <w:tc>
          <w:tcPr>
            <w:tcW w:w="4757" w:type="dxa"/>
            <w:tcBorders>
              <w:top w:val="single" w:color="auto" w:sz="4" w:space="0"/>
              <w:left w:val="single" w:color="auto" w:sz="4" w:space="0"/>
              <w:bottom w:val="single" w:color="auto" w:sz="4" w:space="0"/>
              <w:right w:val="single" w:color="auto" w:sz="4" w:space="0"/>
            </w:tcBorders>
            <w:vAlign w:val="center"/>
          </w:tcPr>
          <w:p w14:paraId="5E96952E">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处10000元以上20000元以下罚款。</w:t>
            </w:r>
          </w:p>
        </w:tc>
      </w:tr>
    </w:tbl>
    <w:p w14:paraId="6FDF3E45">
      <w:pPr>
        <w:pStyle w:val="4"/>
        <w:widowControl w:val="0"/>
        <w:ind w:firstLine="640"/>
        <w:rPr>
          <w:color w:val="000000" w:themeColor="text1"/>
          <w14:textFill>
            <w14:solidFill>
              <w14:schemeClr w14:val="tx1"/>
            </w14:solidFill>
          </w14:textFill>
        </w:rPr>
      </w:pPr>
      <w:bookmarkStart w:id="1156" w:name="_Toc4689"/>
      <w:bookmarkStart w:id="1157" w:name="_Toc24548"/>
      <w:bookmarkStart w:id="1158" w:name="_Toc20965"/>
      <w:bookmarkStart w:id="1159" w:name="_Toc27967"/>
      <w:bookmarkStart w:id="1160" w:name="_Toc4363"/>
      <w:bookmarkStart w:id="1161" w:name="_Toc6838"/>
      <w:bookmarkStart w:id="1162" w:name="_Toc10687"/>
      <w:bookmarkStart w:id="1163" w:name="_Toc15170"/>
      <w:bookmarkStart w:id="1164" w:name="_Toc16921"/>
      <w:bookmarkStart w:id="1165" w:name="_Toc20462"/>
      <w:bookmarkStart w:id="1166" w:name="_Toc23608"/>
      <w:r>
        <w:rPr>
          <w:rFonts w:hint="eastAsia"/>
          <w:color w:val="000000" w:themeColor="text1"/>
          <w14:textFill>
            <w14:solidFill>
              <w14:schemeClr w14:val="tx1"/>
            </w14:solidFill>
          </w14:textFill>
        </w:rPr>
        <w:t>第一百零一条 生产经营禁止生产经营的消毒产品的</w:t>
      </w:r>
      <w:bookmarkEnd w:id="1156"/>
      <w:bookmarkEnd w:id="1157"/>
      <w:bookmarkEnd w:id="1158"/>
      <w:bookmarkEnd w:id="1159"/>
      <w:bookmarkEnd w:id="1160"/>
      <w:bookmarkEnd w:id="1161"/>
      <w:bookmarkEnd w:id="1162"/>
      <w:bookmarkEnd w:id="1163"/>
      <w:bookmarkEnd w:id="1164"/>
      <w:bookmarkEnd w:id="1165"/>
      <w:bookmarkEnd w:id="1166"/>
    </w:p>
    <w:p w14:paraId="1FAF42E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E186218">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《消毒管理办法》第四十三条　消毒产品生产经营单位违反本办法第三十一条、第三十二条规定的，由县级以上地方卫生计生行政部门责令其限期改正，可以处5000元以下罚款；造成感染性疾病暴发的，可以处5000元以上20000元以下的罚款。</w:t>
      </w:r>
    </w:p>
    <w:p w14:paraId="180705D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《消毒管理办法》第三十二条　禁止生产经营下列消毒产品：</w:t>
      </w:r>
    </w:p>
    <w:p w14:paraId="1072E1B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（一）无生产企业卫生许可证或新消毒产品卫生许可批准文件的；</w:t>
      </w:r>
    </w:p>
    <w:p w14:paraId="479D34D4">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（二）产品卫生安全评价不合格或产品卫生质量不符合要求的。 </w:t>
      </w:r>
    </w:p>
    <w:p w14:paraId="4CA37D3A">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4565" w:type="dxa"/>
        <w:tblInd w:w="93" w:type="dxa"/>
        <w:tblLayout w:type="autofit"/>
        <w:tblCellMar>
          <w:top w:w="0" w:type="dxa"/>
          <w:left w:w="108" w:type="dxa"/>
          <w:bottom w:w="0" w:type="dxa"/>
          <w:right w:w="108" w:type="dxa"/>
        </w:tblCellMar>
      </w:tblPr>
      <w:tblGrid>
        <w:gridCol w:w="1653"/>
        <w:gridCol w:w="7200"/>
        <w:gridCol w:w="5712"/>
      </w:tblGrid>
      <w:tr w14:paraId="0CB59992">
        <w:tblPrEx>
          <w:tblCellMar>
            <w:top w:w="0" w:type="dxa"/>
            <w:left w:w="108" w:type="dxa"/>
            <w:bottom w:w="0" w:type="dxa"/>
            <w:right w:w="108" w:type="dxa"/>
          </w:tblCellMar>
        </w:tblPrEx>
        <w:trPr>
          <w:trHeight w:val="680" w:hRule="atLeast"/>
        </w:trPr>
        <w:tc>
          <w:tcPr>
            <w:tcW w:w="1653" w:type="dxa"/>
            <w:tcBorders>
              <w:top w:val="single" w:color="auto" w:sz="4" w:space="0"/>
              <w:left w:val="single" w:color="auto" w:sz="4" w:space="0"/>
              <w:bottom w:val="single" w:color="auto" w:sz="4" w:space="0"/>
              <w:right w:val="single" w:color="auto" w:sz="4" w:space="0"/>
            </w:tcBorders>
            <w:vAlign w:val="center"/>
          </w:tcPr>
          <w:p w14:paraId="50F6D50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200" w:type="dxa"/>
            <w:tcBorders>
              <w:top w:val="single" w:color="auto" w:sz="4" w:space="0"/>
              <w:left w:val="single" w:color="auto" w:sz="4" w:space="0"/>
              <w:bottom w:val="single" w:color="auto" w:sz="4" w:space="0"/>
              <w:right w:val="single" w:color="auto" w:sz="4" w:space="0"/>
            </w:tcBorders>
            <w:vAlign w:val="center"/>
          </w:tcPr>
          <w:p w14:paraId="136BFEE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712" w:type="dxa"/>
            <w:tcBorders>
              <w:top w:val="single" w:color="auto" w:sz="4" w:space="0"/>
              <w:left w:val="single" w:color="auto" w:sz="4" w:space="0"/>
              <w:bottom w:val="single" w:color="auto" w:sz="4" w:space="0"/>
              <w:right w:val="single" w:color="auto" w:sz="4" w:space="0"/>
            </w:tcBorders>
            <w:vAlign w:val="center"/>
          </w:tcPr>
          <w:p w14:paraId="2B125E3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11F03CE">
        <w:tblPrEx>
          <w:tblCellMar>
            <w:top w:w="0" w:type="dxa"/>
            <w:left w:w="108" w:type="dxa"/>
            <w:bottom w:w="0" w:type="dxa"/>
            <w:right w:w="108" w:type="dxa"/>
          </w:tblCellMar>
        </w:tblPrEx>
        <w:trPr>
          <w:trHeight w:val="340" w:hRule="atLeast"/>
        </w:trPr>
        <w:tc>
          <w:tcPr>
            <w:tcW w:w="1653" w:type="dxa"/>
            <w:vMerge w:val="restart"/>
            <w:tcBorders>
              <w:top w:val="single" w:color="auto" w:sz="4" w:space="0"/>
              <w:left w:val="single" w:color="auto" w:sz="4" w:space="0"/>
              <w:bottom w:val="single" w:color="auto" w:sz="4" w:space="0"/>
              <w:right w:val="single" w:color="auto" w:sz="4" w:space="0"/>
            </w:tcBorders>
            <w:vAlign w:val="center"/>
          </w:tcPr>
          <w:p w14:paraId="49DCC5AA">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200" w:type="dxa"/>
            <w:tcBorders>
              <w:top w:val="single" w:color="auto" w:sz="4" w:space="0"/>
              <w:left w:val="single" w:color="auto" w:sz="4" w:space="0"/>
              <w:bottom w:val="single" w:color="auto" w:sz="4" w:space="0"/>
              <w:right w:val="single" w:color="auto" w:sz="4" w:space="0"/>
            </w:tcBorders>
            <w:vAlign w:val="center"/>
          </w:tcPr>
          <w:p w14:paraId="70F0A323">
            <w:pPr>
              <w:widowControl w:val="0"/>
              <w:numPr>
                <w:ilvl w:val="0"/>
                <w:numId w:val="0"/>
              </w:numPr>
              <w:spacing w:after="0" w:line="320" w:lineRule="exact"/>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违反《消毒管理办法》第三十二条规定的情形任意一项，货值金额一万元以下的。</w:t>
            </w:r>
          </w:p>
        </w:tc>
        <w:tc>
          <w:tcPr>
            <w:tcW w:w="5712" w:type="dxa"/>
            <w:tcBorders>
              <w:top w:val="single" w:color="auto" w:sz="4" w:space="0"/>
              <w:left w:val="single" w:color="auto" w:sz="4" w:space="0"/>
              <w:bottom w:val="single" w:color="auto" w:sz="4" w:space="0"/>
              <w:right w:val="single" w:color="auto" w:sz="4" w:space="0"/>
            </w:tcBorders>
            <w:shd w:val="clear" w:color="auto" w:fill="auto"/>
            <w:vAlign w:val="center"/>
          </w:tcPr>
          <w:p w14:paraId="1F41A66A">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处1000元以下罚款。</w:t>
            </w:r>
          </w:p>
        </w:tc>
      </w:tr>
      <w:tr w14:paraId="64CA37C0">
        <w:tblPrEx>
          <w:tblCellMar>
            <w:top w:w="0" w:type="dxa"/>
            <w:left w:w="108" w:type="dxa"/>
            <w:bottom w:w="0" w:type="dxa"/>
            <w:right w:w="108" w:type="dxa"/>
          </w:tblCellMar>
        </w:tblPrEx>
        <w:trPr>
          <w:trHeight w:val="340" w:hRule="atLeast"/>
        </w:trPr>
        <w:tc>
          <w:tcPr>
            <w:tcW w:w="1653" w:type="dxa"/>
            <w:vMerge w:val="continue"/>
            <w:tcBorders>
              <w:top w:val="single" w:color="auto" w:sz="4" w:space="0"/>
              <w:left w:val="single" w:color="auto" w:sz="4" w:space="0"/>
              <w:bottom w:val="single" w:color="auto" w:sz="4" w:space="0"/>
              <w:right w:val="single" w:color="auto" w:sz="4" w:space="0"/>
            </w:tcBorders>
            <w:vAlign w:val="center"/>
          </w:tcPr>
          <w:p w14:paraId="3EBB4690">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200" w:type="dxa"/>
            <w:tcBorders>
              <w:top w:val="single" w:color="auto" w:sz="4" w:space="0"/>
              <w:left w:val="single" w:color="auto" w:sz="4" w:space="0"/>
              <w:bottom w:val="single" w:color="auto" w:sz="4" w:space="0"/>
              <w:right w:val="single" w:color="auto" w:sz="4" w:space="0"/>
            </w:tcBorders>
            <w:vAlign w:val="center"/>
          </w:tcPr>
          <w:p w14:paraId="5A741713">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违反《消毒管理办法》第三十二条规定的情形任意一项，货值金额一万元以上的。</w:t>
            </w:r>
          </w:p>
        </w:tc>
        <w:tc>
          <w:tcPr>
            <w:tcW w:w="5712" w:type="dxa"/>
            <w:tcBorders>
              <w:top w:val="single" w:color="auto" w:sz="4" w:space="0"/>
              <w:left w:val="single" w:color="auto" w:sz="4" w:space="0"/>
              <w:bottom w:val="single" w:color="auto" w:sz="4" w:space="0"/>
              <w:right w:val="single" w:color="auto" w:sz="4" w:space="0"/>
            </w:tcBorders>
            <w:shd w:val="clear" w:color="auto" w:fill="auto"/>
            <w:vAlign w:val="center"/>
          </w:tcPr>
          <w:p w14:paraId="3E465219">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处2000元以上3000元以下罚款。</w:t>
            </w:r>
          </w:p>
        </w:tc>
      </w:tr>
      <w:tr w14:paraId="1970A3BB">
        <w:tblPrEx>
          <w:tblCellMar>
            <w:top w:w="0" w:type="dxa"/>
            <w:left w:w="108" w:type="dxa"/>
            <w:bottom w:w="0" w:type="dxa"/>
            <w:right w:w="108" w:type="dxa"/>
          </w:tblCellMar>
        </w:tblPrEx>
        <w:trPr>
          <w:trHeight w:val="340" w:hRule="atLeast"/>
        </w:trPr>
        <w:tc>
          <w:tcPr>
            <w:tcW w:w="1653" w:type="dxa"/>
            <w:tcBorders>
              <w:top w:val="single" w:color="auto" w:sz="4" w:space="0"/>
              <w:left w:val="single" w:color="auto" w:sz="4" w:space="0"/>
              <w:bottom w:val="single" w:color="auto" w:sz="4" w:space="0"/>
              <w:right w:val="single" w:color="auto" w:sz="4" w:space="0"/>
            </w:tcBorders>
            <w:vAlign w:val="center"/>
          </w:tcPr>
          <w:p w14:paraId="170490FA">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200" w:type="dxa"/>
            <w:tcBorders>
              <w:top w:val="single" w:color="auto" w:sz="4" w:space="0"/>
              <w:left w:val="single" w:color="auto" w:sz="4" w:space="0"/>
              <w:bottom w:val="single" w:color="auto" w:sz="4" w:space="0"/>
              <w:right w:val="single" w:color="auto" w:sz="4" w:space="0"/>
            </w:tcBorders>
            <w:vAlign w:val="center"/>
          </w:tcPr>
          <w:p w14:paraId="213B37C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违反《消毒管理办法》第三十二条规定的情形全部两项的。</w:t>
            </w:r>
          </w:p>
        </w:tc>
        <w:tc>
          <w:tcPr>
            <w:tcW w:w="5712" w:type="dxa"/>
            <w:tcBorders>
              <w:top w:val="single" w:color="auto" w:sz="4" w:space="0"/>
              <w:left w:val="single" w:color="auto" w:sz="4" w:space="0"/>
              <w:bottom w:val="single" w:color="auto" w:sz="4" w:space="0"/>
              <w:right w:val="single" w:color="auto" w:sz="4" w:space="0"/>
            </w:tcBorders>
            <w:shd w:val="clear" w:color="auto" w:fill="auto"/>
            <w:vAlign w:val="center"/>
          </w:tcPr>
          <w:p w14:paraId="2825AE13">
            <w:pPr>
              <w:widowControl w:val="0"/>
              <w:numPr>
                <w:ilvl w:val="0"/>
                <w:numId w:val="0"/>
              </w:numPr>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处3000元以上5000元以下罚款。</w:t>
            </w:r>
          </w:p>
        </w:tc>
      </w:tr>
      <w:tr w14:paraId="6C724AA3">
        <w:tblPrEx>
          <w:tblCellMar>
            <w:top w:w="0" w:type="dxa"/>
            <w:left w:w="108" w:type="dxa"/>
            <w:bottom w:w="0" w:type="dxa"/>
            <w:right w:w="108" w:type="dxa"/>
          </w:tblCellMar>
        </w:tblPrEx>
        <w:trPr>
          <w:trHeight w:val="340" w:hRule="atLeast"/>
        </w:trPr>
        <w:tc>
          <w:tcPr>
            <w:tcW w:w="1653" w:type="dxa"/>
            <w:vMerge w:val="restart"/>
            <w:tcBorders>
              <w:top w:val="single" w:color="auto" w:sz="4" w:space="0"/>
              <w:left w:val="single" w:color="auto" w:sz="4" w:space="0"/>
              <w:bottom w:val="single" w:color="auto" w:sz="4" w:space="0"/>
              <w:right w:val="single" w:color="auto" w:sz="4" w:space="0"/>
            </w:tcBorders>
            <w:vAlign w:val="center"/>
          </w:tcPr>
          <w:p w14:paraId="3AFFE24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200" w:type="dxa"/>
            <w:tcBorders>
              <w:top w:val="single" w:color="auto" w:sz="4" w:space="0"/>
              <w:left w:val="single" w:color="auto" w:sz="4" w:space="0"/>
              <w:bottom w:val="single" w:color="auto" w:sz="4" w:space="0"/>
              <w:right w:val="single" w:color="auto" w:sz="4" w:space="0"/>
            </w:tcBorders>
            <w:vAlign w:val="center"/>
          </w:tcPr>
          <w:p w14:paraId="17513A5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上述违法行为造成感染性疾病暴发，病例数5例以下的。</w:t>
            </w:r>
          </w:p>
        </w:tc>
        <w:tc>
          <w:tcPr>
            <w:tcW w:w="5712" w:type="dxa"/>
            <w:tcBorders>
              <w:top w:val="single" w:color="auto" w:sz="4" w:space="0"/>
              <w:left w:val="single" w:color="auto" w:sz="4" w:space="0"/>
              <w:bottom w:val="single" w:color="auto" w:sz="4" w:space="0"/>
              <w:right w:val="single" w:color="auto" w:sz="4" w:space="0"/>
            </w:tcBorders>
            <w:shd w:val="clear" w:color="auto" w:fill="auto"/>
            <w:vAlign w:val="center"/>
          </w:tcPr>
          <w:p w14:paraId="5DAD961C">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处5000元以上10000元以下罚款。</w:t>
            </w:r>
          </w:p>
        </w:tc>
      </w:tr>
      <w:tr w14:paraId="48C365FD">
        <w:tblPrEx>
          <w:tblCellMar>
            <w:top w:w="0" w:type="dxa"/>
            <w:left w:w="108" w:type="dxa"/>
            <w:bottom w:w="0" w:type="dxa"/>
            <w:right w:w="108" w:type="dxa"/>
          </w:tblCellMar>
        </w:tblPrEx>
        <w:trPr>
          <w:trHeight w:val="340" w:hRule="atLeast"/>
        </w:trPr>
        <w:tc>
          <w:tcPr>
            <w:tcW w:w="1653" w:type="dxa"/>
            <w:vMerge w:val="continue"/>
            <w:tcBorders>
              <w:top w:val="single" w:color="auto" w:sz="4" w:space="0"/>
              <w:left w:val="single" w:color="auto" w:sz="4" w:space="0"/>
              <w:bottom w:val="single" w:color="auto" w:sz="4" w:space="0"/>
              <w:right w:val="single" w:color="auto" w:sz="4" w:space="0"/>
            </w:tcBorders>
            <w:vAlign w:val="center"/>
          </w:tcPr>
          <w:p w14:paraId="5EDC225B">
            <w:pPr>
              <w:widowControl w:val="0"/>
              <w:spacing w:after="0" w:line="44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p>
        </w:tc>
        <w:tc>
          <w:tcPr>
            <w:tcW w:w="7200" w:type="dxa"/>
            <w:tcBorders>
              <w:top w:val="single" w:color="auto" w:sz="4" w:space="0"/>
              <w:left w:val="single" w:color="auto" w:sz="4" w:space="0"/>
              <w:bottom w:val="single" w:color="auto" w:sz="4" w:space="0"/>
              <w:right w:val="single" w:color="auto" w:sz="4" w:space="0"/>
            </w:tcBorders>
            <w:vAlign w:val="center"/>
          </w:tcPr>
          <w:p w14:paraId="16A9924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造成感染性疾病暴发，病例数超过5例的。</w:t>
            </w:r>
          </w:p>
        </w:tc>
        <w:tc>
          <w:tcPr>
            <w:tcW w:w="5712" w:type="dxa"/>
            <w:tcBorders>
              <w:top w:val="single" w:color="auto" w:sz="4" w:space="0"/>
              <w:left w:val="single" w:color="auto" w:sz="4" w:space="0"/>
              <w:bottom w:val="single" w:color="auto" w:sz="4" w:space="0"/>
              <w:right w:val="single" w:color="auto" w:sz="4" w:space="0"/>
            </w:tcBorders>
            <w:shd w:val="clear" w:color="auto" w:fill="auto"/>
            <w:vAlign w:val="center"/>
          </w:tcPr>
          <w:p w14:paraId="63AB1518">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处10000元以上20000元以下罚款。</w:t>
            </w:r>
          </w:p>
        </w:tc>
      </w:tr>
    </w:tbl>
    <w:p w14:paraId="62045702">
      <w:pPr>
        <w:pStyle w:val="4"/>
        <w:widowControl w:val="0"/>
        <w:ind w:firstLine="640"/>
        <w:rPr>
          <w:color w:val="000000" w:themeColor="text1"/>
          <w14:textFill>
            <w14:solidFill>
              <w14:schemeClr w14:val="tx1"/>
            </w14:solidFill>
          </w14:textFill>
        </w:rPr>
      </w:pPr>
      <w:bookmarkStart w:id="1167" w:name="_Toc25926"/>
      <w:bookmarkStart w:id="1168" w:name="_Toc7489"/>
      <w:bookmarkStart w:id="1169" w:name="_Toc30172"/>
      <w:bookmarkStart w:id="1170" w:name="_Toc29060"/>
      <w:bookmarkStart w:id="1171" w:name="_Toc24899"/>
      <w:bookmarkStart w:id="1172" w:name="_Toc26415"/>
      <w:bookmarkStart w:id="1173" w:name="_Toc31894"/>
      <w:bookmarkStart w:id="1174" w:name="_Toc13012"/>
      <w:bookmarkStart w:id="1175" w:name="_Toc30004"/>
      <w:bookmarkStart w:id="1176" w:name="_Toc5852"/>
      <w:bookmarkStart w:id="1177" w:name="_Toc325"/>
      <w:r>
        <w:rPr>
          <w:rFonts w:hint="eastAsia"/>
          <w:color w:val="000000" w:themeColor="text1"/>
          <w14:textFill>
            <w14:solidFill>
              <w14:schemeClr w14:val="tx1"/>
            </w14:solidFill>
          </w14:textFill>
        </w:rPr>
        <w:t>第一百零二条</w:t>
      </w:r>
      <w:r>
        <w:rPr>
          <w:rFonts w:hint="eastAsia"/>
          <w:color w:val="000000" w:themeColor="text1"/>
          <w:lang w:eastAsia="zh-CN"/>
          <w14:textFill>
            <w14:solidFill>
              <w14:schemeClr w14:val="tx1"/>
            </w14:solidFill>
          </w14:textFill>
        </w:rPr>
        <w:t xml:space="preserve"> </w:t>
      </w:r>
      <w:r>
        <w:rPr>
          <w:rFonts w:hint="eastAsia"/>
          <w:color w:val="000000" w:themeColor="text1"/>
          <w14:textFill>
            <w14:solidFill>
              <w14:schemeClr w14:val="tx1"/>
            </w14:solidFill>
          </w14:textFill>
        </w:rPr>
        <w:t>消毒后的物品未达到卫生标准和要求的</w:t>
      </w:r>
      <w:bookmarkEnd w:id="1167"/>
      <w:bookmarkEnd w:id="1168"/>
      <w:bookmarkEnd w:id="1169"/>
      <w:bookmarkEnd w:id="1170"/>
      <w:bookmarkEnd w:id="1171"/>
      <w:bookmarkEnd w:id="1172"/>
      <w:bookmarkEnd w:id="1173"/>
      <w:bookmarkEnd w:id="1174"/>
      <w:bookmarkEnd w:id="1175"/>
      <w:bookmarkEnd w:id="1176"/>
      <w:bookmarkEnd w:id="1177"/>
    </w:p>
    <w:p w14:paraId="45EF9144">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8BB4F41">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《消毒管理办法》第四十四条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消毒服务机构违反本办法规定，有下列情形之一的，由县级以上卫生行政部门责令其限期改正，可以处5000元以下的罚款；造成感染性疾病发生的，可以处5000元以上20000元以下的罚款：消毒后的物品未达到卫生标准和要求。</w:t>
      </w:r>
    </w:p>
    <w:p w14:paraId="3397D3C9">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67" w:type="dxa"/>
        <w:tblInd w:w="93" w:type="dxa"/>
        <w:tblLayout w:type="autofit"/>
        <w:tblCellMar>
          <w:top w:w="0" w:type="dxa"/>
          <w:left w:w="108" w:type="dxa"/>
          <w:bottom w:w="0" w:type="dxa"/>
          <w:right w:w="108" w:type="dxa"/>
        </w:tblCellMar>
      </w:tblPr>
      <w:tblGrid>
        <w:gridCol w:w="2775"/>
        <w:gridCol w:w="5090"/>
        <w:gridCol w:w="6102"/>
      </w:tblGrid>
      <w:tr w14:paraId="7AC0654B">
        <w:tblPrEx>
          <w:tblCellMar>
            <w:top w:w="0" w:type="dxa"/>
            <w:left w:w="108" w:type="dxa"/>
            <w:bottom w:w="0" w:type="dxa"/>
            <w:right w:w="108" w:type="dxa"/>
          </w:tblCellMar>
        </w:tblPrEx>
        <w:trPr>
          <w:trHeight w:val="748" w:hRule="atLeast"/>
        </w:trPr>
        <w:tc>
          <w:tcPr>
            <w:tcW w:w="2775" w:type="dxa"/>
            <w:tcBorders>
              <w:top w:val="single" w:color="auto" w:sz="4" w:space="0"/>
              <w:left w:val="single" w:color="auto" w:sz="4" w:space="0"/>
              <w:bottom w:val="single" w:color="auto" w:sz="4" w:space="0"/>
              <w:right w:val="single" w:color="auto" w:sz="4" w:space="0"/>
            </w:tcBorders>
            <w:vAlign w:val="center"/>
          </w:tcPr>
          <w:p w14:paraId="753A744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5090" w:type="dxa"/>
            <w:tcBorders>
              <w:top w:val="single" w:color="auto" w:sz="4" w:space="0"/>
              <w:left w:val="single" w:color="auto" w:sz="4" w:space="0"/>
              <w:bottom w:val="single" w:color="auto" w:sz="4" w:space="0"/>
              <w:right w:val="single" w:color="auto" w:sz="4" w:space="0"/>
            </w:tcBorders>
            <w:vAlign w:val="center"/>
          </w:tcPr>
          <w:p w14:paraId="0A2977C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102" w:type="dxa"/>
            <w:tcBorders>
              <w:top w:val="single" w:color="auto" w:sz="4" w:space="0"/>
              <w:left w:val="single" w:color="auto" w:sz="4" w:space="0"/>
              <w:bottom w:val="single" w:color="auto" w:sz="4" w:space="0"/>
              <w:right w:val="single" w:color="auto" w:sz="4" w:space="0"/>
            </w:tcBorders>
            <w:vAlign w:val="center"/>
          </w:tcPr>
          <w:p w14:paraId="67F7DB7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306AEEE">
        <w:tblPrEx>
          <w:tblCellMar>
            <w:top w:w="0" w:type="dxa"/>
            <w:left w:w="108" w:type="dxa"/>
            <w:bottom w:w="0" w:type="dxa"/>
            <w:right w:w="108" w:type="dxa"/>
          </w:tblCellMar>
        </w:tblPrEx>
        <w:trPr>
          <w:trHeight w:val="397" w:hRule="atLeast"/>
        </w:trPr>
        <w:tc>
          <w:tcPr>
            <w:tcW w:w="2775" w:type="dxa"/>
            <w:vMerge w:val="restart"/>
            <w:tcBorders>
              <w:top w:val="single" w:color="auto" w:sz="4" w:space="0"/>
              <w:left w:val="single" w:color="auto" w:sz="4" w:space="0"/>
              <w:bottom w:val="single" w:color="auto" w:sz="4" w:space="0"/>
              <w:right w:val="single" w:color="auto" w:sz="4" w:space="0"/>
            </w:tcBorders>
            <w:vAlign w:val="center"/>
          </w:tcPr>
          <w:p w14:paraId="7F9D669D">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090" w:type="dxa"/>
            <w:tcBorders>
              <w:top w:val="single" w:color="auto" w:sz="4" w:space="0"/>
              <w:left w:val="single" w:color="auto" w:sz="4" w:space="0"/>
              <w:bottom w:val="single" w:color="auto" w:sz="4" w:space="0"/>
              <w:right w:val="single" w:color="auto" w:sz="4" w:space="0"/>
            </w:tcBorders>
            <w:vAlign w:val="center"/>
          </w:tcPr>
          <w:p w14:paraId="4B0A967A">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消毒后的物品未达到卫生标准和要求，物品数量在3件以下的。</w:t>
            </w:r>
          </w:p>
        </w:tc>
        <w:tc>
          <w:tcPr>
            <w:tcW w:w="6102" w:type="dxa"/>
            <w:tcBorders>
              <w:top w:val="single" w:color="auto" w:sz="4" w:space="0"/>
              <w:left w:val="single" w:color="auto" w:sz="4" w:space="0"/>
              <w:bottom w:val="single" w:color="auto" w:sz="4" w:space="0"/>
              <w:right w:val="single" w:color="auto" w:sz="4" w:space="0"/>
            </w:tcBorders>
            <w:vAlign w:val="center"/>
          </w:tcPr>
          <w:p w14:paraId="2FCB66C6">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处3000以下罚款。</w:t>
            </w:r>
          </w:p>
        </w:tc>
      </w:tr>
      <w:tr w14:paraId="12A720BD">
        <w:tblPrEx>
          <w:tblCellMar>
            <w:top w:w="0" w:type="dxa"/>
            <w:left w:w="108" w:type="dxa"/>
            <w:bottom w:w="0" w:type="dxa"/>
            <w:right w:w="108" w:type="dxa"/>
          </w:tblCellMar>
        </w:tblPrEx>
        <w:trPr>
          <w:trHeight w:val="397" w:hRule="atLeast"/>
        </w:trPr>
        <w:tc>
          <w:tcPr>
            <w:tcW w:w="2775" w:type="dxa"/>
            <w:vMerge w:val="continue"/>
            <w:tcBorders>
              <w:top w:val="single" w:color="auto" w:sz="4" w:space="0"/>
              <w:left w:val="single" w:color="auto" w:sz="4" w:space="0"/>
              <w:bottom w:val="single" w:color="auto" w:sz="4" w:space="0"/>
              <w:right w:val="single" w:color="auto" w:sz="4" w:space="0"/>
            </w:tcBorders>
            <w:vAlign w:val="center"/>
          </w:tcPr>
          <w:p w14:paraId="1398C0CA">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5090" w:type="dxa"/>
            <w:tcBorders>
              <w:top w:val="single" w:color="auto" w:sz="4" w:space="0"/>
              <w:left w:val="single" w:color="auto" w:sz="4" w:space="0"/>
              <w:bottom w:val="single" w:color="auto" w:sz="4" w:space="0"/>
              <w:right w:val="single" w:color="auto" w:sz="4" w:space="0"/>
            </w:tcBorders>
            <w:vAlign w:val="center"/>
          </w:tcPr>
          <w:p w14:paraId="7C234597">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消毒后的物品未达到卫生标准和要求，物品数量在3件以上的。</w:t>
            </w:r>
          </w:p>
        </w:tc>
        <w:tc>
          <w:tcPr>
            <w:tcW w:w="6102" w:type="dxa"/>
            <w:tcBorders>
              <w:top w:val="single" w:color="auto" w:sz="4" w:space="0"/>
              <w:left w:val="single" w:color="auto" w:sz="4" w:space="0"/>
              <w:bottom w:val="single" w:color="auto" w:sz="4" w:space="0"/>
              <w:right w:val="single" w:color="auto" w:sz="4" w:space="0"/>
            </w:tcBorders>
            <w:vAlign w:val="center"/>
          </w:tcPr>
          <w:p w14:paraId="0468917A">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处3000元以上5000元以下罚款。</w:t>
            </w:r>
          </w:p>
        </w:tc>
      </w:tr>
      <w:tr w14:paraId="47F27F23">
        <w:tblPrEx>
          <w:tblCellMar>
            <w:top w:w="0" w:type="dxa"/>
            <w:left w:w="108" w:type="dxa"/>
            <w:bottom w:w="0" w:type="dxa"/>
            <w:right w:w="108" w:type="dxa"/>
          </w:tblCellMar>
        </w:tblPrEx>
        <w:trPr>
          <w:trHeight w:val="397" w:hRule="atLeast"/>
        </w:trPr>
        <w:tc>
          <w:tcPr>
            <w:tcW w:w="2775" w:type="dxa"/>
            <w:vMerge w:val="restart"/>
            <w:tcBorders>
              <w:top w:val="single" w:color="auto" w:sz="4" w:space="0"/>
              <w:left w:val="single" w:color="auto" w:sz="4" w:space="0"/>
              <w:bottom w:val="single" w:color="auto" w:sz="4" w:space="0"/>
              <w:right w:val="single" w:color="auto" w:sz="4" w:space="0"/>
            </w:tcBorders>
            <w:vAlign w:val="center"/>
          </w:tcPr>
          <w:p w14:paraId="6514DDB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090" w:type="dxa"/>
            <w:tcBorders>
              <w:top w:val="single" w:color="auto" w:sz="4" w:space="0"/>
              <w:left w:val="single" w:color="auto" w:sz="4" w:space="0"/>
              <w:bottom w:val="single" w:color="auto" w:sz="4" w:space="0"/>
              <w:right w:val="single" w:color="auto" w:sz="4" w:space="0"/>
            </w:tcBorders>
            <w:vAlign w:val="center"/>
          </w:tcPr>
          <w:p w14:paraId="49CDA934">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造成感染性疾病暴发，病例数5例以下的。</w:t>
            </w:r>
          </w:p>
        </w:tc>
        <w:tc>
          <w:tcPr>
            <w:tcW w:w="6102" w:type="dxa"/>
            <w:tcBorders>
              <w:top w:val="single" w:color="auto" w:sz="4" w:space="0"/>
              <w:left w:val="single" w:color="auto" w:sz="4" w:space="0"/>
              <w:bottom w:val="single" w:color="auto" w:sz="4" w:space="0"/>
              <w:right w:val="single" w:color="auto" w:sz="4" w:space="0"/>
            </w:tcBorders>
            <w:vAlign w:val="center"/>
          </w:tcPr>
          <w:p w14:paraId="25A3E803">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处5000元以上10000元以下罚款。</w:t>
            </w:r>
          </w:p>
        </w:tc>
      </w:tr>
      <w:tr w14:paraId="0E20FD7B">
        <w:tblPrEx>
          <w:tblCellMar>
            <w:top w:w="0" w:type="dxa"/>
            <w:left w:w="108" w:type="dxa"/>
            <w:bottom w:w="0" w:type="dxa"/>
            <w:right w:w="108" w:type="dxa"/>
          </w:tblCellMar>
        </w:tblPrEx>
        <w:trPr>
          <w:trHeight w:val="397" w:hRule="atLeast"/>
        </w:trPr>
        <w:tc>
          <w:tcPr>
            <w:tcW w:w="2775" w:type="dxa"/>
            <w:vMerge w:val="continue"/>
            <w:tcBorders>
              <w:top w:val="single" w:color="auto" w:sz="4" w:space="0"/>
              <w:left w:val="single" w:color="auto" w:sz="4" w:space="0"/>
              <w:bottom w:val="single" w:color="auto" w:sz="4" w:space="0"/>
              <w:right w:val="single" w:color="auto" w:sz="4" w:space="0"/>
            </w:tcBorders>
            <w:vAlign w:val="center"/>
          </w:tcPr>
          <w:p w14:paraId="2510889E">
            <w:pPr>
              <w:widowControl w:val="0"/>
              <w:spacing w:after="0" w:line="440" w:lineRule="exact"/>
              <w:jc w:val="both"/>
              <w:rPr>
                <w:rFonts w:ascii="Times New Roman" w:hAnsi="Times New Roman" w:eastAsia="仿宋_GB2312" w:cs="Times New Roman"/>
                <w:color w:val="000000" w:themeColor="text1"/>
                <w:sz w:val="24"/>
                <w:szCs w:val="24"/>
                <w14:textFill>
                  <w14:solidFill>
                    <w14:schemeClr w14:val="tx1"/>
                  </w14:solidFill>
                </w14:textFill>
              </w:rPr>
            </w:pPr>
          </w:p>
        </w:tc>
        <w:tc>
          <w:tcPr>
            <w:tcW w:w="5090" w:type="dxa"/>
            <w:tcBorders>
              <w:top w:val="single" w:color="auto" w:sz="4" w:space="0"/>
              <w:left w:val="single" w:color="auto" w:sz="4" w:space="0"/>
              <w:bottom w:val="single" w:color="auto" w:sz="4" w:space="0"/>
              <w:right w:val="single" w:color="auto" w:sz="4" w:space="0"/>
            </w:tcBorders>
            <w:vAlign w:val="center"/>
          </w:tcPr>
          <w:p w14:paraId="6AD3EB2D">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造成感染性疾病暴发，病例数超过5例的。</w:t>
            </w:r>
          </w:p>
        </w:tc>
        <w:tc>
          <w:tcPr>
            <w:tcW w:w="6102" w:type="dxa"/>
            <w:tcBorders>
              <w:top w:val="single" w:color="auto" w:sz="4" w:space="0"/>
              <w:left w:val="single" w:color="auto" w:sz="4" w:space="0"/>
              <w:bottom w:val="single" w:color="auto" w:sz="4" w:space="0"/>
              <w:right w:val="single" w:color="auto" w:sz="4" w:space="0"/>
            </w:tcBorders>
            <w:vAlign w:val="center"/>
          </w:tcPr>
          <w:p w14:paraId="0CB29FAD">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处10000元以上20000元以下罚款。</w:t>
            </w:r>
          </w:p>
        </w:tc>
      </w:tr>
    </w:tbl>
    <w:p w14:paraId="2C6BE5ED">
      <w:pPr>
        <w:pStyle w:val="3"/>
        <w:keepNext w:val="0"/>
        <w:keepLines w:val="0"/>
        <w:widowControl w:val="0"/>
        <w:spacing w:before="0" w:after="0" w:line="440" w:lineRule="exact"/>
        <w:ind w:firstLine="643" w:firstLineChars="200"/>
        <w:rPr>
          <w:rFonts w:ascii="Times New Roman" w:hAnsi="Times New Roman" w:eastAsia="楷体_GB2312"/>
          <w:color w:val="000000" w:themeColor="text1"/>
          <w14:textFill>
            <w14:solidFill>
              <w14:schemeClr w14:val="tx1"/>
            </w14:solidFill>
          </w14:textFill>
        </w:rPr>
      </w:pPr>
      <w:bookmarkStart w:id="1178" w:name="_Toc25765"/>
      <w:bookmarkStart w:id="1179" w:name="_Toc12599"/>
      <w:bookmarkStart w:id="1180" w:name="_Toc634"/>
      <w:bookmarkStart w:id="1181" w:name="_Toc16704"/>
      <w:bookmarkStart w:id="1182" w:name="_Toc16723"/>
      <w:bookmarkStart w:id="1183" w:name="_Toc16194"/>
      <w:bookmarkStart w:id="1184" w:name="_Toc19219"/>
      <w:bookmarkStart w:id="1185" w:name="_Toc13003"/>
      <w:bookmarkStart w:id="1186" w:name="_Toc13763"/>
      <w:bookmarkStart w:id="1187" w:name="_Toc7883"/>
      <w:bookmarkStart w:id="1188" w:name="_Toc12487"/>
      <w:bookmarkStart w:id="1189" w:name="_Toc7406"/>
      <w:bookmarkStart w:id="1190" w:name="_Toc13408"/>
      <w:r>
        <w:rPr>
          <w:rFonts w:hint="eastAsia" w:ascii="Times New Roman" w:hAnsi="Times New Roman" w:eastAsia="楷体_GB2312"/>
          <w:color w:val="000000" w:themeColor="text1"/>
          <w14:textFill>
            <w14:solidFill>
              <w14:schemeClr w14:val="tx1"/>
            </w14:solidFill>
          </w14:textFill>
        </w:rPr>
        <w:t>（十）《突发公共卫生事件应急条例》</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35210C66">
      <w:pPr>
        <w:pStyle w:val="4"/>
        <w:widowControl w:val="0"/>
        <w:ind w:firstLine="640"/>
        <w:rPr>
          <w:bCs/>
          <w:color w:val="000000" w:themeColor="text1"/>
          <w14:textFill>
            <w14:solidFill>
              <w14:schemeClr w14:val="tx1"/>
            </w14:solidFill>
          </w14:textFill>
        </w:rPr>
      </w:pPr>
      <w:bookmarkStart w:id="1191" w:name="_Toc14963"/>
      <w:bookmarkStart w:id="1192" w:name="_Toc3365"/>
      <w:bookmarkStart w:id="1193" w:name="_Toc27826"/>
      <w:bookmarkStart w:id="1194" w:name="_Toc13375"/>
      <w:bookmarkStart w:id="1195" w:name="_Toc26126"/>
      <w:bookmarkStart w:id="1196" w:name="_Toc7543"/>
      <w:bookmarkStart w:id="1197" w:name="_Toc7094"/>
      <w:bookmarkStart w:id="1198" w:name="_Toc20216"/>
      <w:bookmarkStart w:id="1199" w:name="_Toc22542"/>
      <w:bookmarkStart w:id="1200" w:name="_Toc9916"/>
      <w:bookmarkStart w:id="1201" w:name="_Toc21020"/>
      <w:r>
        <w:rPr>
          <w:rFonts w:hint="eastAsia"/>
          <w:color w:val="000000" w:themeColor="text1"/>
          <w14:textFill>
            <w14:solidFill>
              <w14:schemeClr w14:val="tx1"/>
            </w14:solidFill>
          </w14:textFill>
        </w:rPr>
        <w:t xml:space="preserve">第一百零三条 </w:t>
      </w:r>
      <w:r>
        <w:rPr>
          <w:rFonts w:hint="eastAsia"/>
          <w:bCs/>
          <w:color w:val="000000" w:themeColor="text1"/>
          <w14:textFill>
            <w14:solidFill>
              <w14:schemeClr w14:val="tx1"/>
            </w14:solidFill>
          </w14:textFill>
        </w:rPr>
        <w:t>医疗卫生机构未依照本条例的规定履行报告职责，隐瞒、缓报或者谎报的</w:t>
      </w:r>
      <w:bookmarkEnd w:id="1191"/>
      <w:bookmarkEnd w:id="1192"/>
      <w:bookmarkEnd w:id="1193"/>
      <w:bookmarkEnd w:id="1194"/>
      <w:bookmarkEnd w:id="1195"/>
      <w:bookmarkEnd w:id="1196"/>
      <w:bookmarkEnd w:id="1197"/>
      <w:bookmarkEnd w:id="1198"/>
      <w:bookmarkEnd w:id="1199"/>
      <w:bookmarkEnd w:id="1200"/>
      <w:bookmarkEnd w:id="1201"/>
    </w:p>
    <w:p w14:paraId="690F3E5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8D1863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《突发公共卫生事件应急条例》第五十条第（一）项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14:paraId="13875E0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（一）未依照本条例的规定履行报告职责，隐瞒、缓报或者谎报的；</w:t>
      </w:r>
    </w:p>
    <w:p w14:paraId="2EB1831D">
      <w:pPr>
        <w:widowControl w:val="0"/>
        <w:spacing w:after="0" w:line="440" w:lineRule="exact"/>
        <w:ind w:firstLine="720" w:firstLineChars="225"/>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《突发公共卫生事件应急条例》第二十一条　</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任何单位和个人对突发事件，不得隐瞒、缓报、谎报或者授意他人隐瞒、缓报、谎报。</w:t>
      </w:r>
    </w:p>
    <w:p w14:paraId="15F0A32F">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515"/>
        <w:gridCol w:w="4575"/>
      </w:tblGrid>
      <w:tr w14:paraId="03C2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0" w:type="dxa"/>
            <w:vAlign w:val="center"/>
          </w:tcPr>
          <w:p w14:paraId="690B7C4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515" w:type="dxa"/>
            <w:vAlign w:val="center"/>
          </w:tcPr>
          <w:p w14:paraId="3CA69CC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575" w:type="dxa"/>
            <w:vAlign w:val="center"/>
          </w:tcPr>
          <w:p w14:paraId="70E6AC2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3B8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00" w:type="dxa"/>
            <w:vAlign w:val="center"/>
          </w:tcPr>
          <w:p w14:paraId="4C25695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515" w:type="dxa"/>
            <w:vAlign w:val="center"/>
          </w:tcPr>
          <w:p w14:paraId="775242BA">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未按规定履行报告职责，隐瞒、缓报或者谎报的。</w:t>
            </w:r>
          </w:p>
        </w:tc>
        <w:tc>
          <w:tcPr>
            <w:tcW w:w="4575" w:type="dxa"/>
            <w:vAlign w:val="center"/>
          </w:tcPr>
          <w:p w14:paraId="1546457D">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17EE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00" w:type="dxa"/>
            <w:vAlign w:val="center"/>
          </w:tcPr>
          <w:p w14:paraId="40185963">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515" w:type="dxa"/>
            <w:vAlign w:val="center"/>
          </w:tcPr>
          <w:p w14:paraId="3844A6E6">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未依法履行报告职责，隐瞒、缓报或者谎报行为造成传染病传播、流行或者对社会公众健康造成其他严重危害后果的。</w:t>
            </w:r>
          </w:p>
        </w:tc>
        <w:tc>
          <w:tcPr>
            <w:tcW w:w="4575" w:type="dxa"/>
            <w:vAlign w:val="center"/>
          </w:tcPr>
          <w:p w14:paraId="3F64E096">
            <w:pPr>
              <w:widowControl w:val="0"/>
              <w:numPr>
                <w:ilvl w:val="0"/>
                <w:numId w:val="0"/>
              </w:numPr>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通报批评，给予警告，吊销医疗机构执业许可证。</w:t>
            </w:r>
          </w:p>
        </w:tc>
      </w:tr>
    </w:tbl>
    <w:p w14:paraId="4080E2EC">
      <w:pPr>
        <w:pStyle w:val="4"/>
        <w:widowControl w:val="0"/>
        <w:ind w:firstLine="640"/>
        <w:jc w:val="both"/>
        <w:rPr>
          <w:rFonts w:hint="eastAsia" w:cs="仿宋_GB2312"/>
          <w:bCs/>
          <w:color w:val="000000" w:themeColor="text1"/>
          <w14:textFill>
            <w14:solidFill>
              <w14:schemeClr w14:val="tx1"/>
            </w14:solidFill>
          </w14:textFill>
        </w:rPr>
      </w:pPr>
      <w:bookmarkStart w:id="1202" w:name="_Toc12343"/>
      <w:bookmarkStart w:id="1203" w:name="_Toc18901"/>
      <w:bookmarkStart w:id="1204" w:name="_Toc25162"/>
      <w:bookmarkStart w:id="1205" w:name="_Toc19192"/>
      <w:bookmarkStart w:id="1206" w:name="_Toc30360"/>
      <w:bookmarkStart w:id="1207" w:name="_Toc28284"/>
      <w:bookmarkStart w:id="1208" w:name="_Toc14702"/>
      <w:bookmarkStart w:id="1209" w:name="_Toc19163"/>
      <w:bookmarkStart w:id="1210" w:name="_Toc782"/>
      <w:bookmarkStart w:id="1211" w:name="_Toc2470"/>
      <w:bookmarkStart w:id="1212" w:name="_Toc21173"/>
      <w:r>
        <w:rPr>
          <w:rFonts w:hint="eastAsia" w:cs="仿宋_GB2312"/>
          <w:bCs/>
          <w:color w:val="000000" w:themeColor="text1"/>
          <w14:textFill>
            <w14:solidFill>
              <w14:schemeClr w14:val="tx1"/>
            </w14:solidFill>
          </w14:textFill>
        </w:rPr>
        <w:t>第一百零四条</w:t>
      </w:r>
      <w:r>
        <w:rPr>
          <w:rFonts w:hint="eastAsia" w:cs="仿宋_GB2312"/>
          <w:bCs/>
          <w:color w:val="000000" w:themeColor="text1"/>
          <w:lang w:eastAsia="zh-CN"/>
          <w14:textFill>
            <w14:solidFill>
              <w14:schemeClr w14:val="tx1"/>
            </w14:solidFill>
          </w14:textFill>
        </w:rPr>
        <w:t xml:space="preserve"> </w:t>
      </w:r>
      <w:r>
        <w:rPr>
          <w:rFonts w:hint="eastAsia" w:cs="仿宋_GB2312"/>
          <w:bCs/>
          <w:color w:val="000000" w:themeColor="text1"/>
          <w14:textFill>
            <w14:solidFill>
              <w14:schemeClr w14:val="tx1"/>
            </w14:solidFill>
          </w14:textFill>
        </w:rPr>
        <w:t>医疗卫生机构未依照本条例的规定及时采取控制措施的</w:t>
      </w:r>
      <w:bookmarkEnd w:id="1202"/>
      <w:bookmarkEnd w:id="1203"/>
      <w:bookmarkEnd w:id="1204"/>
      <w:bookmarkEnd w:id="1205"/>
      <w:bookmarkEnd w:id="1206"/>
      <w:bookmarkEnd w:id="1207"/>
      <w:bookmarkEnd w:id="1208"/>
      <w:bookmarkEnd w:id="1209"/>
      <w:bookmarkEnd w:id="1210"/>
      <w:bookmarkEnd w:id="1211"/>
      <w:bookmarkEnd w:id="1212"/>
    </w:p>
    <w:p w14:paraId="79EB704D">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598EB618">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《突发公共卫生事件应急条例》第五十条第（二）项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14:paraId="6E69F49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（二）未依照本条例的规定及时采取控制措施的；</w:t>
      </w:r>
    </w:p>
    <w:p w14:paraId="1832C3B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《突发公共卫生事件应急条例》第二十二条　接到报告的地方人民政府、卫生行政主管部门依照本条例规定报告的同时，应当立即组织力量对报告事项调查核实、确证，采取必要的控制措施，并及时报告调查情况。</w:t>
      </w:r>
    </w:p>
    <w:p w14:paraId="396550AA">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9172"/>
        <w:gridCol w:w="2871"/>
      </w:tblGrid>
      <w:tr w14:paraId="78EA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38" w:type="dxa"/>
            <w:vAlign w:val="center"/>
          </w:tcPr>
          <w:p w14:paraId="6EF28F4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9172" w:type="dxa"/>
            <w:vAlign w:val="center"/>
          </w:tcPr>
          <w:p w14:paraId="6402AD8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2871" w:type="dxa"/>
            <w:vAlign w:val="center"/>
          </w:tcPr>
          <w:p w14:paraId="23BC466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006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38" w:type="dxa"/>
            <w:vAlign w:val="center"/>
          </w:tcPr>
          <w:p w14:paraId="3D418134">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9172" w:type="dxa"/>
            <w:vAlign w:val="center"/>
          </w:tcPr>
          <w:p w14:paraId="3F4F67F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未及时采取控制措施，尚未造成不良社会后果的。</w:t>
            </w:r>
          </w:p>
        </w:tc>
        <w:tc>
          <w:tcPr>
            <w:tcW w:w="2871" w:type="dxa"/>
            <w:vAlign w:val="center"/>
          </w:tcPr>
          <w:p w14:paraId="3B08BF79">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0864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38" w:type="dxa"/>
            <w:vAlign w:val="center"/>
          </w:tcPr>
          <w:p w14:paraId="22629581">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9172" w:type="dxa"/>
            <w:vAlign w:val="center"/>
          </w:tcPr>
          <w:p w14:paraId="3A856BB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未及时采取控制措施造成传染病传播、流行或者对社会公众健康造成其他严重危害后果的。</w:t>
            </w:r>
          </w:p>
        </w:tc>
        <w:tc>
          <w:tcPr>
            <w:tcW w:w="2871" w:type="dxa"/>
            <w:vAlign w:val="center"/>
          </w:tcPr>
          <w:p w14:paraId="179EFCB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通报批评，给予警告，吊销医疗机构执业许可证。</w:t>
            </w:r>
          </w:p>
        </w:tc>
      </w:tr>
    </w:tbl>
    <w:p w14:paraId="1A370867">
      <w:pPr>
        <w:pStyle w:val="4"/>
        <w:widowControl w:val="0"/>
        <w:ind w:firstLine="640"/>
        <w:rPr>
          <w:b w:val="0"/>
          <w:bCs/>
          <w:color w:val="000000" w:themeColor="text1"/>
          <w14:textFill>
            <w14:solidFill>
              <w14:schemeClr w14:val="tx1"/>
            </w14:solidFill>
          </w14:textFill>
        </w:rPr>
      </w:pPr>
      <w:bookmarkStart w:id="1213" w:name="_Toc437"/>
      <w:bookmarkStart w:id="1214" w:name="_Toc19869"/>
      <w:bookmarkStart w:id="1215" w:name="_Toc12192"/>
      <w:bookmarkStart w:id="1216" w:name="_Toc24929"/>
      <w:bookmarkStart w:id="1217" w:name="_Toc2341"/>
      <w:bookmarkStart w:id="1218" w:name="_Toc15379"/>
      <w:bookmarkStart w:id="1219" w:name="_Toc7082"/>
      <w:bookmarkStart w:id="1220" w:name="_Toc32329"/>
      <w:bookmarkStart w:id="1221" w:name="_Toc15498"/>
      <w:bookmarkStart w:id="1222" w:name="_Toc26746"/>
      <w:bookmarkStart w:id="1223" w:name="_Toc32414"/>
      <w:r>
        <w:rPr>
          <w:rFonts w:hint="eastAsia"/>
          <w:color w:val="000000" w:themeColor="text1"/>
          <w14:textFill>
            <w14:solidFill>
              <w14:schemeClr w14:val="tx1"/>
            </w14:solidFill>
          </w14:textFill>
        </w:rPr>
        <w:t xml:space="preserve">第一百零五条 </w:t>
      </w:r>
      <w:r>
        <w:rPr>
          <w:rFonts w:hint="eastAsia"/>
          <w:bCs/>
          <w:color w:val="000000" w:themeColor="text1"/>
          <w14:textFill>
            <w14:solidFill>
              <w14:schemeClr w14:val="tx1"/>
            </w14:solidFill>
          </w14:textFill>
        </w:rPr>
        <w:t>医疗卫生机构未依照本条例的规定履行突发事件监测职责的</w:t>
      </w:r>
      <w:bookmarkEnd w:id="1213"/>
      <w:bookmarkEnd w:id="1214"/>
      <w:bookmarkEnd w:id="1215"/>
      <w:bookmarkEnd w:id="1216"/>
      <w:bookmarkEnd w:id="1217"/>
      <w:bookmarkEnd w:id="1218"/>
      <w:bookmarkEnd w:id="1219"/>
      <w:bookmarkEnd w:id="1220"/>
      <w:bookmarkEnd w:id="1221"/>
      <w:bookmarkEnd w:id="1222"/>
      <w:bookmarkEnd w:id="1223"/>
    </w:p>
    <w:p w14:paraId="2167232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5C3AB875">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《突发公共卫生事件应急条例》第五十条第（三）项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14:paraId="752A3AD0">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（三）未依照本条例的规定履行突发事件监测职责的；</w:t>
      </w:r>
    </w:p>
    <w:p w14:paraId="23AA9A48">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559"/>
        <w:gridCol w:w="4531"/>
      </w:tblGrid>
      <w:tr w14:paraId="3FC5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0" w:type="dxa"/>
            <w:vAlign w:val="center"/>
          </w:tcPr>
          <w:p w14:paraId="5D412AE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559" w:type="dxa"/>
            <w:vAlign w:val="center"/>
          </w:tcPr>
          <w:p w14:paraId="4D412FD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531" w:type="dxa"/>
            <w:vAlign w:val="center"/>
          </w:tcPr>
          <w:p w14:paraId="54AECAC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7B1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vAlign w:val="center"/>
          </w:tcPr>
          <w:p w14:paraId="4EF2D925">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559" w:type="dxa"/>
            <w:vAlign w:val="center"/>
          </w:tcPr>
          <w:p w14:paraId="03967993">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未按规定履行突发事件监测职责的。</w:t>
            </w:r>
          </w:p>
        </w:tc>
        <w:tc>
          <w:tcPr>
            <w:tcW w:w="4531" w:type="dxa"/>
            <w:vAlign w:val="center"/>
          </w:tcPr>
          <w:p w14:paraId="6A3D893E">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0C26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vAlign w:val="center"/>
          </w:tcPr>
          <w:p w14:paraId="2E137C68">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559" w:type="dxa"/>
            <w:vAlign w:val="center"/>
          </w:tcPr>
          <w:p w14:paraId="2E7E5FE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未依照条例规定履行突发事件监测职责造成传染病传播、流行或者对社会公众健康造成其他严重危害后果的。</w:t>
            </w:r>
          </w:p>
        </w:tc>
        <w:tc>
          <w:tcPr>
            <w:tcW w:w="4531" w:type="dxa"/>
            <w:vAlign w:val="center"/>
          </w:tcPr>
          <w:p w14:paraId="51807DCE">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通报批评，给予警告，吊销《医疗机构执业许可证》。</w:t>
            </w:r>
          </w:p>
        </w:tc>
      </w:tr>
    </w:tbl>
    <w:p w14:paraId="17688EAB">
      <w:pPr>
        <w:pStyle w:val="4"/>
        <w:widowControl w:val="0"/>
        <w:ind w:firstLine="640"/>
        <w:rPr>
          <w:b w:val="0"/>
          <w:bCs/>
          <w:color w:val="000000" w:themeColor="text1"/>
          <w14:textFill>
            <w14:solidFill>
              <w14:schemeClr w14:val="tx1"/>
            </w14:solidFill>
          </w14:textFill>
        </w:rPr>
      </w:pPr>
      <w:bookmarkStart w:id="1224" w:name="_Toc11636"/>
      <w:bookmarkStart w:id="1225" w:name="_Toc26240"/>
      <w:bookmarkStart w:id="1226" w:name="_Toc13930"/>
      <w:bookmarkStart w:id="1227" w:name="_Toc6447"/>
      <w:bookmarkStart w:id="1228" w:name="_Toc18262"/>
      <w:bookmarkStart w:id="1229" w:name="_Toc19763"/>
      <w:bookmarkStart w:id="1230" w:name="_Toc19621"/>
      <w:bookmarkStart w:id="1231" w:name="_Toc19732"/>
      <w:bookmarkStart w:id="1232" w:name="_Toc15740"/>
      <w:bookmarkStart w:id="1233" w:name="_Toc12785"/>
      <w:bookmarkStart w:id="1234" w:name="_Toc16291"/>
      <w:r>
        <w:rPr>
          <w:rFonts w:hint="eastAsia"/>
          <w:color w:val="000000" w:themeColor="text1"/>
          <w14:textFill>
            <w14:solidFill>
              <w14:schemeClr w14:val="tx1"/>
            </w14:solidFill>
          </w14:textFill>
        </w:rPr>
        <w:t xml:space="preserve">第一百零六条 </w:t>
      </w:r>
      <w:r>
        <w:rPr>
          <w:rFonts w:hint="eastAsia"/>
          <w:bCs/>
          <w:color w:val="000000" w:themeColor="text1"/>
          <w14:textFill>
            <w14:solidFill>
              <w14:schemeClr w14:val="tx1"/>
            </w14:solidFill>
          </w14:textFill>
        </w:rPr>
        <w:t>医疗卫生机构拒绝接诊病人的</w:t>
      </w:r>
      <w:bookmarkEnd w:id="1224"/>
      <w:bookmarkEnd w:id="1225"/>
      <w:bookmarkEnd w:id="1226"/>
      <w:bookmarkEnd w:id="1227"/>
      <w:bookmarkEnd w:id="1228"/>
      <w:bookmarkEnd w:id="1229"/>
      <w:bookmarkEnd w:id="1230"/>
      <w:bookmarkEnd w:id="1231"/>
      <w:bookmarkEnd w:id="1232"/>
      <w:bookmarkEnd w:id="1233"/>
      <w:bookmarkEnd w:id="1234"/>
    </w:p>
    <w:p w14:paraId="24B8267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534FD7B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《突发公共卫生事件应急条例》第五十条第（四）项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14:paraId="78489D6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（四）拒绝接诊病人的；</w:t>
      </w:r>
    </w:p>
    <w:p w14:paraId="7927CFFA">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96"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7541"/>
        <w:gridCol w:w="4146"/>
      </w:tblGrid>
      <w:tr w14:paraId="7FFB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9" w:type="dxa"/>
            <w:vAlign w:val="center"/>
          </w:tcPr>
          <w:p w14:paraId="6149DDD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541" w:type="dxa"/>
            <w:vAlign w:val="center"/>
          </w:tcPr>
          <w:p w14:paraId="7B21319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146" w:type="dxa"/>
            <w:vAlign w:val="center"/>
          </w:tcPr>
          <w:p w14:paraId="11BC9A8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CAD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09" w:type="dxa"/>
            <w:vAlign w:val="center"/>
          </w:tcPr>
          <w:p w14:paraId="12F18E65">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541" w:type="dxa"/>
            <w:vAlign w:val="center"/>
          </w:tcPr>
          <w:p w14:paraId="7A1B1D2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拒绝接诊病人的。</w:t>
            </w:r>
          </w:p>
        </w:tc>
        <w:tc>
          <w:tcPr>
            <w:tcW w:w="4146" w:type="dxa"/>
            <w:vAlign w:val="center"/>
          </w:tcPr>
          <w:p w14:paraId="3C7F6DA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3B21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09" w:type="dxa"/>
            <w:vAlign w:val="center"/>
          </w:tcPr>
          <w:p w14:paraId="4702EDC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541" w:type="dxa"/>
            <w:vAlign w:val="center"/>
          </w:tcPr>
          <w:p w14:paraId="49BC65B5">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拒绝接诊病人造成传染病传播、流行或者对社会公众健康造成其他严重危害后果的。</w:t>
            </w:r>
          </w:p>
        </w:tc>
        <w:tc>
          <w:tcPr>
            <w:tcW w:w="4146" w:type="dxa"/>
            <w:vAlign w:val="center"/>
          </w:tcPr>
          <w:p w14:paraId="1D303BE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通报批评，给予警告，吊销《医疗机构执业许可证》。</w:t>
            </w:r>
          </w:p>
        </w:tc>
      </w:tr>
    </w:tbl>
    <w:p w14:paraId="3A07106D">
      <w:pPr>
        <w:pStyle w:val="4"/>
        <w:widowControl w:val="0"/>
        <w:ind w:firstLine="640"/>
        <w:rPr>
          <w:bCs/>
          <w:color w:val="000000" w:themeColor="text1"/>
          <w14:textFill>
            <w14:solidFill>
              <w14:schemeClr w14:val="tx1"/>
            </w14:solidFill>
          </w14:textFill>
        </w:rPr>
      </w:pPr>
      <w:bookmarkStart w:id="1235" w:name="_Toc14535"/>
      <w:bookmarkStart w:id="1236" w:name="_Toc3555"/>
      <w:bookmarkStart w:id="1237" w:name="_Toc2182"/>
      <w:bookmarkStart w:id="1238" w:name="_Toc27751"/>
      <w:bookmarkStart w:id="1239" w:name="_Toc23594"/>
      <w:bookmarkStart w:id="1240" w:name="_Toc31169"/>
      <w:bookmarkStart w:id="1241" w:name="_Toc10647"/>
      <w:bookmarkStart w:id="1242" w:name="_Toc8192"/>
      <w:bookmarkStart w:id="1243" w:name="_Toc14266"/>
      <w:bookmarkStart w:id="1244" w:name="_Toc3255"/>
      <w:bookmarkStart w:id="1245" w:name="_Toc22756"/>
      <w:r>
        <w:rPr>
          <w:rFonts w:hint="eastAsia"/>
          <w:color w:val="000000" w:themeColor="text1"/>
          <w14:textFill>
            <w14:solidFill>
              <w14:schemeClr w14:val="tx1"/>
            </w14:solidFill>
          </w14:textFill>
        </w:rPr>
        <w:t xml:space="preserve">第一百零七条 </w:t>
      </w:r>
      <w:r>
        <w:rPr>
          <w:rFonts w:hint="eastAsia"/>
          <w:bCs/>
          <w:color w:val="000000" w:themeColor="text1"/>
          <w14:textFill>
            <w14:solidFill>
              <w14:schemeClr w14:val="tx1"/>
            </w14:solidFill>
          </w14:textFill>
        </w:rPr>
        <w:t>医疗卫生机构拒不服从突发事件应急处理指挥部调度的</w:t>
      </w:r>
      <w:bookmarkEnd w:id="1235"/>
      <w:bookmarkEnd w:id="1236"/>
      <w:bookmarkEnd w:id="1237"/>
      <w:bookmarkEnd w:id="1238"/>
      <w:bookmarkEnd w:id="1239"/>
      <w:bookmarkEnd w:id="1240"/>
      <w:bookmarkEnd w:id="1241"/>
      <w:bookmarkEnd w:id="1242"/>
      <w:bookmarkEnd w:id="1243"/>
      <w:bookmarkEnd w:id="1244"/>
      <w:bookmarkEnd w:id="1245"/>
    </w:p>
    <w:p w14:paraId="2390569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B6A96C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《突发公共卫生事件应急条例》第五十条第（五）项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卫生机构有下列行为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14:paraId="2E3B9AE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（五）拒不服从突发事件应急处理指挥部调度的。</w:t>
      </w:r>
    </w:p>
    <w:p w14:paraId="4755A051">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46"/>
        <w:gridCol w:w="3784"/>
      </w:tblGrid>
      <w:tr w14:paraId="7859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60" w:type="dxa"/>
            <w:vAlign w:val="center"/>
          </w:tcPr>
          <w:p w14:paraId="543CFBC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946" w:type="dxa"/>
            <w:vAlign w:val="center"/>
          </w:tcPr>
          <w:p w14:paraId="0F05CBCD">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784" w:type="dxa"/>
            <w:vAlign w:val="center"/>
          </w:tcPr>
          <w:p w14:paraId="6D24EC1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715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160" w:type="dxa"/>
            <w:vAlign w:val="center"/>
          </w:tcPr>
          <w:p w14:paraId="64F04A1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946" w:type="dxa"/>
            <w:vAlign w:val="center"/>
          </w:tcPr>
          <w:p w14:paraId="7D9610C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拒不服从突发事件应急处理指挥部调度的。</w:t>
            </w:r>
          </w:p>
        </w:tc>
        <w:tc>
          <w:tcPr>
            <w:tcW w:w="3784" w:type="dxa"/>
            <w:vAlign w:val="center"/>
          </w:tcPr>
          <w:p w14:paraId="1C8A4363">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10CE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160" w:type="dxa"/>
            <w:vAlign w:val="center"/>
          </w:tcPr>
          <w:p w14:paraId="2309630D">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946" w:type="dxa"/>
            <w:vAlign w:val="center"/>
          </w:tcPr>
          <w:p w14:paraId="1535BE6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拒不服从突发事件应急处理指挥部调度造成传染病传播、流行或者对社会公众健康造成其他严重危害后果的。</w:t>
            </w:r>
          </w:p>
        </w:tc>
        <w:tc>
          <w:tcPr>
            <w:tcW w:w="3784" w:type="dxa"/>
            <w:vAlign w:val="center"/>
          </w:tcPr>
          <w:p w14:paraId="103BD4F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通报批评、给予警告，吊销《医疗机构执业许可证》。</w:t>
            </w:r>
          </w:p>
        </w:tc>
      </w:tr>
    </w:tbl>
    <w:p w14:paraId="768FE3B6">
      <w:pPr>
        <w:pStyle w:val="3"/>
        <w:keepNext w:val="0"/>
        <w:keepLines w:val="0"/>
        <w:widowControl w:val="0"/>
        <w:spacing w:before="0" w:line="440" w:lineRule="exact"/>
        <w:ind w:firstLine="643" w:firstLineChars="200"/>
        <w:rPr>
          <w:rFonts w:ascii="Times New Roman" w:hAnsi="Times New Roman" w:eastAsia="楷体_GB2312"/>
          <w:color w:val="000000" w:themeColor="text1"/>
          <w14:textFill>
            <w14:solidFill>
              <w14:schemeClr w14:val="tx1"/>
            </w14:solidFill>
          </w14:textFill>
        </w:rPr>
      </w:pPr>
      <w:bookmarkStart w:id="1246" w:name="_Toc15128"/>
      <w:bookmarkStart w:id="1247" w:name="_Toc1826"/>
      <w:bookmarkStart w:id="1248" w:name="_Toc19809"/>
      <w:bookmarkStart w:id="1249" w:name="_Toc7509"/>
      <w:bookmarkStart w:id="1250" w:name="_Toc2463"/>
      <w:bookmarkStart w:id="1251" w:name="_Toc12935"/>
      <w:bookmarkStart w:id="1252" w:name="_Toc20296"/>
      <w:bookmarkStart w:id="1253" w:name="_Toc2673"/>
      <w:bookmarkStart w:id="1254" w:name="_Toc24388"/>
      <w:bookmarkStart w:id="1255" w:name="_Toc13170"/>
      <w:bookmarkStart w:id="1256" w:name="_Toc22655"/>
      <w:bookmarkStart w:id="1257" w:name="_Toc10958"/>
      <w:bookmarkStart w:id="1258" w:name="_Toc1721"/>
      <w:r>
        <w:rPr>
          <w:rFonts w:hint="eastAsia" w:ascii="Times New Roman" w:hAnsi="Times New Roman" w:eastAsia="楷体_GB2312"/>
          <w:color w:val="000000" w:themeColor="text1"/>
          <w14:textFill>
            <w14:solidFill>
              <w14:schemeClr w14:val="tx1"/>
            </w14:solidFill>
          </w14:textFill>
        </w:rPr>
        <w:t>（十一）《突发公共卫生事件与传染病疫情监测信息报告管理办法》</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722BE8B8">
      <w:pPr>
        <w:pStyle w:val="4"/>
        <w:widowControl w:val="0"/>
        <w:ind w:firstLine="640"/>
        <w:jc w:val="both"/>
        <w:rPr>
          <w:rFonts w:hint="eastAsia" w:cs="仿宋_GB2312"/>
          <w:bCs/>
          <w:color w:val="000000" w:themeColor="text1"/>
          <w14:textFill>
            <w14:solidFill>
              <w14:schemeClr w14:val="tx1"/>
            </w14:solidFill>
          </w14:textFill>
        </w:rPr>
      </w:pPr>
      <w:bookmarkStart w:id="1259" w:name="_Toc8399"/>
      <w:bookmarkStart w:id="1260" w:name="_Toc32724"/>
      <w:bookmarkStart w:id="1261" w:name="_Toc20173"/>
      <w:bookmarkStart w:id="1262" w:name="_Toc16859"/>
      <w:bookmarkStart w:id="1263" w:name="_Toc21836"/>
      <w:bookmarkStart w:id="1264" w:name="_Toc22390"/>
      <w:bookmarkStart w:id="1265" w:name="_Toc9021"/>
      <w:bookmarkStart w:id="1266" w:name="_Toc30024"/>
      <w:bookmarkStart w:id="1267" w:name="_Toc28873"/>
      <w:bookmarkStart w:id="1268" w:name="_Toc4914"/>
      <w:bookmarkStart w:id="1269" w:name="_Toc3735"/>
      <w:r>
        <w:rPr>
          <w:rFonts w:hint="eastAsia" w:cs="仿宋_GB2312"/>
          <w:bCs/>
          <w:color w:val="000000" w:themeColor="text1"/>
          <w14:textFill>
            <w14:solidFill>
              <w14:schemeClr w14:val="tx1"/>
            </w14:solidFill>
          </w14:textFill>
        </w:rPr>
        <w:t>第一百零八条 执行职务的医疗卫生人员瞒报、缓报、谎报传染病疫情的</w:t>
      </w:r>
      <w:bookmarkEnd w:id="1259"/>
      <w:bookmarkEnd w:id="1260"/>
      <w:bookmarkEnd w:id="1261"/>
      <w:bookmarkEnd w:id="1262"/>
      <w:bookmarkEnd w:id="1263"/>
      <w:bookmarkEnd w:id="1264"/>
      <w:bookmarkEnd w:id="1265"/>
      <w:bookmarkEnd w:id="1266"/>
      <w:bookmarkEnd w:id="1267"/>
      <w:bookmarkEnd w:id="1268"/>
      <w:bookmarkEnd w:id="1269"/>
    </w:p>
    <w:p w14:paraId="34A063C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15368DDA">
      <w:pPr>
        <w:widowControl w:val="0"/>
        <w:spacing w:after="0" w:line="440" w:lineRule="exact"/>
        <w:ind w:firstLine="480" w:firstLineChars="15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《突发公共卫生事件与传染病疫情监测信息报告管理办法》第四十条第一款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执行职务的医疗卫生人员瞒报、缓报、谎报传染病疫情的，由县级以上卫生行政部门给予警告，情节严重的，责令暂停六个月以上一年以下执业活动，或者吊销其执业证书。</w:t>
      </w:r>
    </w:p>
    <w:p w14:paraId="6599264E">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038"/>
        <w:gridCol w:w="5292"/>
      </w:tblGrid>
      <w:tr w14:paraId="4A27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60" w:type="dxa"/>
            <w:vAlign w:val="center"/>
          </w:tcPr>
          <w:p w14:paraId="288D5E6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038" w:type="dxa"/>
            <w:vAlign w:val="center"/>
          </w:tcPr>
          <w:p w14:paraId="152F50A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292" w:type="dxa"/>
            <w:vAlign w:val="center"/>
          </w:tcPr>
          <w:p w14:paraId="2234E77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76A0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Align w:val="center"/>
          </w:tcPr>
          <w:p w14:paraId="445E7E01">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038" w:type="dxa"/>
            <w:vAlign w:val="center"/>
          </w:tcPr>
          <w:p w14:paraId="24ABAFB5">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缓报传染病疫情，未造成传染病传播、流行等严重后果的。</w:t>
            </w:r>
          </w:p>
        </w:tc>
        <w:tc>
          <w:tcPr>
            <w:tcW w:w="5292" w:type="dxa"/>
            <w:vAlign w:val="center"/>
          </w:tcPr>
          <w:p w14:paraId="2D183A4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4715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restart"/>
            <w:vAlign w:val="center"/>
          </w:tcPr>
          <w:p w14:paraId="5E96CDCA">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038" w:type="dxa"/>
            <w:vAlign w:val="center"/>
          </w:tcPr>
          <w:p w14:paraId="7BB2080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瞒报、缓报、谎报传染病疫情，造成突发公共卫生事件（Ⅳ级）和丙类传染病传播流行的。</w:t>
            </w:r>
          </w:p>
        </w:tc>
        <w:tc>
          <w:tcPr>
            <w:tcW w:w="5292" w:type="dxa"/>
            <w:vAlign w:val="center"/>
          </w:tcPr>
          <w:p w14:paraId="4D642C6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警告，责令暂停6个月以上9个月以下执业活动。</w:t>
            </w:r>
          </w:p>
        </w:tc>
      </w:tr>
      <w:tr w14:paraId="5721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continue"/>
            <w:vAlign w:val="center"/>
          </w:tcPr>
          <w:p w14:paraId="739ED275">
            <w:pPr>
              <w:widowControl w:val="0"/>
              <w:spacing w:after="0" w:line="440" w:lineRule="exact"/>
              <w:jc w:val="center"/>
              <w:rPr>
                <w:rFonts w:ascii="Times New Roman" w:hAnsi="Times New Roman" w:eastAsia="仿宋" w:cs="Times New Roman"/>
                <w:b/>
                <w:bCs/>
                <w:color w:val="000000" w:themeColor="text1"/>
                <w:sz w:val="24"/>
                <w:szCs w:val="24"/>
                <w14:textFill>
                  <w14:solidFill>
                    <w14:schemeClr w14:val="tx1"/>
                  </w14:solidFill>
                </w14:textFill>
              </w:rPr>
            </w:pPr>
          </w:p>
        </w:tc>
        <w:tc>
          <w:tcPr>
            <w:tcW w:w="7038" w:type="dxa"/>
            <w:vAlign w:val="center"/>
          </w:tcPr>
          <w:p w14:paraId="38D6CBC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瞒报、缓报、谎报传染病疫情，造成突发公共卫生事件（Ⅲ级）和乙类传染病传播流行的。</w:t>
            </w:r>
          </w:p>
        </w:tc>
        <w:tc>
          <w:tcPr>
            <w:tcW w:w="5292" w:type="dxa"/>
            <w:vAlign w:val="center"/>
          </w:tcPr>
          <w:p w14:paraId="103D9907">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警告，责令暂停9个月以上12个月以下执业活动。</w:t>
            </w:r>
          </w:p>
        </w:tc>
      </w:tr>
      <w:tr w14:paraId="7FC1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0" w:type="dxa"/>
            <w:vMerge w:val="continue"/>
            <w:vAlign w:val="center"/>
          </w:tcPr>
          <w:p w14:paraId="46FC4DC3">
            <w:pPr>
              <w:widowControl w:val="0"/>
              <w:spacing w:after="0" w:line="440" w:lineRule="exact"/>
              <w:jc w:val="center"/>
              <w:rPr>
                <w:rFonts w:ascii="Times New Roman" w:hAnsi="Times New Roman" w:eastAsia="仿宋" w:cs="Times New Roman"/>
                <w:b/>
                <w:bCs/>
                <w:color w:val="000000" w:themeColor="text1"/>
                <w:sz w:val="24"/>
                <w:szCs w:val="24"/>
                <w14:textFill>
                  <w14:solidFill>
                    <w14:schemeClr w14:val="tx1"/>
                  </w14:solidFill>
                </w14:textFill>
              </w:rPr>
            </w:pPr>
          </w:p>
        </w:tc>
        <w:tc>
          <w:tcPr>
            <w:tcW w:w="7038" w:type="dxa"/>
            <w:vAlign w:val="center"/>
          </w:tcPr>
          <w:p w14:paraId="1106AAFB">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瞒报、缓报、谎报传染病疫情，造成突发公共卫生事件（Ⅱ、I级）和甲类传染病传播流行的。</w:t>
            </w:r>
          </w:p>
        </w:tc>
        <w:tc>
          <w:tcPr>
            <w:tcW w:w="5292" w:type="dxa"/>
            <w:vAlign w:val="center"/>
          </w:tcPr>
          <w:p w14:paraId="5D0624B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警告，吊销执业证书。</w:t>
            </w:r>
          </w:p>
        </w:tc>
      </w:tr>
    </w:tbl>
    <w:p w14:paraId="7986CC7C">
      <w:pPr>
        <w:pStyle w:val="4"/>
        <w:widowControl w:val="0"/>
        <w:ind w:firstLine="640"/>
        <w:jc w:val="both"/>
        <w:rPr>
          <w:rFonts w:hint="eastAsia" w:cs="仿宋_GB2312"/>
          <w:bCs/>
          <w:color w:val="000000" w:themeColor="text1"/>
          <w14:textFill>
            <w14:solidFill>
              <w14:schemeClr w14:val="tx1"/>
            </w14:solidFill>
          </w14:textFill>
        </w:rPr>
      </w:pPr>
      <w:bookmarkStart w:id="1270" w:name="_Toc27940"/>
      <w:bookmarkStart w:id="1271" w:name="_Toc3031"/>
      <w:bookmarkStart w:id="1272" w:name="_Toc11871"/>
      <w:bookmarkStart w:id="1273" w:name="_Toc18760"/>
      <w:bookmarkStart w:id="1274" w:name="_Toc2394"/>
      <w:bookmarkStart w:id="1275" w:name="_Toc8267"/>
      <w:bookmarkStart w:id="1276" w:name="_Toc16901"/>
      <w:bookmarkStart w:id="1277" w:name="_Toc762"/>
      <w:bookmarkStart w:id="1278" w:name="_Toc15672"/>
      <w:bookmarkStart w:id="1279" w:name="_Toc8238"/>
      <w:bookmarkStart w:id="1280" w:name="_Toc22990"/>
      <w:r>
        <w:rPr>
          <w:rFonts w:hint="eastAsia" w:cs="仿宋_GB2312"/>
          <w:bCs/>
          <w:color w:val="000000" w:themeColor="text1"/>
          <w14:textFill>
            <w14:solidFill>
              <w14:schemeClr w14:val="tx1"/>
            </w14:solidFill>
          </w14:textFill>
        </w:rPr>
        <w:t>第一百零九条 个体或私营医疗保健机构瞒报、缓报、谎报传染病疫情或突发公共卫生事件的</w:t>
      </w:r>
      <w:bookmarkEnd w:id="1270"/>
      <w:bookmarkEnd w:id="1271"/>
      <w:bookmarkEnd w:id="1272"/>
      <w:bookmarkEnd w:id="1273"/>
      <w:bookmarkEnd w:id="1274"/>
      <w:bookmarkEnd w:id="1275"/>
      <w:bookmarkEnd w:id="1276"/>
      <w:bookmarkEnd w:id="1277"/>
      <w:bookmarkEnd w:id="1278"/>
      <w:bookmarkEnd w:id="1279"/>
      <w:bookmarkEnd w:id="1280"/>
    </w:p>
    <w:p w14:paraId="50FAA241">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D91414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《突发公共卫生事件与传染病疫情监测信息报告管理办法》第四十一条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个体或私营医疗保健机构瞒报、缓报、谎报传染病疫情或突发公共卫生事件的，由县级以上卫生行政部门责令限期改正，可以处</w:t>
      </w:r>
      <w:r>
        <w:rPr>
          <w:rFonts w:ascii="Times New Roman" w:hAnsi="Times New Roman" w:eastAsia="仿宋_GB2312" w:cs="Times New Roman"/>
          <w:color w:val="000000" w:themeColor="text1"/>
          <w:sz w:val="32"/>
          <w:szCs w:val="32"/>
          <w14:textFill>
            <w14:solidFill>
              <w14:schemeClr w14:val="tx1"/>
            </w14:solidFill>
          </w14:textFill>
        </w:rPr>
        <w:t>100</w:t>
      </w:r>
      <w:r>
        <w:rPr>
          <w:rFonts w:hint="eastAsia" w:ascii="Times New Roman" w:hAnsi="Times New Roman" w:eastAsia="仿宋_GB2312" w:cs="Times New Roman"/>
          <w:color w:val="000000" w:themeColor="text1"/>
          <w:sz w:val="32"/>
          <w:szCs w:val="32"/>
          <w14:textFill>
            <w14:solidFill>
              <w14:schemeClr w14:val="tx1"/>
            </w14:solidFill>
          </w14:textFill>
        </w:rPr>
        <w:t>元以上</w:t>
      </w:r>
      <w:r>
        <w:rPr>
          <w:rFonts w:ascii="Times New Roman" w:hAnsi="Times New Roman" w:eastAsia="仿宋_GB2312" w:cs="Times New Roman"/>
          <w:color w:val="000000" w:themeColor="text1"/>
          <w:sz w:val="32"/>
          <w:szCs w:val="32"/>
          <w14:textFill>
            <w14:solidFill>
              <w14:schemeClr w14:val="tx1"/>
            </w14:solidFill>
          </w14:textFill>
        </w:rPr>
        <w:t>500</w:t>
      </w:r>
      <w:r>
        <w:rPr>
          <w:rFonts w:hint="eastAsia" w:ascii="Times New Roman" w:hAnsi="Times New Roman" w:eastAsia="仿宋_GB2312" w:cs="Times New Roman"/>
          <w:color w:val="000000" w:themeColor="text1"/>
          <w:sz w:val="32"/>
          <w:szCs w:val="32"/>
          <w14:textFill>
            <w14:solidFill>
              <w14:schemeClr w14:val="tx1"/>
            </w14:solidFill>
          </w14:textFill>
        </w:rPr>
        <w:t>元以下罚款；对造成突发公共卫生事件和传染病传播流行的，责令停业整改，并可以处</w:t>
      </w:r>
      <w:r>
        <w:rPr>
          <w:rFonts w:ascii="Times New Roman" w:hAnsi="Times New Roman" w:eastAsia="仿宋_GB2312" w:cs="Times New Roman"/>
          <w:color w:val="000000" w:themeColor="text1"/>
          <w:sz w:val="32"/>
          <w:szCs w:val="32"/>
          <w14:textFill>
            <w14:solidFill>
              <w14:schemeClr w14:val="tx1"/>
            </w14:solidFill>
          </w14:textFill>
        </w:rPr>
        <w:t>200</w:t>
      </w:r>
      <w:r>
        <w:rPr>
          <w:rFonts w:hint="eastAsia" w:ascii="Times New Roman" w:hAnsi="Times New Roman" w:eastAsia="仿宋_GB2312" w:cs="Times New Roman"/>
          <w:color w:val="000000" w:themeColor="text1"/>
          <w:sz w:val="32"/>
          <w:szCs w:val="32"/>
          <w14:textFill>
            <w14:solidFill>
              <w14:schemeClr w14:val="tx1"/>
            </w14:solidFill>
          </w14:textFill>
        </w:rPr>
        <w:t>元以上</w:t>
      </w:r>
      <w:r>
        <w:rPr>
          <w:rFonts w:ascii="Times New Roman" w:hAnsi="Times New Roman" w:eastAsia="仿宋_GB2312" w:cs="Times New Roman"/>
          <w:color w:val="000000" w:themeColor="text1"/>
          <w:sz w:val="32"/>
          <w:szCs w:val="32"/>
          <w14:textFill>
            <w14:solidFill>
              <w14:schemeClr w14:val="tx1"/>
            </w14:solidFill>
          </w14:textFill>
        </w:rPr>
        <w:t>2000</w:t>
      </w:r>
      <w:r>
        <w:rPr>
          <w:rFonts w:hint="eastAsia" w:ascii="Times New Roman" w:hAnsi="Times New Roman" w:eastAsia="仿宋_GB2312" w:cs="Times New Roman"/>
          <w:color w:val="000000" w:themeColor="text1"/>
          <w:sz w:val="32"/>
          <w:szCs w:val="32"/>
          <w14:textFill>
            <w14:solidFill>
              <w14:schemeClr w14:val="tx1"/>
            </w14:solidFill>
          </w14:textFill>
        </w:rPr>
        <w:t>元以下罚款，触犯刑律的，对其经营者、主管人员和直接责任人移交司法机关追究刑事责任。</w:t>
      </w:r>
    </w:p>
    <w:p w14:paraId="778F6356">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7724"/>
        <w:gridCol w:w="4261"/>
      </w:tblGrid>
      <w:tr w14:paraId="7FED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30" w:type="dxa"/>
            <w:vAlign w:val="center"/>
          </w:tcPr>
          <w:p w14:paraId="720527C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724" w:type="dxa"/>
            <w:vAlign w:val="center"/>
          </w:tcPr>
          <w:p w14:paraId="5305F90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261" w:type="dxa"/>
            <w:vAlign w:val="center"/>
          </w:tcPr>
          <w:p w14:paraId="1113326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B95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0" w:type="dxa"/>
            <w:vMerge w:val="restart"/>
            <w:vAlign w:val="center"/>
          </w:tcPr>
          <w:p w14:paraId="4D032C42">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724" w:type="dxa"/>
            <w:vAlign w:val="center"/>
          </w:tcPr>
          <w:p w14:paraId="0C4AF195">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瞒报、缓报、谎报丙类传染病疫情或突发公共卫生事件（Ⅳ级）的 。</w:t>
            </w:r>
          </w:p>
        </w:tc>
        <w:tc>
          <w:tcPr>
            <w:tcW w:w="4261" w:type="dxa"/>
            <w:vAlign w:val="center"/>
          </w:tcPr>
          <w:p w14:paraId="0993DF27">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罚款100元以上220元以下。</w:t>
            </w:r>
          </w:p>
        </w:tc>
      </w:tr>
      <w:tr w14:paraId="67F0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0" w:type="dxa"/>
            <w:vMerge w:val="continue"/>
            <w:vAlign w:val="center"/>
          </w:tcPr>
          <w:p w14:paraId="5A3C9DE8">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724" w:type="dxa"/>
            <w:vAlign w:val="center"/>
          </w:tcPr>
          <w:p w14:paraId="61F41EC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对造成突发公共卫生事件（Ⅳ级）和丙类传染病传播流行的。</w:t>
            </w:r>
          </w:p>
        </w:tc>
        <w:tc>
          <w:tcPr>
            <w:tcW w:w="4261" w:type="dxa"/>
            <w:vAlign w:val="center"/>
          </w:tcPr>
          <w:p w14:paraId="5511D3F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罚款200元以上740元以下。</w:t>
            </w:r>
          </w:p>
        </w:tc>
      </w:tr>
      <w:tr w14:paraId="3A5E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0" w:type="dxa"/>
            <w:vMerge w:val="restart"/>
            <w:vAlign w:val="center"/>
          </w:tcPr>
          <w:p w14:paraId="7EC77BAA">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24" w:type="dxa"/>
            <w:vAlign w:val="center"/>
          </w:tcPr>
          <w:p w14:paraId="66C1AFF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瞒报、缓报、谎报乙类传染病疫情或突发公共卫生事件（Ⅲ级）的。</w:t>
            </w:r>
          </w:p>
        </w:tc>
        <w:tc>
          <w:tcPr>
            <w:tcW w:w="4261" w:type="dxa"/>
            <w:vAlign w:val="center"/>
          </w:tcPr>
          <w:p w14:paraId="709DE5F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罚款220元以上380元以下。</w:t>
            </w:r>
          </w:p>
        </w:tc>
      </w:tr>
      <w:tr w14:paraId="38F2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0" w:type="dxa"/>
            <w:vMerge w:val="continue"/>
            <w:vAlign w:val="center"/>
          </w:tcPr>
          <w:p w14:paraId="0846B611">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p>
        </w:tc>
        <w:tc>
          <w:tcPr>
            <w:tcW w:w="7724" w:type="dxa"/>
            <w:vAlign w:val="center"/>
          </w:tcPr>
          <w:p w14:paraId="339F8F5B">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对造成突发公共卫生事件（Ⅲ级）和乙类传染病传播流行的。</w:t>
            </w:r>
          </w:p>
        </w:tc>
        <w:tc>
          <w:tcPr>
            <w:tcW w:w="4261" w:type="dxa"/>
            <w:vAlign w:val="center"/>
          </w:tcPr>
          <w:p w14:paraId="42682B6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罚款740元以上1460元以下。</w:t>
            </w:r>
          </w:p>
        </w:tc>
      </w:tr>
      <w:tr w14:paraId="2328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0" w:type="dxa"/>
            <w:vMerge w:val="restart"/>
            <w:vAlign w:val="center"/>
          </w:tcPr>
          <w:p w14:paraId="7A46C30F">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724" w:type="dxa"/>
            <w:vAlign w:val="center"/>
          </w:tcPr>
          <w:p w14:paraId="0CD6BAB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瞒报、缓报、谎报甲类传染病疫情或突发公共卫生事件（Ⅱ、I级）的。</w:t>
            </w:r>
          </w:p>
        </w:tc>
        <w:tc>
          <w:tcPr>
            <w:tcW w:w="4261" w:type="dxa"/>
            <w:vAlign w:val="center"/>
          </w:tcPr>
          <w:p w14:paraId="02078F4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罚款380元以上500元以下。</w:t>
            </w:r>
          </w:p>
        </w:tc>
      </w:tr>
      <w:tr w14:paraId="7CE6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0" w:type="dxa"/>
            <w:vMerge w:val="continue"/>
            <w:vAlign w:val="center"/>
          </w:tcPr>
          <w:p w14:paraId="0DF0280C">
            <w:pPr>
              <w:widowControl w:val="0"/>
              <w:adjustRightInd/>
              <w:snapToGrid/>
              <w:spacing w:after="0" w:line="440" w:lineRule="exact"/>
              <w:rPr>
                <w:rFonts w:ascii="Times New Roman" w:hAnsi="Times New Roman" w:eastAsia="仿宋" w:cs="Times New Roman"/>
                <w:b/>
                <w:bCs/>
                <w:color w:val="000000" w:themeColor="text1"/>
                <w:sz w:val="24"/>
                <w:szCs w:val="24"/>
                <w14:textFill>
                  <w14:solidFill>
                    <w14:schemeClr w14:val="tx1"/>
                  </w14:solidFill>
                </w14:textFill>
              </w:rPr>
            </w:pPr>
          </w:p>
        </w:tc>
        <w:tc>
          <w:tcPr>
            <w:tcW w:w="7724" w:type="dxa"/>
            <w:vAlign w:val="center"/>
          </w:tcPr>
          <w:p w14:paraId="7EBC70F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对造成突发公共卫生事件（Ⅱ、I级）和甲类传染病传播流行的。</w:t>
            </w:r>
          </w:p>
        </w:tc>
        <w:tc>
          <w:tcPr>
            <w:tcW w:w="4261" w:type="dxa"/>
            <w:vAlign w:val="center"/>
          </w:tcPr>
          <w:p w14:paraId="13324DBE">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罚款1460元以上2000元以下。</w:t>
            </w:r>
          </w:p>
        </w:tc>
      </w:tr>
    </w:tbl>
    <w:p w14:paraId="1A29AB55">
      <w:pPr>
        <w:pStyle w:val="4"/>
        <w:widowControl w:val="0"/>
        <w:ind w:firstLine="640"/>
        <w:jc w:val="both"/>
        <w:rPr>
          <w:rFonts w:hint="eastAsia" w:cs="仿宋_GB2312"/>
          <w:bCs/>
          <w:color w:val="000000" w:themeColor="text1"/>
          <w14:textFill>
            <w14:solidFill>
              <w14:schemeClr w14:val="tx1"/>
            </w14:solidFill>
          </w14:textFill>
        </w:rPr>
      </w:pPr>
      <w:bookmarkStart w:id="1281" w:name="_Toc12304"/>
      <w:bookmarkStart w:id="1282" w:name="_Toc22996"/>
      <w:bookmarkStart w:id="1283" w:name="_Toc1313"/>
      <w:bookmarkStart w:id="1284" w:name="_Toc6679"/>
      <w:bookmarkStart w:id="1285" w:name="_Toc6294"/>
      <w:bookmarkStart w:id="1286" w:name="_Toc32046"/>
      <w:bookmarkStart w:id="1287" w:name="_Toc5158"/>
      <w:bookmarkStart w:id="1288" w:name="_Toc27258"/>
      <w:bookmarkStart w:id="1289" w:name="_Toc10138"/>
      <w:bookmarkStart w:id="1290" w:name="_Toc12861"/>
      <w:bookmarkStart w:id="1291" w:name="_Toc18824"/>
      <w:r>
        <w:rPr>
          <w:rFonts w:hint="eastAsia" w:cs="仿宋_GB2312"/>
          <w:bCs/>
          <w:color w:val="000000" w:themeColor="text1"/>
          <w14:textFill>
            <w14:solidFill>
              <w14:schemeClr w14:val="tx1"/>
            </w14:solidFill>
          </w14:textFill>
        </w:rPr>
        <w:t>第一百一十条 医疗机构未建立传染病疫情报告制度</w:t>
      </w:r>
      <w:bookmarkEnd w:id="1281"/>
      <w:bookmarkEnd w:id="1282"/>
      <w:bookmarkEnd w:id="1283"/>
      <w:bookmarkEnd w:id="1284"/>
      <w:bookmarkEnd w:id="1285"/>
      <w:bookmarkEnd w:id="1286"/>
      <w:bookmarkEnd w:id="1287"/>
      <w:bookmarkEnd w:id="1288"/>
      <w:bookmarkEnd w:id="1289"/>
      <w:bookmarkEnd w:id="1290"/>
      <w:bookmarkEnd w:id="1291"/>
    </w:p>
    <w:p w14:paraId="245A7CC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CF5AFFB">
      <w:pPr>
        <w:widowControl w:val="0"/>
        <w:autoSpaceDE w:val="0"/>
        <w:autoSpaceDN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《突发公共卫生事件与传染病疫情监测信息报告管理办法》第三十八条第（一）项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他严重危害后果，构成犯罪的，依据刑法追究刑事责任：</w:t>
      </w:r>
    </w:p>
    <w:p w14:paraId="7E678F6F">
      <w:pPr>
        <w:widowControl w:val="0"/>
        <w:autoSpaceDE w:val="0"/>
        <w:autoSpaceDN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（一）未建立传染病疫情报告制度的；</w:t>
      </w:r>
    </w:p>
    <w:p w14:paraId="629A038E">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7724"/>
        <w:gridCol w:w="4261"/>
      </w:tblGrid>
      <w:tr w14:paraId="7414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830" w:type="dxa"/>
            <w:vAlign w:val="center"/>
          </w:tcPr>
          <w:p w14:paraId="04A71A3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724" w:type="dxa"/>
            <w:vAlign w:val="center"/>
          </w:tcPr>
          <w:p w14:paraId="1EA3787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261" w:type="dxa"/>
            <w:vAlign w:val="center"/>
          </w:tcPr>
          <w:p w14:paraId="2837DE7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9FC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30" w:type="dxa"/>
            <w:vAlign w:val="center"/>
          </w:tcPr>
          <w:p w14:paraId="728A5602">
            <w:pPr>
              <w:widowControl w:val="0"/>
              <w:spacing w:after="0" w:line="280" w:lineRule="exact"/>
              <w:jc w:val="center"/>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24" w:type="dxa"/>
            <w:vAlign w:val="center"/>
          </w:tcPr>
          <w:p w14:paraId="32B957A7">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未建立传染病疫情报告制度的</w:t>
            </w:r>
          </w:p>
        </w:tc>
        <w:tc>
          <w:tcPr>
            <w:tcW w:w="4261" w:type="dxa"/>
            <w:vAlign w:val="center"/>
          </w:tcPr>
          <w:p w14:paraId="5B034F83">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3313A190">
      <w:pPr>
        <w:pStyle w:val="4"/>
        <w:widowControl w:val="0"/>
        <w:ind w:firstLine="640"/>
        <w:rPr>
          <w:bCs/>
          <w:color w:val="000000" w:themeColor="text1"/>
          <w14:textFill>
            <w14:solidFill>
              <w14:schemeClr w14:val="tx1"/>
            </w14:solidFill>
          </w14:textFill>
        </w:rPr>
      </w:pPr>
      <w:bookmarkStart w:id="1292" w:name="_Toc17886"/>
      <w:bookmarkStart w:id="1293" w:name="_Toc11622"/>
      <w:bookmarkStart w:id="1294" w:name="_Toc26806"/>
      <w:bookmarkStart w:id="1295" w:name="_Toc22197"/>
      <w:bookmarkStart w:id="1296" w:name="_Toc32181"/>
      <w:bookmarkStart w:id="1297" w:name="_Toc22730"/>
      <w:bookmarkStart w:id="1298" w:name="_Toc22991"/>
      <w:bookmarkStart w:id="1299" w:name="_Toc32535"/>
      <w:bookmarkStart w:id="1300" w:name="_Toc16811"/>
      <w:bookmarkStart w:id="1301" w:name="_Toc707"/>
      <w:bookmarkStart w:id="1302" w:name="_Toc31277"/>
      <w:r>
        <w:rPr>
          <w:rFonts w:hint="eastAsia"/>
          <w:color w:val="000000" w:themeColor="text1"/>
          <w14:textFill>
            <w14:solidFill>
              <w14:schemeClr w14:val="tx1"/>
            </w14:solidFill>
          </w14:textFill>
        </w:rPr>
        <w:t xml:space="preserve">第一百一十一条 </w:t>
      </w:r>
      <w:r>
        <w:rPr>
          <w:rFonts w:hint="eastAsia"/>
          <w:bCs/>
          <w:color w:val="000000" w:themeColor="text1"/>
          <w14:textFill>
            <w14:solidFill>
              <w14:schemeClr w14:val="tx1"/>
            </w14:solidFill>
          </w14:textFill>
        </w:rPr>
        <w:t>医疗机构未指定相关部门和人员负责传染病疫情报告管理工作</w:t>
      </w:r>
      <w:bookmarkEnd w:id="1292"/>
      <w:bookmarkEnd w:id="1293"/>
      <w:bookmarkEnd w:id="1294"/>
      <w:bookmarkEnd w:id="1295"/>
      <w:bookmarkEnd w:id="1296"/>
      <w:bookmarkEnd w:id="1297"/>
      <w:bookmarkEnd w:id="1298"/>
      <w:bookmarkEnd w:id="1299"/>
      <w:bookmarkEnd w:id="1300"/>
      <w:bookmarkEnd w:id="1301"/>
      <w:bookmarkEnd w:id="1302"/>
    </w:p>
    <w:p w14:paraId="611CF6F0">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E01F07D">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《突发公共卫生事件与传染病疫情监测信息报告管理办法》第三十八条第（二）项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他严重危害后果，构成犯罪的，依据刑法追究刑事责任：</w:t>
      </w:r>
    </w:p>
    <w:p w14:paraId="6FBCC9E4">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（二）未指定相关部门和人员负责传染病疫情报告管理工作的。</w:t>
      </w:r>
    </w:p>
    <w:p w14:paraId="2EE78655">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792"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7724"/>
        <w:gridCol w:w="4261"/>
      </w:tblGrid>
      <w:tr w14:paraId="5119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807" w:type="dxa"/>
            <w:vAlign w:val="center"/>
          </w:tcPr>
          <w:p w14:paraId="24A1959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724" w:type="dxa"/>
            <w:vAlign w:val="center"/>
          </w:tcPr>
          <w:p w14:paraId="57F9E0BC">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261" w:type="dxa"/>
            <w:vAlign w:val="center"/>
          </w:tcPr>
          <w:p w14:paraId="559ED500">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5A3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07" w:type="dxa"/>
            <w:vAlign w:val="center"/>
          </w:tcPr>
          <w:p w14:paraId="0EDC0074">
            <w:pPr>
              <w:widowControl w:val="0"/>
              <w:spacing w:after="0" w:line="28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24" w:type="dxa"/>
            <w:vAlign w:val="center"/>
          </w:tcPr>
          <w:p w14:paraId="35664E2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未指定相关部门和人员负责传染病疫情报告管理工作的。</w:t>
            </w:r>
          </w:p>
        </w:tc>
        <w:tc>
          <w:tcPr>
            <w:tcW w:w="4261" w:type="dxa"/>
            <w:vAlign w:val="center"/>
          </w:tcPr>
          <w:p w14:paraId="1CF71E3C">
            <w:pPr>
              <w:widowControl w:val="0"/>
              <w:numPr>
                <w:ilvl w:val="0"/>
                <w:numId w:val="0"/>
              </w:numPr>
              <w:spacing w:after="0" w:line="320" w:lineRule="exact"/>
              <w:ind w:firstLine="0" w:firstLineChars="0"/>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24747F60">
      <w:pPr>
        <w:pStyle w:val="4"/>
        <w:widowControl w:val="0"/>
        <w:ind w:firstLine="640"/>
        <w:rPr>
          <w:bCs/>
          <w:color w:val="000000" w:themeColor="text1"/>
          <w14:textFill>
            <w14:solidFill>
              <w14:schemeClr w14:val="tx1"/>
            </w14:solidFill>
          </w14:textFill>
        </w:rPr>
      </w:pPr>
      <w:bookmarkStart w:id="1303" w:name="_Toc2800"/>
      <w:bookmarkStart w:id="1304" w:name="_Toc23567"/>
      <w:bookmarkStart w:id="1305" w:name="_Toc8354"/>
      <w:bookmarkStart w:id="1306" w:name="_Toc2118"/>
      <w:bookmarkStart w:id="1307" w:name="_Toc10384"/>
      <w:bookmarkStart w:id="1308" w:name="_Toc22522"/>
      <w:bookmarkStart w:id="1309" w:name="_Toc29652"/>
      <w:bookmarkStart w:id="1310" w:name="_Toc7990"/>
      <w:bookmarkStart w:id="1311" w:name="_Toc22804"/>
      <w:bookmarkStart w:id="1312" w:name="_Toc17806"/>
      <w:bookmarkStart w:id="1313" w:name="_Toc19747"/>
      <w:r>
        <w:rPr>
          <w:rFonts w:hint="eastAsia"/>
          <w:color w:val="000000" w:themeColor="text1"/>
          <w14:textFill>
            <w14:solidFill>
              <w14:schemeClr w14:val="tx1"/>
            </w14:solidFill>
          </w14:textFill>
        </w:rPr>
        <w:t xml:space="preserve">第一百一十二条 </w:t>
      </w:r>
      <w:r>
        <w:rPr>
          <w:rFonts w:hint="eastAsia"/>
          <w:bCs/>
          <w:color w:val="000000" w:themeColor="text1"/>
          <w14:textFill>
            <w14:solidFill>
              <w14:schemeClr w14:val="tx1"/>
            </w14:solidFill>
          </w14:textFill>
        </w:rPr>
        <w:t>医疗机构瞒报、缓报、谎报发现的传染病病人、病原携带者、疑似病人的</w:t>
      </w:r>
      <w:bookmarkEnd w:id="1303"/>
      <w:bookmarkEnd w:id="1304"/>
      <w:bookmarkEnd w:id="1305"/>
      <w:bookmarkEnd w:id="1306"/>
      <w:bookmarkEnd w:id="1307"/>
      <w:bookmarkEnd w:id="1308"/>
      <w:bookmarkEnd w:id="1309"/>
      <w:bookmarkEnd w:id="1310"/>
      <w:bookmarkEnd w:id="1311"/>
      <w:bookmarkEnd w:id="1312"/>
      <w:bookmarkEnd w:id="1313"/>
    </w:p>
    <w:p w14:paraId="5BCCB1EE">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227556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三十八条第（三）项“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他严重危害后果，构成犯罪的，依据刑法追究刑事责任：</w:t>
      </w:r>
    </w:p>
    <w:p w14:paraId="78A741A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（三）瞒报、缓报、谎报发现的传染病病人、病原携带者、疑似病人的。</w:t>
      </w:r>
    </w:p>
    <w:p w14:paraId="19968B15">
      <w:pPr>
        <w:widowControl w:val="0"/>
        <w:spacing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pPr w:leftFromText="180" w:rightFromText="180" w:vertAnchor="text" w:horzAnchor="page" w:tblpX="1572" w:tblpY="65"/>
        <w:tblOverlap w:val="never"/>
        <w:tblW w:w="13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7631"/>
        <w:gridCol w:w="3731"/>
      </w:tblGrid>
      <w:tr w14:paraId="6BEA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457" w:type="dxa"/>
            <w:vAlign w:val="center"/>
          </w:tcPr>
          <w:p w14:paraId="35683DD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31" w:type="dxa"/>
            <w:vAlign w:val="center"/>
          </w:tcPr>
          <w:p w14:paraId="1DC10BF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731" w:type="dxa"/>
            <w:vAlign w:val="center"/>
          </w:tcPr>
          <w:p w14:paraId="194933D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E2C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57" w:type="dxa"/>
            <w:vAlign w:val="center"/>
          </w:tcPr>
          <w:p w14:paraId="15648738">
            <w:pPr>
              <w:widowControl w:val="0"/>
              <w:spacing w:after="0" w:line="28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631" w:type="dxa"/>
            <w:vAlign w:val="center"/>
          </w:tcPr>
          <w:p w14:paraId="06147E4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瞒报、缓报、谎报发现的传染病病人、病原携带者、疑似病人的。</w:t>
            </w:r>
          </w:p>
        </w:tc>
        <w:tc>
          <w:tcPr>
            <w:tcW w:w="3731" w:type="dxa"/>
            <w:vAlign w:val="center"/>
          </w:tcPr>
          <w:p w14:paraId="37ED465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78DD660A">
      <w:pPr>
        <w:pStyle w:val="4"/>
        <w:widowControl w:val="0"/>
        <w:ind w:firstLine="640"/>
        <w:rPr>
          <w:color w:val="000000" w:themeColor="text1"/>
          <w14:textFill>
            <w14:solidFill>
              <w14:schemeClr w14:val="tx1"/>
            </w14:solidFill>
          </w14:textFill>
        </w:rPr>
      </w:pPr>
      <w:bookmarkStart w:id="1314" w:name="_Toc18660"/>
      <w:bookmarkStart w:id="1315" w:name="_Toc1294"/>
      <w:bookmarkStart w:id="1316" w:name="_Toc4461"/>
      <w:bookmarkStart w:id="1317" w:name="_Toc11690"/>
      <w:bookmarkStart w:id="1318" w:name="_Toc8640"/>
      <w:bookmarkStart w:id="1319" w:name="_Toc20065"/>
      <w:bookmarkStart w:id="1320" w:name="_Toc30547"/>
      <w:bookmarkStart w:id="1321" w:name="_Toc4230"/>
      <w:bookmarkStart w:id="1322" w:name="_Toc16734"/>
      <w:bookmarkStart w:id="1323" w:name="_Toc7004"/>
      <w:bookmarkStart w:id="1324" w:name="_Toc1825"/>
      <w:r>
        <w:rPr>
          <w:rFonts w:hint="eastAsia"/>
          <w:color w:val="000000" w:themeColor="text1"/>
          <w14:textFill>
            <w14:solidFill>
              <w14:schemeClr w14:val="tx1"/>
            </w14:solidFill>
          </w14:textFill>
        </w:rPr>
        <w:t>第一百一十三条 疾病预防控制机构瞒报、缓报、谎报发现的传染病病人、病原携带者、疑似病人的</w:t>
      </w:r>
      <w:bookmarkEnd w:id="1314"/>
      <w:bookmarkEnd w:id="1315"/>
      <w:bookmarkEnd w:id="1316"/>
      <w:bookmarkEnd w:id="1317"/>
      <w:bookmarkEnd w:id="1318"/>
      <w:bookmarkEnd w:id="1319"/>
      <w:bookmarkEnd w:id="1320"/>
      <w:bookmarkEnd w:id="1321"/>
      <w:bookmarkEnd w:id="1322"/>
      <w:bookmarkEnd w:id="1323"/>
      <w:bookmarkEnd w:id="1324"/>
    </w:p>
    <w:p w14:paraId="5D3FE89D">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B542CDE">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三十九条第（一）项“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他严重危害后果，构成犯罪的，依法追究刑事责任：</w:t>
      </w:r>
    </w:p>
    <w:p w14:paraId="2C1F92D5">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（一）瞒报、缓报、谎报发现的传染病病人、病原携带者、疑似病人的；</w:t>
      </w:r>
    </w:p>
    <w:p w14:paraId="4E8FE41B">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pPr w:leftFromText="180" w:rightFromText="180" w:vertAnchor="text" w:horzAnchor="page" w:tblpX="1720" w:tblpY="243"/>
        <w:tblOverlap w:val="never"/>
        <w:tblW w:w="13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7725"/>
        <w:gridCol w:w="4262"/>
      </w:tblGrid>
      <w:tr w14:paraId="5B74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830" w:type="dxa"/>
            <w:vAlign w:val="center"/>
          </w:tcPr>
          <w:p w14:paraId="0A7090A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725" w:type="dxa"/>
            <w:vAlign w:val="center"/>
          </w:tcPr>
          <w:p w14:paraId="537FFBA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262" w:type="dxa"/>
            <w:vAlign w:val="center"/>
          </w:tcPr>
          <w:p w14:paraId="75946CD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915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30" w:type="dxa"/>
            <w:vAlign w:val="center"/>
          </w:tcPr>
          <w:p w14:paraId="498AF8FD">
            <w:pPr>
              <w:widowControl w:val="0"/>
              <w:spacing w:after="0" w:line="28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25" w:type="dxa"/>
            <w:vAlign w:val="center"/>
          </w:tcPr>
          <w:p w14:paraId="5E6D691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瞒报、缓报、谎报发现的传染病病人、病原携带者、疑似病人的。</w:t>
            </w:r>
          </w:p>
        </w:tc>
        <w:tc>
          <w:tcPr>
            <w:tcW w:w="4262" w:type="dxa"/>
            <w:vAlign w:val="center"/>
          </w:tcPr>
          <w:p w14:paraId="602AAFD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5B06E4D7">
      <w:pPr>
        <w:pStyle w:val="4"/>
        <w:widowControl w:val="0"/>
        <w:ind w:firstLine="640"/>
        <w:rPr>
          <w:rFonts w:hint="eastAsia" w:ascii="Times New Roman" w:hAnsi="Times New Roman" w:cs="仿宋_GB2312"/>
          <w:color w:val="000000" w:themeColor="text1"/>
          <w14:textFill>
            <w14:solidFill>
              <w14:schemeClr w14:val="tx1"/>
            </w14:solidFill>
          </w14:textFill>
        </w:rPr>
      </w:pPr>
      <w:bookmarkStart w:id="1325" w:name="_Toc27121"/>
      <w:bookmarkStart w:id="1326" w:name="_Toc186"/>
      <w:bookmarkStart w:id="1327" w:name="_Toc14665"/>
      <w:bookmarkStart w:id="1328" w:name="_Toc8544"/>
      <w:bookmarkStart w:id="1329" w:name="_Toc29802"/>
      <w:bookmarkStart w:id="1330" w:name="_Toc25693"/>
      <w:bookmarkStart w:id="1331" w:name="_Toc2429"/>
      <w:bookmarkStart w:id="1332" w:name="_Toc10005"/>
      <w:bookmarkStart w:id="1333" w:name="_Toc30568"/>
      <w:bookmarkStart w:id="1334" w:name="_Toc20236"/>
      <w:bookmarkStart w:id="1335" w:name="_Toc23482"/>
      <w:r>
        <w:rPr>
          <w:rFonts w:hint="eastAsia"/>
          <w:color w:val="000000" w:themeColor="text1"/>
          <w14:textFill>
            <w14:solidFill>
              <w14:schemeClr w14:val="tx1"/>
            </w14:solidFill>
          </w14:textFill>
        </w:rPr>
        <w:t xml:space="preserve">第一百一十四条 </w:t>
      </w:r>
      <w:r>
        <w:rPr>
          <w:rFonts w:hint="eastAsia" w:ascii="Times New Roman" w:hAnsi="Times New Roman" w:cs="仿宋_GB2312"/>
          <w:color w:val="000000" w:themeColor="text1"/>
          <w14:textFill>
            <w14:solidFill>
              <w14:schemeClr w14:val="tx1"/>
            </w14:solidFill>
          </w14:textFill>
        </w:rPr>
        <w:t>疾病预防控制机构未按规定建立专门的</w:t>
      </w:r>
      <w:r>
        <w:fldChar w:fldCharType="begin"/>
      </w:r>
      <w:r>
        <w:instrText xml:space="preserve"> HYPERLINK "https://baike.sogou.com/lemma/ShowInnerLink.htm?lemmaId=8293494&amp;ss_c=ssc.citiao.link" \t "https://baike.sogou.com/_blank" </w:instrText>
      </w:r>
      <w:r>
        <w:fldChar w:fldCharType="separate"/>
      </w:r>
      <w:r>
        <w:rPr>
          <w:rFonts w:hint="eastAsia" w:ascii="Times New Roman" w:hAnsi="Times New Roman" w:cs="仿宋_GB2312"/>
          <w:color w:val="000000" w:themeColor="text1"/>
          <w14:textFill>
            <w14:solidFill>
              <w14:schemeClr w14:val="tx1"/>
            </w14:solidFill>
          </w14:textFill>
        </w:rPr>
        <w:t>流行病学调查</w:t>
      </w:r>
      <w:r>
        <w:rPr>
          <w:rFonts w:hint="eastAsia" w:ascii="Times New Roman" w:hAnsi="Times New Roman" w:cs="仿宋_GB2312"/>
          <w:color w:val="000000" w:themeColor="text1"/>
          <w14:textFill>
            <w14:solidFill>
              <w14:schemeClr w14:val="tx1"/>
            </w14:solidFill>
          </w14:textFill>
        </w:rPr>
        <w:fldChar w:fldCharType="end"/>
      </w:r>
      <w:r>
        <w:rPr>
          <w:rFonts w:hint="eastAsia" w:ascii="Times New Roman" w:hAnsi="Times New Roman" w:cs="仿宋_GB2312"/>
          <w:color w:val="000000" w:themeColor="text1"/>
          <w14:textFill>
            <w14:solidFill>
              <w14:schemeClr w14:val="tx1"/>
            </w14:solidFill>
          </w14:textFill>
        </w:rPr>
        <w:t>队伍，进行传染病疫情的流行病学调查工作</w:t>
      </w:r>
      <w:bookmarkEnd w:id="1325"/>
      <w:bookmarkEnd w:id="1326"/>
      <w:bookmarkEnd w:id="1327"/>
      <w:bookmarkEnd w:id="1328"/>
      <w:bookmarkEnd w:id="1329"/>
      <w:bookmarkEnd w:id="1330"/>
      <w:bookmarkEnd w:id="1331"/>
      <w:bookmarkEnd w:id="1332"/>
      <w:bookmarkEnd w:id="1333"/>
      <w:bookmarkEnd w:id="1334"/>
      <w:bookmarkEnd w:id="1335"/>
    </w:p>
    <w:p w14:paraId="1EF8F3DC">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40FE38A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三十九条第（二）项“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他严重危害后果，构成犯罪的，依法追究刑事责任：</w:t>
      </w:r>
    </w:p>
    <w:p w14:paraId="69C23E84">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（二）未按规定建立专门的</w:t>
      </w:r>
      <w:r>
        <w:rPr>
          <w:rFonts w:ascii="Times New Roman" w:hAnsi="Times New Roman"/>
        </w:rPr>
        <w:fldChar w:fldCharType="begin"/>
      </w:r>
      <w:r>
        <w:rPr>
          <w:rFonts w:ascii="Times New Roman" w:hAnsi="Times New Roman"/>
        </w:rPr>
        <w:instrText xml:space="preserve"> HYPERLINK "https://baike.sogou.com/lemma/ShowInnerLink.htm?lemmaId=8293494&amp;ss_c=ssc.citiao.link" \t "https://baike.sogou.com/_blank" </w:instrText>
      </w:r>
      <w:r>
        <w:rPr>
          <w:rFonts w:ascii="Times New Roman" w:hAnsi="Times New Roman"/>
        </w:rPr>
        <w:fldChar w:fldCharType="separate"/>
      </w:r>
      <w:r>
        <w:rPr>
          <w:rFonts w:hint="eastAsia" w:ascii="Times New Roman" w:hAnsi="Times New Roman" w:eastAsia="仿宋_GB2312" w:cs="Times New Roman"/>
          <w:color w:val="000000" w:themeColor="text1"/>
          <w:sz w:val="32"/>
          <w:szCs w:val="32"/>
          <w14:textFill>
            <w14:solidFill>
              <w14:schemeClr w14:val="tx1"/>
            </w14:solidFill>
          </w14:textFill>
        </w:rPr>
        <w:t>流行病学调查</w:t>
      </w:r>
      <w:r>
        <w:rPr>
          <w:rFonts w:hint="eastAsia" w:ascii="Times New Roman" w:hAnsi="Times New Roman" w:eastAsia="仿宋_GB2312" w:cs="Times New Roman"/>
          <w:color w:val="000000" w:themeColor="text1"/>
          <w:sz w:val="32"/>
          <w:szCs w:val="32"/>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14:textFill>
            <w14:solidFill>
              <w14:schemeClr w14:val="tx1"/>
            </w14:solidFill>
          </w14:textFill>
        </w:rPr>
        <w:t>队伍，进行传染病疫情的流行病学调查工作；</w:t>
      </w:r>
    </w:p>
    <w:tbl>
      <w:tblPr>
        <w:tblStyle w:val="24"/>
        <w:tblpPr w:leftFromText="180" w:rightFromText="180" w:vertAnchor="text" w:horzAnchor="page" w:tblpX="1607" w:tblpY="64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8190"/>
        <w:gridCol w:w="3256"/>
      </w:tblGrid>
      <w:tr w14:paraId="114A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64" w:type="dxa"/>
            <w:vAlign w:val="center"/>
          </w:tcPr>
          <w:p w14:paraId="01067020">
            <w:pPr>
              <w:widowControl w:val="0"/>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8190" w:type="dxa"/>
            <w:vAlign w:val="center"/>
          </w:tcPr>
          <w:p w14:paraId="32E36EF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256" w:type="dxa"/>
            <w:vAlign w:val="center"/>
          </w:tcPr>
          <w:p w14:paraId="653FB6D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E43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64" w:type="dxa"/>
            <w:vAlign w:val="center"/>
          </w:tcPr>
          <w:p w14:paraId="14EE6D9A">
            <w:pPr>
              <w:widowControl w:val="0"/>
              <w:spacing w:after="0" w:line="28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8190" w:type="dxa"/>
            <w:vAlign w:val="center"/>
          </w:tcPr>
          <w:p w14:paraId="7A18324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未按规定建立专门的</w:t>
            </w:r>
            <w:r>
              <w:rPr>
                <w:rFonts w:hint="eastAsia" w:ascii="Times New Roman" w:hAnsi="Times New Roman" w:eastAsia="仿宋_GB2312" w:cs="Times New Roman"/>
                <w:color w:val="000000" w:themeColor="text1"/>
                <w:sz w:val="24"/>
                <w:lang w:bidi="ar"/>
                <w14:textFill>
                  <w14:solidFill>
                    <w14:schemeClr w14:val="tx1"/>
                  </w14:solidFill>
                </w14:textFill>
              </w:rPr>
              <w:fldChar w:fldCharType="begin"/>
            </w:r>
            <w:r>
              <w:rPr>
                <w:rFonts w:hint="eastAsia" w:ascii="Times New Roman" w:hAnsi="Times New Roman" w:eastAsia="仿宋_GB2312" w:cs="Times New Roman"/>
                <w:color w:val="000000" w:themeColor="text1"/>
                <w:sz w:val="24"/>
                <w:lang w:bidi="ar"/>
                <w14:textFill>
                  <w14:solidFill>
                    <w14:schemeClr w14:val="tx1"/>
                  </w14:solidFill>
                </w14:textFill>
              </w:rPr>
              <w:instrText xml:space="preserve"> HYPERLINK "https://baike.sogou.com/lemma/ShowInnerLink.htm?lemmaId=8293494&amp;ss_c=ssc.citiao.link" \t "https://baike.sogou.com/_blank" </w:instrText>
            </w:r>
            <w:r>
              <w:rPr>
                <w:rFonts w:hint="eastAsia" w:ascii="Times New Roman" w:hAnsi="Times New Roman" w:eastAsia="仿宋_GB2312" w:cs="Times New Roman"/>
                <w:color w:val="000000" w:themeColor="text1"/>
                <w:sz w:val="24"/>
                <w:lang w:bidi="ar"/>
                <w14:textFill>
                  <w14:solidFill>
                    <w14:schemeClr w14:val="tx1"/>
                  </w14:solidFill>
                </w14:textFill>
              </w:rPr>
              <w:fldChar w:fldCharType="separate"/>
            </w:r>
            <w:r>
              <w:rPr>
                <w:rFonts w:hint="eastAsia" w:ascii="Times New Roman" w:hAnsi="Times New Roman" w:eastAsia="仿宋_GB2312" w:cs="Times New Roman"/>
                <w:color w:val="000000" w:themeColor="text1"/>
                <w:sz w:val="24"/>
                <w:szCs w:val="22"/>
                <w:lang w:bidi="ar"/>
                <w14:textFill>
                  <w14:solidFill>
                    <w14:schemeClr w14:val="tx1"/>
                  </w14:solidFill>
                </w14:textFill>
              </w:rPr>
              <w:t>流行病学调查</w:t>
            </w:r>
            <w:r>
              <w:rPr>
                <w:rFonts w:hint="eastAsia" w:ascii="Times New Roman" w:hAnsi="Times New Roman" w:eastAsia="仿宋_GB2312" w:cs="Times New Roman"/>
                <w:color w:val="000000" w:themeColor="text1"/>
                <w:sz w:val="24"/>
                <w:szCs w:val="22"/>
                <w:lang w:bidi="ar"/>
                <w14:textFill>
                  <w14:solidFill>
                    <w14:schemeClr w14:val="tx1"/>
                  </w14:solidFill>
                </w14:textFill>
              </w:rPr>
              <w:fldChar w:fldCharType="end"/>
            </w:r>
            <w:r>
              <w:rPr>
                <w:rFonts w:hint="eastAsia" w:ascii="Times New Roman" w:hAnsi="Times New Roman" w:eastAsia="仿宋_GB2312" w:cs="Times New Roman"/>
                <w:color w:val="000000" w:themeColor="text1"/>
                <w:sz w:val="24"/>
                <w:szCs w:val="22"/>
                <w:lang w:bidi="ar"/>
                <w14:textFill>
                  <w14:solidFill>
                    <w14:schemeClr w14:val="tx1"/>
                  </w14:solidFill>
                </w14:textFill>
              </w:rPr>
              <w:t>队伍，进行传染病疫情的流行病学调查工作的。</w:t>
            </w:r>
          </w:p>
        </w:tc>
        <w:tc>
          <w:tcPr>
            <w:tcW w:w="3256" w:type="dxa"/>
            <w:vAlign w:val="center"/>
          </w:tcPr>
          <w:p w14:paraId="447FF2E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1AF74448">
      <w:pPr>
        <w:widowControl w:val="0"/>
        <w:spacing w:line="440" w:lineRule="exact"/>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p w14:paraId="3716575A">
      <w:pPr>
        <w:pStyle w:val="4"/>
        <w:widowControl w:val="0"/>
        <w:ind w:firstLine="640"/>
        <w:rPr>
          <w:bCs/>
          <w:color w:val="000000" w:themeColor="text1"/>
          <w14:textFill>
            <w14:solidFill>
              <w14:schemeClr w14:val="tx1"/>
            </w14:solidFill>
          </w14:textFill>
        </w:rPr>
      </w:pPr>
      <w:bookmarkStart w:id="1336" w:name="_Toc6063"/>
      <w:bookmarkStart w:id="1337" w:name="_Toc832"/>
      <w:bookmarkStart w:id="1338" w:name="_Toc1588"/>
      <w:bookmarkStart w:id="1339" w:name="_Toc27596"/>
      <w:bookmarkStart w:id="1340" w:name="_Toc1138"/>
      <w:bookmarkStart w:id="1341" w:name="_Toc12072"/>
      <w:bookmarkStart w:id="1342" w:name="_Toc14091"/>
      <w:bookmarkStart w:id="1343" w:name="_Toc20468"/>
      <w:bookmarkStart w:id="1344" w:name="_Toc30402"/>
      <w:bookmarkStart w:id="1345" w:name="_Toc17347"/>
      <w:bookmarkStart w:id="1346" w:name="_Toc3133"/>
      <w:r>
        <w:rPr>
          <w:rFonts w:hint="eastAsia"/>
          <w:color w:val="000000" w:themeColor="text1"/>
          <w14:textFill>
            <w14:solidFill>
              <w14:schemeClr w14:val="tx1"/>
            </w14:solidFill>
          </w14:textFill>
        </w:rPr>
        <w:t>第一百一十五条 疾病预防控制机构</w:t>
      </w:r>
      <w:r>
        <w:rPr>
          <w:color w:val="000000" w:themeColor="text1"/>
          <w14:textFill>
            <w14:solidFill>
              <w14:schemeClr w14:val="tx1"/>
            </w14:solidFill>
          </w14:textFill>
        </w:rPr>
        <w:t>在接到传染病疫情报告后，未按规定派人进行现场调查的</w:t>
      </w:r>
      <w:bookmarkEnd w:id="1336"/>
      <w:bookmarkEnd w:id="1337"/>
      <w:bookmarkEnd w:id="1338"/>
      <w:bookmarkEnd w:id="1339"/>
      <w:bookmarkEnd w:id="1340"/>
      <w:bookmarkEnd w:id="1341"/>
      <w:bookmarkEnd w:id="1342"/>
      <w:bookmarkEnd w:id="1343"/>
      <w:bookmarkEnd w:id="1344"/>
      <w:bookmarkEnd w:id="1345"/>
      <w:bookmarkEnd w:id="1346"/>
    </w:p>
    <w:p w14:paraId="577BDCC6">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1094673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三十九条第（三）项“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他严重危害后果，构成犯罪的，依法追究刑事责任：</w:t>
      </w:r>
    </w:p>
    <w:p w14:paraId="1F838262">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（三）在接到传染病疫情报告后，未按规定派人进行现场调查的；</w:t>
      </w:r>
    </w:p>
    <w:p w14:paraId="65260781">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pPr w:leftFromText="180" w:rightFromText="180" w:vertAnchor="text" w:horzAnchor="page" w:tblpXSpec="center" w:tblpY="397"/>
        <w:tblOverlap w:val="never"/>
        <w:tblW w:w="13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7725"/>
        <w:gridCol w:w="4149"/>
      </w:tblGrid>
      <w:tr w14:paraId="240C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059" w:type="dxa"/>
            <w:vAlign w:val="center"/>
          </w:tcPr>
          <w:p w14:paraId="5287893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725" w:type="dxa"/>
            <w:vAlign w:val="center"/>
          </w:tcPr>
          <w:p w14:paraId="41BCADB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149" w:type="dxa"/>
            <w:vAlign w:val="center"/>
          </w:tcPr>
          <w:p w14:paraId="7EB4686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7CAA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59" w:type="dxa"/>
            <w:vAlign w:val="center"/>
          </w:tcPr>
          <w:p w14:paraId="68A8FFE3">
            <w:pPr>
              <w:widowControl w:val="0"/>
              <w:spacing w:after="0" w:line="28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25" w:type="dxa"/>
            <w:vAlign w:val="center"/>
          </w:tcPr>
          <w:p w14:paraId="61814713">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在接到传染病疫情报告后，未按规定派人进行现场调查的。</w:t>
            </w:r>
          </w:p>
        </w:tc>
        <w:tc>
          <w:tcPr>
            <w:tcW w:w="4149" w:type="dxa"/>
            <w:vAlign w:val="center"/>
          </w:tcPr>
          <w:p w14:paraId="39DC503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6B2AD2CC">
      <w:pPr>
        <w:pStyle w:val="4"/>
        <w:widowControl w:val="0"/>
        <w:ind w:firstLine="640"/>
        <w:rPr>
          <w:color w:val="000000" w:themeColor="text1"/>
          <w14:textFill>
            <w14:solidFill>
              <w14:schemeClr w14:val="tx1"/>
            </w14:solidFill>
          </w14:textFill>
        </w:rPr>
      </w:pPr>
      <w:bookmarkStart w:id="1347" w:name="_Toc17161"/>
      <w:bookmarkStart w:id="1348" w:name="_Toc31790"/>
      <w:bookmarkStart w:id="1349" w:name="_Toc17317"/>
      <w:bookmarkStart w:id="1350" w:name="_Toc22150"/>
      <w:bookmarkStart w:id="1351" w:name="_Toc15955"/>
      <w:bookmarkStart w:id="1352" w:name="_Toc16364"/>
      <w:bookmarkStart w:id="1353" w:name="_Toc31727"/>
      <w:bookmarkStart w:id="1354" w:name="_Toc24469"/>
      <w:bookmarkStart w:id="1355" w:name="_Toc31335"/>
      <w:bookmarkStart w:id="1356" w:name="_Toc4802"/>
      <w:bookmarkStart w:id="1357" w:name="_Toc31499"/>
      <w:r>
        <w:rPr>
          <w:rFonts w:hint="eastAsia"/>
          <w:color w:val="000000" w:themeColor="text1"/>
          <w14:textFill>
            <w14:solidFill>
              <w14:schemeClr w14:val="tx1"/>
            </w14:solidFill>
          </w14:textFill>
        </w:rPr>
        <w:t>第一百一十六条 疾病预防控制机构</w:t>
      </w:r>
      <w:r>
        <w:rPr>
          <w:color w:val="000000" w:themeColor="text1"/>
          <w14:textFill>
            <w14:solidFill>
              <w14:schemeClr w14:val="tx1"/>
            </w14:solidFill>
          </w14:textFill>
        </w:rPr>
        <w:t>未按规定上报疫情或报告突发公共卫生事件的</w:t>
      </w:r>
      <w:bookmarkEnd w:id="1347"/>
      <w:bookmarkEnd w:id="1348"/>
      <w:bookmarkEnd w:id="1349"/>
      <w:bookmarkEnd w:id="1350"/>
      <w:bookmarkEnd w:id="1351"/>
      <w:bookmarkEnd w:id="1352"/>
      <w:bookmarkEnd w:id="1353"/>
      <w:bookmarkEnd w:id="1354"/>
      <w:bookmarkEnd w:id="1355"/>
      <w:bookmarkEnd w:id="1356"/>
      <w:bookmarkEnd w:id="1357"/>
    </w:p>
    <w:p w14:paraId="7643172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EB1745C">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三十九条第（四）项“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他严重危害后果，构成犯罪的，依法追究刑事责任：</w:t>
      </w:r>
    </w:p>
    <w:p w14:paraId="2DF9473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（四）未按规定上报疫情或报告突发公共卫生事件的。</w:t>
      </w:r>
    </w:p>
    <w:p w14:paraId="16509228">
      <w:pPr>
        <w:widowControl w:val="0"/>
        <w:spacing w:after="0" w:line="440" w:lineRule="exact"/>
        <w:ind w:firstLine="0" w:firstLineChars="0"/>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pPr w:leftFromText="180" w:rightFromText="180" w:vertAnchor="text" w:horzAnchor="page" w:tblpXSpec="center" w:tblpY="388"/>
        <w:tblOverlap w:val="never"/>
        <w:tblW w:w="13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7747"/>
        <w:gridCol w:w="4041"/>
      </w:tblGrid>
      <w:tr w14:paraId="5F9E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45" w:type="dxa"/>
            <w:vAlign w:val="center"/>
          </w:tcPr>
          <w:p w14:paraId="1A5B188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747" w:type="dxa"/>
            <w:vAlign w:val="center"/>
          </w:tcPr>
          <w:p w14:paraId="08A0064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041" w:type="dxa"/>
            <w:vAlign w:val="center"/>
          </w:tcPr>
          <w:p w14:paraId="0FF9F1B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BBE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145" w:type="dxa"/>
            <w:vAlign w:val="center"/>
          </w:tcPr>
          <w:p w14:paraId="5D9F6056">
            <w:pPr>
              <w:widowControl w:val="0"/>
              <w:spacing w:after="0" w:line="28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747" w:type="dxa"/>
            <w:vAlign w:val="center"/>
          </w:tcPr>
          <w:p w14:paraId="01E37EE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未按规定上报疫情或报告突发公共卫生事件的。</w:t>
            </w:r>
          </w:p>
        </w:tc>
        <w:tc>
          <w:tcPr>
            <w:tcW w:w="4041" w:type="dxa"/>
            <w:vAlign w:val="center"/>
          </w:tcPr>
          <w:p w14:paraId="190F1CD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35FB71D5">
      <w:pPr>
        <w:pStyle w:val="4"/>
        <w:widowControl w:val="0"/>
        <w:ind w:firstLine="640"/>
        <w:rPr>
          <w:color w:val="000000" w:themeColor="text1"/>
          <w14:textFill>
            <w14:solidFill>
              <w14:schemeClr w14:val="tx1"/>
            </w14:solidFill>
          </w14:textFill>
        </w:rPr>
      </w:pPr>
      <w:bookmarkStart w:id="1358" w:name="_Toc25329"/>
      <w:bookmarkStart w:id="1359" w:name="_Toc20223"/>
      <w:bookmarkStart w:id="1360" w:name="_Toc6410"/>
      <w:bookmarkStart w:id="1361" w:name="_Toc923"/>
      <w:bookmarkStart w:id="1362" w:name="_Toc476"/>
      <w:bookmarkStart w:id="1363" w:name="_Toc21955"/>
      <w:bookmarkStart w:id="1364" w:name="_Toc2781"/>
      <w:bookmarkStart w:id="1365" w:name="_Toc22472"/>
      <w:bookmarkStart w:id="1366" w:name="_Toc21042"/>
      <w:bookmarkStart w:id="1367" w:name="_Toc31507"/>
      <w:bookmarkStart w:id="1368" w:name="_Toc24630"/>
      <w:r>
        <w:rPr>
          <w:rFonts w:hint="eastAsia"/>
          <w:color w:val="000000" w:themeColor="text1"/>
          <w14:textFill>
            <w14:solidFill>
              <w14:schemeClr w14:val="tx1"/>
            </w14:solidFill>
          </w14:textFill>
        </w:rPr>
        <w:t>第一百一十七条 执行职务的医疗卫生人员瞒报、缓报、谎报传染病疫情的</w:t>
      </w:r>
      <w:bookmarkEnd w:id="1358"/>
      <w:bookmarkEnd w:id="1359"/>
      <w:bookmarkEnd w:id="1360"/>
      <w:bookmarkEnd w:id="1361"/>
      <w:bookmarkEnd w:id="1362"/>
      <w:bookmarkEnd w:id="1363"/>
      <w:bookmarkEnd w:id="1364"/>
      <w:bookmarkEnd w:id="1365"/>
      <w:bookmarkEnd w:id="1366"/>
      <w:bookmarkEnd w:id="1367"/>
      <w:bookmarkEnd w:id="1368"/>
    </w:p>
    <w:p w14:paraId="5B2AD419">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1144132">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《突发公共卫生事件与传染病疫情监测信息报告管理办法》第四十条第一款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执行职务的医疗卫生人员瞒报、缓报、谎报传染病疫情的，由县级以上卫生行政部门给予警告，情节严重的，责令暂停六个月以上一年以下执业活动，或者吊销其执业证书。</w:t>
      </w:r>
    </w:p>
    <w:p w14:paraId="51D247CB">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7250"/>
        <w:gridCol w:w="5225"/>
      </w:tblGrid>
      <w:tr w14:paraId="03CE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81" w:type="dxa"/>
            <w:vAlign w:val="center"/>
          </w:tcPr>
          <w:p w14:paraId="589C190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250" w:type="dxa"/>
            <w:vAlign w:val="center"/>
          </w:tcPr>
          <w:p w14:paraId="5D169A7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225" w:type="dxa"/>
            <w:vAlign w:val="center"/>
          </w:tcPr>
          <w:p w14:paraId="615821C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286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81" w:type="dxa"/>
            <w:vAlign w:val="center"/>
          </w:tcPr>
          <w:p w14:paraId="69E907B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250" w:type="dxa"/>
            <w:vAlign w:val="center"/>
          </w:tcPr>
          <w:p w14:paraId="67E9B6F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瞒报、缓报、谎报传染病疫情，尚未造成不良社会后果的。</w:t>
            </w:r>
          </w:p>
        </w:tc>
        <w:tc>
          <w:tcPr>
            <w:tcW w:w="5225" w:type="dxa"/>
            <w:vAlign w:val="center"/>
          </w:tcPr>
          <w:p w14:paraId="088C0CF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6D32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81" w:type="dxa"/>
            <w:vMerge w:val="restart"/>
            <w:vAlign w:val="center"/>
          </w:tcPr>
          <w:p w14:paraId="46793E0C">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250" w:type="dxa"/>
            <w:vAlign w:val="center"/>
          </w:tcPr>
          <w:p w14:paraId="72FA641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瞒报、缓报、谎报传染病疫情，造成丙类传染病传播的。</w:t>
            </w:r>
          </w:p>
        </w:tc>
        <w:tc>
          <w:tcPr>
            <w:tcW w:w="5225" w:type="dxa"/>
            <w:vAlign w:val="center"/>
          </w:tcPr>
          <w:p w14:paraId="5D88D6A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责令暂停六个月以上九个月以下执业活动。</w:t>
            </w:r>
          </w:p>
        </w:tc>
      </w:tr>
      <w:tr w14:paraId="3744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81" w:type="dxa"/>
            <w:vMerge w:val="continue"/>
            <w:vAlign w:val="center"/>
          </w:tcPr>
          <w:p w14:paraId="4DD085EC">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7250" w:type="dxa"/>
            <w:vAlign w:val="center"/>
          </w:tcPr>
          <w:p w14:paraId="4C4C0595">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瞒报、缓报、谎报传染病疫情，造成乙类传染病传播的。</w:t>
            </w:r>
          </w:p>
        </w:tc>
        <w:tc>
          <w:tcPr>
            <w:tcW w:w="5225" w:type="dxa"/>
            <w:vAlign w:val="center"/>
          </w:tcPr>
          <w:p w14:paraId="10A54A1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责令暂停九个月以上十二个月以下执业活动。</w:t>
            </w:r>
          </w:p>
        </w:tc>
      </w:tr>
      <w:tr w14:paraId="7827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81" w:type="dxa"/>
            <w:vMerge w:val="continue"/>
            <w:vAlign w:val="center"/>
          </w:tcPr>
          <w:p w14:paraId="262208A0">
            <w:pPr>
              <w:widowControl w:val="0"/>
              <w:spacing w:after="0" w:line="44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7250" w:type="dxa"/>
            <w:vAlign w:val="center"/>
          </w:tcPr>
          <w:p w14:paraId="17B85EAE">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瞒报、缓报、谎报传染病疫情，造成甲类传染病传播的。</w:t>
            </w:r>
          </w:p>
        </w:tc>
        <w:tc>
          <w:tcPr>
            <w:tcW w:w="5225" w:type="dxa"/>
            <w:vAlign w:val="center"/>
          </w:tcPr>
          <w:p w14:paraId="25DB412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吊销执业证书。</w:t>
            </w:r>
          </w:p>
        </w:tc>
      </w:tr>
    </w:tbl>
    <w:p w14:paraId="37A4F3EE">
      <w:pPr>
        <w:pStyle w:val="4"/>
        <w:widowControl w:val="0"/>
        <w:ind w:firstLine="640"/>
        <w:jc w:val="both"/>
        <w:rPr>
          <w:rFonts w:hint="eastAsia" w:cs="仿宋_GB2312"/>
          <w:bCs/>
          <w:color w:val="000000" w:themeColor="text1"/>
          <w14:textFill>
            <w14:solidFill>
              <w14:schemeClr w14:val="tx1"/>
            </w14:solidFill>
          </w14:textFill>
        </w:rPr>
      </w:pPr>
      <w:bookmarkStart w:id="1369" w:name="_Toc14071"/>
      <w:bookmarkStart w:id="1370" w:name="_Toc28779"/>
      <w:bookmarkStart w:id="1371" w:name="_Toc28736"/>
      <w:bookmarkStart w:id="1372" w:name="_Toc8201"/>
      <w:bookmarkStart w:id="1373" w:name="_Toc24309"/>
      <w:bookmarkStart w:id="1374" w:name="_Toc5968"/>
      <w:bookmarkStart w:id="1375" w:name="_Toc17592"/>
      <w:bookmarkStart w:id="1376" w:name="_Toc30610"/>
      <w:bookmarkStart w:id="1377" w:name="_Toc7795"/>
      <w:bookmarkStart w:id="1378" w:name="_Toc23724"/>
      <w:bookmarkStart w:id="1379" w:name="_Toc15923"/>
      <w:r>
        <w:rPr>
          <w:rFonts w:hint="eastAsia" w:cs="仿宋_GB2312"/>
          <w:bCs/>
          <w:color w:val="000000" w:themeColor="text1"/>
          <w14:textFill>
            <w14:solidFill>
              <w14:schemeClr w14:val="tx1"/>
            </w14:solidFill>
          </w14:textFill>
        </w:rPr>
        <w:t>第一百一十八条 个体或私营医疗保健机构瞒报、缓报、谎报传染病疫情或突发公共卫生事件的</w:t>
      </w:r>
      <w:bookmarkEnd w:id="1369"/>
      <w:bookmarkEnd w:id="1370"/>
      <w:bookmarkEnd w:id="1371"/>
      <w:bookmarkEnd w:id="1372"/>
      <w:bookmarkEnd w:id="1373"/>
      <w:bookmarkEnd w:id="1374"/>
      <w:bookmarkEnd w:id="1375"/>
      <w:bookmarkEnd w:id="1376"/>
      <w:bookmarkEnd w:id="1377"/>
      <w:bookmarkEnd w:id="1378"/>
      <w:bookmarkEnd w:id="1379"/>
    </w:p>
    <w:p w14:paraId="6703AB87">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65B887A">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《突发公共卫生事件与传染病疫情监测信息报告管理办法》第四十一条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个体或私营医疗保健机构瞒报、缓报、谎报传染病疫情或突发公共卫生事件的，由县级以上卫生行政部门责令限期改正，可以处100元以上500元以下罚款；对造成突发公共卫生事件和传染病传播流行的，责令停业整改，并可以处200元以上2000元以下罚款，触犯刑律的，对其经营者、主管人员和直接责任人移交司法机关追究刑事责任。</w:t>
      </w:r>
    </w:p>
    <w:p w14:paraId="2434A7A8">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5781"/>
        <w:gridCol w:w="5400"/>
      </w:tblGrid>
      <w:tr w14:paraId="2741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5" w:type="dxa"/>
            <w:vAlign w:val="center"/>
          </w:tcPr>
          <w:p w14:paraId="1F7DF8F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5781" w:type="dxa"/>
            <w:vAlign w:val="center"/>
          </w:tcPr>
          <w:p w14:paraId="127F190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400" w:type="dxa"/>
            <w:vAlign w:val="center"/>
          </w:tcPr>
          <w:p w14:paraId="61FBD6A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166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75" w:type="dxa"/>
            <w:vAlign w:val="center"/>
          </w:tcPr>
          <w:p w14:paraId="34C3D721">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781" w:type="dxa"/>
            <w:vAlign w:val="center"/>
          </w:tcPr>
          <w:p w14:paraId="2BF4A233">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瞒报、缓报、谎报传染病疫情或突发公共卫生事件，尚未造成突发公共卫生事件和传染病传播流行的。</w:t>
            </w:r>
          </w:p>
        </w:tc>
        <w:tc>
          <w:tcPr>
            <w:tcW w:w="5400" w:type="dxa"/>
            <w:vAlign w:val="center"/>
          </w:tcPr>
          <w:p w14:paraId="01564F8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处100元以上500元以下罚款。</w:t>
            </w:r>
          </w:p>
        </w:tc>
      </w:tr>
      <w:tr w14:paraId="67F2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75" w:type="dxa"/>
            <w:vAlign w:val="center"/>
          </w:tcPr>
          <w:p w14:paraId="150D0808">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781" w:type="dxa"/>
            <w:vAlign w:val="center"/>
          </w:tcPr>
          <w:p w14:paraId="58666D8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瞒报、缓报、谎报传染病疫情或突发公共卫生事件，造成突发公共卫生事件和传染病传播流行的。</w:t>
            </w:r>
          </w:p>
        </w:tc>
        <w:tc>
          <w:tcPr>
            <w:tcW w:w="5400" w:type="dxa"/>
            <w:vAlign w:val="center"/>
          </w:tcPr>
          <w:p w14:paraId="3A869E1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责令停业整改，处200元以上2000元以下罚款。</w:t>
            </w:r>
          </w:p>
        </w:tc>
      </w:tr>
    </w:tbl>
    <w:p w14:paraId="70F2FC8D">
      <w:pPr>
        <w:pStyle w:val="3"/>
        <w:keepNext w:val="0"/>
        <w:keepLines w:val="0"/>
        <w:widowControl w:val="0"/>
        <w:spacing w:before="157" w:beforeLines="50" w:after="157" w:afterLines="50" w:line="440" w:lineRule="exact"/>
        <w:ind w:firstLine="643" w:firstLineChars="200"/>
        <w:rPr>
          <w:rFonts w:ascii="Times New Roman" w:hAnsi="Times New Roman" w:eastAsia="楷体_GB2312"/>
          <w:color w:val="000000" w:themeColor="text1"/>
          <w14:textFill>
            <w14:solidFill>
              <w14:schemeClr w14:val="tx1"/>
            </w14:solidFill>
          </w14:textFill>
        </w:rPr>
      </w:pPr>
      <w:bookmarkStart w:id="1380" w:name="_Toc27677"/>
      <w:bookmarkStart w:id="1381" w:name="_Toc31811"/>
      <w:bookmarkStart w:id="1382" w:name="_Toc11851"/>
      <w:bookmarkStart w:id="1383" w:name="_Toc22407"/>
      <w:bookmarkStart w:id="1384" w:name="_Toc11283"/>
      <w:bookmarkStart w:id="1385" w:name="_Toc2954"/>
      <w:bookmarkStart w:id="1386" w:name="_Toc24038"/>
      <w:bookmarkStart w:id="1387" w:name="_Toc451"/>
      <w:bookmarkStart w:id="1388" w:name="_Toc19663"/>
      <w:bookmarkStart w:id="1389" w:name="_Toc6958"/>
      <w:bookmarkStart w:id="1390" w:name="_Toc5971"/>
      <w:bookmarkStart w:id="1391" w:name="_Toc7426"/>
      <w:bookmarkStart w:id="1392" w:name="_Toc15614"/>
      <w:r>
        <w:rPr>
          <w:rFonts w:hint="eastAsia" w:ascii="Times New Roman" w:hAnsi="Times New Roman" w:eastAsia="楷体_GB2312"/>
          <w:color w:val="000000" w:themeColor="text1"/>
          <w14:textFill>
            <w14:solidFill>
              <w14:schemeClr w14:val="tx1"/>
            </w14:solidFill>
          </w14:textFill>
        </w:rPr>
        <w:t>（十二）《病原微生物实验室生物安全管理条例》</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325CF29F">
      <w:pPr>
        <w:pStyle w:val="4"/>
        <w:widowControl w:val="0"/>
        <w:ind w:firstLine="640"/>
        <w:jc w:val="both"/>
        <w:rPr>
          <w:rFonts w:hint="eastAsia" w:cs="仿宋_GB2312"/>
          <w:bCs/>
          <w:color w:val="000000" w:themeColor="text1"/>
          <w14:textFill>
            <w14:solidFill>
              <w14:schemeClr w14:val="tx1"/>
            </w14:solidFill>
          </w14:textFill>
        </w:rPr>
      </w:pPr>
      <w:bookmarkStart w:id="1393" w:name="_Toc28696"/>
      <w:bookmarkStart w:id="1394" w:name="_Toc5946"/>
      <w:bookmarkStart w:id="1395" w:name="_Toc8493"/>
      <w:bookmarkStart w:id="1396" w:name="_Toc31424"/>
      <w:bookmarkStart w:id="1397" w:name="_Toc7904"/>
      <w:bookmarkStart w:id="1398" w:name="_Toc22692"/>
      <w:bookmarkStart w:id="1399" w:name="_Toc3283"/>
      <w:bookmarkStart w:id="1400" w:name="_Toc835"/>
      <w:bookmarkStart w:id="1401" w:name="_Toc27173"/>
      <w:bookmarkStart w:id="1402" w:name="_Toc27754"/>
      <w:bookmarkStart w:id="1403" w:name="_Toc25429"/>
      <w:r>
        <w:rPr>
          <w:rFonts w:hint="eastAsia" w:cs="仿宋_GB2312"/>
          <w:bCs/>
          <w:color w:val="000000" w:themeColor="text1"/>
          <w14:textFill>
            <w14:solidFill>
              <w14:schemeClr w14:val="tx1"/>
            </w14:solidFill>
          </w14:textFill>
        </w:rPr>
        <w:t>第一百一十九条</w:t>
      </w:r>
      <w:r>
        <w:rPr>
          <w:rFonts w:hint="eastAsia" w:cs="仿宋_GB2312"/>
          <w:bCs/>
          <w:color w:val="000000" w:themeColor="text1"/>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lang w:val="zh-CN"/>
          <w14:textFill>
            <w14:solidFill>
              <w14:schemeClr w14:val="tx1"/>
            </w14:solidFill>
          </w14:textFill>
        </w:rPr>
        <w:t>三级、四级实验室未经批准从事病原微生物目录规定的应当在三级、四级实验室进行的高致病性病原微生物实验活动或者疑似高致病性病原微生物实验活动的</w:t>
      </w:r>
      <w:bookmarkEnd w:id="1393"/>
      <w:bookmarkEnd w:id="1394"/>
      <w:bookmarkEnd w:id="1395"/>
      <w:bookmarkEnd w:id="1396"/>
      <w:bookmarkEnd w:id="1397"/>
      <w:bookmarkEnd w:id="1398"/>
      <w:bookmarkEnd w:id="1399"/>
      <w:bookmarkEnd w:id="1400"/>
      <w:bookmarkEnd w:id="1401"/>
      <w:bookmarkEnd w:id="1402"/>
      <w:bookmarkEnd w:id="1403"/>
    </w:p>
    <w:p w14:paraId="6F7FE99F">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2BDF69B">
      <w:pPr>
        <w:pStyle w:val="63"/>
        <w:widowControl w:val="0"/>
        <w:spacing w:after="0" w:line="440" w:lineRule="atLeast"/>
        <w:ind w:right="374" w:firstLine="640" w:firstLineChars="200"/>
        <w:rPr>
          <w:rFonts w:hint="eastAsia" w:ascii="Times New Roman" w:hAnsi="Times New Roman" w:eastAsia="宋体" w:cs="宋体"/>
          <w:color w:val="000000" w:themeColor="text1"/>
          <w:sz w:val="27"/>
          <w:szCs w:val="27"/>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《病原微生物实验室生物安全管理条例》第五十六条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lang w:val="zh-CN"/>
          <w14:textFill>
            <w14:solidFill>
              <w14:schemeClr w14:val="tx1"/>
            </w14:solidFill>
          </w14:textFill>
        </w:rPr>
        <w:t>三级、四级实验室未经批准从事病原微生物目录规定的应当在三级、四级实验室进行的高致病性病原微生物实验活动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r>
        <w:rPr>
          <w:rFonts w:ascii="Times New Roman" w:hAnsi="Times New Roman"/>
        </w:rPr>
        <w:fldChar w:fldCharType="begin"/>
      </w:r>
      <w:r>
        <w:rPr>
          <w:rFonts w:ascii="Times New Roman" w:hAnsi="Times New Roman"/>
        </w:rPr>
        <w:instrText xml:space="preserve"> HYPERLINK "javascript:void(0);" </w:instrText>
      </w:r>
      <w:r>
        <w:rPr>
          <w:rFonts w:ascii="Times New Roman" w:hAnsi="Times New Roman"/>
        </w:rPr>
        <w:fldChar w:fldCharType="separate"/>
      </w:r>
      <w:r>
        <w:rPr>
          <w:rFonts w:ascii="Times New Roman" w:hAnsi="Times New Roman"/>
        </w:rPr>
        <w:fldChar w:fldCharType="end"/>
      </w:r>
    </w:p>
    <w:p w14:paraId="4AD3972E">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7407"/>
        <w:gridCol w:w="4856"/>
      </w:tblGrid>
      <w:tr w14:paraId="25B6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6" w:type="dxa"/>
            <w:vAlign w:val="center"/>
          </w:tcPr>
          <w:p w14:paraId="3FB7175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407" w:type="dxa"/>
            <w:vAlign w:val="center"/>
          </w:tcPr>
          <w:p w14:paraId="338A428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856" w:type="dxa"/>
            <w:vAlign w:val="center"/>
          </w:tcPr>
          <w:p w14:paraId="6E45AD5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9C5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706" w:type="dxa"/>
            <w:vAlign w:val="center"/>
          </w:tcPr>
          <w:p w14:paraId="336D95CE">
            <w:pPr>
              <w:widowControl w:val="0"/>
              <w:spacing w:after="0" w:line="28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407" w:type="dxa"/>
            <w:vAlign w:val="center"/>
          </w:tcPr>
          <w:p w14:paraId="7B551C2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val="zh-CN" w:bidi="ar"/>
                <w14:textFill>
                  <w14:solidFill>
                    <w14:schemeClr w14:val="tx1"/>
                  </w14:solidFill>
                </w14:textFill>
              </w:rPr>
              <w:t>三级、四级实验室未经批准从事病原微生物目录规定的应当在三级、四级实验室进行的高致病性病原微生物实验活动或者疑似高致病性病原微生物实验活动</w:t>
            </w:r>
            <w:r>
              <w:rPr>
                <w:rFonts w:hint="eastAsia" w:ascii="Times New Roman" w:hAnsi="Times New Roman" w:eastAsia="仿宋_GB2312" w:cs="Times New Roman"/>
                <w:color w:val="000000" w:themeColor="text1"/>
                <w:sz w:val="24"/>
                <w:szCs w:val="22"/>
                <w:lang w:bidi="ar"/>
                <w14:textFill>
                  <w14:solidFill>
                    <w14:schemeClr w14:val="tx1"/>
                  </w14:solidFill>
                </w14:textFill>
              </w:rPr>
              <w:t>的</w:t>
            </w:r>
            <w:r>
              <w:rPr>
                <w:rFonts w:hint="eastAsia" w:ascii="Times New Roman" w:hAnsi="Times New Roman" w:eastAsia="仿宋_GB2312" w:cs="Times New Roman"/>
                <w:color w:val="000000" w:themeColor="text1"/>
                <w:sz w:val="24"/>
                <w:szCs w:val="22"/>
                <w:lang w:val="zh-CN" w:bidi="ar"/>
                <w14:textFill>
                  <w14:solidFill>
                    <w14:schemeClr w14:val="tx1"/>
                  </w14:solidFill>
                </w14:textFill>
              </w:rPr>
              <w:t>。</w:t>
            </w:r>
          </w:p>
        </w:tc>
        <w:tc>
          <w:tcPr>
            <w:tcW w:w="4856" w:type="dxa"/>
            <w:vAlign w:val="center"/>
          </w:tcPr>
          <w:p w14:paraId="672BE83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val="zh-CN" w:bidi="ar"/>
                <w14:textFill>
                  <w14:solidFill>
                    <w14:schemeClr w14:val="tx1"/>
                  </w14:solidFill>
                </w14:textFill>
              </w:rPr>
              <w:t>责令停止有关活动，监督其将用于实验活动的病原微生物销毁或者送交保藏机构，并给予警告。</w:t>
            </w:r>
          </w:p>
        </w:tc>
      </w:tr>
    </w:tbl>
    <w:p w14:paraId="64579DE5">
      <w:pPr>
        <w:pStyle w:val="4"/>
        <w:widowControl w:val="0"/>
        <w:ind w:firstLine="640"/>
        <w:jc w:val="both"/>
        <w:rPr>
          <w:rFonts w:hint="eastAsia" w:cs="仿宋_GB2312"/>
          <w:bCs/>
          <w:color w:val="000000" w:themeColor="text1"/>
          <w14:textFill>
            <w14:solidFill>
              <w14:schemeClr w14:val="tx1"/>
            </w14:solidFill>
          </w14:textFill>
        </w:rPr>
      </w:pPr>
      <w:bookmarkStart w:id="1404" w:name="_Toc28586"/>
      <w:bookmarkStart w:id="1405" w:name="_Toc8260"/>
      <w:bookmarkStart w:id="1406" w:name="_Toc10956"/>
      <w:bookmarkStart w:id="1407" w:name="_Toc8565"/>
      <w:bookmarkStart w:id="1408" w:name="_Toc1050"/>
      <w:bookmarkStart w:id="1409" w:name="_Toc24466"/>
      <w:bookmarkStart w:id="1410" w:name="_Toc13416"/>
      <w:bookmarkStart w:id="1411" w:name="_Toc19358"/>
      <w:bookmarkStart w:id="1412" w:name="_Toc28431"/>
      <w:bookmarkStart w:id="1413" w:name="_Toc14437"/>
      <w:bookmarkStart w:id="1414" w:name="_Toc4578"/>
      <w:r>
        <w:rPr>
          <w:rFonts w:hint="eastAsia" w:cs="仿宋_GB2312"/>
          <w:bCs/>
          <w:color w:val="000000" w:themeColor="text1"/>
          <w14:textFill>
            <w14:solidFill>
              <w14:schemeClr w14:val="tx1"/>
            </w14:solidFill>
          </w14:textFill>
        </w:rPr>
        <w:t>第一百二十条 在不符合相应生物安全要求的实验室从事病原微生物相关实验活动的</w:t>
      </w:r>
      <w:bookmarkEnd w:id="1404"/>
      <w:bookmarkEnd w:id="1405"/>
      <w:bookmarkEnd w:id="1406"/>
      <w:bookmarkEnd w:id="1407"/>
      <w:bookmarkEnd w:id="1408"/>
      <w:bookmarkEnd w:id="1409"/>
      <w:bookmarkEnd w:id="1410"/>
      <w:bookmarkEnd w:id="1411"/>
      <w:bookmarkEnd w:id="1412"/>
      <w:bookmarkEnd w:id="1413"/>
      <w:bookmarkEnd w:id="1414"/>
      <w:r>
        <w:rPr>
          <w:rFonts w:hint="eastAsia" w:cs="仿宋_GB2312"/>
          <w:bCs/>
          <w:color w:val="000000" w:themeColor="text1"/>
          <w14:textFill>
            <w14:solidFill>
              <w14:schemeClr w14:val="tx1"/>
            </w14:solidFill>
          </w14:textFill>
        </w:rPr>
        <w:t xml:space="preserve"> </w:t>
      </w:r>
    </w:p>
    <w:p w14:paraId="737A7AB7">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27FCF82">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《病原微生物实验室生物安全管理条例》第五十九条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 xml:space="preserve">违反本条例规定，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 </w:t>
      </w:r>
    </w:p>
    <w:p w14:paraId="1420A0AE">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05"/>
        <w:gridCol w:w="6775"/>
      </w:tblGrid>
      <w:tr w14:paraId="0AAA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01" w:type="dxa"/>
            <w:vAlign w:val="center"/>
          </w:tcPr>
          <w:p w14:paraId="6A7ABD9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5505" w:type="dxa"/>
            <w:vAlign w:val="center"/>
          </w:tcPr>
          <w:p w14:paraId="6F4E007D">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775" w:type="dxa"/>
            <w:vAlign w:val="center"/>
          </w:tcPr>
          <w:p w14:paraId="6B0B341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93C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701" w:type="dxa"/>
            <w:vAlign w:val="center"/>
          </w:tcPr>
          <w:p w14:paraId="531A7FCF">
            <w:pPr>
              <w:widowControl w:val="0"/>
              <w:spacing w:after="0" w:line="28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505" w:type="dxa"/>
            <w:vAlign w:val="center"/>
          </w:tcPr>
          <w:p w14:paraId="439BC7F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 xml:space="preserve">在不符合相应生物安全要求的实验室从事病原微生物相关实验活动的。 </w:t>
            </w:r>
          </w:p>
        </w:tc>
        <w:tc>
          <w:tcPr>
            <w:tcW w:w="6775" w:type="dxa"/>
            <w:vAlign w:val="center"/>
          </w:tcPr>
          <w:p w14:paraId="2E14A7E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责令停止有关活动，监督其将用于实验活动的病原微生物销毁或者送交保藏机构，并给予警告。</w:t>
            </w:r>
          </w:p>
        </w:tc>
      </w:tr>
    </w:tbl>
    <w:p w14:paraId="3FB8F6D1">
      <w:pPr>
        <w:pStyle w:val="4"/>
        <w:widowControl w:val="0"/>
        <w:ind w:firstLine="640"/>
        <w:jc w:val="both"/>
        <w:rPr>
          <w:rFonts w:hint="eastAsia" w:cs="仿宋_GB2312"/>
          <w:bCs/>
          <w:color w:val="000000" w:themeColor="text1"/>
          <w14:textFill>
            <w14:solidFill>
              <w14:schemeClr w14:val="tx1"/>
            </w14:solidFill>
          </w14:textFill>
        </w:rPr>
      </w:pPr>
      <w:bookmarkStart w:id="1415" w:name="_Toc4917"/>
      <w:bookmarkStart w:id="1416" w:name="_Toc1343"/>
      <w:bookmarkStart w:id="1417" w:name="_Toc22241"/>
      <w:bookmarkStart w:id="1418" w:name="_Toc5028"/>
      <w:bookmarkStart w:id="1419" w:name="_Toc28720"/>
      <w:bookmarkStart w:id="1420" w:name="_Toc11228"/>
      <w:bookmarkStart w:id="1421" w:name="_Toc7553"/>
      <w:bookmarkStart w:id="1422" w:name="_Toc4492"/>
      <w:bookmarkStart w:id="1423" w:name="_Toc8972"/>
      <w:bookmarkStart w:id="1424" w:name="_Toc5922"/>
      <w:bookmarkStart w:id="1425" w:name="_Toc20993"/>
      <w:r>
        <w:rPr>
          <w:rFonts w:hint="eastAsia" w:cs="仿宋_GB2312"/>
          <w:bCs/>
          <w:color w:val="000000" w:themeColor="text1"/>
          <w14:textFill>
            <w14:solidFill>
              <w14:schemeClr w14:val="tx1"/>
            </w14:solidFill>
          </w14:textFill>
        </w:rPr>
        <w:t>第一百二十一条 未依照规定在明显位置标示国务院卫生主管部门和兽医主管部门规定的生物危险标识和生物安全实验室级别标志的；</w:t>
      </w:r>
      <w:bookmarkEnd w:id="1415"/>
      <w:bookmarkEnd w:id="1416"/>
      <w:bookmarkEnd w:id="1417"/>
      <w:bookmarkEnd w:id="1418"/>
      <w:bookmarkEnd w:id="1419"/>
      <w:bookmarkEnd w:id="1420"/>
      <w:bookmarkEnd w:id="1421"/>
      <w:bookmarkEnd w:id="1422"/>
      <w:bookmarkEnd w:id="1423"/>
      <w:bookmarkEnd w:id="1424"/>
      <w:bookmarkEnd w:id="1425"/>
    </w:p>
    <w:p w14:paraId="57CA000A">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521B1890">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《病原微生物实验室生物安全管理条例》第六十条第（一）项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14:paraId="05A430DB">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（一）未依照规定在明显位置标示国务院卫生主管部门和兽医主管部门规定的生物危险标识和生物安全实验室级别标志的；</w:t>
      </w:r>
    </w:p>
    <w:p w14:paraId="42D55E9C">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7301"/>
        <w:gridCol w:w="4988"/>
      </w:tblGrid>
      <w:tr w14:paraId="0A03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0" w:type="dxa"/>
            <w:vAlign w:val="center"/>
          </w:tcPr>
          <w:p w14:paraId="2C2A6F2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301" w:type="dxa"/>
            <w:vAlign w:val="center"/>
          </w:tcPr>
          <w:p w14:paraId="021FEED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988" w:type="dxa"/>
            <w:vAlign w:val="center"/>
          </w:tcPr>
          <w:p w14:paraId="632F430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14EB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80" w:type="dxa"/>
            <w:vAlign w:val="center"/>
          </w:tcPr>
          <w:p w14:paraId="56C60BB5">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301" w:type="dxa"/>
            <w:vAlign w:val="center"/>
          </w:tcPr>
          <w:p w14:paraId="4D2803C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首次发现违法行为的，且危害后果轻微的。</w:t>
            </w:r>
          </w:p>
        </w:tc>
        <w:tc>
          <w:tcPr>
            <w:tcW w:w="4988" w:type="dxa"/>
            <w:vAlign w:val="center"/>
          </w:tcPr>
          <w:p w14:paraId="587742D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73A6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80" w:type="dxa"/>
            <w:vAlign w:val="center"/>
          </w:tcPr>
          <w:p w14:paraId="326EA1ED">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301" w:type="dxa"/>
            <w:vAlign w:val="center"/>
          </w:tcPr>
          <w:p w14:paraId="604217E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4988" w:type="dxa"/>
            <w:vAlign w:val="center"/>
          </w:tcPr>
          <w:p w14:paraId="194896E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警告，有许可证件的，由原发证部门吊销有关许可证件。</w:t>
            </w:r>
          </w:p>
        </w:tc>
      </w:tr>
    </w:tbl>
    <w:p w14:paraId="49F74867">
      <w:pPr>
        <w:pStyle w:val="4"/>
        <w:widowControl w:val="0"/>
        <w:ind w:firstLine="640"/>
        <w:jc w:val="both"/>
        <w:rPr>
          <w:rFonts w:hint="eastAsia" w:cs="仿宋_GB2312"/>
          <w:bCs/>
          <w:color w:val="000000" w:themeColor="text1"/>
          <w14:textFill>
            <w14:solidFill>
              <w14:schemeClr w14:val="tx1"/>
            </w14:solidFill>
          </w14:textFill>
        </w:rPr>
      </w:pPr>
      <w:bookmarkStart w:id="1426" w:name="_Toc27377"/>
      <w:bookmarkStart w:id="1427" w:name="_Toc11680"/>
      <w:bookmarkStart w:id="1428" w:name="_Toc8627"/>
      <w:bookmarkStart w:id="1429" w:name="_Toc16439"/>
      <w:bookmarkStart w:id="1430" w:name="_Toc23530"/>
      <w:bookmarkStart w:id="1431" w:name="_Toc32281"/>
      <w:bookmarkStart w:id="1432" w:name="_Toc7717"/>
      <w:bookmarkStart w:id="1433" w:name="_Toc24609"/>
      <w:bookmarkStart w:id="1434" w:name="_Toc1657"/>
      <w:bookmarkStart w:id="1435" w:name="_Toc2025"/>
      <w:bookmarkStart w:id="1436" w:name="_Toc21925"/>
      <w:r>
        <w:rPr>
          <w:rFonts w:hint="eastAsia" w:cs="仿宋_GB2312"/>
          <w:bCs/>
          <w:color w:val="000000" w:themeColor="text1"/>
          <w14:textFill>
            <w14:solidFill>
              <w14:schemeClr w14:val="tx1"/>
            </w14:solidFill>
          </w14:textFill>
        </w:rPr>
        <w:t>第一百二十二条 未向原批准部门报告实验活动结果以及工作情况的</w:t>
      </w:r>
      <w:bookmarkEnd w:id="1426"/>
      <w:bookmarkEnd w:id="1427"/>
      <w:bookmarkEnd w:id="1428"/>
      <w:bookmarkEnd w:id="1429"/>
      <w:bookmarkEnd w:id="1430"/>
      <w:bookmarkEnd w:id="1431"/>
      <w:bookmarkEnd w:id="1432"/>
      <w:bookmarkEnd w:id="1433"/>
      <w:bookmarkEnd w:id="1434"/>
      <w:bookmarkEnd w:id="1435"/>
      <w:bookmarkEnd w:id="1436"/>
    </w:p>
    <w:p w14:paraId="3AB77853">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7F5D7A33">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《病原微生物实验室生物安全管理条例》第六十条第（二）项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14:paraId="3A061E0B">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（二）未向原批准部门报告实验活动结果以及工作情况的；</w:t>
      </w:r>
    </w:p>
    <w:p w14:paraId="33461792">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9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6318"/>
        <w:gridCol w:w="5975"/>
      </w:tblGrid>
      <w:tr w14:paraId="74E8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01" w:type="dxa"/>
            <w:vAlign w:val="center"/>
          </w:tcPr>
          <w:p w14:paraId="1D922DA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318" w:type="dxa"/>
            <w:vAlign w:val="center"/>
          </w:tcPr>
          <w:p w14:paraId="51FCDB3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975" w:type="dxa"/>
            <w:vAlign w:val="center"/>
          </w:tcPr>
          <w:p w14:paraId="6693CA3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1F2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1" w:type="dxa"/>
            <w:vAlign w:val="center"/>
          </w:tcPr>
          <w:p w14:paraId="5F12F181">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318" w:type="dxa"/>
            <w:vAlign w:val="center"/>
          </w:tcPr>
          <w:p w14:paraId="357EEB2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首次发现违法行为的，且危害后果轻微的。</w:t>
            </w:r>
          </w:p>
        </w:tc>
        <w:tc>
          <w:tcPr>
            <w:tcW w:w="5975" w:type="dxa"/>
            <w:vAlign w:val="center"/>
          </w:tcPr>
          <w:p w14:paraId="31037A03">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3AE9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1" w:type="dxa"/>
            <w:vAlign w:val="center"/>
          </w:tcPr>
          <w:p w14:paraId="5F5BF1FF">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6318" w:type="dxa"/>
            <w:vAlign w:val="center"/>
          </w:tcPr>
          <w:p w14:paraId="4E67656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5975" w:type="dxa"/>
            <w:vAlign w:val="center"/>
          </w:tcPr>
          <w:p w14:paraId="149FC059">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警告，有许可证件的，由原发证部门吊销有关许可证件。</w:t>
            </w:r>
          </w:p>
        </w:tc>
      </w:tr>
    </w:tbl>
    <w:p w14:paraId="6E44C6DF">
      <w:pPr>
        <w:pStyle w:val="4"/>
        <w:widowControl w:val="0"/>
        <w:ind w:firstLine="640"/>
        <w:jc w:val="both"/>
        <w:rPr>
          <w:rFonts w:hint="eastAsia" w:cs="仿宋_GB2312"/>
          <w:bCs/>
          <w:color w:val="000000" w:themeColor="text1"/>
          <w14:textFill>
            <w14:solidFill>
              <w14:schemeClr w14:val="tx1"/>
            </w14:solidFill>
          </w14:textFill>
        </w:rPr>
      </w:pPr>
      <w:bookmarkStart w:id="1437" w:name="_Toc540"/>
      <w:bookmarkStart w:id="1438" w:name="_Toc7715"/>
      <w:bookmarkStart w:id="1439" w:name="_Toc2733"/>
      <w:bookmarkStart w:id="1440" w:name="_Toc18319"/>
      <w:bookmarkStart w:id="1441" w:name="_Toc8247"/>
      <w:bookmarkStart w:id="1442" w:name="_Toc23299"/>
      <w:bookmarkStart w:id="1443" w:name="_Toc10513"/>
      <w:bookmarkStart w:id="1444" w:name="_Toc26868"/>
      <w:bookmarkStart w:id="1445" w:name="_Toc23694"/>
      <w:bookmarkStart w:id="1446" w:name="_Toc25715"/>
      <w:bookmarkStart w:id="1447" w:name="_Toc2489"/>
      <w:r>
        <w:rPr>
          <w:rFonts w:hint="eastAsia" w:cs="仿宋_GB2312"/>
          <w:bCs/>
          <w:color w:val="000000" w:themeColor="text1"/>
          <w14:textFill>
            <w14:solidFill>
              <w14:schemeClr w14:val="tx1"/>
            </w14:solidFill>
          </w14:textFill>
        </w:rPr>
        <w:t>第一百二十三条 未依照规定采集病原微生物样本，或者对所采集样本的来源、采集过程和方法等未作详细记录的</w:t>
      </w:r>
      <w:bookmarkEnd w:id="1437"/>
      <w:bookmarkEnd w:id="1438"/>
      <w:bookmarkEnd w:id="1439"/>
      <w:bookmarkEnd w:id="1440"/>
      <w:bookmarkEnd w:id="1441"/>
      <w:bookmarkEnd w:id="1442"/>
      <w:bookmarkEnd w:id="1443"/>
      <w:bookmarkEnd w:id="1444"/>
      <w:bookmarkEnd w:id="1445"/>
      <w:bookmarkEnd w:id="1446"/>
      <w:bookmarkEnd w:id="1447"/>
    </w:p>
    <w:p w14:paraId="5AEAB8A2">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550BCF10">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《病原微生物实验室生物安全管理条例》第六十条第（三）项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14:paraId="79266252">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（三）未依照规定采集病原微生物样本，或者对所采集样本的来源、采集过程和方法等未作详细记录的；</w:t>
      </w:r>
    </w:p>
    <w:p w14:paraId="5127968E">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6193"/>
        <w:gridCol w:w="6087"/>
      </w:tblGrid>
      <w:tr w14:paraId="6611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01" w:type="dxa"/>
            <w:vAlign w:val="center"/>
          </w:tcPr>
          <w:p w14:paraId="6D45EC5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193" w:type="dxa"/>
            <w:vAlign w:val="center"/>
          </w:tcPr>
          <w:p w14:paraId="7EB07DE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087" w:type="dxa"/>
            <w:vAlign w:val="center"/>
          </w:tcPr>
          <w:p w14:paraId="707A669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993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1" w:type="dxa"/>
            <w:vAlign w:val="center"/>
          </w:tcPr>
          <w:p w14:paraId="48D67C0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193" w:type="dxa"/>
            <w:vAlign w:val="center"/>
          </w:tcPr>
          <w:p w14:paraId="51ADA31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w:t>
            </w:r>
          </w:p>
        </w:tc>
        <w:tc>
          <w:tcPr>
            <w:tcW w:w="6087" w:type="dxa"/>
            <w:vAlign w:val="center"/>
          </w:tcPr>
          <w:p w14:paraId="5F08A07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5602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1" w:type="dxa"/>
            <w:vAlign w:val="center"/>
          </w:tcPr>
          <w:p w14:paraId="30BF8CC8">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6193" w:type="dxa"/>
            <w:vAlign w:val="center"/>
          </w:tcPr>
          <w:p w14:paraId="365786F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w:t>
            </w:r>
          </w:p>
        </w:tc>
        <w:tc>
          <w:tcPr>
            <w:tcW w:w="6087" w:type="dxa"/>
            <w:vAlign w:val="center"/>
          </w:tcPr>
          <w:p w14:paraId="68E27FD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警告，有许可证件的，由原发证部门吊销有关许可证件。</w:t>
            </w:r>
          </w:p>
        </w:tc>
      </w:tr>
    </w:tbl>
    <w:p w14:paraId="508226B2">
      <w:pPr>
        <w:pStyle w:val="4"/>
        <w:widowControl w:val="0"/>
        <w:ind w:firstLine="640"/>
        <w:jc w:val="both"/>
        <w:rPr>
          <w:rFonts w:hint="eastAsia" w:cs="仿宋_GB2312"/>
          <w:bCs/>
          <w:color w:val="000000" w:themeColor="text1"/>
          <w14:textFill>
            <w14:solidFill>
              <w14:schemeClr w14:val="tx1"/>
            </w14:solidFill>
          </w14:textFill>
        </w:rPr>
      </w:pPr>
      <w:bookmarkStart w:id="1448" w:name="_Toc20553"/>
      <w:bookmarkStart w:id="1449" w:name="_Toc10163"/>
      <w:bookmarkStart w:id="1450" w:name="_Toc22426"/>
      <w:bookmarkStart w:id="1451" w:name="_Toc1584"/>
      <w:bookmarkStart w:id="1452" w:name="_Toc7623"/>
      <w:bookmarkStart w:id="1453" w:name="_Toc5925"/>
      <w:bookmarkStart w:id="1454" w:name="_Toc28325"/>
      <w:bookmarkStart w:id="1455" w:name="_Toc13579"/>
      <w:bookmarkStart w:id="1456" w:name="_Toc4481"/>
      <w:bookmarkStart w:id="1457" w:name="_Toc18710"/>
      <w:bookmarkStart w:id="1458" w:name="_Toc22062"/>
      <w:r>
        <w:rPr>
          <w:rFonts w:hint="eastAsia" w:cs="仿宋_GB2312"/>
          <w:bCs/>
          <w:color w:val="000000" w:themeColor="text1"/>
          <w14:textFill>
            <w14:solidFill>
              <w14:schemeClr w14:val="tx1"/>
            </w14:solidFill>
          </w14:textFill>
        </w:rPr>
        <w:t>第一百二十四条 新建、改建或者扩建一级、二级实验室未向设区的市级人民政府卫生主管部门或者兽医主管部门备案的</w:t>
      </w:r>
      <w:bookmarkEnd w:id="1448"/>
      <w:bookmarkEnd w:id="1449"/>
      <w:bookmarkEnd w:id="1450"/>
      <w:bookmarkEnd w:id="1451"/>
      <w:bookmarkEnd w:id="1452"/>
      <w:bookmarkEnd w:id="1453"/>
      <w:bookmarkEnd w:id="1454"/>
      <w:bookmarkEnd w:id="1455"/>
      <w:bookmarkEnd w:id="1456"/>
      <w:bookmarkEnd w:id="1457"/>
      <w:bookmarkEnd w:id="1458"/>
    </w:p>
    <w:p w14:paraId="4E8AEF72">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4CDD6803">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《病原微生物实验室生物安全管理条例》第六十条第（四）项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14:paraId="38AD73FF">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（四）新建、改建或者扩建一级、二级实验室未向设区的市级人民政府卫生主管部门或者兽医主管部门备案的；</w:t>
      </w:r>
    </w:p>
    <w:p w14:paraId="427F1329">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7187"/>
        <w:gridCol w:w="4725"/>
      </w:tblGrid>
      <w:tr w14:paraId="25A8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44" w:type="dxa"/>
            <w:vAlign w:val="center"/>
          </w:tcPr>
          <w:p w14:paraId="3562005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187" w:type="dxa"/>
            <w:vAlign w:val="center"/>
          </w:tcPr>
          <w:p w14:paraId="43CCDCC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725" w:type="dxa"/>
            <w:vAlign w:val="center"/>
          </w:tcPr>
          <w:p w14:paraId="0BED433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5C4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44" w:type="dxa"/>
            <w:vAlign w:val="center"/>
          </w:tcPr>
          <w:p w14:paraId="16B9624E">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187" w:type="dxa"/>
            <w:vAlign w:val="center"/>
          </w:tcPr>
          <w:p w14:paraId="4EAB5CD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首次发现违法行为的，且危害后果轻微的。</w:t>
            </w:r>
          </w:p>
        </w:tc>
        <w:tc>
          <w:tcPr>
            <w:tcW w:w="4725" w:type="dxa"/>
            <w:vAlign w:val="center"/>
          </w:tcPr>
          <w:p w14:paraId="1CD522F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1FF2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44" w:type="dxa"/>
            <w:vAlign w:val="center"/>
          </w:tcPr>
          <w:p w14:paraId="1D5668C2">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187" w:type="dxa"/>
            <w:vAlign w:val="center"/>
          </w:tcPr>
          <w:p w14:paraId="01A4616E">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4725" w:type="dxa"/>
            <w:vAlign w:val="center"/>
          </w:tcPr>
          <w:p w14:paraId="11967079">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警告，有许可证件的，并由原发证部门吊销有关许可证件。</w:t>
            </w:r>
          </w:p>
        </w:tc>
      </w:tr>
    </w:tbl>
    <w:p w14:paraId="10C6945A">
      <w:pPr>
        <w:pStyle w:val="4"/>
        <w:widowControl w:val="0"/>
        <w:ind w:firstLine="640"/>
        <w:jc w:val="both"/>
        <w:rPr>
          <w:rFonts w:hint="eastAsia" w:cs="仿宋_GB2312"/>
          <w:bCs/>
          <w:color w:val="000000" w:themeColor="text1"/>
          <w14:textFill>
            <w14:solidFill>
              <w14:schemeClr w14:val="tx1"/>
            </w14:solidFill>
          </w14:textFill>
        </w:rPr>
      </w:pPr>
      <w:bookmarkStart w:id="1459" w:name="_Toc20827"/>
      <w:bookmarkStart w:id="1460" w:name="_Toc25193"/>
      <w:bookmarkStart w:id="1461" w:name="_Toc5750"/>
      <w:bookmarkStart w:id="1462" w:name="_Toc18768"/>
      <w:bookmarkStart w:id="1463" w:name="_Toc23877"/>
      <w:bookmarkStart w:id="1464" w:name="_Toc404"/>
      <w:bookmarkStart w:id="1465" w:name="_Toc12882"/>
      <w:bookmarkStart w:id="1466" w:name="_Toc27793"/>
      <w:bookmarkStart w:id="1467" w:name="_Toc8898"/>
      <w:bookmarkStart w:id="1468" w:name="_Toc11220"/>
      <w:bookmarkStart w:id="1469" w:name="_Toc14653"/>
      <w:r>
        <w:rPr>
          <w:rFonts w:hint="eastAsia" w:cs="仿宋_GB2312"/>
          <w:bCs/>
          <w:color w:val="000000" w:themeColor="text1"/>
          <w14:textFill>
            <w14:solidFill>
              <w14:schemeClr w14:val="tx1"/>
            </w14:solidFill>
          </w14:textFill>
        </w:rPr>
        <w:t>第一百二十五条 未依照规定定期对工作人员进行培训，或者工作人员考核不合格允许其上岗，或者批准未采取防护措施的人员进入实验室的</w:t>
      </w:r>
      <w:bookmarkEnd w:id="1459"/>
      <w:bookmarkEnd w:id="1460"/>
      <w:bookmarkEnd w:id="1461"/>
      <w:bookmarkEnd w:id="1462"/>
      <w:bookmarkEnd w:id="1463"/>
      <w:bookmarkEnd w:id="1464"/>
      <w:bookmarkEnd w:id="1465"/>
      <w:bookmarkEnd w:id="1466"/>
      <w:bookmarkEnd w:id="1467"/>
      <w:bookmarkEnd w:id="1468"/>
      <w:bookmarkEnd w:id="1469"/>
    </w:p>
    <w:p w14:paraId="40DB0473">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28131933">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《病原微生物实验室生物安全管理条例》第六十条第（五）项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14:paraId="55132FA0">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（五）未依照规定定期对工作人员进行培训，或者工作人员考核不合格允许其上岗，或者批准未采取防护措施的人员进入实验室的；</w:t>
      </w:r>
    </w:p>
    <w:p w14:paraId="7B62F293">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9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9"/>
        <w:gridCol w:w="5650"/>
        <w:gridCol w:w="6275"/>
      </w:tblGrid>
      <w:tr w14:paraId="2021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69" w:type="dxa"/>
            <w:vAlign w:val="center"/>
          </w:tcPr>
          <w:p w14:paraId="0790C4F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5650" w:type="dxa"/>
            <w:vAlign w:val="center"/>
          </w:tcPr>
          <w:p w14:paraId="7BBE223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275" w:type="dxa"/>
            <w:vAlign w:val="center"/>
          </w:tcPr>
          <w:p w14:paraId="7E36F7E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2BC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9" w:type="dxa"/>
            <w:vAlign w:val="center"/>
          </w:tcPr>
          <w:p w14:paraId="67A731D1">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650" w:type="dxa"/>
            <w:vAlign w:val="center"/>
          </w:tcPr>
          <w:p w14:paraId="307429C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首次发现违法行为的，且危害后果轻微的。</w:t>
            </w:r>
          </w:p>
        </w:tc>
        <w:tc>
          <w:tcPr>
            <w:tcW w:w="6275" w:type="dxa"/>
            <w:vAlign w:val="center"/>
          </w:tcPr>
          <w:p w14:paraId="208F79C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3CBC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9" w:type="dxa"/>
            <w:vAlign w:val="center"/>
          </w:tcPr>
          <w:p w14:paraId="7A37D866">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5650" w:type="dxa"/>
            <w:vAlign w:val="center"/>
          </w:tcPr>
          <w:p w14:paraId="2F1C975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6275" w:type="dxa"/>
            <w:vAlign w:val="center"/>
          </w:tcPr>
          <w:p w14:paraId="71BAED0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警告，有许可证件的，并由原发证部门吊销有关许可证件。</w:t>
            </w:r>
          </w:p>
        </w:tc>
      </w:tr>
    </w:tbl>
    <w:p w14:paraId="2F7423E4">
      <w:pPr>
        <w:pStyle w:val="4"/>
        <w:widowControl w:val="0"/>
        <w:ind w:firstLine="640"/>
        <w:jc w:val="both"/>
        <w:rPr>
          <w:rFonts w:hint="eastAsia" w:cs="仿宋_GB2312"/>
          <w:bCs/>
          <w:color w:val="000000" w:themeColor="text1"/>
          <w14:textFill>
            <w14:solidFill>
              <w14:schemeClr w14:val="tx1"/>
            </w14:solidFill>
          </w14:textFill>
        </w:rPr>
      </w:pPr>
      <w:bookmarkStart w:id="1470" w:name="_Toc32256"/>
      <w:bookmarkStart w:id="1471" w:name="_Toc20994"/>
      <w:bookmarkStart w:id="1472" w:name="_Toc25933"/>
      <w:bookmarkStart w:id="1473" w:name="_Toc8351"/>
      <w:bookmarkStart w:id="1474" w:name="_Toc18842"/>
      <w:bookmarkStart w:id="1475" w:name="_Toc11457"/>
      <w:bookmarkStart w:id="1476" w:name="_Toc6086"/>
      <w:bookmarkStart w:id="1477" w:name="_Toc27361"/>
      <w:bookmarkStart w:id="1478" w:name="_Toc15232"/>
      <w:bookmarkStart w:id="1479" w:name="_Toc22740"/>
      <w:bookmarkStart w:id="1480" w:name="_Toc19540"/>
      <w:r>
        <w:rPr>
          <w:rFonts w:hint="eastAsia" w:cs="仿宋_GB2312"/>
          <w:bCs/>
          <w:color w:val="000000" w:themeColor="text1"/>
          <w14:textFill>
            <w14:solidFill>
              <w14:schemeClr w14:val="tx1"/>
            </w14:solidFill>
          </w14:textFill>
        </w:rPr>
        <w:t>第一百二十六条 实验室工作人员未遵守实验室生物安全技术规范和操作规程的</w:t>
      </w:r>
      <w:bookmarkEnd w:id="1470"/>
      <w:bookmarkEnd w:id="1471"/>
      <w:bookmarkEnd w:id="1472"/>
      <w:bookmarkEnd w:id="1473"/>
      <w:bookmarkEnd w:id="1474"/>
      <w:bookmarkEnd w:id="1475"/>
      <w:bookmarkEnd w:id="1476"/>
      <w:bookmarkEnd w:id="1477"/>
      <w:bookmarkEnd w:id="1478"/>
      <w:bookmarkEnd w:id="1479"/>
      <w:bookmarkEnd w:id="1480"/>
    </w:p>
    <w:p w14:paraId="70AB02C3">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0CC0203B">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《病原微生物实验室生物安全管理条例》第六十条第（六）项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14:paraId="17B402D4">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（六）实验室工作人员未遵守实验室生物安全技术规范和操作规程的；</w:t>
      </w:r>
    </w:p>
    <w:p w14:paraId="7EBAB001">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5113"/>
        <w:gridCol w:w="6781"/>
      </w:tblGrid>
      <w:tr w14:paraId="133D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87" w:type="dxa"/>
            <w:vAlign w:val="center"/>
          </w:tcPr>
          <w:p w14:paraId="494C900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5113" w:type="dxa"/>
            <w:vAlign w:val="center"/>
          </w:tcPr>
          <w:p w14:paraId="2DE10EA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781" w:type="dxa"/>
            <w:vAlign w:val="center"/>
          </w:tcPr>
          <w:p w14:paraId="6E0C1ED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2C2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87" w:type="dxa"/>
            <w:vAlign w:val="center"/>
          </w:tcPr>
          <w:p w14:paraId="53FCB20C">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113" w:type="dxa"/>
            <w:vAlign w:val="center"/>
          </w:tcPr>
          <w:p w14:paraId="3FDFB51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首次发现违法行为的，且危害后果轻微的。</w:t>
            </w:r>
          </w:p>
        </w:tc>
        <w:tc>
          <w:tcPr>
            <w:tcW w:w="6781" w:type="dxa"/>
            <w:vAlign w:val="center"/>
          </w:tcPr>
          <w:p w14:paraId="4405ED2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5095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87" w:type="dxa"/>
            <w:vAlign w:val="center"/>
          </w:tcPr>
          <w:p w14:paraId="4B6310C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5113" w:type="dxa"/>
            <w:vAlign w:val="center"/>
          </w:tcPr>
          <w:p w14:paraId="5C52F0EE">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6781" w:type="dxa"/>
            <w:vAlign w:val="center"/>
          </w:tcPr>
          <w:p w14:paraId="01E5FE1B">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警告，有许可证件的，并由原发证部门吊销有关许可证件。</w:t>
            </w:r>
          </w:p>
        </w:tc>
      </w:tr>
    </w:tbl>
    <w:p w14:paraId="2E07148F">
      <w:pPr>
        <w:pStyle w:val="4"/>
        <w:widowControl w:val="0"/>
        <w:ind w:firstLine="640"/>
        <w:jc w:val="both"/>
        <w:rPr>
          <w:rFonts w:hint="eastAsia" w:cs="仿宋_GB2312"/>
          <w:bCs/>
          <w:color w:val="000000" w:themeColor="text1"/>
          <w14:textFill>
            <w14:solidFill>
              <w14:schemeClr w14:val="tx1"/>
            </w14:solidFill>
          </w14:textFill>
        </w:rPr>
      </w:pPr>
      <w:bookmarkStart w:id="1481" w:name="_Toc2999"/>
      <w:bookmarkStart w:id="1482" w:name="_Toc3962"/>
      <w:bookmarkStart w:id="1483" w:name="_Toc4273"/>
      <w:bookmarkStart w:id="1484" w:name="_Toc21784"/>
      <w:bookmarkStart w:id="1485" w:name="_Toc31491"/>
      <w:bookmarkStart w:id="1486" w:name="_Toc514"/>
      <w:bookmarkStart w:id="1487" w:name="_Toc7482"/>
      <w:bookmarkStart w:id="1488" w:name="_Toc16148"/>
      <w:bookmarkStart w:id="1489" w:name="_Toc9513"/>
      <w:bookmarkStart w:id="1490" w:name="_Toc10051"/>
      <w:bookmarkStart w:id="1491" w:name="_Toc9209"/>
      <w:r>
        <w:rPr>
          <w:rFonts w:hint="eastAsia" w:cs="仿宋_GB2312"/>
          <w:bCs/>
          <w:color w:val="000000" w:themeColor="text1"/>
          <w14:textFill>
            <w14:solidFill>
              <w14:schemeClr w14:val="tx1"/>
            </w14:solidFill>
          </w14:textFill>
        </w:rPr>
        <w:t>第一百二十七条 未依照规定建立或者保存实验档案的</w:t>
      </w:r>
      <w:bookmarkEnd w:id="1481"/>
      <w:bookmarkEnd w:id="1482"/>
      <w:bookmarkEnd w:id="1483"/>
      <w:bookmarkEnd w:id="1484"/>
      <w:bookmarkEnd w:id="1485"/>
      <w:bookmarkEnd w:id="1486"/>
      <w:bookmarkEnd w:id="1487"/>
      <w:bookmarkEnd w:id="1488"/>
      <w:bookmarkEnd w:id="1489"/>
      <w:bookmarkEnd w:id="1490"/>
      <w:bookmarkEnd w:id="1491"/>
    </w:p>
    <w:p w14:paraId="36595D9A">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3DCE1F2E">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《病原微生物实验室生物安全管理条例》第六十条第（七）项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14:paraId="56572BC9">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（七）未依照规定建立或者保存实验档案的；</w:t>
      </w:r>
    </w:p>
    <w:p w14:paraId="3FB56664">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5346"/>
        <w:gridCol w:w="6666"/>
      </w:tblGrid>
      <w:tr w14:paraId="2A8A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44" w:type="dxa"/>
            <w:vAlign w:val="center"/>
          </w:tcPr>
          <w:p w14:paraId="1100FFF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5346" w:type="dxa"/>
            <w:vAlign w:val="center"/>
          </w:tcPr>
          <w:p w14:paraId="603D3BF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666" w:type="dxa"/>
            <w:vAlign w:val="center"/>
          </w:tcPr>
          <w:p w14:paraId="3480A9B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11E4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44" w:type="dxa"/>
            <w:vAlign w:val="center"/>
          </w:tcPr>
          <w:p w14:paraId="6AD5991E">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346" w:type="dxa"/>
            <w:vAlign w:val="center"/>
          </w:tcPr>
          <w:p w14:paraId="7618C1D7">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首次发现违法行为的，且危害后果轻微的。</w:t>
            </w:r>
          </w:p>
        </w:tc>
        <w:tc>
          <w:tcPr>
            <w:tcW w:w="6666" w:type="dxa"/>
            <w:vAlign w:val="center"/>
          </w:tcPr>
          <w:p w14:paraId="7184E15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24D9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44" w:type="dxa"/>
            <w:vAlign w:val="center"/>
          </w:tcPr>
          <w:p w14:paraId="0149CB74">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5346" w:type="dxa"/>
            <w:vAlign w:val="center"/>
          </w:tcPr>
          <w:p w14:paraId="1F29CDD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6666" w:type="dxa"/>
            <w:vAlign w:val="center"/>
          </w:tcPr>
          <w:p w14:paraId="3BEF9F1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警告，有许可证件的，并由原发证部门吊销有关许可证件。</w:t>
            </w:r>
          </w:p>
        </w:tc>
      </w:tr>
    </w:tbl>
    <w:p w14:paraId="6A7C509F">
      <w:pPr>
        <w:pStyle w:val="4"/>
        <w:widowControl w:val="0"/>
        <w:ind w:firstLine="640"/>
        <w:jc w:val="both"/>
        <w:rPr>
          <w:rFonts w:hint="eastAsia" w:cs="仿宋_GB2312"/>
          <w:bCs/>
          <w:color w:val="000000" w:themeColor="text1"/>
          <w14:textFill>
            <w14:solidFill>
              <w14:schemeClr w14:val="tx1"/>
            </w14:solidFill>
          </w14:textFill>
        </w:rPr>
      </w:pPr>
      <w:bookmarkStart w:id="1492" w:name="_Toc8715"/>
      <w:bookmarkStart w:id="1493" w:name="_Toc19269"/>
      <w:bookmarkStart w:id="1494" w:name="_Toc897"/>
      <w:bookmarkStart w:id="1495" w:name="_Toc3690"/>
      <w:bookmarkStart w:id="1496" w:name="_Toc30660"/>
      <w:bookmarkStart w:id="1497" w:name="_Toc15485"/>
      <w:bookmarkStart w:id="1498" w:name="_Toc17542"/>
      <w:bookmarkStart w:id="1499" w:name="_Toc9421"/>
      <w:bookmarkStart w:id="1500" w:name="_Toc3052"/>
      <w:bookmarkStart w:id="1501" w:name="_Toc11116"/>
      <w:bookmarkStart w:id="1502" w:name="_Toc26834"/>
      <w:r>
        <w:rPr>
          <w:rFonts w:hint="eastAsia" w:cs="仿宋_GB2312"/>
          <w:bCs/>
          <w:color w:val="000000" w:themeColor="text1"/>
          <w14:textFill>
            <w14:solidFill>
              <w14:schemeClr w14:val="tx1"/>
            </w14:solidFill>
          </w14:textFill>
        </w:rPr>
        <w:t>第一百二十八条 未依照规定制定实验室感染应急处置预案并备案的</w:t>
      </w:r>
      <w:bookmarkEnd w:id="1492"/>
      <w:bookmarkEnd w:id="1493"/>
      <w:bookmarkEnd w:id="1494"/>
      <w:bookmarkEnd w:id="1495"/>
      <w:bookmarkEnd w:id="1496"/>
      <w:bookmarkEnd w:id="1497"/>
      <w:bookmarkEnd w:id="1498"/>
      <w:bookmarkEnd w:id="1499"/>
      <w:bookmarkEnd w:id="1500"/>
      <w:bookmarkEnd w:id="1501"/>
      <w:bookmarkEnd w:id="1502"/>
    </w:p>
    <w:p w14:paraId="69D6CD14">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22730442">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《病原微生物实验室生物安全管理条例》第六十条第（八）项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14:paraId="2F8DE175">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（八）未依照规定制定实验室生物安全事件应急处置预案并备案的。</w:t>
      </w:r>
    </w:p>
    <w:p w14:paraId="18EFDBB1">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9"/>
        <w:gridCol w:w="6337"/>
        <w:gridCol w:w="5650"/>
      </w:tblGrid>
      <w:tr w14:paraId="2675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69" w:type="dxa"/>
            <w:vAlign w:val="center"/>
          </w:tcPr>
          <w:p w14:paraId="3539EB0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337" w:type="dxa"/>
            <w:vAlign w:val="center"/>
          </w:tcPr>
          <w:p w14:paraId="26F2865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650" w:type="dxa"/>
            <w:vAlign w:val="center"/>
          </w:tcPr>
          <w:p w14:paraId="7717368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F99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69" w:type="dxa"/>
            <w:vAlign w:val="center"/>
          </w:tcPr>
          <w:p w14:paraId="0B3A2F34">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337" w:type="dxa"/>
            <w:vAlign w:val="center"/>
          </w:tcPr>
          <w:p w14:paraId="73FCEC4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首次发现违法行为的，且危害后果轻微的。</w:t>
            </w:r>
          </w:p>
        </w:tc>
        <w:tc>
          <w:tcPr>
            <w:tcW w:w="5650" w:type="dxa"/>
            <w:vAlign w:val="center"/>
          </w:tcPr>
          <w:p w14:paraId="0FBC0B4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0EC1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69" w:type="dxa"/>
            <w:vAlign w:val="center"/>
          </w:tcPr>
          <w:p w14:paraId="2A51223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6337" w:type="dxa"/>
            <w:vAlign w:val="center"/>
          </w:tcPr>
          <w:p w14:paraId="424A185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责令限期改正后，逾期不改正的。</w:t>
            </w:r>
          </w:p>
        </w:tc>
        <w:tc>
          <w:tcPr>
            <w:tcW w:w="5650" w:type="dxa"/>
            <w:vAlign w:val="center"/>
          </w:tcPr>
          <w:p w14:paraId="445F824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警告，有许可证件的，并由原发证部门吊销有关许可证件。</w:t>
            </w:r>
          </w:p>
        </w:tc>
      </w:tr>
    </w:tbl>
    <w:p w14:paraId="163D10A8">
      <w:pPr>
        <w:pStyle w:val="4"/>
        <w:widowControl w:val="0"/>
        <w:ind w:firstLine="640"/>
        <w:jc w:val="both"/>
        <w:rPr>
          <w:rFonts w:hint="eastAsia" w:cs="仿宋_GB2312"/>
          <w:bCs/>
          <w:color w:val="000000" w:themeColor="text1"/>
          <w14:textFill>
            <w14:solidFill>
              <w14:schemeClr w14:val="tx1"/>
            </w14:solidFill>
          </w14:textFill>
        </w:rPr>
      </w:pPr>
      <w:bookmarkStart w:id="1503" w:name="_Toc13256"/>
      <w:bookmarkStart w:id="1504" w:name="_Toc19412"/>
      <w:bookmarkStart w:id="1505" w:name="_Toc22658"/>
      <w:bookmarkStart w:id="1506" w:name="_Toc27096"/>
      <w:bookmarkStart w:id="1507" w:name="_Toc14386"/>
      <w:bookmarkStart w:id="1508" w:name="_Toc29981"/>
      <w:bookmarkStart w:id="1509" w:name="_Toc24759"/>
      <w:bookmarkStart w:id="1510" w:name="_Toc22389"/>
      <w:bookmarkStart w:id="1511" w:name="_Toc30577"/>
      <w:bookmarkStart w:id="1512" w:name="_Toc32065"/>
      <w:bookmarkStart w:id="1513" w:name="_Toc5547"/>
      <w:r>
        <w:rPr>
          <w:rFonts w:hint="eastAsia" w:cs="仿宋_GB2312"/>
          <w:bCs/>
          <w:color w:val="000000" w:themeColor="text1"/>
          <w14:textFill>
            <w14:solidFill>
              <w14:schemeClr w14:val="tx1"/>
            </w14:solidFill>
          </w14:textFill>
        </w:rPr>
        <w:t>第一百二十九条 从事高致病性病原微生物相关实验活动的实验室的设立单位未建立健全安全保卫制度，或者未采取安全保卫措施的</w:t>
      </w:r>
      <w:bookmarkEnd w:id="1503"/>
      <w:bookmarkEnd w:id="1504"/>
      <w:bookmarkEnd w:id="1505"/>
      <w:bookmarkEnd w:id="1506"/>
      <w:bookmarkEnd w:id="1507"/>
      <w:bookmarkEnd w:id="1508"/>
      <w:bookmarkEnd w:id="1509"/>
      <w:bookmarkEnd w:id="1510"/>
      <w:bookmarkEnd w:id="1511"/>
      <w:bookmarkEnd w:id="1512"/>
      <w:bookmarkEnd w:id="1513"/>
    </w:p>
    <w:p w14:paraId="20BDC522">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9DB975F">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《病原微生物实验室生物安全管理条例》第六十一条　从事高致病性病原微生物相关实验活动的实验室的设立单位未建立健全安全保卫制度，或者未采取安全保卫措施的，由县级以上地方人民政府卫生主管部门、兽医主管部门依照各自职责，责令限期改正；逾期不改正，导致高致病性病原微生物菌（毒）种、样本被盗、被抢或者造成其他严重后果的，责令停止该项实验活动，该实验室2年内不得申请从事高致病性病原微生物实验活动；造成传染病传播、流行的，该实验室设立单位的主管部门还应当对该实验室的设立单位的直接负责的主管人员和其他直接责任人员，依法给予降级、撤职、开除的处分；构成犯罪的，依法追究刑事责任。</w:t>
      </w:r>
    </w:p>
    <w:p w14:paraId="7366AE86">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6876"/>
        <w:gridCol w:w="5046"/>
      </w:tblGrid>
      <w:tr w14:paraId="44C1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59" w:type="dxa"/>
            <w:vAlign w:val="center"/>
          </w:tcPr>
          <w:p w14:paraId="4E5B218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876" w:type="dxa"/>
            <w:vAlign w:val="center"/>
          </w:tcPr>
          <w:p w14:paraId="34EDB54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046" w:type="dxa"/>
            <w:vAlign w:val="center"/>
          </w:tcPr>
          <w:p w14:paraId="6071096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141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59" w:type="dxa"/>
            <w:vAlign w:val="center"/>
          </w:tcPr>
          <w:p w14:paraId="1B035EE2">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876" w:type="dxa"/>
            <w:vAlign w:val="center"/>
          </w:tcPr>
          <w:p w14:paraId="697E792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首次发现违法行为，未造成后果的，且立即整改的。</w:t>
            </w:r>
          </w:p>
        </w:tc>
        <w:tc>
          <w:tcPr>
            <w:tcW w:w="5046" w:type="dxa"/>
            <w:vAlign w:val="center"/>
          </w:tcPr>
          <w:p w14:paraId="48A4A01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不予行政处罚，责令限期改正。</w:t>
            </w:r>
          </w:p>
        </w:tc>
      </w:tr>
      <w:tr w14:paraId="69B5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9" w:type="dxa"/>
            <w:vAlign w:val="center"/>
          </w:tcPr>
          <w:p w14:paraId="2ACCD4E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6876" w:type="dxa"/>
            <w:vAlign w:val="center"/>
          </w:tcPr>
          <w:p w14:paraId="1E244E8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责令限期改正后，逾期不改正，导致高致病性病原微生物菌（毒）种、样本被盗、被抢或者造成其他严重后果的。</w:t>
            </w:r>
          </w:p>
        </w:tc>
        <w:tc>
          <w:tcPr>
            <w:tcW w:w="5046" w:type="dxa"/>
            <w:vAlign w:val="center"/>
          </w:tcPr>
          <w:p w14:paraId="578BF6B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责令停止该项实验活动，该实验室2年内不得申请从事高致病性病原微生物实验活动。</w:t>
            </w:r>
          </w:p>
        </w:tc>
      </w:tr>
    </w:tbl>
    <w:p w14:paraId="13291681">
      <w:pPr>
        <w:pStyle w:val="4"/>
        <w:widowControl w:val="0"/>
        <w:ind w:firstLine="640"/>
        <w:jc w:val="both"/>
        <w:rPr>
          <w:rFonts w:hint="eastAsia" w:cs="仿宋_GB2312"/>
          <w:bCs/>
          <w:color w:val="000000" w:themeColor="text1"/>
          <w14:textFill>
            <w14:solidFill>
              <w14:schemeClr w14:val="tx1"/>
            </w14:solidFill>
          </w14:textFill>
        </w:rPr>
      </w:pPr>
      <w:bookmarkStart w:id="1514" w:name="_Toc18520"/>
      <w:bookmarkStart w:id="1515" w:name="_Toc5576"/>
      <w:bookmarkStart w:id="1516" w:name="_Toc7566"/>
      <w:bookmarkStart w:id="1517" w:name="_Toc28257"/>
      <w:bookmarkStart w:id="1518" w:name="_Toc21239"/>
      <w:bookmarkStart w:id="1519" w:name="_Toc8497"/>
      <w:bookmarkStart w:id="1520" w:name="_Toc20345"/>
      <w:bookmarkStart w:id="1521" w:name="_Toc10613"/>
      <w:bookmarkStart w:id="1522" w:name="_Toc20454"/>
      <w:bookmarkStart w:id="1523" w:name="_Toc3278"/>
      <w:bookmarkStart w:id="1524" w:name="_Toc8775"/>
      <w:r>
        <w:rPr>
          <w:rFonts w:hint="eastAsia" w:cs="仿宋_GB2312"/>
          <w:bCs/>
          <w:color w:val="000000" w:themeColor="text1"/>
          <w14:textFill>
            <w14:solidFill>
              <w14:schemeClr w14:val="tx1"/>
            </w14:solidFill>
          </w14:textFill>
        </w:rPr>
        <w:t>第一百三十条 未经批准运输高致病性病原微生物菌（毒）种或者样本，或者承运单位经批准运输高致病性病原微生物菌（毒）种或者样本未履行保护义务，导致高致病性病原微生物菌（毒）种或者样本被盗、被抢、丢失、泄漏的</w:t>
      </w:r>
      <w:bookmarkEnd w:id="1514"/>
      <w:bookmarkEnd w:id="1515"/>
      <w:bookmarkEnd w:id="1516"/>
      <w:bookmarkEnd w:id="1517"/>
      <w:bookmarkEnd w:id="1518"/>
      <w:bookmarkEnd w:id="1519"/>
      <w:bookmarkEnd w:id="1520"/>
      <w:bookmarkEnd w:id="1521"/>
      <w:bookmarkEnd w:id="1522"/>
      <w:bookmarkEnd w:id="1523"/>
      <w:bookmarkEnd w:id="1524"/>
      <w:r>
        <w:rPr>
          <w:rFonts w:hint="eastAsia" w:cs="仿宋_GB2312"/>
          <w:bCs/>
          <w:color w:val="000000" w:themeColor="text1"/>
          <w14:textFill>
            <w14:solidFill>
              <w14:schemeClr w14:val="tx1"/>
            </w14:solidFill>
          </w14:textFill>
        </w:rPr>
        <w:t xml:space="preserve"> </w:t>
      </w:r>
    </w:p>
    <w:p w14:paraId="5260A031">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5D5CD04">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《病原微生物实验室生物安全管理条例》第六十二条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未经批准运输高致病性病原微生物菌（毒）种或者样本，或者承运单位经批准运输高致病性病原微生物菌（毒）种或者样本未履行保护义务，导致高致病性病原微生物菌（毒）种或者样本被盗、被抢、丢失、泄漏的，由县级以上地方人民政府卫生主管部门、兽医主管部门依照各自职责，责令采取措施，消除隐患，给予警告；造成传染病传播、流行或者其他严重后果的，由托运单位和承运单位的主管部门对主要负责人、直接负责的主管人员和其他直接责任人员，依法给予撤职、开除的处分；构成犯罪的，依法追究刑事责任。</w:t>
      </w:r>
    </w:p>
    <w:p w14:paraId="32154DDC">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《可感染人类的高致病性病原微生物菌（毒）种或样本运输管理规定》</w:t>
      </w:r>
      <w:r>
        <w:rPr>
          <w:rFonts w:hint="eastAsia" w:ascii="Times New Roman" w:hAnsi="Times New Roman" w:eastAsia="仿宋_GB2312" w:cs="Times New Roman"/>
          <w:color w:val="000000" w:themeColor="text1"/>
          <w:sz w:val="32"/>
          <w:szCs w:val="32"/>
          <w:lang w:bidi="ar"/>
          <w14:textFill>
            <w14:solidFill>
              <w14:schemeClr w14:val="tx1"/>
            </w14:solidFill>
          </w14:textFill>
        </w:rPr>
        <w:t>第十七条　对于违反本规定的行为，依照《病原微生物实验室生物安全管理条例》第六十二条、六十七条的有关规定予以处罚。</w:t>
      </w:r>
    </w:p>
    <w:p w14:paraId="7A714E0E">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7694"/>
        <w:gridCol w:w="4316"/>
      </w:tblGrid>
      <w:tr w14:paraId="38AD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9" w:type="dxa"/>
            <w:vAlign w:val="center"/>
          </w:tcPr>
          <w:p w14:paraId="1179F39D">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94" w:type="dxa"/>
            <w:vAlign w:val="center"/>
          </w:tcPr>
          <w:p w14:paraId="432A051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316" w:type="dxa"/>
            <w:vAlign w:val="center"/>
          </w:tcPr>
          <w:p w14:paraId="1CE1295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2FD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959" w:type="dxa"/>
            <w:vAlign w:val="center"/>
          </w:tcPr>
          <w:p w14:paraId="7215BDC9">
            <w:pPr>
              <w:widowControl w:val="0"/>
              <w:spacing w:after="0" w:line="28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694" w:type="dxa"/>
            <w:vAlign w:val="center"/>
          </w:tcPr>
          <w:p w14:paraId="1733160D">
            <w:pPr>
              <w:widowControl w:val="0"/>
              <w:numPr>
                <w:ilvl w:val="0"/>
                <w:numId w:val="0"/>
              </w:numPr>
              <w:spacing w:after="0" w:line="320" w:lineRule="exact"/>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未经批准运输高致病性病原微生物菌（毒）种或者样本，或者承运单位经批准运输高致病性病原微生物菌（毒）种或者样本未履行保护义务，导致高致病性病原微生物菌（毒）种或者样本被盗、被抢、丢失、泄漏的。</w:t>
            </w:r>
          </w:p>
        </w:tc>
        <w:tc>
          <w:tcPr>
            <w:tcW w:w="4316" w:type="dxa"/>
            <w:vAlign w:val="center"/>
          </w:tcPr>
          <w:p w14:paraId="17F5B889">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责令采取措施，消除隐患，给予警告。</w:t>
            </w:r>
          </w:p>
        </w:tc>
      </w:tr>
    </w:tbl>
    <w:p w14:paraId="53F5B0CD">
      <w:pPr>
        <w:pStyle w:val="4"/>
        <w:widowControl w:val="0"/>
        <w:ind w:firstLine="640"/>
        <w:jc w:val="both"/>
        <w:rPr>
          <w:rFonts w:hint="eastAsia" w:cs="仿宋_GB2312"/>
          <w:bCs/>
          <w:color w:val="000000" w:themeColor="text1"/>
          <w14:textFill>
            <w14:solidFill>
              <w14:schemeClr w14:val="tx1"/>
            </w14:solidFill>
          </w14:textFill>
        </w:rPr>
      </w:pPr>
      <w:bookmarkStart w:id="1525" w:name="_Toc30272"/>
      <w:bookmarkStart w:id="1526" w:name="_Toc21241"/>
      <w:bookmarkStart w:id="1527" w:name="_Toc16348"/>
      <w:bookmarkStart w:id="1528" w:name="_Toc2284"/>
      <w:bookmarkStart w:id="1529" w:name="_Toc25472"/>
      <w:bookmarkStart w:id="1530" w:name="_Toc26430"/>
      <w:bookmarkStart w:id="1531" w:name="_Toc5567"/>
      <w:bookmarkStart w:id="1532" w:name="_Toc29872"/>
      <w:bookmarkStart w:id="1533" w:name="_Toc9904"/>
      <w:bookmarkStart w:id="1534" w:name="_Toc12441"/>
      <w:bookmarkStart w:id="1535" w:name="_Toc8632"/>
      <w:r>
        <w:rPr>
          <w:rFonts w:hint="eastAsia" w:cs="仿宋_GB2312"/>
          <w:bCs/>
          <w:color w:val="000000" w:themeColor="text1"/>
          <w14:textFill>
            <w14:solidFill>
              <w14:schemeClr w14:val="tx1"/>
            </w14:solidFill>
          </w14:textFill>
        </w:rPr>
        <w:t>第一百三十一条 实验室在相关实验活动结束后，未依照规定及时将病原微生物菌（毒）种和样本就地销毁或者送交保藏机构保管的</w:t>
      </w:r>
      <w:bookmarkEnd w:id="1525"/>
      <w:bookmarkEnd w:id="1526"/>
      <w:bookmarkEnd w:id="1527"/>
      <w:bookmarkEnd w:id="1528"/>
      <w:bookmarkEnd w:id="1529"/>
      <w:bookmarkEnd w:id="1530"/>
      <w:bookmarkEnd w:id="1531"/>
      <w:bookmarkEnd w:id="1532"/>
      <w:bookmarkEnd w:id="1533"/>
      <w:bookmarkEnd w:id="1534"/>
      <w:bookmarkEnd w:id="1535"/>
    </w:p>
    <w:p w14:paraId="4744FD42">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06709C6B">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《病原微生物实验室生物安全管理条例》第六十三条第（一）项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14:paraId="03663A88">
      <w:pPr>
        <w:widowControl w:val="0"/>
        <w:numPr>
          <w:ilvl w:val="0"/>
          <w:numId w:val="6"/>
        </w:numPr>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实验室在相关实验活动结束后，未依照规定及时将病原微生物菌（毒）种和样本就地销毁或者送交保藏机构保管的；</w:t>
      </w:r>
    </w:p>
    <w:p w14:paraId="4D314473">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5241"/>
        <w:gridCol w:w="6669"/>
      </w:tblGrid>
      <w:tr w14:paraId="4838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9" w:type="dxa"/>
            <w:vAlign w:val="center"/>
          </w:tcPr>
          <w:p w14:paraId="71CFCA4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5241" w:type="dxa"/>
            <w:vAlign w:val="center"/>
          </w:tcPr>
          <w:p w14:paraId="4C02913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6669" w:type="dxa"/>
            <w:vAlign w:val="center"/>
          </w:tcPr>
          <w:p w14:paraId="1D9CF31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2B8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959" w:type="dxa"/>
            <w:vAlign w:val="center"/>
          </w:tcPr>
          <w:p w14:paraId="6069C6F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241" w:type="dxa"/>
            <w:vAlign w:val="center"/>
          </w:tcPr>
          <w:p w14:paraId="7AACEDE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实验室在相关实验活动结束后，未依照规定及时将病原微生物菌（毒）种和样本就地销毁或者送交保藏机构保管的。</w:t>
            </w:r>
          </w:p>
        </w:tc>
        <w:tc>
          <w:tcPr>
            <w:tcW w:w="6669" w:type="dxa"/>
            <w:vAlign w:val="center"/>
          </w:tcPr>
          <w:p w14:paraId="3D599EA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由实验室所在地的设区的市级以上地方人民政府卫生主管部门责令有关单位立即停止违法活动，监督其将病原微生物销毁或者送交保藏机构。</w:t>
            </w:r>
          </w:p>
        </w:tc>
      </w:tr>
      <w:tr w14:paraId="57AD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959" w:type="dxa"/>
            <w:vAlign w:val="center"/>
          </w:tcPr>
          <w:p w14:paraId="6536AF4B">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241" w:type="dxa"/>
            <w:vAlign w:val="center"/>
          </w:tcPr>
          <w:p w14:paraId="6903D30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实验室在相关实验活动结束后，未依照规定及时将病原微生物菌（毒）种和样本就地销毁或者送交保藏机构保管，造成传染病传播、流行或者其他严重后果的。</w:t>
            </w:r>
          </w:p>
        </w:tc>
        <w:tc>
          <w:tcPr>
            <w:tcW w:w="6669" w:type="dxa"/>
            <w:vAlign w:val="center"/>
          </w:tcPr>
          <w:p w14:paraId="644D30B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立即停止违法活动，有许可证件的，吊销有关许可证件。</w:t>
            </w:r>
          </w:p>
        </w:tc>
      </w:tr>
    </w:tbl>
    <w:p w14:paraId="271C7A25">
      <w:pPr>
        <w:pStyle w:val="4"/>
        <w:widowControl w:val="0"/>
        <w:spacing w:line="480" w:lineRule="exact"/>
        <w:ind w:firstLine="640"/>
        <w:jc w:val="both"/>
        <w:rPr>
          <w:rFonts w:hint="eastAsia" w:cs="仿宋_GB2312"/>
          <w:bCs/>
          <w:color w:val="000000" w:themeColor="text1"/>
          <w14:textFill>
            <w14:solidFill>
              <w14:schemeClr w14:val="tx1"/>
            </w14:solidFill>
          </w14:textFill>
        </w:rPr>
      </w:pPr>
      <w:bookmarkStart w:id="1536" w:name="_Toc5829"/>
      <w:bookmarkStart w:id="1537" w:name="_Toc9848"/>
      <w:bookmarkStart w:id="1538" w:name="_Toc18246"/>
      <w:bookmarkStart w:id="1539" w:name="_Toc18164"/>
      <w:bookmarkStart w:id="1540" w:name="_Toc25880"/>
      <w:bookmarkStart w:id="1541" w:name="_Toc8018"/>
      <w:bookmarkStart w:id="1542" w:name="_Toc25457"/>
      <w:bookmarkStart w:id="1543" w:name="_Toc815"/>
      <w:bookmarkStart w:id="1544" w:name="_Toc21514"/>
      <w:bookmarkStart w:id="1545" w:name="_Toc24192"/>
      <w:bookmarkStart w:id="1546" w:name="_Toc22082"/>
      <w:r>
        <w:rPr>
          <w:rFonts w:hint="eastAsia" w:cs="仿宋_GB2312"/>
          <w:bCs/>
          <w:color w:val="000000" w:themeColor="text1"/>
          <w14:textFill>
            <w14:solidFill>
              <w14:schemeClr w14:val="tx1"/>
            </w14:solidFill>
          </w14:textFill>
        </w:rPr>
        <w:t>第一百三十二条 实验室使用新技术、新方法从事高致病性病原微生物相关实验活动未经国家病原微生物实验室生物安全专家委员会论证的</w:t>
      </w:r>
      <w:bookmarkEnd w:id="1536"/>
      <w:bookmarkEnd w:id="1537"/>
      <w:bookmarkEnd w:id="1538"/>
      <w:bookmarkEnd w:id="1539"/>
      <w:bookmarkEnd w:id="1540"/>
      <w:bookmarkEnd w:id="1541"/>
      <w:bookmarkEnd w:id="1542"/>
      <w:bookmarkEnd w:id="1543"/>
      <w:bookmarkEnd w:id="1544"/>
      <w:bookmarkEnd w:id="1545"/>
      <w:bookmarkEnd w:id="1546"/>
    </w:p>
    <w:p w14:paraId="2FB7B6B9">
      <w:pPr>
        <w:widowControl w:val="0"/>
        <w:shd w:val="clear" w:color="auto" w:fill="FFFFFF"/>
        <w:spacing w:after="0" w:line="4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553BA675">
      <w:pPr>
        <w:widowControl w:val="0"/>
        <w:shd w:val="clear" w:color="auto" w:fill="FFFFFF"/>
        <w:spacing w:after="0" w:line="4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《病原微生物实验室生物安全管理条例》第六十三条第（二）项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14:paraId="3959C8CF">
      <w:pPr>
        <w:widowControl w:val="0"/>
        <w:shd w:val="clear" w:color="auto" w:fill="FFFFFF"/>
        <w:spacing w:after="0" w:line="4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（二）实验室使用新技术、新方法从事高致病性病原微生物相关实验活动未经国家病原微生物实验室生物安全专家委员会论证的；</w:t>
      </w:r>
    </w:p>
    <w:p w14:paraId="6C2B5924">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7110"/>
        <w:gridCol w:w="4912"/>
      </w:tblGrid>
      <w:tr w14:paraId="1CFF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9" w:type="dxa"/>
            <w:vAlign w:val="center"/>
          </w:tcPr>
          <w:p w14:paraId="431C28E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110" w:type="dxa"/>
            <w:vAlign w:val="center"/>
          </w:tcPr>
          <w:p w14:paraId="0300D81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912" w:type="dxa"/>
            <w:vAlign w:val="center"/>
          </w:tcPr>
          <w:p w14:paraId="1F6F14AE">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E60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1959" w:type="dxa"/>
            <w:vAlign w:val="center"/>
          </w:tcPr>
          <w:p w14:paraId="01E45238">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110" w:type="dxa"/>
            <w:vAlign w:val="center"/>
          </w:tcPr>
          <w:p w14:paraId="5320131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实验室使用新技术、新方法从事高致病性病原微生物相关实验活动未经国家病原微生物实验室生物安全专家委员会论证的。</w:t>
            </w:r>
          </w:p>
        </w:tc>
        <w:tc>
          <w:tcPr>
            <w:tcW w:w="4912" w:type="dxa"/>
            <w:vAlign w:val="center"/>
          </w:tcPr>
          <w:p w14:paraId="1AB7DD87">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由实验室所在地的设区的市级以上地方人民政府卫生主管部门责令有关单位立即停止违法活动，监督其将病原微生物销毁或者送交保藏机构。</w:t>
            </w:r>
          </w:p>
        </w:tc>
      </w:tr>
      <w:tr w14:paraId="7CAE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59" w:type="dxa"/>
            <w:vAlign w:val="center"/>
          </w:tcPr>
          <w:p w14:paraId="2E51560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110" w:type="dxa"/>
            <w:vAlign w:val="center"/>
          </w:tcPr>
          <w:p w14:paraId="5F2B178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实验室使用新技术、新方法从事高致病性病原微生物相关实验活动未经国家病原微生物实验室生物安全专家委员会论证，造成传染病传播、流行或者其他严重后果的。</w:t>
            </w:r>
          </w:p>
        </w:tc>
        <w:tc>
          <w:tcPr>
            <w:tcW w:w="4912" w:type="dxa"/>
            <w:vAlign w:val="center"/>
          </w:tcPr>
          <w:p w14:paraId="36C27995">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停止违法活动，有许可证件的，吊销有关许可证件。</w:t>
            </w:r>
          </w:p>
        </w:tc>
      </w:tr>
    </w:tbl>
    <w:p w14:paraId="3328E729">
      <w:pPr>
        <w:pStyle w:val="4"/>
        <w:widowControl w:val="0"/>
        <w:ind w:firstLine="640"/>
        <w:jc w:val="both"/>
        <w:rPr>
          <w:rFonts w:hint="eastAsia" w:cs="仿宋_GB2312"/>
          <w:bCs/>
          <w:color w:val="000000" w:themeColor="text1"/>
          <w14:textFill>
            <w14:solidFill>
              <w14:schemeClr w14:val="tx1"/>
            </w14:solidFill>
          </w14:textFill>
        </w:rPr>
      </w:pPr>
      <w:bookmarkStart w:id="1547" w:name="_Toc27612"/>
      <w:bookmarkStart w:id="1548" w:name="_Toc17356"/>
      <w:bookmarkStart w:id="1549" w:name="_Toc11234"/>
      <w:bookmarkStart w:id="1550" w:name="_Toc1210"/>
      <w:bookmarkStart w:id="1551" w:name="_Toc11860"/>
      <w:bookmarkStart w:id="1552" w:name="_Toc3011"/>
      <w:bookmarkStart w:id="1553" w:name="_Toc24798"/>
      <w:bookmarkStart w:id="1554" w:name="_Toc6672"/>
      <w:bookmarkStart w:id="1555" w:name="_Toc18269"/>
      <w:bookmarkStart w:id="1556" w:name="_Toc1386"/>
      <w:bookmarkStart w:id="1557" w:name="_Toc32732"/>
      <w:r>
        <w:rPr>
          <w:rFonts w:hint="eastAsia" w:cs="仿宋_GB2312"/>
          <w:bCs/>
          <w:color w:val="000000" w:themeColor="text1"/>
          <w14:textFill>
            <w14:solidFill>
              <w14:schemeClr w14:val="tx1"/>
            </w14:solidFill>
          </w14:textFill>
        </w:rPr>
        <w:t>第一百三十三条 未经批准擅自从事在我国尚未发现或者已经宣布消灭的病原微生物相关实验活动的</w:t>
      </w:r>
      <w:bookmarkEnd w:id="1547"/>
      <w:bookmarkEnd w:id="1548"/>
      <w:bookmarkEnd w:id="1549"/>
      <w:bookmarkEnd w:id="1550"/>
      <w:bookmarkEnd w:id="1551"/>
      <w:bookmarkEnd w:id="1552"/>
      <w:bookmarkEnd w:id="1553"/>
      <w:bookmarkEnd w:id="1554"/>
      <w:bookmarkEnd w:id="1555"/>
      <w:bookmarkEnd w:id="1556"/>
      <w:bookmarkEnd w:id="1557"/>
    </w:p>
    <w:p w14:paraId="22F28A47">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29BA7FE7">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《病原微生物实验室生物安全管理条例》第六十三条第（三）项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14:paraId="7DDFD06C">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（三）未经批准擅自从事在我国尚未发现或者已经宣布消灭的病原微生物相关实验活动的；</w:t>
      </w:r>
    </w:p>
    <w:p w14:paraId="098F2633">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6494"/>
        <w:gridCol w:w="5538"/>
      </w:tblGrid>
      <w:tr w14:paraId="640B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37" w:type="dxa"/>
            <w:vAlign w:val="center"/>
          </w:tcPr>
          <w:p w14:paraId="3B96C6F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494" w:type="dxa"/>
            <w:vAlign w:val="center"/>
          </w:tcPr>
          <w:p w14:paraId="4F6B906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538" w:type="dxa"/>
            <w:vAlign w:val="center"/>
          </w:tcPr>
          <w:p w14:paraId="14A7AF1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39AD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37" w:type="dxa"/>
            <w:vAlign w:val="center"/>
          </w:tcPr>
          <w:p w14:paraId="4AC6C22C">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494" w:type="dxa"/>
            <w:vAlign w:val="center"/>
          </w:tcPr>
          <w:p w14:paraId="551BCD9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未经批准擅自从事在我国尚未发现或者已经宣布消灭的病原微生物相关实验活动的。</w:t>
            </w:r>
          </w:p>
        </w:tc>
        <w:tc>
          <w:tcPr>
            <w:tcW w:w="5538" w:type="dxa"/>
            <w:vAlign w:val="center"/>
          </w:tcPr>
          <w:p w14:paraId="1B5C854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由实验室所在地的设区的市级以上地方人民政府卫生主管部门责令有关单位立即停止违法活动，监督其将病原微生物销毁或者送交保藏机构。</w:t>
            </w:r>
          </w:p>
        </w:tc>
      </w:tr>
      <w:tr w14:paraId="1046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37" w:type="dxa"/>
            <w:vAlign w:val="center"/>
          </w:tcPr>
          <w:p w14:paraId="61E38556">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494" w:type="dxa"/>
            <w:vAlign w:val="center"/>
          </w:tcPr>
          <w:p w14:paraId="09175B0D">
            <w:pPr>
              <w:widowControl w:val="0"/>
              <w:numPr>
                <w:ilvl w:val="0"/>
                <w:numId w:val="0"/>
              </w:numPr>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11"/>
                <w:sz w:val="24"/>
                <w:szCs w:val="22"/>
                <w:lang w:bidi="ar"/>
                <w14:textFill>
                  <w14:solidFill>
                    <w14:schemeClr w14:val="tx1"/>
                  </w14:solidFill>
                </w14:textFill>
              </w:rPr>
              <w:t>未经批准擅自从事在我国尚未发现或者已经宣布消灭的病原微生物相关实验活动，造成传染病传播、流行或者其他严重后果的。</w:t>
            </w:r>
          </w:p>
        </w:tc>
        <w:tc>
          <w:tcPr>
            <w:tcW w:w="5538" w:type="dxa"/>
            <w:vAlign w:val="center"/>
          </w:tcPr>
          <w:p w14:paraId="62310EF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停止违法活动，有许可证件的，吊销有关许可证件。</w:t>
            </w:r>
          </w:p>
        </w:tc>
      </w:tr>
    </w:tbl>
    <w:p w14:paraId="019A01AB">
      <w:pPr>
        <w:pStyle w:val="4"/>
        <w:widowControl w:val="0"/>
        <w:ind w:firstLine="640"/>
        <w:jc w:val="both"/>
        <w:rPr>
          <w:rFonts w:hint="eastAsia" w:cs="仿宋_GB2312"/>
          <w:bCs/>
          <w:color w:val="000000" w:themeColor="text1"/>
          <w14:textFill>
            <w14:solidFill>
              <w14:schemeClr w14:val="tx1"/>
            </w14:solidFill>
          </w14:textFill>
        </w:rPr>
      </w:pPr>
      <w:bookmarkStart w:id="1558" w:name="_Toc25393"/>
      <w:bookmarkStart w:id="1559" w:name="_Toc3370"/>
      <w:bookmarkStart w:id="1560" w:name="_Toc3709"/>
      <w:bookmarkStart w:id="1561" w:name="_Toc24057"/>
      <w:bookmarkStart w:id="1562" w:name="_Toc570"/>
      <w:bookmarkStart w:id="1563" w:name="_Toc17233"/>
      <w:bookmarkStart w:id="1564" w:name="_Toc2088"/>
      <w:bookmarkStart w:id="1565" w:name="_Toc21168"/>
      <w:bookmarkStart w:id="1566" w:name="_Toc12160"/>
      <w:bookmarkStart w:id="1567" w:name="_Toc16500"/>
      <w:bookmarkStart w:id="1568" w:name="_Toc25069"/>
      <w:r>
        <w:rPr>
          <w:rFonts w:hint="eastAsia" w:cs="仿宋_GB2312"/>
          <w:bCs/>
          <w:color w:val="000000" w:themeColor="text1"/>
          <w14:textFill>
            <w14:solidFill>
              <w14:schemeClr w14:val="tx1"/>
            </w14:solidFill>
          </w14:textFill>
        </w:rPr>
        <w:t>第一百三十四条 在未经指定的专业实验室从事在我国尚未发现或者已经宣布消灭的病原微生物相关实验活动的</w:t>
      </w:r>
      <w:bookmarkEnd w:id="1558"/>
      <w:bookmarkEnd w:id="1559"/>
      <w:bookmarkEnd w:id="1560"/>
      <w:bookmarkEnd w:id="1561"/>
      <w:bookmarkEnd w:id="1562"/>
      <w:bookmarkEnd w:id="1563"/>
      <w:bookmarkEnd w:id="1564"/>
      <w:bookmarkEnd w:id="1565"/>
      <w:bookmarkEnd w:id="1566"/>
      <w:bookmarkEnd w:id="1567"/>
      <w:bookmarkEnd w:id="1568"/>
    </w:p>
    <w:p w14:paraId="7B8674AB">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51CAE7F4">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《病原微生物实验室生物安全管理条例》第六十三条第（四）项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14:paraId="4760EE1D">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（四）在未经指定的专业实验室从事在我国尚未发现或者已经宣布消灭的病原微生物相关实验活动的；</w:t>
      </w:r>
    </w:p>
    <w:p w14:paraId="1338D71B">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403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6794"/>
        <w:gridCol w:w="5300"/>
      </w:tblGrid>
      <w:tr w14:paraId="4664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37" w:type="dxa"/>
            <w:vAlign w:val="center"/>
          </w:tcPr>
          <w:p w14:paraId="56CB716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794" w:type="dxa"/>
            <w:vAlign w:val="center"/>
          </w:tcPr>
          <w:p w14:paraId="5820890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5300" w:type="dxa"/>
            <w:vAlign w:val="center"/>
          </w:tcPr>
          <w:p w14:paraId="31D5256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ED6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937" w:type="dxa"/>
            <w:vAlign w:val="center"/>
          </w:tcPr>
          <w:p w14:paraId="30145A0D">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794" w:type="dxa"/>
            <w:vAlign w:val="center"/>
          </w:tcPr>
          <w:p w14:paraId="7BB41B1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在未经指定的专业实验室从事在我国尚未发现或者已经宣布消灭的病原微生物相关实验活动的。</w:t>
            </w:r>
          </w:p>
        </w:tc>
        <w:tc>
          <w:tcPr>
            <w:tcW w:w="5300" w:type="dxa"/>
            <w:vAlign w:val="center"/>
          </w:tcPr>
          <w:p w14:paraId="588CF4B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由实验室所在地的设区的市级以上地方人民政府卫生主管部门责令有关单位立即停止违法活动，监督其将病原微生物销毁或者送交保藏机构。</w:t>
            </w:r>
          </w:p>
        </w:tc>
      </w:tr>
      <w:tr w14:paraId="602A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937" w:type="dxa"/>
            <w:vAlign w:val="center"/>
          </w:tcPr>
          <w:p w14:paraId="27CD8A64">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794" w:type="dxa"/>
            <w:vAlign w:val="center"/>
          </w:tcPr>
          <w:p w14:paraId="1770688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在未经指定的专业实验室从事在我国尚未发现或者已经宣布消灭的病原微生物相关实验活动，造成传染病传播、流行或者其他严重后果的。</w:t>
            </w:r>
          </w:p>
        </w:tc>
        <w:tc>
          <w:tcPr>
            <w:tcW w:w="5300" w:type="dxa"/>
            <w:vAlign w:val="center"/>
          </w:tcPr>
          <w:p w14:paraId="2EBDCF9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停止违法活动，有许可证件的，吊销有关许可证件。</w:t>
            </w:r>
          </w:p>
        </w:tc>
      </w:tr>
    </w:tbl>
    <w:p w14:paraId="43406B71">
      <w:pPr>
        <w:pStyle w:val="4"/>
        <w:widowControl w:val="0"/>
        <w:ind w:firstLine="640"/>
        <w:jc w:val="both"/>
        <w:rPr>
          <w:rFonts w:hint="eastAsia" w:cs="仿宋_GB2312"/>
          <w:bCs/>
          <w:color w:val="000000" w:themeColor="text1"/>
          <w14:textFill>
            <w14:solidFill>
              <w14:schemeClr w14:val="tx1"/>
            </w14:solidFill>
          </w14:textFill>
        </w:rPr>
      </w:pPr>
      <w:bookmarkStart w:id="1569" w:name="_Toc3595"/>
      <w:bookmarkStart w:id="1570" w:name="_Toc13602"/>
      <w:bookmarkStart w:id="1571" w:name="_Toc2358"/>
      <w:bookmarkStart w:id="1572" w:name="_Toc31722"/>
      <w:bookmarkStart w:id="1573" w:name="_Toc14325"/>
      <w:bookmarkStart w:id="1574" w:name="_Toc22625"/>
      <w:bookmarkStart w:id="1575" w:name="_Toc6753"/>
      <w:bookmarkStart w:id="1576" w:name="_Toc7336"/>
      <w:bookmarkStart w:id="1577" w:name="_Toc15494"/>
      <w:bookmarkStart w:id="1578" w:name="_Toc24365"/>
      <w:bookmarkStart w:id="1579" w:name="_Toc26144"/>
      <w:r>
        <w:rPr>
          <w:rFonts w:hint="eastAsia" w:cs="仿宋_GB2312"/>
          <w:bCs/>
          <w:color w:val="000000" w:themeColor="text1"/>
          <w14:textFill>
            <w14:solidFill>
              <w14:schemeClr w14:val="tx1"/>
            </w14:solidFill>
          </w14:textFill>
        </w:rPr>
        <w:t>第一百三十五条 在同一个实验室的同一个独立安全区域内同时从事两种或者两种以上高致病性病原微生物的相关实验活动的</w:t>
      </w:r>
      <w:bookmarkEnd w:id="1569"/>
      <w:bookmarkEnd w:id="1570"/>
      <w:bookmarkEnd w:id="1571"/>
      <w:bookmarkEnd w:id="1572"/>
      <w:bookmarkEnd w:id="1573"/>
      <w:bookmarkEnd w:id="1574"/>
      <w:bookmarkEnd w:id="1575"/>
      <w:bookmarkEnd w:id="1576"/>
      <w:bookmarkEnd w:id="1577"/>
      <w:bookmarkEnd w:id="1578"/>
      <w:bookmarkEnd w:id="1579"/>
    </w:p>
    <w:p w14:paraId="3B79690A">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33803808">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《病原微生物实验室生物安全管理条例》第六十三条第（五）项 　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14:paraId="500CEB3F">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（五）在同一个实验室的同一个独立安全区域内同时从事两种或者两种以上高致病性病原微生物的相关实验活动的。</w:t>
      </w:r>
    </w:p>
    <w:p w14:paraId="05DC3361">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6969"/>
        <w:gridCol w:w="4950"/>
      </w:tblGrid>
      <w:tr w14:paraId="6F58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37" w:type="dxa"/>
            <w:vAlign w:val="center"/>
          </w:tcPr>
          <w:p w14:paraId="70C4928C">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6969" w:type="dxa"/>
            <w:vAlign w:val="center"/>
          </w:tcPr>
          <w:p w14:paraId="1EEF299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950" w:type="dxa"/>
            <w:vAlign w:val="center"/>
          </w:tcPr>
          <w:p w14:paraId="083756B0">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992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37" w:type="dxa"/>
            <w:vAlign w:val="center"/>
          </w:tcPr>
          <w:p w14:paraId="25B3DCF9">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969" w:type="dxa"/>
            <w:vAlign w:val="center"/>
          </w:tcPr>
          <w:p w14:paraId="025B12DD">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在同一个实验室的同一个独立安全区域内同时从事两种或者两种以上高致病性病原微生物的相关实验活动的。</w:t>
            </w:r>
          </w:p>
        </w:tc>
        <w:tc>
          <w:tcPr>
            <w:tcW w:w="4950" w:type="dxa"/>
            <w:vAlign w:val="center"/>
          </w:tcPr>
          <w:p w14:paraId="42FB99B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由实验室所在地的设区的市级以上地方人民政府卫生主管部门责令有关单位立即停止违法活动，监督其将病原微生物销毁或者送交保藏机构。</w:t>
            </w:r>
          </w:p>
        </w:tc>
      </w:tr>
      <w:tr w14:paraId="3D39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37" w:type="dxa"/>
            <w:vAlign w:val="center"/>
          </w:tcPr>
          <w:p w14:paraId="1DBADC00">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969" w:type="dxa"/>
            <w:vAlign w:val="center"/>
          </w:tcPr>
          <w:p w14:paraId="28E5E8C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在同一个实验室的同一个独立安全区域内同时从事两种或者两种以上高致病性病原微生物的相关实验活动，造成传染病传播、流行或者其他严重后果的。</w:t>
            </w:r>
          </w:p>
        </w:tc>
        <w:tc>
          <w:tcPr>
            <w:tcW w:w="4950" w:type="dxa"/>
            <w:vAlign w:val="center"/>
          </w:tcPr>
          <w:p w14:paraId="2C3C3EB9">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停止违法活动，有许可证件的，并由原发证部门吊销有关许可证件。</w:t>
            </w:r>
          </w:p>
        </w:tc>
      </w:tr>
    </w:tbl>
    <w:p w14:paraId="0B5647E2">
      <w:pPr>
        <w:pStyle w:val="4"/>
        <w:widowControl w:val="0"/>
        <w:ind w:firstLine="640"/>
        <w:jc w:val="both"/>
        <w:rPr>
          <w:rFonts w:hint="eastAsia" w:cs="仿宋_GB2312"/>
          <w:bCs/>
          <w:color w:val="000000" w:themeColor="text1"/>
          <w14:textFill>
            <w14:solidFill>
              <w14:schemeClr w14:val="tx1"/>
            </w14:solidFill>
          </w14:textFill>
        </w:rPr>
      </w:pPr>
      <w:bookmarkStart w:id="1580" w:name="_Toc19134"/>
      <w:bookmarkStart w:id="1581" w:name="_Toc22578"/>
      <w:bookmarkStart w:id="1582" w:name="_Toc21974"/>
      <w:bookmarkStart w:id="1583" w:name="_Toc7127"/>
      <w:bookmarkStart w:id="1584" w:name="_Toc16201"/>
      <w:bookmarkStart w:id="1585" w:name="_Toc4855"/>
      <w:bookmarkStart w:id="1586" w:name="_Toc6537"/>
      <w:bookmarkStart w:id="1587" w:name="_Toc8390"/>
      <w:bookmarkStart w:id="1588" w:name="_Toc30378"/>
      <w:bookmarkStart w:id="1589" w:name="_Toc4321"/>
      <w:bookmarkStart w:id="1590" w:name="_Toc2483"/>
      <w:r>
        <w:rPr>
          <w:rFonts w:hint="eastAsia" w:cs="仿宋_GB2312"/>
          <w:bCs/>
          <w:color w:val="000000" w:themeColor="text1"/>
          <w14:textFill>
            <w14:solidFill>
              <w14:schemeClr w14:val="tx1"/>
            </w14:solidFill>
          </w14:textFill>
        </w:rPr>
        <w:t>第一百三十六条 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的，或者未依照规定采取控制措施的</w:t>
      </w:r>
      <w:bookmarkEnd w:id="1580"/>
      <w:bookmarkEnd w:id="1581"/>
      <w:bookmarkEnd w:id="1582"/>
      <w:bookmarkEnd w:id="1583"/>
      <w:bookmarkEnd w:id="1584"/>
      <w:bookmarkEnd w:id="1585"/>
      <w:bookmarkEnd w:id="1586"/>
      <w:bookmarkEnd w:id="1587"/>
      <w:bookmarkEnd w:id="1588"/>
      <w:bookmarkEnd w:id="1589"/>
      <w:bookmarkEnd w:id="1590"/>
    </w:p>
    <w:p w14:paraId="3419EA4D">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法律依据： </w:t>
      </w:r>
    </w:p>
    <w:p w14:paraId="6F1609E5">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《病原微生物实验室生物安全管理条例》第六十五条　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w:t>
      </w:r>
    </w:p>
    <w:p w14:paraId="70F93D6E">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9294"/>
        <w:gridCol w:w="4"/>
        <w:gridCol w:w="2721"/>
        <w:gridCol w:w="4"/>
      </w:tblGrid>
      <w:tr w14:paraId="3C75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37" w:type="dxa"/>
            <w:vAlign w:val="center"/>
          </w:tcPr>
          <w:p w14:paraId="5C12B02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9298" w:type="dxa"/>
            <w:gridSpan w:val="2"/>
            <w:vAlign w:val="center"/>
          </w:tcPr>
          <w:p w14:paraId="45DD16E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2725" w:type="dxa"/>
            <w:gridSpan w:val="2"/>
            <w:vAlign w:val="center"/>
          </w:tcPr>
          <w:p w14:paraId="514DA93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3DD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1417" w:hRule="atLeast"/>
        </w:trPr>
        <w:tc>
          <w:tcPr>
            <w:tcW w:w="1937" w:type="dxa"/>
            <w:vAlign w:val="center"/>
          </w:tcPr>
          <w:p w14:paraId="140B6AE0">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9294" w:type="dxa"/>
            <w:vAlign w:val="center"/>
          </w:tcPr>
          <w:p w14:paraId="6222F8A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w:t>
            </w:r>
          </w:p>
        </w:tc>
        <w:tc>
          <w:tcPr>
            <w:tcW w:w="2725" w:type="dxa"/>
            <w:gridSpan w:val="2"/>
            <w:vAlign w:val="center"/>
          </w:tcPr>
          <w:p w14:paraId="7A185D8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0A77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1417" w:hRule="atLeast"/>
        </w:trPr>
        <w:tc>
          <w:tcPr>
            <w:tcW w:w="1937" w:type="dxa"/>
            <w:vAlign w:val="center"/>
          </w:tcPr>
          <w:p w14:paraId="2E941C7E">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9294" w:type="dxa"/>
            <w:vAlign w:val="center"/>
          </w:tcPr>
          <w:p w14:paraId="1D12082B">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造成传染病传播、流行或者其他严重后果的。</w:t>
            </w:r>
          </w:p>
        </w:tc>
        <w:tc>
          <w:tcPr>
            <w:tcW w:w="2725" w:type="dxa"/>
            <w:gridSpan w:val="2"/>
            <w:vAlign w:val="center"/>
          </w:tcPr>
          <w:p w14:paraId="3902D659">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警告，有许可证件的，由原发证部门吊销有关许可证件。</w:t>
            </w:r>
          </w:p>
        </w:tc>
      </w:tr>
    </w:tbl>
    <w:p w14:paraId="3B32185C">
      <w:pPr>
        <w:pStyle w:val="4"/>
        <w:widowControl w:val="0"/>
        <w:ind w:firstLine="640"/>
        <w:jc w:val="both"/>
        <w:rPr>
          <w:rFonts w:hint="eastAsia" w:cs="仿宋_GB2312"/>
          <w:bCs/>
          <w:color w:val="000000" w:themeColor="text1"/>
          <w14:textFill>
            <w14:solidFill>
              <w14:schemeClr w14:val="tx1"/>
            </w14:solidFill>
          </w14:textFill>
        </w:rPr>
      </w:pPr>
      <w:bookmarkStart w:id="1591" w:name="_Toc31170"/>
      <w:bookmarkStart w:id="1592" w:name="_Toc3797"/>
      <w:bookmarkStart w:id="1593" w:name="_Toc23949"/>
      <w:bookmarkStart w:id="1594" w:name="_Toc23933"/>
      <w:bookmarkStart w:id="1595" w:name="_Toc22430"/>
      <w:bookmarkStart w:id="1596" w:name="_Toc8254"/>
      <w:bookmarkStart w:id="1597" w:name="_Toc31316"/>
      <w:bookmarkStart w:id="1598" w:name="_Toc17447"/>
      <w:bookmarkStart w:id="1599" w:name="_Toc15692"/>
      <w:bookmarkStart w:id="1600" w:name="_Toc30975"/>
      <w:bookmarkStart w:id="1601" w:name="_Toc28842"/>
      <w:r>
        <w:rPr>
          <w:rFonts w:hint="eastAsia" w:cs="仿宋_GB2312"/>
          <w:bCs/>
          <w:color w:val="000000" w:themeColor="text1"/>
          <w14:textFill>
            <w14:solidFill>
              <w14:schemeClr w14:val="tx1"/>
            </w14:solidFill>
          </w14:textFill>
        </w:rPr>
        <w:t>第一百三十七条 拒绝接受卫生主管部门依法开展有关高致病性病原微生物扩散的调查取证、采集样品等活动或者依照本条例规定采取有关预防、控制措施的</w:t>
      </w:r>
      <w:bookmarkEnd w:id="1591"/>
      <w:bookmarkEnd w:id="1592"/>
      <w:bookmarkEnd w:id="1593"/>
      <w:bookmarkEnd w:id="1594"/>
      <w:bookmarkEnd w:id="1595"/>
      <w:bookmarkEnd w:id="1596"/>
      <w:bookmarkEnd w:id="1597"/>
      <w:bookmarkEnd w:id="1598"/>
      <w:bookmarkEnd w:id="1599"/>
      <w:bookmarkEnd w:id="1600"/>
      <w:bookmarkEnd w:id="1601"/>
    </w:p>
    <w:p w14:paraId="1D35D0E8">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1975C6F">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《病原微生物实验室生物安全管理条例》第六十六条　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事责任。</w:t>
      </w:r>
    </w:p>
    <w:p w14:paraId="01AB13E7">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9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7821"/>
        <w:gridCol w:w="4211"/>
      </w:tblGrid>
      <w:tr w14:paraId="026C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37" w:type="dxa"/>
            <w:vAlign w:val="center"/>
          </w:tcPr>
          <w:p w14:paraId="1F5185F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21" w:type="dxa"/>
            <w:vAlign w:val="center"/>
          </w:tcPr>
          <w:p w14:paraId="3D348FE3">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211" w:type="dxa"/>
            <w:vAlign w:val="center"/>
          </w:tcPr>
          <w:p w14:paraId="3E481DA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53F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1937" w:type="dxa"/>
            <w:vAlign w:val="center"/>
          </w:tcPr>
          <w:p w14:paraId="22C52937">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21" w:type="dxa"/>
            <w:vAlign w:val="center"/>
          </w:tcPr>
          <w:p w14:paraId="2E0F957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拒绝接受卫生主管部门、兽医主管部门依法开展有关高致病性病原微生物扩散的调查取证、采集样品等活动或者依照本条例规定采取有关预防、控制措施的。</w:t>
            </w:r>
          </w:p>
        </w:tc>
        <w:tc>
          <w:tcPr>
            <w:tcW w:w="4211" w:type="dxa"/>
            <w:vAlign w:val="center"/>
          </w:tcPr>
          <w:p w14:paraId="10D00C4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1379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937" w:type="dxa"/>
            <w:vAlign w:val="center"/>
          </w:tcPr>
          <w:p w14:paraId="64333BD4">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7821" w:type="dxa"/>
            <w:vAlign w:val="center"/>
          </w:tcPr>
          <w:p w14:paraId="33F10C2A">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拒绝接受卫生主管部门、兽医主管部门依法开展有关高致病性病原微生物扩散的调查取证、采集样品等活动或者依照本条例规定采取有关预防、控制措施，造成传染病传播、流行以及其他严重后果的。</w:t>
            </w:r>
          </w:p>
        </w:tc>
        <w:tc>
          <w:tcPr>
            <w:tcW w:w="4211" w:type="dxa"/>
            <w:vAlign w:val="center"/>
          </w:tcPr>
          <w:p w14:paraId="16FBB52E">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警告，有许可证件的，由原发证部门吊销有关许可证件。</w:t>
            </w:r>
          </w:p>
        </w:tc>
      </w:tr>
    </w:tbl>
    <w:p w14:paraId="71B489F8">
      <w:pPr>
        <w:pStyle w:val="4"/>
        <w:widowControl w:val="0"/>
        <w:ind w:firstLine="640"/>
        <w:jc w:val="both"/>
        <w:rPr>
          <w:rFonts w:hint="eastAsia" w:cs="仿宋_GB2312"/>
          <w:b/>
          <w:bCs/>
          <w:color w:val="000000" w:themeColor="text1"/>
          <w14:textFill>
            <w14:solidFill>
              <w14:schemeClr w14:val="tx1"/>
            </w14:solidFill>
          </w14:textFill>
        </w:rPr>
      </w:pPr>
      <w:bookmarkStart w:id="1602" w:name="_Toc2517"/>
      <w:bookmarkStart w:id="1603" w:name="_Toc23457"/>
      <w:bookmarkStart w:id="1604" w:name="_Toc32529"/>
      <w:bookmarkStart w:id="1605" w:name="_Toc18493"/>
      <w:bookmarkStart w:id="1606" w:name="_Toc2985"/>
      <w:bookmarkStart w:id="1607" w:name="_Toc10457"/>
      <w:bookmarkStart w:id="1608" w:name="_Toc30051"/>
      <w:bookmarkStart w:id="1609" w:name="_Toc8804"/>
      <w:bookmarkStart w:id="1610" w:name="_Toc6883"/>
      <w:bookmarkStart w:id="1611" w:name="_Toc2426"/>
      <w:bookmarkStart w:id="1612" w:name="_Toc24603"/>
      <w:r>
        <w:rPr>
          <w:rFonts w:hint="eastAsia" w:cs="仿宋_GB2312"/>
          <w:bCs/>
          <w:color w:val="000000" w:themeColor="text1"/>
          <w14:textFill>
            <w14:solidFill>
              <w14:schemeClr w14:val="tx1"/>
            </w14:solidFill>
          </w14:textFill>
        </w:rPr>
        <w:t>第一百三十八条 发生病原微生物被盗、被抢、丢失、泄露，承运单位、护送人、保藏机构和实验室的设立单位未依照本条例规定报告的</w:t>
      </w:r>
      <w:bookmarkEnd w:id="1602"/>
      <w:bookmarkEnd w:id="1603"/>
      <w:bookmarkEnd w:id="1604"/>
      <w:bookmarkEnd w:id="1605"/>
      <w:bookmarkEnd w:id="1606"/>
      <w:bookmarkEnd w:id="1607"/>
      <w:bookmarkEnd w:id="1608"/>
      <w:bookmarkEnd w:id="1609"/>
      <w:bookmarkEnd w:id="1610"/>
      <w:bookmarkEnd w:id="1611"/>
      <w:bookmarkEnd w:id="1612"/>
    </w:p>
    <w:p w14:paraId="44348BD9">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13708F3A">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《病原微生物实验室生物安全管理条例》第六十七条</w:t>
      </w: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　</w:t>
      </w:r>
      <w:r>
        <w:rPr>
          <w:rFonts w:hint="eastAsia" w:ascii="Times New Roman" w:hAnsi="Times New Roman" w:eastAsia="仿宋_GB2312" w:cs="Times New Roman"/>
          <w:color w:val="000000" w:themeColor="text1"/>
          <w:sz w:val="32"/>
          <w:szCs w:val="32"/>
          <w14:textFill>
            <w14:solidFill>
              <w14:schemeClr w14:val="tx1"/>
            </w14:solidFill>
          </w14:textFill>
        </w:rPr>
        <w:t>发生病原微生物被盗、被抢、丢失、泄漏，承运单位、护送人、保藏机构和实验室的设立单位未依照本条例的规定报告的，由所在地的县级人民政府卫生主管部门或者兽医主管部门给予警告；造成传染病传播、流行或者其他严重后果的，由实验室的设立单位或者承运单位、保藏机构的上级主管部门对主要负责人、直接负责的主管人员和其他直接责任人员，依法给予撤职、开除的处分；构成犯罪的，依法追究刑事责任。</w:t>
      </w:r>
    </w:p>
    <w:p w14:paraId="31244F8D">
      <w:pPr>
        <w:widowControl w:val="0"/>
        <w:shd w:val="clear" w:color="auto" w:fill="FFFFFF"/>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《可感染人类的高致病性病原微生物菌（毒）种或样本运输管理规定》</w:t>
      </w:r>
      <w:r>
        <w:rPr>
          <w:rFonts w:hint="eastAsia" w:ascii="Times New Roman" w:hAnsi="Times New Roman" w:eastAsia="仿宋_GB2312" w:cs="Times New Roman"/>
          <w:color w:val="000000" w:themeColor="text1"/>
          <w:sz w:val="32"/>
          <w:szCs w:val="32"/>
          <w:lang w:bidi="ar"/>
          <w14:textFill>
            <w14:solidFill>
              <w14:schemeClr w14:val="tx1"/>
            </w14:solidFill>
          </w14:textFill>
        </w:rPr>
        <w:t>第十七条　对于违反本规定的行为，依照《病原微生物实验室生物安全管理条例》第六十二条、六十七条的有关规定予以处罚。</w:t>
      </w:r>
    </w:p>
    <w:p w14:paraId="4B7A2BED">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7617"/>
        <w:gridCol w:w="4351"/>
      </w:tblGrid>
      <w:tr w14:paraId="18DF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922" w:type="dxa"/>
            <w:vAlign w:val="center"/>
          </w:tcPr>
          <w:p w14:paraId="34B9189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617" w:type="dxa"/>
            <w:vAlign w:val="center"/>
          </w:tcPr>
          <w:p w14:paraId="52C5B6C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4351" w:type="dxa"/>
            <w:vAlign w:val="center"/>
          </w:tcPr>
          <w:p w14:paraId="4116C299">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3BA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22" w:type="dxa"/>
            <w:vAlign w:val="center"/>
          </w:tcPr>
          <w:p w14:paraId="4F864735">
            <w:pPr>
              <w:widowControl w:val="0"/>
              <w:spacing w:after="0" w:line="280" w:lineRule="exact"/>
              <w:jc w:val="center"/>
              <w:rPr>
                <w:rFonts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617" w:type="dxa"/>
            <w:vAlign w:val="center"/>
          </w:tcPr>
          <w:p w14:paraId="5A5FC7AB">
            <w:pPr>
              <w:widowControl w:val="0"/>
              <w:numPr>
                <w:ilvl w:val="0"/>
                <w:numId w:val="0"/>
              </w:numPr>
              <w:spacing w:after="0" w:line="320" w:lineRule="exact"/>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发生病原微生物被盗、被抢、丢失、泄漏，承运单位、护送人、保藏机构和实验室的设立单位未依照本条例的规定报告的。</w:t>
            </w:r>
          </w:p>
        </w:tc>
        <w:tc>
          <w:tcPr>
            <w:tcW w:w="4351" w:type="dxa"/>
            <w:vAlign w:val="center"/>
          </w:tcPr>
          <w:p w14:paraId="42DB5D82">
            <w:pPr>
              <w:widowControl w:val="0"/>
              <w:numPr>
                <w:ilvl w:val="0"/>
                <w:numId w:val="0"/>
              </w:numPr>
              <w:spacing w:after="0" w:line="320" w:lineRule="exact"/>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bl>
    <w:p w14:paraId="65989790">
      <w:pPr>
        <w:pStyle w:val="4"/>
        <w:widowControl w:val="0"/>
        <w:spacing w:line="460" w:lineRule="exact"/>
        <w:ind w:firstLine="640"/>
        <w:jc w:val="both"/>
        <w:rPr>
          <w:rFonts w:hint="eastAsia" w:cs="仿宋_GB2312"/>
          <w:b/>
          <w:bCs/>
          <w:color w:val="000000" w:themeColor="text1"/>
          <w14:textFill>
            <w14:solidFill>
              <w14:schemeClr w14:val="tx1"/>
            </w14:solidFill>
          </w14:textFill>
        </w:rPr>
      </w:pPr>
      <w:bookmarkStart w:id="1613" w:name="_Toc1338"/>
      <w:bookmarkStart w:id="1614" w:name="_Toc19967"/>
      <w:bookmarkStart w:id="1615" w:name="_Toc8961"/>
      <w:bookmarkStart w:id="1616" w:name="_Toc19743"/>
      <w:bookmarkStart w:id="1617" w:name="_Toc32054"/>
      <w:bookmarkStart w:id="1618" w:name="_Toc13203"/>
      <w:bookmarkStart w:id="1619" w:name="_Toc20214"/>
      <w:bookmarkStart w:id="1620" w:name="_Toc14759"/>
      <w:bookmarkStart w:id="1621" w:name="_Toc21153"/>
      <w:bookmarkStart w:id="1622" w:name="_Toc29200"/>
      <w:bookmarkStart w:id="1623" w:name="_Toc29773"/>
      <w:r>
        <w:rPr>
          <w:rFonts w:hint="eastAsia" w:cs="仿宋_GB2312"/>
          <w:bCs/>
          <w:color w:val="000000" w:themeColor="text1"/>
          <w14:textFill>
            <w14:solidFill>
              <w14:schemeClr w14:val="tx1"/>
            </w14:solidFill>
          </w14:textFill>
        </w:rPr>
        <w:t>第一百三十九条 保藏机构未依照规定储存实验室送交的菌（毒）种和样本，或者未依照规定提供菌（毒）种和样本的</w:t>
      </w:r>
      <w:bookmarkEnd w:id="1613"/>
      <w:bookmarkEnd w:id="1614"/>
      <w:bookmarkEnd w:id="1615"/>
      <w:bookmarkEnd w:id="1616"/>
      <w:bookmarkEnd w:id="1617"/>
      <w:bookmarkEnd w:id="1618"/>
      <w:bookmarkEnd w:id="1619"/>
      <w:bookmarkEnd w:id="1620"/>
      <w:bookmarkEnd w:id="1621"/>
      <w:bookmarkEnd w:id="1622"/>
      <w:bookmarkEnd w:id="1623"/>
      <w:r>
        <w:rPr>
          <w:rFonts w:hint="eastAsia" w:cs="仿宋_GB2312"/>
          <w:bCs/>
          <w:color w:val="000000" w:themeColor="text1"/>
          <w:lang w:eastAsia="zh-CN"/>
          <w14:textFill>
            <w14:solidFill>
              <w14:schemeClr w14:val="tx1"/>
            </w14:solidFill>
          </w14:textFill>
        </w:rPr>
        <w:t xml:space="preserve"> </w:t>
      </w:r>
    </w:p>
    <w:p w14:paraId="7E31F879">
      <w:pPr>
        <w:widowControl w:val="0"/>
        <w:shd w:val="clear" w:color="auto" w:fill="FFFFFF"/>
        <w:spacing w:after="0" w:line="4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970CE4E">
      <w:pPr>
        <w:widowControl w:val="0"/>
        <w:shd w:val="clear" w:color="auto" w:fill="FFFFFF"/>
        <w:spacing w:after="0" w:line="4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《病原微生物实验室生物安全管理条例》第六十八条　保藏机构未依照规定储存实验室送交的菌（毒）种和样本，或者未依照规定提供菌（毒）种和样本的，由其指定部门责令限期改正，收回违法提供的菌（毒）种和样本，并给予警告；造成传染病传播、流行或者其他严重后果的，由其所在单位或者其上级主管部门对主要负责人、直接负责的主管人员和其他直接责任人员，依法给予撤职、开除的处分；构成犯罪的，依法追究刑事责任。</w:t>
      </w:r>
    </w:p>
    <w:p w14:paraId="2D8D3DE9">
      <w:pPr>
        <w:widowControl w:val="0"/>
        <w:spacing w:after="0" w:line="4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《人间传染的病原微生物菌(毒)种保藏机构管理办法》第三十二条　保藏机构未依照规定储存实验室送交的菌（毒）种和样本，或者未依照规定提供菌（毒）种和样本的，按照</w:t>
      </w:r>
      <w:r>
        <w:rPr>
          <w:rFonts w:ascii="Times New Roman" w:hAnsi="Times New Roman"/>
        </w:rPr>
        <w:fldChar w:fldCharType="begin"/>
      </w:r>
      <w:r>
        <w:rPr>
          <w:rFonts w:ascii="Times New Roman" w:hAnsi="Times New Roman"/>
        </w:rPr>
        <w:instrText xml:space="preserve"> HYPERLINK "https://www.pkulaw.com/chl/efa9492b64bb6d86bdfb.html?way=textSlc" </w:instrText>
      </w:r>
      <w:r>
        <w:rPr>
          <w:rFonts w:ascii="Times New Roman" w:hAnsi="Times New Roman"/>
        </w:rPr>
        <w:fldChar w:fldCharType="separate"/>
      </w:r>
      <w:r>
        <w:rPr>
          <w:rFonts w:hint="eastAsia" w:ascii="Times New Roman" w:hAnsi="Times New Roman" w:eastAsia="仿宋_GB2312" w:cs="Times New Roman"/>
          <w:color w:val="000000" w:themeColor="text1"/>
          <w:sz w:val="32"/>
          <w:szCs w:val="32"/>
          <w14:textFill>
            <w14:solidFill>
              <w14:schemeClr w14:val="tx1"/>
            </w14:solidFill>
          </w14:textFill>
        </w:rPr>
        <w:t>《条例》</w:t>
      </w:r>
      <w:r>
        <w:rPr>
          <w:rFonts w:hint="eastAsia" w:ascii="Times New Roman" w:hAnsi="Times New Roman" w:eastAsia="仿宋_GB2312" w:cs="Times New Roman"/>
          <w:color w:val="000000" w:themeColor="text1"/>
          <w:sz w:val="32"/>
          <w:szCs w:val="32"/>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14:textFill>
            <w14:solidFill>
              <w14:schemeClr w14:val="tx1"/>
            </w14:solidFill>
          </w14:textFill>
        </w:rPr>
        <w:t>第</w:t>
      </w:r>
      <w:r>
        <w:rPr>
          <w:rFonts w:ascii="Times New Roman" w:hAnsi="Times New Roman"/>
        </w:rPr>
        <w:fldChar w:fldCharType="begin"/>
      </w:r>
      <w:r>
        <w:rPr>
          <w:rFonts w:ascii="Times New Roman" w:hAnsi="Times New Roman"/>
        </w:rPr>
        <w:instrText xml:space="preserve"> HYPERLINK "https://www.pkulaw.com/chl/efa9492b64bb6d86bdfb.html?way=textSlc" \l "tiao_68" </w:instrText>
      </w:r>
      <w:r>
        <w:rPr>
          <w:rFonts w:ascii="Times New Roman" w:hAnsi="Times New Roman"/>
        </w:rPr>
        <w:fldChar w:fldCharType="separate"/>
      </w:r>
      <w:r>
        <w:rPr>
          <w:rFonts w:hint="eastAsia" w:ascii="Times New Roman" w:hAnsi="Times New Roman" w:eastAsia="仿宋_GB2312" w:cs="Times New Roman"/>
          <w:color w:val="000000" w:themeColor="text1"/>
          <w:sz w:val="32"/>
          <w:szCs w:val="32"/>
          <w14:textFill>
            <w14:solidFill>
              <w14:schemeClr w14:val="tx1"/>
            </w14:solidFill>
          </w14:textFill>
        </w:rPr>
        <w:t>六十八条</w:t>
      </w:r>
      <w:r>
        <w:rPr>
          <w:rFonts w:hint="eastAsia" w:ascii="Times New Roman" w:hAnsi="Times New Roman" w:eastAsia="仿宋_GB2312" w:cs="Times New Roman"/>
          <w:color w:val="000000" w:themeColor="text1"/>
          <w:sz w:val="32"/>
          <w:szCs w:val="32"/>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14:textFill>
            <w14:solidFill>
              <w14:schemeClr w14:val="tx1"/>
            </w14:solidFill>
          </w14:textFill>
        </w:rPr>
        <w:t>规定，由卫生部责令限期改正，收回违法提供的菌（毒）种和样本，并给予警告；造成传染病传播、流行或者其他严重后果的，由其所在单位或者其上级主管部门对主要负责人、直接负责的主管人员和其他直接责任人员，依法予以处理；构成犯罪的，依法追究刑事责任。</w:t>
      </w:r>
    </w:p>
    <w:p w14:paraId="76759120">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21" w:type="dxa"/>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7864"/>
        <w:gridCol w:w="3900"/>
      </w:tblGrid>
      <w:tr w14:paraId="02EA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57" w:type="dxa"/>
            <w:vAlign w:val="center"/>
          </w:tcPr>
          <w:p w14:paraId="3C1C8EE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64" w:type="dxa"/>
            <w:vAlign w:val="center"/>
          </w:tcPr>
          <w:p w14:paraId="0F7FEC42">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00" w:type="dxa"/>
            <w:vAlign w:val="center"/>
          </w:tcPr>
          <w:p w14:paraId="3091FA87">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19E7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057" w:type="dxa"/>
            <w:vAlign w:val="center"/>
          </w:tcPr>
          <w:p w14:paraId="60BAABEA">
            <w:pPr>
              <w:widowControl w:val="0"/>
              <w:spacing w:after="0" w:line="280" w:lineRule="exact"/>
              <w:jc w:val="center"/>
              <w:rPr>
                <w:rFonts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64" w:type="dxa"/>
            <w:vAlign w:val="center"/>
          </w:tcPr>
          <w:p w14:paraId="64ACE86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保藏机构未依照规定储存实验室送交的菌（毒）种和样本，或者未依照规定提供菌（毒）种和样本的。</w:t>
            </w:r>
          </w:p>
        </w:tc>
        <w:tc>
          <w:tcPr>
            <w:tcW w:w="3900" w:type="dxa"/>
            <w:vAlign w:val="center"/>
          </w:tcPr>
          <w:p w14:paraId="25842869">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收回违法提供的菌（毒）种和样本，并给予警告。</w:t>
            </w:r>
          </w:p>
        </w:tc>
      </w:tr>
    </w:tbl>
    <w:p w14:paraId="7E5DDD3A">
      <w:pPr>
        <w:pStyle w:val="3"/>
        <w:keepNext w:val="0"/>
        <w:keepLines w:val="0"/>
        <w:widowControl w:val="0"/>
        <w:spacing w:before="0" w:line="440" w:lineRule="exact"/>
        <w:ind w:firstLine="643" w:firstLineChars="200"/>
        <w:rPr>
          <w:rFonts w:ascii="Times New Roman" w:hAnsi="Times New Roman" w:eastAsia="楷体_GB2312"/>
          <w:color w:val="000000" w:themeColor="text1"/>
          <w14:textFill>
            <w14:solidFill>
              <w14:schemeClr w14:val="tx1"/>
            </w14:solidFill>
          </w14:textFill>
        </w:rPr>
      </w:pPr>
      <w:bookmarkStart w:id="1624" w:name="_Toc24002"/>
      <w:bookmarkStart w:id="1625" w:name="_Toc23814"/>
      <w:bookmarkStart w:id="1626" w:name="_Toc18634"/>
      <w:bookmarkStart w:id="1627" w:name="_Toc3896"/>
      <w:bookmarkStart w:id="1628" w:name="_Toc25894"/>
      <w:bookmarkStart w:id="1629" w:name="_Toc16620"/>
      <w:bookmarkStart w:id="1630" w:name="_Toc23494"/>
      <w:bookmarkStart w:id="1631" w:name="_Toc30564"/>
      <w:bookmarkStart w:id="1632" w:name="_Toc29431"/>
      <w:bookmarkStart w:id="1633" w:name="_Toc31692"/>
      <w:bookmarkStart w:id="1634" w:name="_Toc9601"/>
      <w:bookmarkStart w:id="1635" w:name="_Toc26741"/>
      <w:bookmarkStart w:id="1636" w:name="_Toc25524"/>
      <w:r>
        <w:rPr>
          <w:rFonts w:hint="eastAsia" w:ascii="Times New Roman" w:hAnsi="Times New Roman" w:eastAsia="楷体_GB2312"/>
          <w:color w:val="000000" w:themeColor="text1"/>
          <w14:textFill>
            <w14:solidFill>
              <w14:schemeClr w14:val="tx1"/>
            </w14:solidFill>
          </w14:textFill>
        </w:rPr>
        <w:t>（十三）《性病防治管理办法》</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4FFD995C">
      <w:pPr>
        <w:pStyle w:val="4"/>
        <w:widowControl w:val="0"/>
        <w:ind w:firstLine="640"/>
        <w:jc w:val="both"/>
        <w:rPr>
          <w:rFonts w:hint="eastAsia" w:cs="仿宋_GB2312"/>
          <w:bCs/>
          <w:color w:val="000000" w:themeColor="text1"/>
          <w14:textFill>
            <w14:solidFill>
              <w14:schemeClr w14:val="tx1"/>
            </w14:solidFill>
          </w14:textFill>
        </w:rPr>
      </w:pPr>
      <w:bookmarkStart w:id="1637" w:name="_Toc23289"/>
      <w:bookmarkStart w:id="1638" w:name="_Toc505"/>
      <w:bookmarkStart w:id="1639" w:name="_Toc7575"/>
      <w:bookmarkStart w:id="1640" w:name="_Toc31446"/>
      <w:bookmarkStart w:id="1641" w:name="_Toc28510"/>
      <w:bookmarkStart w:id="1642" w:name="_Toc6616"/>
      <w:bookmarkStart w:id="1643" w:name="_Toc13406"/>
      <w:bookmarkStart w:id="1644" w:name="_Toc17371"/>
      <w:bookmarkStart w:id="1645" w:name="_Toc5512"/>
      <w:bookmarkStart w:id="1646" w:name="_Toc7284"/>
      <w:bookmarkStart w:id="1647" w:name="_Toc1785"/>
      <w:r>
        <w:rPr>
          <w:rFonts w:hint="eastAsia" w:cs="仿宋_GB2312"/>
          <w:bCs/>
          <w:color w:val="000000" w:themeColor="text1"/>
          <w14:textFill>
            <w14:solidFill>
              <w14:schemeClr w14:val="tx1"/>
            </w14:solidFill>
          </w14:textFill>
        </w:rPr>
        <w:t>第一百四十条 医疗机构提供性病诊疗服务时违反诊疗规范的</w:t>
      </w:r>
      <w:bookmarkEnd w:id="1637"/>
      <w:bookmarkEnd w:id="1638"/>
      <w:bookmarkEnd w:id="1639"/>
      <w:bookmarkEnd w:id="1640"/>
      <w:bookmarkEnd w:id="1641"/>
      <w:bookmarkEnd w:id="1642"/>
      <w:bookmarkEnd w:id="1643"/>
      <w:bookmarkEnd w:id="1644"/>
      <w:bookmarkEnd w:id="1645"/>
      <w:bookmarkEnd w:id="1646"/>
      <w:bookmarkEnd w:id="1647"/>
    </w:p>
    <w:p w14:paraId="6113BE8E">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133A5A7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《性病防治管理办法》第四十九条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医疗机构提供性病诊疗服务时违反诊疗规范的，由县级以上卫生行政部门责令限期改正，给予警告；逾期不改的，可以根据情节轻重处以三万元以下罚款。</w:t>
      </w:r>
    </w:p>
    <w:tbl>
      <w:tblPr>
        <w:tblStyle w:val="24"/>
        <w:tblW w:w="13843" w:type="dxa"/>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7843"/>
        <w:gridCol w:w="3922"/>
      </w:tblGrid>
      <w:tr w14:paraId="1ACA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78" w:type="dxa"/>
            <w:vAlign w:val="center"/>
          </w:tcPr>
          <w:p w14:paraId="634856A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3" w:type="dxa"/>
            <w:vAlign w:val="center"/>
          </w:tcPr>
          <w:p w14:paraId="338F0A5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22" w:type="dxa"/>
            <w:vAlign w:val="center"/>
          </w:tcPr>
          <w:p w14:paraId="1998C2FA">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7708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78" w:type="dxa"/>
            <w:vAlign w:val="center"/>
          </w:tcPr>
          <w:p w14:paraId="0E49A6FA">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较轻</w:t>
            </w:r>
          </w:p>
        </w:tc>
        <w:tc>
          <w:tcPr>
            <w:tcW w:w="7843" w:type="dxa"/>
            <w:vAlign w:val="center"/>
          </w:tcPr>
          <w:p w14:paraId="6A7F135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首次发现违法行为，危害后果轻微并且及时改正的。</w:t>
            </w:r>
          </w:p>
        </w:tc>
        <w:tc>
          <w:tcPr>
            <w:tcW w:w="3922" w:type="dxa"/>
            <w:vAlign w:val="center"/>
          </w:tcPr>
          <w:p w14:paraId="7341D792">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77E4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78" w:type="dxa"/>
            <w:vAlign w:val="center"/>
          </w:tcPr>
          <w:p w14:paraId="54722A65">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43" w:type="dxa"/>
            <w:vAlign w:val="center"/>
          </w:tcPr>
          <w:p w14:paraId="58DB89A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责令限期改正后，逾期不改的。</w:t>
            </w:r>
          </w:p>
        </w:tc>
        <w:tc>
          <w:tcPr>
            <w:tcW w:w="3922" w:type="dxa"/>
            <w:vAlign w:val="center"/>
          </w:tcPr>
          <w:p w14:paraId="5E420BFE">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警告，并处一万五千元以下罚款。</w:t>
            </w:r>
          </w:p>
        </w:tc>
      </w:tr>
      <w:tr w14:paraId="00EF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78" w:type="dxa"/>
            <w:vAlign w:val="center"/>
          </w:tcPr>
          <w:p w14:paraId="69DC4216">
            <w:pPr>
              <w:widowControl w:val="0"/>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7843" w:type="dxa"/>
            <w:vAlign w:val="center"/>
          </w:tcPr>
          <w:p w14:paraId="609263B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造成患者病情加重、感染其他疾病等严重后果的。</w:t>
            </w:r>
          </w:p>
        </w:tc>
        <w:tc>
          <w:tcPr>
            <w:tcW w:w="3922" w:type="dxa"/>
            <w:vAlign w:val="center"/>
          </w:tcPr>
          <w:p w14:paraId="630E779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警告，并处一万五千元以上三万元以下罚款。</w:t>
            </w:r>
          </w:p>
        </w:tc>
      </w:tr>
    </w:tbl>
    <w:p w14:paraId="67CABA89">
      <w:pPr>
        <w:pStyle w:val="3"/>
        <w:keepNext w:val="0"/>
        <w:keepLines w:val="0"/>
        <w:widowControl w:val="0"/>
        <w:spacing w:before="0" w:after="0" w:line="440" w:lineRule="exact"/>
        <w:ind w:firstLine="643"/>
        <w:jc w:val="both"/>
        <w:rPr>
          <w:rFonts w:ascii="Times New Roman" w:hAnsi="Times New Roman" w:eastAsia="楷体_GB2312" w:cs="Times New Roman"/>
          <w:color w:val="000000" w:themeColor="text1"/>
          <w:kern w:val="2"/>
          <w14:textFill>
            <w14:solidFill>
              <w14:schemeClr w14:val="tx1"/>
            </w14:solidFill>
          </w14:textFill>
        </w:rPr>
      </w:pPr>
      <w:bookmarkStart w:id="1648" w:name="_Toc3080"/>
      <w:bookmarkStart w:id="1649" w:name="_Toc9451"/>
      <w:bookmarkStart w:id="1650" w:name="_Toc30060"/>
      <w:bookmarkStart w:id="1651" w:name="_Toc17675"/>
      <w:bookmarkStart w:id="1652" w:name="_Toc24172"/>
      <w:bookmarkStart w:id="1653" w:name="_Toc895"/>
      <w:bookmarkStart w:id="1654" w:name="_Toc22644"/>
      <w:bookmarkStart w:id="1655" w:name="_Toc10768"/>
      <w:bookmarkStart w:id="1656" w:name="_Toc30155"/>
      <w:bookmarkStart w:id="1657" w:name="_Toc6206"/>
      <w:bookmarkStart w:id="1658" w:name="_Toc32585"/>
      <w:bookmarkStart w:id="1659" w:name="_Toc8570"/>
      <w:bookmarkStart w:id="1660" w:name="_Toc9463"/>
      <w:r>
        <w:rPr>
          <w:rFonts w:hint="eastAsia" w:ascii="Times New Roman" w:hAnsi="Times New Roman" w:eastAsia="楷体_GB2312" w:cs="Times New Roman"/>
          <w:color w:val="000000" w:themeColor="text1"/>
          <w:kern w:val="2"/>
          <w14:textFill>
            <w14:solidFill>
              <w14:schemeClr w14:val="tx1"/>
            </w14:solidFill>
          </w14:textFill>
        </w:rPr>
        <w:t>（十四）《结核病防治管理办法》</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34B9A75C">
      <w:pPr>
        <w:pStyle w:val="4"/>
        <w:widowControl w:val="0"/>
        <w:ind w:firstLine="640"/>
        <w:jc w:val="both"/>
        <w:rPr>
          <w:rFonts w:hint="eastAsia" w:cs="仿宋_GB2312"/>
          <w:bCs/>
          <w:color w:val="000000" w:themeColor="text1"/>
          <w14:textFill>
            <w14:solidFill>
              <w14:schemeClr w14:val="tx1"/>
            </w14:solidFill>
          </w14:textFill>
        </w:rPr>
      </w:pPr>
      <w:bookmarkStart w:id="1661" w:name="_Toc9473"/>
      <w:bookmarkStart w:id="1662" w:name="_Toc17964"/>
      <w:bookmarkStart w:id="1663" w:name="_Toc27674"/>
      <w:bookmarkStart w:id="1664" w:name="_Toc3484"/>
      <w:bookmarkStart w:id="1665" w:name="_Toc30448"/>
      <w:bookmarkStart w:id="1666" w:name="_Toc16038"/>
      <w:bookmarkStart w:id="1667" w:name="_Toc32060"/>
      <w:bookmarkStart w:id="1668" w:name="_Toc1660"/>
      <w:bookmarkStart w:id="1669" w:name="_Toc21174"/>
      <w:bookmarkStart w:id="1670" w:name="_Toc31000"/>
      <w:bookmarkStart w:id="1671" w:name="_Toc6717"/>
      <w:r>
        <w:rPr>
          <w:rFonts w:hint="eastAsia" w:cs="仿宋_GB2312"/>
          <w:bCs/>
          <w:color w:val="000000" w:themeColor="text1"/>
          <w14:textFill>
            <w14:solidFill>
              <w14:schemeClr w14:val="tx1"/>
            </w14:solidFill>
          </w14:textFill>
        </w:rPr>
        <w:t>第一百四十一条 疾病预防控制机构未依法履行肺结核疫情监测、报告职责，或者隐瞒、谎报、缓报肺结核疫情的</w:t>
      </w:r>
      <w:bookmarkEnd w:id="1661"/>
      <w:bookmarkEnd w:id="1662"/>
      <w:bookmarkEnd w:id="1663"/>
      <w:bookmarkEnd w:id="1664"/>
      <w:bookmarkEnd w:id="1665"/>
      <w:bookmarkEnd w:id="1666"/>
      <w:bookmarkEnd w:id="1667"/>
      <w:bookmarkEnd w:id="1668"/>
      <w:bookmarkEnd w:id="1669"/>
      <w:bookmarkEnd w:id="1670"/>
      <w:bookmarkEnd w:id="1671"/>
    </w:p>
    <w:p w14:paraId="0395C33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D29314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《结核病防治管理办法》第三十五条第（一）项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疾病预防控制机构违反本办法规定，有下列情形之一的，由县级以上卫生行政部门责令限期改正，通报批评，给予警告；对负有责任的主管人员和其他直接责任人员，依法给予处分；构成犯罪的，依法追究刑事责任：</w:t>
      </w:r>
    </w:p>
    <w:p w14:paraId="35D2F879">
      <w:pPr>
        <w:widowControl w:val="0"/>
        <w:spacing w:after="0" w:line="440" w:lineRule="exact"/>
        <w:ind w:firstLine="640" w:firstLineChars="200"/>
        <w:rPr>
          <w:rFonts w:ascii="Times New Roman" w:hAnsi="Times New Roman" w:eastAsia="浠垮畫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（一）未依法履行肺结核疫情监测、报告职责，或者隐瞒、谎报、缓报肺结核疫情的</w:t>
      </w:r>
      <w:r>
        <w:rPr>
          <w:rFonts w:ascii="Times New Roman" w:hAnsi="Times New Roman" w:eastAsia="仿宋_GB2312" w:cs="Times New Roman"/>
          <w:color w:val="000000" w:themeColor="text1"/>
          <w:sz w:val="32"/>
          <w:szCs w:val="32"/>
          <w14:textFill>
            <w14:solidFill>
              <w14:schemeClr w14:val="tx1"/>
            </w14:solidFill>
          </w14:textFill>
        </w:rPr>
        <w:t>;</w:t>
      </w:r>
    </w:p>
    <w:p w14:paraId="5CA82B3B">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7841"/>
        <w:gridCol w:w="3927"/>
      </w:tblGrid>
      <w:tr w14:paraId="5462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62" w:type="dxa"/>
            <w:vAlign w:val="center"/>
          </w:tcPr>
          <w:p w14:paraId="168B68B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1" w:type="dxa"/>
            <w:vAlign w:val="center"/>
          </w:tcPr>
          <w:p w14:paraId="1A92DCD7">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27" w:type="dxa"/>
            <w:vAlign w:val="center"/>
          </w:tcPr>
          <w:p w14:paraId="3D3E0D0B">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281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62" w:type="dxa"/>
            <w:vAlign w:val="center"/>
          </w:tcPr>
          <w:p w14:paraId="493169CC">
            <w:pPr>
              <w:widowControl w:val="0"/>
              <w:spacing w:after="0" w:line="28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41" w:type="dxa"/>
            <w:vAlign w:val="center"/>
          </w:tcPr>
          <w:p w14:paraId="52C9EAAC">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未依法履行肺结核疫情监测、报告职责，或者隐瞒、谎报、缓报肺结核疫情的。</w:t>
            </w:r>
          </w:p>
        </w:tc>
        <w:tc>
          <w:tcPr>
            <w:tcW w:w="3927" w:type="dxa"/>
            <w:vAlign w:val="center"/>
          </w:tcPr>
          <w:p w14:paraId="5B5E7BC1">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32C5C7C8">
      <w:pPr>
        <w:pStyle w:val="4"/>
        <w:widowControl w:val="0"/>
        <w:ind w:firstLine="640"/>
        <w:rPr>
          <w:b w:val="0"/>
          <w:bCs/>
          <w:color w:val="000000" w:themeColor="text1"/>
          <w14:textFill>
            <w14:solidFill>
              <w14:schemeClr w14:val="tx1"/>
            </w14:solidFill>
          </w14:textFill>
        </w:rPr>
      </w:pPr>
      <w:bookmarkStart w:id="1672" w:name="_Toc15016"/>
      <w:bookmarkStart w:id="1673" w:name="_Toc1180"/>
      <w:bookmarkStart w:id="1674" w:name="_Toc6181"/>
      <w:bookmarkStart w:id="1675" w:name="_Toc31945"/>
      <w:bookmarkStart w:id="1676" w:name="_Toc29466"/>
      <w:bookmarkStart w:id="1677" w:name="_Toc30219"/>
      <w:bookmarkStart w:id="1678" w:name="_Toc30166"/>
      <w:bookmarkStart w:id="1679" w:name="_Toc2928"/>
      <w:bookmarkStart w:id="1680" w:name="_Toc5771"/>
      <w:bookmarkStart w:id="1681" w:name="_Toc21332"/>
      <w:bookmarkStart w:id="1682" w:name="_Toc27744"/>
      <w:r>
        <w:rPr>
          <w:rFonts w:hint="eastAsia"/>
          <w:color w:val="000000" w:themeColor="text1"/>
          <w14:textFill>
            <w14:solidFill>
              <w14:schemeClr w14:val="tx1"/>
            </w14:solidFill>
          </w14:textFill>
        </w:rPr>
        <w:t xml:space="preserve">第一百四十二条 </w:t>
      </w:r>
      <w:r>
        <w:rPr>
          <w:rFonts w:hint="eastAsia"/>
          <w:bCs/>
          <w:color w:val="000000" w:themeColor="text1"/>
          <w14:textFill>
            <w14:solidFill>
              <w14:schemeClr w14:val="tx1"/>
            </w14:solidFill>
          </w14:textFill>
        </w:rPr>
        <w:t>疾病预防控制机构发现肺结核疫情时，未依据职责及时采取措施的</w:t>
      </w:r>
      <w:bookmarkEnd w:id="1672"/>
      <w:bookmarkEnd w:id="1673"/>
      <w:bookmarkEnd w:id="1674"/>
      <w:bookmarkEnd w:id="1675"/>
      <w:bookmarkEnd w:id="1676"/>
      <w:bookmarkEnd w:id="1677"/>
      <w:bookmarkEnd w:id="1678"/>
      <w:bookmarkEnd w:id="1679"/>
      <w:bookmarkEnd w:id="1680"/>
      <w:bookmarkEnd w:id="1681"/>
      <w:bookmarkEnd w:id="1682"/>
    </w:p>
    <w:p w14:paraId="150DCC5B">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42EF46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《结核病防治管理办法》第三十五条第（二）项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疾病预防控制机构违反本办法规定，有下列情形之一的，由县级以上卫生行政部门责令限期改正，通报批评，给予警告；对负有责任的主管人员和其他直接责任人员，依法给予处分；构成犯罪的，依法追究刑事责任：</w:t>
      </w:r>
    </w:p>
    <w:p w14:paraId="340BD1D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（二）发现肺结核疫情时，未依据职责及时采取措施的</w:t>
      </w:r>
      <w:r>
        <w:rPr>
          <w:rFonts w:ascii="Times New Roman" w:hAnsi="Times New Roman" w:eastAsia="仿宋_GB2312" w:cs="Times New Roman"/>
          <w:color w:val="000000" w:themeColor="text1"/>
          <w:sz w:val="32"/>
          <w:szCs w:val="32"/>
          <w14:textFill>
            <w14:solidFill>
              <w14:schemeClr w14:val="tx1"/>
            </w14:solidFill>
          </w14:textFill>
        </w:rPr>
        <w:t>;</w:t>
      </w:r>
    </w:p>
    <w:p w14:paraId="4398ECF8">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7841"/>
        <w:gridCol w:w="3927"/>
      </w:tblGrid>
      <w:tr w14:paraId="20F9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062" w:type="dxa"/>
            <w:vAlign w:val="center"/>
          </w:tcPr>
          <w:p w14:paraId="54258CC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1" w:type="dxa"/>
            <w:vAlign w:val="center"/>
          </w:tcPr>
          <w:p w14:paraId="25856A1B">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27" w:type="dxa"/>
            <w:vAlign w:val="center"/>
          </w:tcPr>
          <w:p w14:paraId="72D6E93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D84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62" w:type="dxa"/>
            <w:vAlign w:val="center"/>
          </w:tcPr>
          <w:p w14:paraId="62C79CEE">
            <w:pPr>
              <w:widowControl w:val="0"/>
              <w:spacing w:after="0" w:line="28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41" w:type="dxa"/>
            <w:shd w:val="clear" w:color="auto" w:fill="auto"/>
            <w:vAlign w:val="center"/>
          </w:tcPr>
          <w:p w14:paraId="406A652F">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发现肺结核疫情时，未依据职责及时采取措施的。</w:t>
            </w:r>
          </w:p>
        </w:tc>
        <w:tc>
          <w:tcPr>
            <w:tcW w:w="3927" w:type="dxa"/>
            <w:vAlign w:val="center"/>
          </w:tcPr>
          <w:p w14:paraId="72E1C38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6A932AE2">
      <w:pPr>
        <w:pStyle w:val="4"/>
        <w:widowControl w:val="0"/>
        <w:spacing w:line="470" w:lineRule="exact"/>
        <w:ind w:firstLine="640"/>
        <w:jc w:val="both"/>
        <w:rPr>
          <w:rFonts w:hint="eastAsia" w:cs="仿宋_GB2312"/>
          <w:b/>
          <w:bCs/>
          <w:color w:val="000000" w:themeColor="text1"/>
          <w14:textFill>
            <w14:solidFill>
              <w14:schemeClr w14:val="tx1"/>
            </w14:solidFill>
          </w14:textFill>
        </w:rPr>
      </w:pPr>
      <w:bookmarkStart w:id="1683" w:name="_Toc2296"/>
      <w:bookmarkStart w:id="1684" w:name="_Toc17709"/>
      <w:bookmarkStart w:id="1685" w:name="_Toc16159"/>
      <w:bookmarkStart w:id="1686" w:name="_Toc29024"/>
      <w:bookmarkStart w:id="1687" w:name="_Toc2729"/>
      <w:bookmarkStart w:id="1688" w:name="_Toc7524"/>
      <w:bookmarkStart w:id="1689" w:name="_Toc21961"/>
      <w:bookmarkStart w:id="1690" w:name="_Toc28089"/>
      <w:bookmarkStart w:id="1691" w:name="_Toc20512"/>
      <w:bookmarkStart w:id="1692" w:name="_Toc3471"/>
      <w:bookmarkStart w:id="1693" w:name="_Toc10388"/>
      <w:r>
        <w:rPr>
          <w:rFonts w:hint="eastAsia" w:cs="仿宋_GB2312"/>
          <w:bCs/>
          <w:color w:val="000000" w:themeColor="text1"/>
          <w14:textFill>
            <w14:solidFill>
              <w14:schemeClr w14:val="tx1"/>
            </w14:solidFill>
          </w14:textFill>
        </w:rPr>
        <w:t>第一百四十三条 疾病预防控制机构故意泄露涉及肺结核患者、疑似肺结核患者、密切接触者个人隐私的有关信息、资料</w:t>
      </w:r>
      <w:bookmarkEnd w:id="1683"/>
      <w:bookmarkEnd w:id="1684"/>
      <w:bookmarkEnd w:id="1685"/>
      <w:bookmarkEnd w:id="1686"/>
      <w:bookmarkEnd w:id="1687"/>
      <w:bookmarkEnd w:id="1688"/>
      <w:bookmarkEnd w:id="1689"/>
      <w:bookmarkEnd w:id="1690"/>
      <w:bookmarkEnd w:id="1691"/>
      <w:bookmarkEnd w:id="1692"/>
      <w:bookmarkEnd w:id="1693"/>
    </w:p>
    <w:p w14:paraId="270D06B8">
      <w:pPr>
        <w:widowControl w:val="0"/>
        <w:spacing w:after="0" w:line="4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5C96BC72">
      <w:pPr>
        <w:widowControl w:val="0"/>
        <w:autoSpaceDE/>
        <w:autoSpaceDN/>
        <w:spacing w:after="0" w:line="4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《结核病防治管理办法》第三十五条第（三）项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病预防控制机构违反本办法规定，有下列情形之一的，由县级以上卫生行政部门责令限期改正，通报批评，给予警告；对负有责任的主管人员和其他直接责任人员，依法给予处分；构成犯罪的，依法追究刑事责任：</w:t>
      </w:r>
    </w:p>
    <w:p w14:paraId="233642D8">
      <w:pPr>
        <w:widowControl w:val="0"/>
        <w:autoSpaceDE/>
        <w:autoSpaceDN/>
        <w:spacing w:after="0" w:line="4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（三）故意泄露涉及肺结核患者、疑似肺结核患者、密切接触者个人隐私的有关信息、资料的；</w:t>
      </w:r>
    </w:p>
    <w:p w14:paraId="54F18D23">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7841"/>
        <w:gridCol w:w="3927"/>
      </w:tblGrid>
      <w:tr w14:paraId="3C4D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62" w:type="dxa"/>
            <w:vAlign w:val="center"/>
          </w:tcPr>
          <w:p w14:paraId="10C027D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1" w:type="dxa"/>
            <w:vAlign w:val="center"/>
          </w:tcPr>
          <w:p w14:paraId="2D611E21">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27" w:type="dxa"/>
            <w:vAlign w:val="center"/>
          </w:tcPr>
          <w:p w14:paraId="6C3C510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27B5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62" w:type="dxa"/>
            <w:vAlign w:val="center"/>
          </w:tcPr>
          <w:p w14:paraId="60E27097">
            <w:pPr>
              <w:widowControl w:val="0"/>
              <w:spacing w:after="0" w:line="28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41" w:type="dxa"/>
            <w:vAlign w:val="center"/>
          </w:tcPr>
          <w:p w14:paraId="5DF51FFA">
            <w:pPr>
              <w:widowControl w:val="0"/>
              <w:numPr>
                <w:ilvl w:val="0"/>
                <w:numId w:val="0"/>
              </w:numPr>
              <w:autoSpaceDE/>
              <w:autoSpaceDN/>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故意泄露涉及肺结核患者、疑似肺结核患者、密切接触者个人隐私的有关信息、资料的。</w:t>
            </w:r>
          </w:p>
        </w:tc>
        <w:tc>
          <w:tcPr>
            <w:tcW w:w="3927" w:type="dxa"/>
            <w:vAlign w:val="center"/>
          </w:tcPr>
          <w:p w14:paraId="39A39A59">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29133F39">
      <w:pPr>
        <w:pStyle w:val="4"/>
        <w:widowControl w:val="0"/>
        <w:spacing w:line="470" w:lineRule="exact"/>
        <w:ind w:firstLine="640"/>
        <w:jc w:val="both"/>
        <w:rPr>
          <w:rFonts w:hint="eastAsia" w:cs="仿宋_GB2312"/>
          <w:b/>
          <w:bCs/>
          <w:color w:val="000000" w:themeColor="text1"/>
          <w14:textFill>
            <w14:solidFill>
              <w14:schemeClr w14:val="tx1"/>
            </w14:solidFill>
          </w14:textFill>
        </w:rPr>
      </w:pPr>
      <w:bookmarkStart w:id="1694" w:name="_Toc18120"/>
      <w:bookmarkStart w:id="1695" w:name="_Toc7907"/>
      <w:bookmarkStart w:id="1696" w:name="_Toc8644"/>
      <w:bookmarkStart w:id="1697" w:name="_Toc28994"/>
      <w:bookmarkStart w:id="1698" w:name="_Toc12062"/>
      <w:bookmarkStart w:id="1699" w:name="_Toc18057"/>
      <w:bookmarkStart w:id="1700" w:name="_Toc12414"/>
      <w:bookmarkStart w:id="1701" w:name="_Toc21476"/>
      <w:bookmarkStart w:id="1702" w:name="_Toc9438"/>
      <w:bookmarkStart w:id="1703" w:name="_Toc7493"/>
      <w:bookmarkStart w:id="1704" w:name="_Toc29410"/>
      <w:r>
        <w:rPr>
          <w:rFonts w:hint="eastAsia" w:cs="仿宋_GB2312"/>
          <w:bCs/>
          <w:color w:val="000000" w:themeColor="text1"/>
          <w14:textFill>
            <w14:solidFill>
              <w14:schemeClr w14:val="tx1"/>
            </w14:solidFill>
          </w14:textFill>
        </w:rPr>
        <w:t>第一百四十四条 疾病预防控制机构未履行对辖区实验室质量控制、培训等防治职责的</w:t>
      </w:r>
      <w:bookmarkEnd w:id="1694"/>
      <w:bookmarkEnd w:id="1695"/>
      <w:bookmarkEnd w:id="1696"/>
      <w:bookmarkEnd w:id="1697"/>
      <w:bookmarkEnd w:id="1698"/>
      <w:bookmarkEnd w:id="1699"/>
      <w:bookmarkEnd w:id="1700"/>
      <w:bookmarkEnd w:id="1701"/>
      <w:bookmarkEnd w:id="1702"/>
      <w:bookmarkEnd w:id="1703"/>
      <w:bookmarkEnd w:id="1704"/>
    </w:p>
    <w:p w14:paraId="48E5404D">
      <w:pPr>
        <w:widowControl w:val="0"/>
        <w:spacing w:after="0" w:line="4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029967BA">
      <w:pPr>
        <w:widowControl w:val="0"/>
        <w:autoSpaceDE/>
        <w:autoSpaceDN/>
        <w:spacing w:after="0" w:line="4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《结核病防治管理办法》第三十五条第（四）项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病预防控制机构违反本办法规定，有下列情形之一的，由县级以上卫生行政部门责令限期改正，通报批评，给予警告；对负有责任的主管人员和其他直接责任人员，依法给予处分；构成犯罪的，依法追究刑事责任：</w:t>
      </w:r>
    </w:p>
    <w:p w14:paraId="6A2A76B7">
      <w:pPr>
        <w:widowControl w:val="0"/>
        <w:autoSpaceDE/>
        <w:autoSpaceDN/>
        <w:spacing w:after="0" w:line="4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（四）未履行对辖区实验室质量控制、培训等防治职责的。</w:t>
      </w:r>
    </w:p>
    <w:p w14:paraId="00C4558D">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7841"/>
        <w:gridCol w:w="3927"/>
      </w:tblGrid>
      <w:tr w14:paraId="0FED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62" w:type="dxa"/>
            <w:vAlign w:val="center"/>
          </w:tcPr>
          <w:p w14:paraId="22A3E4C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1" w:type="dxa"/>
            <w:vAlign w:val="center"/>
          </w:tcPr>
          <w:p w14:paraId="0C0C3BD6">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27" w:type="dxa"/>
            <w:vAlign w:val="center"/>
          </w:tcPr>
          <w:p w14:paraId="19AD1255">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6C11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62" w:type="dxa"/>
            <w:vAlign w:val="center"/>
          </w:tcPr>
          <w:p w14:paraId="63DF258A">
            <w:pPr>
              <w:widowControl w:val="0"/>
              <w:spacing w:after="0" w:line="28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41" w:type="dxa"/>
            <w:vAlign w:val="center"/>
          </w:tcPr>
          <w:p w14:paraId="56420DA9">
            <w:pPr>
              <w:widowControl w:val="0"/>
              <w:numPr>
                <w:ilvl w:val="0"/>
                <w:numId w:val="0"/>
              </w:numPr>
              <w:autoSpaceDE/>
              <w:autoSpaceDN/>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履行对辖区实验室质量控制、培训等防治职责的。</w:t>
            </w:r>
          </w:p>
        </w:tc>
        <w:tc>
          <w:tcPr>
            <w:tcW w:w="3927" w:type="dxa"/>
            <w:vAlign w:val="center"/>
          </w:tcPr>
          <w:p w14:paraId="78DBC590">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3D8943F6">
      <w:pPr>
        <w:pStyle w:val="4"/>
        <w:widowControl w:val="0"/>
        <w:ind w:firstLine="640"/>
        <w:jc w:val="both"/>
        <w:rPr>
          <w:rFonts w:hint="eastAsia" w:cs="仿宋_GB2312"/>
          <w:bCs/>
          <w:color w:val="000000" w:themeColor="text1"/>
          <w14:textFill>
            <w14:solidFill>
              <w14:schemeClr w14:val="tx1"/>
            </w14:solidFill>
          </w14:textFill>
        </w:rPr>
      </w:pPr>
      <w:bookmarkStart w:id="1705" w:name="_Toc1155"/>
      <w:bookmarkStart w:id="1706" w:name="_Toc1284"/>
      <w:bookmarkStart w:id="1707" w:name="_Toc25222"/>
      <w:bookmarkStart w:id="1708" w:name="_Toc10290"/>
      <w:bookmarkStart w:id="1709" w:name="_Toc14112"/>
      <w:bookmarkStart w:id="1710" w:name="_Toc24308"/>
      <w:bookmarkStart w:id="1711" w:name="_Toc9564"/>
      <w:bookmarkStart w:id="1712" w:name="_Toc20478"/>
      <w:bookmarkStart w:id="1713" w:name="_Toc30631"/>
      <w:bookmarkStart w:id="1714" w:name="_Toc7479"/>
      <w:bookmarkStart w:id="1715" w:name="_Toc9368"/>
      <w:r>
        <w:rPr>
          <w:rFonts w:hint="eastAsia" w:cs="仿宋_GB2312"/>
          <w:bCs/>
          <w:color w:val="000000" w:themeColor="text1"/>
          <w14:textFill>
            <w14:solidFill>
              <w14:schemeClr w14:val="tx1"/>
            </w14:solidFill>
          </w14:textFill>
        </w:rPr>
        <w:t>第一百四十五条 未按照规定报告肺结核疫情，或者隐瞒、谎报、缓报肺结核疫情的</w:t>
      </w:r>
      <w:bookmarkEnd w:id="1705"/>
      <w:bookmarkEnd w:id="1706"/>
      <w:bookmarkEnd w:id="1707"/>
      <w:bookmarkEnd w:id="1708"/>
      <w:bookmarkEnd w:id="1709"/>
      <w:bookmarkEnd w:id="1710"/>
      <w:bookmarkEnd w:id="1711"/>
      <w:bookmarkEnd w:id="1712"/>
      <w:bookmarkEnd w:id="1713"/>
      <w:bookmarkEnd w:id="1714"/>
      <w:bookmarkEnd w:id="1715"/>
    </w:p>
    <w:p w14:paraId="3C24CF2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7F4F52C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《结核病防治管理办法》第三十六条第（一）项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14:paraId="1F761F4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（一）未按照规定报告肺结核疫情，或者隐瞒、谎报、缓报肺结核疫情的；</w:t>
      </w:r>
    </w:p>
    <w:p w14:paraId="614F8E2C">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7841"/>
        <w:gridCol w:w="3927"/>
      </w:tblGrid>
      <w:tr w14:paraId="2E00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62" w:type="dxa"/>
            <w:vAlign w:val="center"/>
          </w:tcPr>
          <w:p w14:paraId="5C953311">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1" w:type="dxa"/>
            <w:vAlign w:val="center"/>
          </w:tcPr>
          <w:p w14:paraId="7DA6F65A">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27" w:type="dxa"/>
            <w:vAlign w:val="center"/>
          </w:tcPr>
          <w:p w14:paraId="04B10858">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0FC4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62" w:type="dxa"/>
            <w:vAlign w:val="center"/>
          </w:tcPr>
          <w:p w14:paraId="338C8F3A">
            <w:pPr>
              <w:widowControl w:val="0"/>
              <w:spacing w:after="0" w:line="28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41" w:type="dxa"/>
            <w:shd w:val="clear" w:color="auto" w:fill="auto"/>
            <w:vAlign w:val="center"/>
          </w:tcPr>
          <w:p w14:paraId="3D50923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未按照规定报告肺结核疫情，或者隐瞒、谎报、缓报肺结核疫情的。</w:t>
            </w:r>
          </w:p>
        </w:tc>
        <w:tc>
          <w:tcPr>
            <w:tcW w:w="3927" w:type="dxa"/>
            <w:vAlign w:val="center"/>
          </w:tcPr>
          <w:p w14:paraId="3D6EF20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661F3AD2">
      <w:pPr>
        <w:pStyle w:val="4"/>
        <w:widowControl w:val="0"/>
        <w:ind w:firstLine="640"/>
        <w:jc w:val="both"/>
        <w:rPr>
          <w:rFonts w:hint="eastAsia" w:cs="仿宋_GB2312"/>
          <w:bCs/>
          <w:color w:val="000000" w:themeColor="text1"/>
          <w14:textFill>
            <w14:solidFill>
              <w14:schemeClr w14:val="tx1"/>
            </w14:solidFill>
          </w14:textFill>
        </w:rPr>
      </w:pPr>
      <w:bookmarkStart w:id="1716" w:name="_Toc1336"/>
      <w:bookmarkStart w:id="1717" w:name="_Toc7464"/>
      <w:bookmarkStart w:id="1718" w:name="_Toc14651"/>
      <w:bookmarkStart w:id="1719" w:name="_Toc1784"/>
      <w:bookmarkStart w:id="1720" w:name="_Toc7545"/>
      <w:bookmarkStart w:id="1721" w:name="_Toc2805"/>
      <w:bookmarkStart w:id="1722" w:name="_Toc30316"/>
      <w:bookmarkStart w:id="1723" w:name="_Toc20915"/>
      <w:bookmarkStart w:id="1724" w:name="_Toc14678"/>
      <w:bookmarkStart w:id="1725" w:name="_Toc5470"/>
      <w:bookmarkStart w:id="1726" w:name="_Toc24375"/>
      <w:r>
        <w:rPr>
          <w:rFonts w:hint="eastAsia" w:cs="仿宋_GB2312"/>
          <w:bCs/>
          <w:color w:val="000000" w:themeColor="text1"/>
          <w14:textFill>
            <w14:solidFill>
              <w14:schemeClr w14:val="tx1"/>
            </w14:solidFill>
          </w14:textFill>
        </w:rPr>
        <w:t>第一百四十六条 非结核病定点医疗机构发现确诊或者疑似肺结核患者，未按照规定进行转诊的</w:t>
      </w:r>
      <w:bookmarkEnd w:id="1716"/>
      <w:bookmarkEnd w:id="1717"/>
      <w:bookmarkEnd w:id="1718"/>
      <w:bookmarkEnd w:id="1719"/>
      <w:bookmarkEnd w:id="1720"/>
      <w:bookmarkEnd w:id="1721"/>
      <w:bookmarkEnd w:id="1722"/>
      <w:bookmarkEnd w:id="1723"/>
      <w:bookmarkEnd w:id="1724"/>
      <w:bookmarkEnd w:id="1725"/>
      <w:bookmarkEnd w:id="1726"/>
    </w:p>
    <w:p w14:paraId="30CED573">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7C22117">
      <w:pPr>
        <w:widowControl w:val="0"/>
        <w:spacing w:after="0" w:line="44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《结核病防治管理办法》第三十六条第（二）项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14:paraId="490BF187">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（二）非结核病定点医疗机构发现确诊或者疑似肺结核患者，未按照规定进行转诊的；</w:t>
      </w:r>
    </w:p>
    <w:p w14:paraId="1B52295E">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7841"/>
        <w:gridCol w:w="3927"/>
      </w:tblGrid>
      <w:tr w14:paraId="0FF6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62" w:type="dxa"/>
            <w:vAlign w:val="center"/>
          </w:tcPr>
          <w:p w14:paraId="15F40B5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1" w:type="dxa"/>
            <w:vAlign w:val="center"/>
          </w:tcPr>
          <w:p w14:paraId="37ACD72E">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27" w:type="dxa"/>
            <w:vAlign w:val="center"/>
          </w:tcPr>
          <w:p w14:paraId="6635409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59B7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62" w:type="dxa"/>
            <w:vAlign w:val="center"/>
          </w:tcPr>
          <w:p w14:paraId="03AF3DAA">
            <w:pPr>
              <w:widowControl w:val="0"/>
              <w:spacing w:after="0" w:line="28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41" w:type="dxa"/>
            <w:vAlign w:val="center"/>
          </w:tcPr>
          <w:p w14:paraId="694B8491">
            <w:pPr>
              <w:widowControl w:val="0"/>
              <w:numPr>
                <w:ilvl w:val="0"/>
                <w:numId w:val="0"/>
              </w:numPr>
              <w:autoSpaceDE/>
              <w:autoSpaceDN/>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非结核病定点医疗机构发现确诊或者疑似肺结核患者，未按照规定进行转诊的。</w:t>
            </w:r>
          </w:p>
        </w:tc>
        <w:tc>
          <w:tcPr>
            <w:tcW w:w="3927" w:type="dxa"/>
            <w:vAlign w:val="center"/>
          </w:tcPr>
          <w:p w14:paraId="168AB3A8">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5A8675B2">
      <w:pPr>
        <w:pStyle w:val="4"/>
        <w:widowControl w:val="0"/>
        <w:ind w:firstLine="640"/>
        <w:jc w:val="both"/>
        <w:rPr>
          <w:rFonts w:hint="eastAsia" w:cs="仿宋_GB2312"/>
          <w:bCs/>
          <w:color w:val="000000" w:themeColor="text1"/>
          <w14:textFill>
            <w14:solidFill>
              <w14:schemeClr w14:val="tx1"/>
            </w14:solidFill>
          </w14:textFill>
        </w:rPr>
      </w:pPr>
      <w:bookmarkStart w:id="1727" w:name="_Toc12359"/>
      <w:bookmarkStart w:id="1728" w:name="_Toc24943"/>
      <w:bookmarkStart w:id="1729" w:name="_Toc12154"/>
      <w:bookmarkStart w:id="1730" w:name="_Toc11810"/>
      <w:bookmarkStart w:id="1731" w:name="_Toc13127"/>
      <w:bookmarkStart w:id="1732" w:name="_Toc21717"/>
      <w:bookmarkStart w:id="1733" w:name="_Toc8631"/>
      <w:bookmarkStart w:id="1734" w:name="_Toc8620"/>
      <w:bookmarkStart w:id="1735" w:name="_Toc23181"/>
      <w:bookmarkStart w:id="1736" w:name="_Toc22039"/>
      <w:bookmarkStart w:id="1737" w:name="_Toc26447"/>
      <w:r>
        <w:rPr>
          <w:rFonts w:hint="eastAsia" w:cs="仿宋_GB2312"/>
          <w:bCs/>
          <w:color w:val="000000" w:themeColor="text1"/>
          <w14:textFill>
            <w14:solidFill>
              <w14:schemeClr w14:val="tx1"/>
            </w14:solidFill>
          </w14:textFill>
        </w:rPr>
        <w:t>第一百四十七条 结核病定点医疗机构未按照规定对肺结核患者或者疑似肺结核患者诊断治疗的，或者拒绝接诊的</w:t>
      </w:r>
      <w:bookmarkEnd w:id="1727"/>
      <w:bookmarkEnd w:id="1728"/>
      <w:bookmarkEnd w:id="1729"/>
      <w:bookmarkEnd w:id="1730"/>
      <w:bookmarkEnd w:id="1731"/>
      <w:bookmarkEnd w:id="1732"/>
      <w:bookmarkEnd w:id="1733"/>
      <w:bookmarkEnd w:id="1734"/>
      <w:bookmarkEnd w:id="1735"/>
      <w:bookmarkEnd w:id="1736"/>
      <w:bookmarkEnd w:id="1737"/>
    </w:p>
    <w:p w14:paraId="269A20D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2F72C0E4">
      <w:pPr>
        <w:widowControl w:val="0"/>
        <w:autoSpaceDE w:val="0"/>
        <w:autoSpaceDN w:val="0"/>
        <w:spacing w:after="0" w:line="44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《结核病防治管理办法》第三十六条第（三）项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14:paraId="05E219BF">
      <w:pPr>
        <w:widowControl w:val="0"/>
        <w:autoSpaceDE w:val="0"/>
        <w:autoSpaceDN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（三）结核病定点医疗机构未按照规定对肺结核患者或者疑似肺结核患者诊断治疗的，或拒绝接诊。</w:t>
      </w:r>
    </w:p>
    <w:p w14:paraId="0102FFAB">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7841"/>
        <w:gridCol w:w="3927"/>
      </w:tblGrid>
      <w:tr w14:paraId="6AC5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62" w:type="dxa"/>
            <w:vAlign w:val="center"/>
          </w:tcPr>
          <w:p w14:paraId="5D8883E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1" w:type="dxa"/>
            <w:vAlign w:val="center"/>
          </w:tcPr>
          <w:p w14:paraId="09A2DEAC">
            <w:pPr>
              <w:spacing w:after="0" w:line="240" w:lineRule="auto"/>
              <w:ind w:firstLine="0" w:firstLineChars="0"/>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情节后果</w:t>
            </w:r>
          </w:p>
        </w:tc>
        <w:tc>
          <w:tcPr>
            <w:tcW w:w="3927" w:type="dxa"/>
            <w:vAlign w:val="center"/>
          </w:tcPr>
          <w:p w14:paraId="373A1206">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4EBF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62" w:type="dxa"/>
            <w:vAlign w:val="center"/>
          </w:tcPr>
          <w:p w14:paraId="071E8659">
            <w:pPr>
              <w:widowControl w:val="0"/>
              <w:spacing w:after="0" w:line="28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7841" w:type="dxa"/>
            <w:shd w:val="clear" w:color="auto" w:fill="auto"/>
            <w:vAlign w:val="center"/>
          </w:tcPr>
          <w:p w14:paraId="187E2E09">
            <w:pPr>
              <w:widowControl w:val="0"/>
              <w:numPr>
                <w:ilvl w:val="0"/>
                <w:numId w:val="0"/>
              </w:numPr>
              <w:autoSpaceDE/>
              <w:autoSpaceDN/>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结核病定点医疗机构未按照规定对肺结核患者或者疑似肺结核患者诊断治疗的，或拒绝接诊的。</w:t>
            </w:r>
          </w:p>
        </w:tc>
        <w:tc>
          <w:tcPr>
            <w:tcW w:w="3927" w:type="dxa"/>
            <w:vAlign w:val="center"/>
          </w:tcPr>
          <w:p w14:paraId="3E4D1654">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776BA3A1">
      <w:pPr>
        <w:pStyle w:val="4"/>
        <w:widowControl w:val="0"/>
        <w:ind w:firstLine="640"/>
        <w:jc w:val="both"/>
        <w:rPr>
          <w:rFonts w:hint="eastAsia" w:cs="仿宋_GB2312"/>
          <w:b/>
          <w:bCs/>
          <w:color w:val="000000" w:themeColor="text1"/>
          <w14:textFill>
            <w14:solidFill>
              <w14:schemeClr w14:val="tx1"/>
            </w14:solidFill>
          </w14:textFill>
        </w:rPr>
      </w:pPr>
      <w:bookmarkStart w:id="1738" w:name="_Toc10217"/>
      <w:bookmarkStart w:id="1739" w:name="_Toc25871"/>
      <w:bookmarkStart w:id="1740" w:name="_Toc15549"/>
      <w:bookmarkStart w:id="1741" w:name="_Toc1131"/>
      <w:bookmarkStart w:id="1742" w:name="_Toc2932"/>
      <w:bookmarkStart w:id="1743" w:name="_Toc8572"/>
      <w:bookmarkStart w:id="1744" w:name="_Toc32451"/>
      <w:bookmarkStart w:id="1745" w:name="_Toc23427"/>
      <w:bookmarkStart w:id="1746" w:name="_Toc25872"/>
      <w:bookmarkStart w:id="1747" w:name="_Toc16075"/>
      <w:bookmarkStart w:id="1748" w:name="_Toc19401"/>
      <w:r>
        <w:rPr>
          <w:rFonts w:hint="eastAsia" w:cs="仿宋_GB2312"/>
          <w:bCs/>
          <w:color w:val="000000" w:themeColor="text1"/>
          <w14:textFill>
            <w14:solidFill>
              <w14:schemeClr w14:val="tx1"/>
            </w14:solidFill>
          </w14:textFill>
        </w:rPr>
        <w:t>第一百四十八条 医疗机构未按照有关规定严格执行隔离消毒制度，对结核菌污染的痰液、污物和污水未进行卫生处理的</w:t>
      </w:r>
      <w:bookmarkEnd w:id="1738"/>
      <w:bookmarkEnd w:id="1739"/>
      <w:bookmarkEnd w:id="1740"/>
      <w:bookmarkEnd w:id="1741"/>
      <w:bookmarkEnd w:id="1742"/>
      <w:bookmarkEnd w:id="1743"/>
      <w:bookmarkEnd w:id="1744"/>
      <w:bookmarkEnd w:id="1745"/>
      <w:bookmarkEnd w:id="1746"/>
      <w:bookmarkEnd w:id="1747"/>
      <w:bookmarkEnd w:id="1748"/>
    </w:p>
    <w:p w14:paraId="67414389">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3A999B9A">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《结核病防治管理办法》第三十六条第（四）项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14:paraId="05A2316F">
      <w:pPr>
        <w:widowControl w:val="0"/>
        <w:spacing w:after="0" w:line="44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（四）未按照有关规定严格执行隔离消毒制度，对结核菌污染的痰液、污物和污水未进行卫生处理。</w:t>
      </w:r>
    </w:p>
    <w:p w14:paraId="7FAE419D">
      <w:pPr>
        <w:widowControl w:val="0"/>
        <w:spacing w:after="0" w:line="440" w:lineRule="exact"/>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裁量标准</w:t>
      </w:r>
    </w:p>
    <w:tbl>
      <w:tblPr>
        <w:tblStyle w:val="24"/>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7841"/>
        <w:gridCol w:w="3927"/>
      </w:tblGrid>
      <w:tr w14:paraId="6B0C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62" w:type="dxa"/>
            <w:vAlign w:val="center"/>
          </w:tcPr>
          <w:p w14:paraId="513FFD34">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违法程度</w:t>
            </w:r>
          </w:p>
        </w:tc>
        <w:tc>
          <w:tcPr>
            <w:tcW w:w="7841" w:type="dxa"/>
            <w:vAlign w:val="center"/>
          </w:tcPr>
          <w:p w14:paraId="493D6EE2">
            <w:pPr>
              <w:spacing w:after="0" w:line="240" w:lineRule="auto"/>
              <w:jc w:val="center"/>
              <w:rPr>
                <w:rFonts w:hint="eastAsia" w:ascii="Times New Roman" w:hAnsi="Times New Roman" w:eastAsia="微软雅黑" w:cs="微软雅黑"/>
                <w:b/>
                <w:bCs/>
                <w:color w:val="000000" w:themeColor="text1"/>
                <w:sz w:val="28"/>
                <w:szCs w:val="28"/>
                <w14:textFill>
                  <w14:solidFill>
                    <w14:schemeClr w14:val="tx1"/>
                  </w14:solidFill>
                </w14:textFill>
              </w:rPr>
            </w:pPr>
            <w:r>
              <w:rPr>
                <w:rFonts w:hint="eastAsia" w:ascii="Times New Roman" w:hAnsi="Times New Roman" w:eastAsia="微软雅黑" w:cs="微软雅黑"/>
                <w:b/>
                <w:bCs/>
                <w:color w:val="000000" w:themeColor="text1"/>
                <w:sz w:val="28"/>
                <w:szCs w:val="28"/>
                <w14:textFill>
                  <w14:solidFill>
                    <w14:schemeClr w14:val="tx1"/>
                  </w14:solidFill>
                </w14:textFill>
              </w:rPr>
              <w:t>情节后果</w:t>
            </w:r>
          </w:p>
        </w:tc>
        <w:tc>
          <w:tcPr>
            <w:tcW w:w="3927" w:type="dxa"/>
            <w:vAlign w:val="center"/>
          </w:tcPr>
          <w:p w14:paraId="0975FC3F">
            <w:pPr>
              <w:spacing w:after="0" w:line="240" w:lineRule="auto"/>
              <w:jc w:val="center"/>
              <w:rPr>
                <w:rFonts w:hint="eastAsia" w:ascii="Times New Roman" w:hAnsi="Times New Roman" w:cs="微软雅黑"/>
                <w:b/>
                <w:bCs/>
                <w:color w:val="000000" w:themeColor="text1"/>
                <w:sz w:val="28"/>
                <w:szCs w:val="28"/>
                <w14:textFill>
                  <w14:solidFill>
                    <w14:schemeClr w14:val="tx1"/>
                  </w14:solidFill>
                </w14:textFill>
              </w:rPr>
            </w:pPr>
            <w:r>
              <w:rPr>
                <w:rFonts w:hint="eastAsia" w:ascii="Times New Roman" w:hAnsi="Times New Roman" w:cs="微软雅黑"/>
                <w:b/>
                <w:bCs/>
                <w:color w:val="000000" w:themeColor="text1"/>
                <w:sz w:val="28"/>
                <w:szCs w:val="28"/>
                <w14:textFill>
                  <w14:solidFill>
                    <w14:schemeClr w14:val="tx1"/>
                  </w14:solidFill>
                </w14:textFill>
              </w:rPr>
              <w:t>裁量幅度</w:t>
            </w:r>
          </w:p>
        </w:tc>
      </w:tr>
      <w:tr w14:paraId="1550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62" w:type="dxa"/>
            <w:vAlign w:val="center"/>
          </w:tcPr>
          <w:p w14:paraId="376D049F">
            <w:pPr>
              <w:widowControl w:val="0"/>
              <w:spacing w:after="0" w:line="440" w:lineRule="exact"/>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一般</w:t>
            </w:r>
          </w:p>
        </w:tc>
        <w:tc>
          <w:tcPr>
            <w:tcW w:w="7841" w:type="dxa"/>
            <w:vAlign w:val="center"/>
          </w:tcPr>
          <w:p w14:paraId="06FCB8F7">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未按照有关规定严格执行隔离消毒制度，对结核菌污染的痰液、污物和污水未进行卫生处理的。</w:t>
            </w:r>
          </w:p>
        </w:tc>
        <w:tc>
          <w:tcPr>
            <w:tcW w:w="3927" w:type="dxa"/>
            <w:vAlign w:val="center"/>
          </w:tcPr>
          <w:p w14:paraId="017A178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3850F455">
      <w:pPr>
        <w:pStyle w:val="4"/>
        <w:widowControl w:val="0"/>
        <w:ind w:firstLine="640"/>
        <w:jc w:val="both"/>
        <w:rPr>
          <w:rFonts w:hint="eastAsia" w:cs="仿宋_GB2312"/>
          <w:bCs/>
          <w:color w:val="000000" w:themeColor="text1"/>
          <w14:textFill>
            <w14:solidFill>
              <w14:schemeClr w14:val="tx1"/>
            </w14:solidFill>
          </w14:textFill>
        </w:rPr>
      </w:pPr>
      <w:bookmarkStart w:id="1749" w:name="_Toc22454"/>
      <w:bookmarkStart w:id="1750" w:name="_Toc4768"/>
      <w:bookmarkStart w:id="1751" w:name="_Toc17414"/>
      <w:bookmarkStart w:id="1752" w:name="_Toc11616"/>
      <w:bookmarkStart w:id="1753" w:name="_Toc19830"/>
      <w:bookmarkStart w:id="1754" w:name="_Toc18181"/>
      <w:bookmarkStart w:id="1755" w:name="_Toc26413"/>
      <w:bookmarkStart w:id="1756" w:name="_Toc11749"/>
      <w:bookmarkStart w:id="1757" w:name="_Toc912"/>
      <w:bookmarkStart w:id="1758" w:name="_Toc30269"/>
      <w:bookmarkStart w:id="1759" w:name="_Toc2705"/>
      <w:r>
        <w:rPr>
          <w:rFonts w:hint="eastAsia" w:cs="仿宋_GB2312"/>
          <w:bCs/>
          <w:color w:val="000000" w:themeColor="text1"/>
          <w14:textFill>
            <w14:solidFill>
              <w14:schemeClr w14:val="tx1"/>
            </w14:solidFill>
          </w14:textFill>
        </w:rPr>
        <w:t>第一百四十九条 医疗机构故意泄露涉及肺结核患者、疑似肺结核患者、密切接触者个人隐私的有关信息和资料的</w:t>
      </w:r>
      <w:bookmarkEnd w:id="1749"/>
      <w:bookmarkEnd w:id="1750"/>
      <w:bookmarkEnd w:id="1751"/>
      <w:bookmarkEnd w:id="1752"/>
      <w:bookmarkEnd w:id="1753"/>
      <w:bookmarkEnd w:id="1754"/>
      <w:bookmarkEnd w:id="1755"/>
      <w:bookmarkEnd w:id="1756"/>
      <w:bookmarkEnd w:id="1757"/>
      <w:bookmarkEnd w:id="1758"/>
      <w:bookmarkEnd w:id="1759"/>
    </w:p>
    <w:p w14:paraId="1CB4EA22">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6DC43B3">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《结核病防治管理办法》第三十六条</w:t>
      </w:r>
      <w:r>
        <w:rPr>
          <w:rFonts w:hint="eastAsia" w:ascii="Times New Roman" w:hAnsi="Times New Roman" w:eastAsia="仿宋_GB2312" w:cs="Times New Roman"/>
          <w:color w:val="000000" w:themeColor="text1"/>
          <w:sz w:val="32"/>
          <w:szCs w:val="32"/>
          <w14:textFill>
            <w14:solidFill>
              <w14:schemeClr w14:val="tx1"/>
            </w14:solidFill>
          </w14:textFill>
        </w:rPr>
        <w:t>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办法规定，有下列情形之一的，由县级以上卫生行政部门责令改正，通报批评，给予警告；造成肺结核传播、流行或者其他严重后果的，对负有责任的主管人员和其他直接责任人员，依法给予处分；构成犯罪的，依法追究刑事责任：</w:t>
      </w:r>
    </w:p>
    <w:p w14:paraId="0D4D1741">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（五）故意泄露涉及肺结核患者、疑似肺结核患者、密切接触者个人隐私的有关信息和资料。</w:t>
      </w:r>
    </w:p>
    <w:p w14:paraId="3682C2F8">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8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9287"/>
        <w:gridCol w:w="2888"/>
      </w:tblGrid>
      <w:tr w14:paraId="7D01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94" w:type="dxa"/>
            <w:vAlign w:val="center"/>
          </w:tcPr>
          <w:p w14:paraId="1FC8F305">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9287" w:type="dxa"/>
            <w:vAlign w:val="center"/>
          </w:tcPr>
          <w:p w14:paraId="63D2BC89">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2888" w:type="dxa"/>
            <w:vAlign w:val="center"/>
          </w:tcPr>
          <w:p w14:paraId="2441D07F">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20D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94" w:type="dxa"/>
            <w:vAlign w:val="center"/>
          </w:tcPr>
          <w:p w14:paraId="47C2A013">
            <w:pPr>
              <w:widowControl w:val="0"/>
              <w:spacing w:after="0" w:line="280" w:lineRule="exact"/>
              <w:jc w:val="center"/>
              <w:textAlignment w:val="auto"/>
              <w:rPr>
                <w:rStyle w:val="56"/>
                <w:rFonts w:hint="default" w:ascii="Times New Roman" w:hAnsi="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9287" w:type="dxa"/>
            <w:vAlign w:val="center"/>
          </w:tcPr>
          <w:p w14:paraId="053F8466">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故意泄露涉及肺结核患者、疑似肺结核患者、密切接触者个人隐私的有关信息和资料的。</w:t>
            </w:r>
          </w:p>
        </w:tc>
        <w:tc>
          <w:tcPr>
            <w:tcW w:w="2888" w:type="dxa"/>
            <w:vAlign w:val="center"/>
          </w:tcPr>
          <w:p w14:paraId="3E5F7247">
            <w:pPr>
              <w:widowControl w:val="0"/>
              <w:numPr>
                <w:ilvl w:val="0"/>
                <w:numId w:val="0"/>
              </w:numPr>
              <w:spacing w:after="0" w:line="320" w:lineRule="exac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bl>
    <w:p w14:paraId="6456E97A">
      <w:pPr>
        <w:pStyle w:val="4"/>
        <w:widowControl w:val="0"/>
        <w:ind w:firstLine="640"/>
        <w:rPr>
          <w:color w:val="000000" w:themeColor="text1"/>
          <w14:textFill>
            <w14:solidFill>
              <w14:schemeClr w14:val="tx1"/>
            </w14:solidFill>
          </w14:textFill>
        </w:rPr>
      </w:pPr>
      <w:bookmarkStart w:id="1760" w:name="_Toc10213"/>
      <w:bookmarkStart w:id="1761" w:name="_Toc10281"/>
      <w:bookmarkStart w:id="1762" w:name="_Toc26831"/>
      <w:bookmarkStart w:id="1763" w:name="_Toc32590"/>
      <w:bookmarkStart w:id="1764" w:name="_Toc421"/>
      <w:bookmarkStart w:id="1765" w:name="_Toc4240"/>
      <w:bookmarkStart w:id="1766" w:name="_Toc866"/>
      <w:bookmarkStart w:id="1767" w:name="_Toc30516"/>
      <w:bookmarkStart w:id="1768" w:name="_Toc31763"/>
      <w:bookmarkStart w:id="1769" w:name="_Toc11342"/>
      <w:bookmarkStart w:id="1770" w:name="_Toc770"/>
      <w:r>
        <w:rPr>
          <w:rFonts w:hint="eastAsia" w:cs="仿宋_GB2312"/>
          <w:bCs/>
          <w:color w:val="000000" w:themeColor="text1"/>
          <w14:textFill>
            <w14:solidFill>
              <w14:schemeClr w14:val="tx1"/>
            </w14:solidFill>
          </w14:textFill>
        </w:rPr>
        <w:t>第一百五十条 基层医疗卫生机构未履行对辖区内肺结核患者居家治疗期间的督导管理职责的</w:t>
      </w:r>
      <w:bookmarkEnd w:id="1760"/>
      <w:bookmarkEnd w:id="1761"/>
      <w:bookmarkEnd w:id="1762"/>
      <w:bookmarkEnd w:id="1763"/>
      <w:bookmarkEnd w:id="1764"/>
      <w:bookmarkEnd w:id="1765"/>
      <w:bookmarkEnd w:id="1766"/>
      <w:bookmarkEnd w:id="1767"/>
      <w:bookmarkEnd w:id="1768"/>
      <w:bookmarkEnd w:id="1769"/>
      <w:bookmarkEnd w:id="1770"/>
    </w:p>
    <w:p w14:paraId="5D59CF5C">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8B3C062">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《结核病防治管理办法》第三十七条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基层医疗卫生机构违反本办法规定，有下列情形之一的，由县级卫生行政部门责令改正，给予警告：</w:t>
      </w:r>
    </w:p>
    <w:p w14:paraId="32F3A744">
      <w:pPr>
        <w:widowControl w:val="0"/>
        <w:numPr>
          <w:ilvl w:val="0"/>
          <w:numId w:val="7"/>
        </w:numPr>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未履行对辖区内肺结核患者居家治疗期间的督导管理职责的。</w:t>
      </w:r>
    </w:p>
    <w:p w14:paraId="6FA5216B">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8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6919"/>
        <w:gridCol w:w="4175"/>
      </w:tblGrid>
      <w:tr w14:paraId="3E53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75" w:type="dxa"/>
            <w:vAlign w:val="center"/>
          </w:tcPr>
          <w:p w14:paraId="5AF3D0BD">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919" w:type="dxa"/>
            <w:vAlign w:val="center"/>
          </w:tcPr>
          <w:p w14:paraId="73E6512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75" w:type="dxa"/>
            <w:vAlign w:val="center"/>
          </w:tcPr>
          <w:p w14:paraId="1A2BE904">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577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775" w:type="dxa"/>
            <w:vAlign w:val="center"/>
          </w:tcPr>
          <w:p w14:paraId="20CA1F1A">
            <w:pPr>
              <w:widowControl w:val="0"/>
              <w:spacing w:after="0" w:line="280" w:lineRule="exact"/>
              <w:jc w:val="center"/>
              <w:rPr>
                <w:rStyle w:val="56"/>
                <w:rFonts w:hint="default" w:ascii="Times New Roman" w:hAnsi="Times New Roman"/>
                <w:color w:val="000000" w:themeColor="text1"/>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919" w:type="dxa"/>
            <w:vAlign w:val="center"/>
          </w:tcPr>
          <w:p w14:paraId="1C679ABE">
            <w:pPr>
              <w:widowControl w:val="0"/>
              <w:numPr>
                <w:ilvl w:val="0"/>
                <w:numId w:val="0"/>
              </w:numPr>
              <w:spacing w:after="0" w:line="320" w:lineRule="exact"/>
              <w:rPr>
                <w:rStyle w:val="26"/>
                <w:rFonts w:hint="eastAsia" w:ascii="Times New Roman" w:hAnsi="Times New Roman" w:eastAsia="仿宋_GB2312" w:cs="Times New Roman"/>
                <w:color w:val="000000" w:themeColor="text1"/>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未履行对辖区内肺结核患者居家治疗期间的督导管理职责的。</w:t>
            </w:r>
          </w:p>
        </w:tc>
        <w:tc>
          <w:tcPr>
            <w:tcW w:w="4175" w:type="dxa"/>
            <w:vAlign w:val="center"/>
          </w:tcPr>
          <w:p w14:paraId="5280F78B">
            <w:pPr>
              <w:widowControl w:val="0"/>
              <w:numPr>
                <w:ilvl w:val="0"/>
                <w:numId w:val="0"/>
              </w:numPr>
              <w:spacing w:after="0" w:line="320" w:lineRule="exact"/>
              <w:rPr>
                <w:rStyle w:val="26"/>
                <w:rFonts w:hint="eastAsia" w:ascii="Times New Roman" w:hAnsi="Times New Roman" w:eastAsia="仿宋_GB2312" w:cs="Times New Roman"/>
                <w:color w:val="000000" w:themeColor="text1"/>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bl>
    <w:p w14:paraId="65AB83C6">
      <w:pPr>
        <w:pStyle w:val="4"/>
        <w:widowControl w:val="0"/>
        <w:ind w:firstLine="640"/>
        <w:jc w:val="both"/>
        <w:rPr>
          <w:rFonts w:hint="eastAsia" w:cs="仿宋_GB2312"/>
          <w:bCs/>
          <w:color w:val="000000" w:themeColor="text1"/>
          <w14:textFill>
            <w14:solidFill>
              <w14:schemeClr w14:val="tx1"/>
            </w14:solidFill>
          </w14:textFill>
        </w:rPr>
      </w:pPr>
      <w:bookmarkStart w:id="1771" w:name="_Toc10019"/>
      <w:bookmarkStart w:id="1772" w:name="_Toc3415"/>
      <w:bookmarkStart w:id="1773" w:name="_Toc6081"/>
      <w:bookmarkStart w:id="1774" w:name="_Toc31056"/>
      <w:bookmarkStart w:id="1775" w:name="_Toc7154"/>
      <w:bookmarkStart w:id="1776" w:name="_Toc6810"/>
      <w:bookmarkStart w:id="1777" w:name="_Toc25206"/>
      <w:bookmarkStart w:id="1778" w:name="_Toc9508"/>
      <w:bookmarkStart w:id="1779" w:name="_Toc15864"/>
      <w:bookmarkStart w:id="1780" w:name="_Toc25226"/>
      <w:bookmarkStart w:id="1781" w:name="_Toc16694"/>
      <w:r>
        <w:rPr>
          <w:rFonts w:hint="eastAsia" w:cs="仿宋_GB2312"/>
          <w:bCs/>
          <w:color w:val="000000" w:themeColor="text1"/>
          <w14:textFill>
            <w14:solidFill>
              <w14:schemeClr w14:val="tx1"/>
            </w14:solidFill>
          </w14:textFill>
        </w:rPr>
        <w:t>第一百五十一条 基层医疗卫生机构未按照规定转诊、追踪肺结核患者或者疑似肺结核患者及有可疑症状的密切接触者的</w:t>
      </w:r>
      <w:bookmarkEnd w:id="1771"/>
      <w:bookmarkEnd w:id="1772"/>
      <w:bookmarkEnd w:id="1773"/>
      <w:bookmarkEnd w:id="1774"/>
      <w:bookmarkEnd w:id="1775"/>
      <w:bookmarkEnd w:id="1776"/>
      <w:bookmarkEnd w:id="1777"/>
      <w:bookmarkEnd w:id="1778"/>
      <w:bookmarkEnd w:id="1779"/>
      <w:bookmarkEnd w:id="1780"/>
      <w:bookmarkEnd w:id="1781"/>
    </w:p>
    <w:p w14:paraId="2C8EA2F9">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3169F2A">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《结核病防治管理办法》第三十七条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基层医疗卫生机构违反本办法规定，有下列情形之一的，由县级卫生行政部门责令改正，给予警告：</w:t>
      </w:r>
    </w:p>
    <w:p w14:paraId="357C243A">
      <w:pPr>
        <w:widowControl w:val="0"/>
        <w:numPr>
          <w:ilvl w:val="0"/>
          <w:numId w:val="7"/>
        </w:numPr>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未按照规定转诊、追踪肺结核患者或者疑似肺结核患者及有可疑症状的密切接触者。</w:t>
      </w:r>
    </w:p>
    <w:tbl>
      <w:tblPr>
        <w:tblStyle w:val="24"/>
        <w:tblpPr w:leftFromText="180" w:rightFromText="180" w:vertAnchor="text" w:horzAnchor="page" w:tblpX="1501" w:tblpY="758"/>
        <w:tblOverlap w:val="never"/>
        <w:tblW w:w="13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6919"/>
        <w:gridCol w:w="4175"/>
      </w:tblGrid>
      <w:tr w14:paraId="0203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775" w:type="dxa"/>
            <w:vAlign w:val="center"/>
          </w:tcPr>
          <w:p w14:paraId="569DAD88">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919" w:type="dxa"/>
            <w:vAlign w:val="center"/>
          </w:tcPr>
          <w:p w14:paraId="338092F2">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75" w:type="dxa"/>
            <w:vAlign w:val="center"/>
          </w:tcPr>
          <w:p w14:paraId="542C0F36">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AB0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775" w:type="dxa"/>
            <w:vAlign w:val="center"/>
          </w:tcPr>
          <w:p w14:paraId="707C5427">
            <w:pPr>
              <w:widowControl w:val="0"/>
              <w:spacing w:after="0" w:line="280" w:lineRule="exact"/>
              <w:jc w:val="center"/>
              <w:rPr>
                <w:rStyle w:val="56"/>
                <w:rFonts w:hint="default" w:ascii="Times New Roman" w:hAnsi="Times New Roman"/>
                <w:color w:val="000000" w:themeColor="text1"/>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919" w:type="dxa"/>
            <w:vAlign w:val="center"/>
          </w:tcPr>
          <w:p w14:paraId="40FA56ED">
            <w:pPr>
              <w:widowControl w:val="0"/>
              <w:spacing w:after="0" w:line="320" w:lineRule="exact"/>
              <w:rPr>
                <w:rStyle w:val="56"/>
                <w:rFonts w:hint="default" w:ascii="Times New Roman" w:hAnsi="Times New Roman"/>
                <w:color w:val="000000" w:themeColor="text1"/>
                <w:lang w:bidi="ar"/>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未按照规定转诊、追踪肺结核患者或者疑似肺结核患者及有可疑症状的密切接触者的。</w:t>
            </w:r>
          </w:p>
        </w:tc>
        <w:tc>
          <w:tcPr>
            <w:tcW w:w="4175" w:type="dxa"/>
            <w:vAlign w:val="center"/>
          </w:tcPr>
          <w:p w14:paraId="28070B87">
            <w:pPr>
              <w:widowControl w:val="0"/>
              <w:spacing w:after="0" w:line="440" w:lineRule="exact"/>
              <w:jc w:val="left"/>
              <w:rPr>
                <w:rStyle w:val="56"/>
                <w:rFonts w:hint="default" w:ascii="Times New Roman" w:hAnsi="Times New Roman" w:eastAsia="仿宋_GB2312"/>
                <w:color w:val="000000" w:themeColor="text1"/>
                <w:lang w:bidi="ar"/>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警告。</w:t>
            </w:r>
          </w:p>
        </w:tc>
      </w:tr>
    </w:tbl>
    <w:p w14:paraId="3A7E6F77">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p w14:paraId="7208743B">
      <w:pPr>
        <w:pStyle w:val="3"/>
        <w:keepNext w:val="0"/>
        <w:keepLines w:val="0"/>
        <w:widowControl w:val="0"/>
        <w:spacing w:before="0" w:after="0" w:line="440" w:lineRule="exact"/>
        <w:ind w:firstLine="643" w:firstLineChars="200"/>
        <w:jc w:val="both"/>
        <w:rPr>
          <w:rFonts w:ascii="Times New Roman" w:hAnsi="Times New Roman" w:eastAsia="黑体" w:cs="Times New Roman"/>
          <w:b w:val="0"/>
          <w:color w:val="000000" w:themeColor="text1"/>
          <w14:textFill>
            <w14:solidFill>
              <w14:schemeClr w14:val="tx1"/>
            </w14:solidFill>
          </w14:textFill>
        </w:rPr>
      </w:pPr>
      <w:bookmarkStart w:id="1782" w:name="_Toc20797"/>
      <w:bookmarkStart w:id="1783" w:name="_Toc23654"/>
      <w:bookmarkStart w:id="1784" w:name="_Toc27028"/>
      <w:bookmarkStart w:id="1785" w:name="_Toc27102"/>
      <w:bookmarkStart w:id="1786" w:name="_Toc14355"/>
      <w:bookmarkStart w:id="1787" w:name="_Toc26304"/>
      <w:bookmarkStart w:id="1788" w:name="_Toc26843"/>
      <w:bookmarkStart w:id="1789" w:name="_Toc7708"/>
      <w:bookmarkStart w:id="1790" w:name="_Toc28472"/>
      <w:bookmarkStart w:id="1791" w:name="_Toc7627"/>
      <w:bookmarkStart w:id="1792" w:name="_Toc24934"/>
      <w:bookmarkStart w:id="1793" w:name="_Toc20486"/>
      <w:bookmarkStart w:id="1794" w:name="_Toc13745"/>
      <w:r>
        <w:rPr>
          <w:rFonts w:hint="eastAsia" w:ascii="Times New Roman" w:hAnsi="Times New Roman" w:eastAsia="楷体_GB2312" w:cs="Times New Roman"/>
          <w:color w:val="000000" w:themeColor="text1"/>
          <w:kern w:val="2"/>
          <w14:textFill>
            <w14:solidFill>
              <w14:schemeClr w14:val="tx1"/>
            </w14:solidFill>
          </w14:textFill>
        </w:rPr>
        <w:t>（十五）《医院感染管理办法》</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09E6F5A8">
      <w:pPr>
        <w:pStyle w:val="4"/>
        <w:widowControl w:val="0"/>
        <w:ind w:firstLine="640"/>
        <w:jc w:val="both"/>
        <w:rPr>
          <w:rFonts w:hint="eastAsia" w:cs="仿宋_GB2312"/>
          <w:bCs/>
          <w:color w:val="000000" w:themeColor="text1"/>
          <w14:textFill>
            <w14:solidFill>
              <w14:schemeClr w14:val="tx1"/>
            </w14:solidFill>
          </w14:textFill>
        </w:rPr>
      </w:pPr>
      <w:bookmarkStart w:id="1795" w:name="_Toc30540"/>
      <w:bookmarkStart w:id="1796" w:name="_Toc31772"/>
      <w:bookmarkStart w:id="1797" w:name="_Toc17996"/>
      <w:bookmarkStart w:id="1798" w:name="_Toc17673"/>
      <w:bookmarkStart w:id="1799" w:name="_Toc21869"/>
      <w:bookmarkStart w:id="1800" w:name="_Toc24701"/>
      <w:bookmarkStart w:id="1801" w:name="_Toc28758"/>
      <w:bookmarkStart w:id="1802" w:name="_Toc8601"/>
      <w:bookmarkStart w:id="1803" w:name="_Toc24131"/>
      <w:bookmarkStart w:id="1804" w:name="_Toc7835"/>
      <w:bookmarkStart w:id="1805" w:name="_Toc29949"/>
      <w:r>
        <w:rPr>
          <w:rFonts w:hint="eastAsia" w:cs="仿宋_GB2312"/>
          <w:bCs/>
          <w:color w:val="000000" w:themeColor="text1"/>
          <w14:textFill>
            <w14:solidFill>
              <w14:schemeClr w14:val="tx1"/>
            </w14:solidFill>
          </w14:textFill>
        </w:rPr>
        <w:t>第一百五十二条 医疗机构未建立或者未落实医院感染管理的规章制度、工作规范的</w:t>
      </w:r>
      <w:bookmarkEnd w:id="1795"/>
      <w:bookmarkEnd w:id="1796"/>
      <w:bookmarkEnd w:id="1797"/>
      <w:bookmarkEnd w:id="1798"/>
      <w:bookmarkEnd w:id="1799"/>
      <w:bookmarkEnd w:id="1800"/>
      <w:bookmarkEnd w:id="1801"/>
      <w:bookmarkEnd w:id="1802"/>
      <w:bookmarkEnd w:id="1803"/>
      <w:bookmarkEnd w:id="1804"/>
      <w:bookmarkEnd w:id="1805"/>
    </w:p>
    <w:p w14:paraId="1145BDAD">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BBCC388">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《医院感染管理办法》第三十三条第（一）项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医疗机构违反本办法，有下列行为之一的，由县级以上地方人民政府卫生行政部门责令改正，逾期不改的，给予警告并通报批评；情节严重的，对主要负责人和直接责任人给予降级或者撤职的行政处分：</w:t>
      </w:r>
    </w:p>
    <w:p w14:paraId="7FABE357">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（一）未建立或者未落实医院感染管理的规章制度、工作规范；</w:t>
      </w:r>
    </w:p>
    <w:p w14:paraId="18E74AC2">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8662"/>
        <w:gridCol w:w="3226"/>
      </w:tblGrid>
      <w:tr w14:paraId="5ECD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093" w:type="dxa"/>
            <w:vAlign w:val="center"/>
          </w:tcPr>
          <w:p w14:paraId="1F3B0D46">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662" w:type="dxa"/>
            <w:vAlign w:val="center"/>
          </w:tcPr>
          <w:p w14:paraId="7DC4FD67">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226" w:type="dxa"/>
            <w:vAlign w:val="center"/>
          </w:tcPr>
          <w:p w14:paraId="38A76C53">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ECB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093" w:type="dxa"/>
            <w:vAlign w:val="center"/>
          </w:tcPr>
          <w:p w14:paraId="3F5BE3B7">
            <w:pPr>
              <w:widowControl w:val="0"/>
              <w:spacing w:after="0" w:line="280" w:lineRule="exact"/>
              <w:jc w:val="center"/>
              <w:textAlignment w:val="auto"/>
              <w:rPr>
                <w:rStyle w:val="56"/>
                <w:rFonts w:hint="default" w:ascii="Times New Roman" w:hAnsi="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较轻</w:t>
            </w:r>
          </w:p>
        </w:tc>
        <w:tc>
          <w:tcPr>
            <w:tcW w:w="8662" w:type="dxa"/>
            <w:vAlign w:val="center"/>
          </w:tcPr>
          <w:p w14:paraId="6614A17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首次发现违法行为的，且危害后果轻微并及时改正的。</w:t>
            </w:r>
          </w:p>
        </w:tc>
        <w:tc>
          <w:tcPr>
            <w:tcW w:w="3226" w:type="dxa"/>
            <w:vAlign w:val="center"/>
          </w:tcPr>
          <w:p w14:paraId="06BE6AF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不予行政处罚，责令改正。</w:t>
            </w:r>
          </w:p>
        </w:tc>
      </w:tr>
      <w:tr w14:paraId="2992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093" w:type="dxa"/>
            <w:vAlign w:val="center"/>
          </w:tcPr>
          <w:p w14:paraId="6A9C9E9A">
            <w:pPr>
              <w:widowControl w:val="0"/>
              <w:spacing w:after="0" w:line="280" w:lineRule="exact"/>
              <w:jc w:val="center"/>
              <w:textAlignment w:val="auto"/>
              <w:rPr>
                <w:rStyle w:val="56"/>
                <w:rFonts w:hint="default" w:ascii="Times New Roman" w:hAnsi="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8662" w:type="dxa"/>
            <w:vAlign w:val="center"/>
          </w:tcPr>
          <w:p w14:paraId="6BEAD8C0">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责令改正后，逾期不改的。</w:t>
            </w:r>
          </w:p>
        </w:tc>
        <w:tc>
          <w:tcPr>
            <w:tcW w:w="3226" w:type="dxa"/>
            <w:vAlign w:val="center"/>
          </w:tcPr>
          <w:p w14:paraId="5BD1484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警告并通报批评。</w:t>
            </w:r>
          </w:p>
        </w:tc>
      </w:tr>
    </w:tbl>
    <w:p w14:paraId="45F35EB8">
      <w:pPr>
        <w:pStyle w:val="4"/>
        <w:widowControl w:val="0"/>
        <w:ind w:firstLine="640"/>
        <w:jc w:val="both"/>
        <w:rPr>
          <w:rFonts w:hint="eastAsia" w:cs="仿宋_GB2312"/>
          <w:bCs/>
          <w:color w:val="000000" w:themeColor="text1"/>
          <w14:textFill>
            <w14:solidFill>
              <w14:schemeClr w14:val="tx1"/>
            </w14:solidFill>
          </w14:textFill>
        </w:rPr>
      </w:pPr>
      <w:bookmarkStart w:id="1806" w:name="_Toc16209"/>
      <w:bookmarkStart w:id="1807" w:name="_Toc30508"/>
      <w:bookmarkStart w:id="1808" w:name="_Toc15566"/>
      <w:bookmarkStart w:id="1809" w:name="_Toc20207"/>
      <w:bookmarkStart w:id="1810" w:name="_Toc20213"/>
      <w:bookmarkStart w:id="1811" w:name="_Toc25775"/>
      <w:bookmarkStart w:id="1812" w:name="_Toc5146"/>
      <w:bookmarkStart w:id="1813" w:name="_Toc1356"/>
      <w:bookmarkStart w:id="1814" w:name="_Toc2015"/>
      <w:bookmarkStart w:id="1815" w:name="_Toc9479"/>
      <w:bookmarkStart w:id="1816" w:name="_Toc26230"/>
      <w:r>
        <w:rPr>
          <w:rFonts w:hint="eastAsia" w:cs="仿宋_GB2312"/>
          <w:bCs/>
          <w:color w:val="000000" w:themeColor="text1"/>
          <w14:textFill>
            <w14:solidFill>
              <w14:schemeClr w14:val="tx1"/>
            </w14:solidFill>
          </w14:textFill>
        </w:rPr>
        <w:t>第一百五十三条 医疗机构未设立医院感染管理部门、分管部门以及指定专（兼）职人员负责医院感染预防与控制工作</w:t>
      </w:r>
      <w:bookmarkEnd w:id="1806"/>
      <w:bookmarkEnd w:id="1807"/>
      <w:bookmarkEnd w:id="1808"/>
      <w:bookmarkEnd w:id="1809"/>
      <w:bookmarkEnd w:id="1810"/>
      <w:bookmarkEnd w:id="1811"/>
      <w:bookmarkEnd w:id="1812"/>
      <w:bookmarkEnd w:id="1813"/>
      <w:bookmarkEnd w:id="1814"/>
      <w:bookmarkEnd w:id="1815"/>
      <w:bookmarkEnd w:id="1816"/>
    </w:p>
    <w:p w14:paraId="041327E5">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18C7A5A">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《医院感染管理办法》第三十三条第（二）项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医疗机构违反本办法，有下列行为之一的，由县级以上地方人民政府卫生行政部门责令改正，逾期不改的，给予警告并通报批评；情节严重的，对主要负责人和直接责任人给予降级或者撤职的行政处分：</w:t>
      </w:r>
    </w:p>
    <w:p w14:paraId="55BAE4A5">
      <w:pPr>
        <w:widowControl w:val="0"/>
        <w:spacing w:after="0" w:line="440" w:lineRule="exact"/>
        <w:ind w:firstLine="640" w:firstLineChars="200"/>
        <w:rPr>
          <w:rFonts w:hint="eastAsia" w:ascii="Times New Roman" w:hAnsi="Times New Roman" w:eastAsia="仿宋_GB2312" w:cs="仿宋_GB2312"/>
          <w:color w:val="000000" w:themeColor="text1"/>
          <w:spacing w:val="-6"/>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w:t>
      </w:r>
      <w:r>
        <w:rPr>
          <w:rFonts w:hint="eastAsia" w:ascii="Times New Roman" w:hAnsi="Times New Roman" w:eastAsia="仿宋_GB2312" w:cs="仿宋_GB2312"/>
          <w:color w:val="000000" w:themeColor="text1"/>
          <w:spacing w:val="-6"/>
          <w:sz w:val="32"/>
          <w:szCs w:val="32"/>
          <w14:textFill>
            <w14:solidFill>
              <w14:schemeClr w14:val="tx1"/>
            </w14:solidFill>
          </w14:textFill>
        </w:rPr>
        <w:t>未设立医院感染管理部门、分管部门以及指定专（兼）职人员负责医院感染预防与控制工作；</w:t>
      </w:r>
    </w:p>
    <w:p w14:paraId="6C530899">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8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9"/>
        <w:gridCol w:w="8635"/>
        <w:gridCol w:w="3236"/>
      </w:tblGrid>
      <w:tr w14:paraId="7144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109" w:type="dxa"/>
            <w:vAlign w:val="center"/>
          </w:tcPr>
          <w:p w14:paraId="79408049">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635" w:type="dxa"/>
            <w:vAlign w:val="center"/>
          </w:tcPr>
          <w:p w14:paraId="21E8A52E">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236" w:type="dxa"/>
            <w:vAlign w:val="center"/>
          </w:tcPr>
          <w:p w14:paraId="3C3747C7">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DA1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09" w:type="dxa"/>
            <w:vAlign w:val="center"/>
          </w:tcPr>
          <w:p w14:paraId="5809ADD4">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较轻</w:t>
            </w:r>
          </w:p>
        </w:tc>
        <w:tc>
          <w:tcPr>
            <w:tcW w:w="8635" w:type="dxa"/>
            <w:vAlign w:val="center"/>
          </w:tcPr>
          <w:p w14:paraId="1288539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首次发现违法行为的，且危害后果轻微并及时改正的。</w:t>
            </w:r>
          </w:p>
        </w:tc>
        <w:tc>
          <w:tcPr>
            <w:tcW w:w="3236" w:type="dxa"/>
            <w:vAlign w:val="center"/>
          </w:tcPr>
          <w:p w14:paraId="0016EFF0">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不予行政处罚，责令改正。</w:t>
            </w:r>
          </w:p>
        </w:tc>
      </w:tr>
      <w:tr w14:paraId="6F7E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09" w:type="dxa"/>
            <w:vAlign w:val="center"/>
          </w:tcPr>
          <w:p w14:paraId="0C889F56">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8635" w:type="dxa"/>
            <w:vAlign w:val="center"/>
          </w:tcPr>
          <w:p w14:paraId="4EE1238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责令改正后，逾期不改的。</w:t>
            </w:r>
          </w:p>
        </w:tc>
        <w:tc>
          <w:tcPr>
            <w:tcW w:w="3236" w:type="dxa"/>
            <w:vAlign w:val="center"/>
          </w:tcPr>
          <w:p w14:paraId="6EB7158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警告并通报批评。</w:t>
            </w:r>
          </w:p>
        </w:tc>
      </w:tr>
    </w:tbl>
    <w:p w14:paraId="0F878DD5">
      <w:pPr>
        <w:pStyle w:val="4"/>
        <w:widowControl w:val="0"/>
        <w:ind w:firstLine="640"/>
        <w:jc w:val="both"/>
        <w:rPr>
          <w:rFonts w:hint="eastAsia" w:cs="仿宋_GB2312"/>
          <w:bCs/>
          <w:color w:val="000000" w:themeColor="text1"/>
          <w14:textFill>
            <w14:solidFill>
              <w14:schemeClr w14:val="tx1"/>
            </w14:solidFill>
          </w14:textFill>
        </w:rPr>
      </w:pPr>
      <w:bookmarkStart w:id="1817" w:name="_Toc5137"/>
      <w:bookmarkStart w:id="1818" w:name="_Toc27729"/>
      <w:bookmarkStart w:id="1819" w:name="_Toc225"/>
      <w:bookmarkStart w:id="1820" w:name="_Toc2002"/>
      <w:bookmarkStart w:id="1821" w:name="_Toc25844"/>
      <w:bookmarkStart w:id="1822" w:name="_Toc20094"/>
      <w:bookmarkStart w:id="1823" w:name="_Toc27063"/>
      <w:bookmarkStart w:id="1824" w:name="_Toc7817"/>
      <w:bookmarkStart w:id="1825" w:name="_Toc4370"/>
      <w:bookmarkStart w:id="1826" w:name="_Toc1653"/>
      <w:bookmarkStart w:id="1827" w:name="_Toc27494"/>
      <w:r>
        <w:rPr>
          <w:rFonts w:hint="eastAsia" w:cs="仿宋_GB2312"/>
          <w:bCs/>
          <w:color w:val="000000" w:themeColor="text1"/>
          <w14:textFill>
            <w14:solidFill>
              <w14:schemeClr w14:val="tx1"/>
            </w14:solidFill>
          </w14:textFill>
        </w:rPr>
        <w:t>第一百五十四条 医疗机构违反医疗器械、器具的消毒工作技术规范</w:t>
      </w:r>
      <w:bookmarkEnd w:id="1817"/>
      <w:bookmarkEnd w:id="1818"/>
      <w:bookmarkEnd w:id="1819"/>
      <w:bookmarkEnd w:id="1820"/>
      <w:bookmarkEnd w:id="1821"/>
      <w:bookmarkEnd w:id="1822"/>
      <w:bookmarkEnd w:id="1823"/>
      <w:bookmarkEnd w:id="1824"/>
      <w:bookmarkEnd w:id="1825"/>
      <w:bookmarkEnd w:id="1826"/>
      <w:bookmarkEnd w:id="1827"/>
    </w:p>
    <w:p w14:paraId="39AE0D96">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EAB769D">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《医院感染管理办法》第三十三条第（三）项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医疗机构违反本办法，有下列行为之一的，由县级以上地方人民政府卫生行政部门责令改正，逾期不改的，给予警告并通报批评；情节严重的，对主要负责人和直接责任人给予降级或者撤职的行政处分：</w:t>
      </w:r>
    </w:p>
    <w:p w14:paraId="54F8F32B">
      <w:pPr>
        <w:widowControl w:val="0"/>
        <w:spacing w:after="0" w:line="440" w:lineRule="exact"/>
        <w:ind w:left="420" w:firstLine="320" w:firstLineChars="1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（三）违反对医疗器械、器具的消毒工作技术规范；</w:t>
      </w:r>
    </w:p>
    <w:p w14:paraId="32BED0AD">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5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8057"/>
        <w:gridCol w:w="3494"/>
      </w:tblGrid>
      <w:tr w14:paraId="5D79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44" w:type="dxa"/>
            <w:vAlign w:val="center"/>
          </w:tcPr>
          <w:p w14:paraId="14DAFD06">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57" w:type="dxa"/>
            <w:vAlign w:val="center"/>
          </w:tcPr>
          <w:p w14:paraId="0D59DE16">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494" w:type="dxa"/>
            <w:vAlign w:val="center"/>
          </w:tcPr>
          <w:p w14:paraId="15873C53">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87F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44" w:type="dxa"/>
            <w:vAlign w:val="center"/>
          </w:tcPr>
          <w:p w14:paraId="0EAED84F">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8057" w:type="dxa"/>
            <w:vAlign w:val="center"/>
          </w:tcPr>
          <w:p w14:paraId="7B56D389">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首次发现违法行为的，且危害后果轻微并及时改正的。</w:t>
            </w:r>
          </w:p>
        </w:tc>
        <w:tc>
          <w:tcPr>
            <w:tcW w:w="3494" w:type="dxa"/>
            <w:vAlign w:val="center"/>
          </w:tcPr>
          <w:p w14:paraId="64A023A4">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不予行政处罚，责令改正。</w:t>
            </w:r>
          </w:p>
        </w:tc>
      </w:tr>
      <w:tr w14:paraId="4A67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44" w:type="dxa"/>
            <w:vAlign w:val="center"/>
          </w:tcPr>
          <w:p w14:paraId="4DE02FF0">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8057" w:type="dxa"/>
            <w:vAlign w:val="center"/>
          </w:tcPr>
          <w:p w14:paraId="01B6042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责令改正后，逾期不改的。</w:t>
            </w:r>
          </w:p>
        </w:tc>
        <w:tc>
          <w:tcPr>
            <w:tcW w:w="3494" w:type="dxa"/>
            <w:vAlign w:val="center"/>
          </w:tcPr>
          <w:p w14:paraId="51E5B50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警告并通报批评。</w:t>
            </w:r>
          </w:p>
        </w:tc>
      </w:tr>
    </w:tbl>
    <w:p w14:paraId="23D27C9B">
      <w:pPr>
        <w:pStyle w:val="4"/>
        <w:widowControl w:val="0"/>
        <w:ind w:firstLine="640"/>
        <w:jc w:val="both"/>
        <w:rPr>
          <w:rFonts w:hint="eastAsia" w:cs="仿宋_GB2312"/>
          <w:bCs/>
          <w:color w:val="000000" w:themeColor="text1"/>
          <w14:textFill>
            <w14:solidFill>
              <w14:schemeClr w14:val="tx1"/>
            </w14:solidFill>
          </w14:textFill>
        </w:rPr>
      </w:pPr>
      <w:bookmarkStart w:id="1828" w:name="_Toc15681"/>
      <w:bookmarkStart w:id="1829" w:name="_Toc23264"/>
      <w:bookmarkStart w:id="1830" w:name="_Toc2024"/>
      <w:bookmarkStart w:id="1831" w:name="_Toc6171"/>
      <w:bookmarkStart w:id="1832" w:name="_Toc29681"/>
      <w:bookmarkStart w:id="1833" w:name="_Toc19999"/>
      <w:bookmarkStart w:id="1834" w:name="_Toc17899"/>
      <w:bookmarkStart w:id="1835" w:name="_Toc29323"/>
      <w:bookmarkStart w:id="1836" w:name="_Toc30641"/>
      <w:bookmarkStart w:id="1837" w:name="_Toc21672"/>
      <w:bookmarkStart w:id="1838" w:name="_Toc20867"/>
      <w:r>
        <w:rPr>
          <w:rFonts w:hint="eastAsia" w:cs="仿宋_GB2312"/>
          <w:bCs/>
          <w:color w:val="000000" w:themeColor="text1"/>
          <w14:textFill>
            <w14:solidFill>
              <w14:schemeClr w14:val="tx1"/>
            </w14:solidFill>
          </w14:textFill>
        </w:rPr>
        <w:t>第一百五十五条 医疗机构违反无菌操作技术规范和隔离技术规范</w:t>
      </w:r>
      <w:bookmarkEnd w:id="1828"/>
      <w:bookmarkEnd w:id="1829"/>
      <w:bookmarkEnd w:id="1830"/>
      <w:bookmarkEnd w:id="1831"/>
      <w:bookmarkEnd w:id="1832"/>
      <w:bookmarkEnd w:id="1833"/>
      <w:bookmarkEnd w:id="1834"/>
      <w:bookmarkEnd w:id="1835"/>
      <w:bookmarkEnd w:id="1836"/>
      <w:bookmarkEnd w:id="1837"/>
      <w:bookmarkEnd w:id="1838"/>
    </w:p>
    <w:p w14:paraId="343115E6">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418D468">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《医院感染管理办法》第三十三条第（四）项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医疗机构违反本办法，有下列行为之一的，由县级以上地方人民政府卫生行政部门责令改正，逾期不改的，给予警告并通报批评；情节严重的，对主要负责人和直接责任人给予降级或者撤职的行政处分：</w:t>
      </w:r>
    </w:p>
    <w:p w14:paraId="6C5583D3">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（四）违反无菌操作技术规范和隔离技术规范；</w:t>
      </w:r>
    </w:p>
    <w:p w14:paraId="0F9E0340">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6648"/>
        <w:gridCol w:w="5207"/>
      </w:tblGrid>
      <w:tr w14:paraId="0608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900" w:type="dxa"/>
            <w:vAlign w:val="center"/>
          </w:tcPr>
          <w:p w14:paraId="66725F5A">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648" w:type="dxa"/>
            <w:vAlign w:val="center"/>
          </w:tcPr>
          <w:p w14:paraId="243AD68C">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207" w:type="dxa"/>
            <w:vAlign w:val="center"/>
          </w:tcPr>
          <w:p w14:paraId="4F4EF219">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263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00" w:type="dxa"/>
            <w:vAlign w:val="center"/>
          </w:tcPr>
          <w:p w14:paraId="4A147F17">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6648" w:type="dxa"/>
            <w:vAlign w:val="center"/>
          </w:tcPr>
          <w:p w14:paraId="5EBEBB0D">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首次发现违法行为的，且危害后果轻微并及时改正的。</w:t>
            </w:r>
          </w:p>
        </w:tc>
        <w:tc>
          <w:tcPr>
            <w:tcW w:w="5207" w:type="dxa"/>
            <w:vAlign w:val="center"/>
          </w:tcPr>
          <w:p w14:paraId="5D885F09">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不予行政处罚，责令改正。</w:t>
            </w:r>
          </w:p>
        </w:tc>
      </w:tr>
      <w:tr w14:paraId="7343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00" w:type="dxa"/>
            <w:vAlign w:val="center"/>
          </w:tcPr>
          <w:p w14:paraId="01E805BE">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6648" w:type="dxa"/>
            <w:vAlign w:val="center"/>
          </w:tcPr>
          <w:p w14:paraId="171B99A2">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责令改正后，逾期不改的。</w:t>
            </w:r>
          </w:p>
        </w:tc>
        <w:tc>
          <w:tcPr>
            <w:tcW w:w="5207" w:type="dxa"/>
            <w:vAlign w:val="center"/>
          </w:tcPr>
          <w:p w14:paraId="776AFA0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警告并通报批评。</w:t>
            </w:r>
          </w:p>
        </w:tc>
      </w:tr>
    </w:tbl>
    <w:p w14:paraId="19D22597">
      <w:pPr>
        <w:pStyle w:val="4"/>
        <w:widowControl w:val="0"/>
        <w:ind w:firstLine="640"/>
        <w:jc w:val="both"/>
        <w:rPr>
          <w:rFonts w:hint="eastAsia" w:cs="仿宋_GB2312"/>
          <w:bCs/>
          <w:color w:val="000000" w:themeColor="text1"/>
          <w14:textFill>
            <w14:solidFill>
              <w14:schemeClr w14:val="tx1"/>
            </w14:solidFill>
          </w14:textFill>
        </w:rPr>
      </w:pPr>
      <w:bookmarkStart w:id="1839" w:name="_Toc1462"/>
      <w:bookmarkStart w:id="1840" w:name="_Toc8795"/>
      <w:bookmarkStart w:id="1841" w:name="_Toc3176"/>
      <w:bookmarkStart w:id="1842" w:name="_Toc21538"/>
      <w:bookmarkStart w:id="1843" w:name="_Toc12035"/>
      <w:bookmarkStart w:id="1844" w:name="_Toc8477"/>
      <w:bookmarkStart w:id="1845" w:name="_Toc25572"/>
      <w:bookmarkStart w:id="1846" w:name="_Toc24080"/>
      <w:bookmarkStart w:id="1847" w:name="_Toc24845"/>
      <w:bookmarkStart w:id="1848" w:name="_Toc2735"/>
      <w:bookmarkStart w:id="1849" w:name="_Toc10898"/>
      <w:r>
        <w:rPr>
          <w:rFonts w:hint="eastAsia" w:cs="仿宋_GB2312"/>
          <w:bCs/>
          <w:color w:val="000000" w:themeColor="text1"/>
          <w14:textFill>
            <w14:solidFill>
              <w14:schemeClr w14:val="tx1"/>
            </w14:solidFill>
          </w14:textFill>
        </w:rPr>
        <w:t>第一百五十六条 医疗机构未对消毒药械和一次性医疗器械、器具的相关证明进行审核</w:t>
      </w:r>
      <w:bookmarkEnd w:id="1839"/>
      <w:bookmarkEnd w:id="1840"/>
      <w:bookmarkEnd w:id="1841"/>
      <w:bookmarkEnd w:id="1842"/>
      <w:bookmarkEnd w:id="1843"/>
      <w:bookmarkEnd w:id="1844"/>
      <w:bookmarkEnd w:id="1845"/>
      <w:bookmarkEnd w:id="1846"/>
      <w:bookmarkEnd w:id="1847"/>
      <w:bookmarkEnd w:id="1848"/>
      <w:bookmarkEnd w:id="1849"/>
    </w:p>
    <w:p w14:paraId="2D6B0683">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F904F90">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《医院感染管理办法》第三十三条第（五）项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医疗机构违反本办法，有下列行为之一的，由县级以上地方人民政府卫生行政部门责令改正，逾期不改的，给予警告并通报批评；情节严重的，对主要负责人和直接责任人给予降级或者撤职的行政处分：</w:t>
      </w:r>
    </w:p>
    <w:p w14:paraId="5DC887B5">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（五）未对消毒药械和一次性医疗器械、器具的相关证明进行审核；</w:t>
      </w:r>
    </w:p>
    <w:p w14:paraId="0B8288C6">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77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9"/>
        <w:gridCol w:w="6023"/>
        <w:gridCol w:w="5096"/>
      </w:tblGrid>
      <w:tr w14:paraId="4BA0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59" w:type="dxa"/>
            <w:vAlign w:val="center"/>
          </w:tcPr>
          <w:p w14:paraId="70B7ABDC">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023" w:type="dxa"/>
            <w:vAlign w:val="center"/>
          </w:tcPr>
          <w:p w14:paraId="17927A88">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096" w:type="dxa"/>
            <w:vAlign w:val="center"/>
          </w:tcPr>
          <w:p w14:paraId="74E87708">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B36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59" w:type="dxa"/>
            <w:vAlign w:val="center"/>
          </w:tcPr>
          <w:p w14:paraId="0542FF09">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较轻</w:t>
            </w:r>
          </w:p>
        </w:tc>
        <w:tc>
          <w:tcPr>
            <w:tcW w:w="6023" w:type="dxa"/>
            <w:vAlign w:val="center"/>
          </w:tcPr>
          <w:p w14:paraId="5F0B1DE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首次发现违法行为的，且危害后果轻微并及时改正的。</w:t>
            </w:r>
          </w:p>
        </w:tc>
        <w:tc>
          <w:tcPr>
            <w:tcW w:w="5096" w:type="dxa"/>
            <w:vAlign w:val="center"/>
          </w:tcPr>
          <w:p w14:paraId="219B02F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不予行政处罚，责令改正。</w:t>
            </w:r>
          </w:p>
        </w:tc>
      </w:tr>
      <w:tr w14:paraId="20F0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59" w:type="dxa"/>
            <w:vAlign w:val="center"/>
          </w:tcPr>
          <w:p w14:paraId="5F0579E7">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6023" w:type="dxa"/>
            <w:vAlign w:val="center"/>
          </w:tcPr>
          <w:p w14:paraId="1C95B0B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责令改正后，逾期不改的。</w:t>
            </w:r>
          </w:p>
        </w:tc>
        <w:tc>
          <w:tcPr>
            <w:tcW w:w="5096" w:type="dxa"/>
            <w:vAlign w:val="center"/>
          </w:tcPr>
          <w:p w14:paraId="1B67BD04">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警告并通报批评。</w:t>
            </w:r>
          </w:p>
        </w:tc>
      </w:tr>
    </w:tbl>
    <w:p w14:paraId="4060022A">
      <w:pPr>
        <w:pStyle w:val="4"/>
        <w:widowControl w:val="0"/>
        <w:ind w:firstLine="640"/>
        <w:jc w:val="both"/>
        <w:rPr>
          <w:rFonts w:hint="eastAsia" w:cs="仿宋_GB2312"/>
          <w:bCs/>
          <w:color w:val="000000" w:themeColor="text1"/>
          <w14:textFill>
            <w14:solidFill>
              <w14:schemeClr w14:val="tx1"/>
            </w14:solidFill>
          </w14:textFill>
        </w:rPr>
      </w:pPr>
      <w:bookmarkStart w:id="1850" w:name="_Toc12069"/>
      <w:bookmarkStart w:id="1851" w:name="_Toc24781"/>
      <w:bookmarkStart w:id="1852" w:name="_Toc21787"/>
      <w:bookmarkStart w:id="1853" w:name="_Toc10765"/>
      <w:bookmarkStart w:id="1854" w:name="_Toc20538"/>
      <w:bookmarkStart w:id="1855" w:name="_Toc30040"/>
      <w:bookmarkStart w:id="1856" w:name="_Toc21331"/>
      <w:bookmarkStart w:id="1857" w:name="_Toc19202"/>
      <w:bookmarkStart w:id="1858" w:name="_Toc21418"/>
      <w:bookmarkStart w:id="1859" w:name="_Toc25356"/>
      <w:bookmarkStart w:id="1860" w:name="_Toc14242"/>
      <w:r>
        <w:rPr>
          <w:rFonts w:hint="eastAsia" w:cs="仿宋_GB2312"/>
          <w:bCs/>
          <w:color w:val="000000" w:themeColor="text1"/>
          <w14:textFill>
            <w14:solidFill>
              <w14:schemeClr w14:val="tx1"/>
            </w14:solidFill>
          </w14:textFill>
        </w:rPr>
        <w:t>第一百五十七条 医疗机构未对医务人员职业暴露提供职业卫生防护</w:t>
      </w:r>
      <w:bookmarkEnd w:id="1850"/>
      <w:bookmarkEnd w:id="1851"/>
      <w:bookmarkEnd w:id="1852"/>
      <w:bookmarkEnd w:id="1853"/>
      <w:bookmarkEnd w:id="1854"/>
      <w:bookmarkEnd w:id="1855"/>
      <w:bookmarkEnd w:id="1856"/>
      <w:bookmarkEnd w:id="1857"/>
      <w:bookmarkEnd w:id="1858"/>
      <w:bookmarkEnd w:id="1859"/>
      <w:bookmarkEnd w:id="1860"/>
    </w:p>
    <w:p w14:paraId="0488A473">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76A5831">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《医院感染管理办法》第三十三条第（六）项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医疗机构违反本办法，有下列行为之一的，由县级以上地方人民政府卫生行政部门责令改正，逾期不改的，给予警告并通报批评；情节严重的，对主要负责人和直接责任人给予降级或者撤职的行政处分：</w:t>
      </w:r>
    </w:p>
    <w:p w14:paraId="3F06186A">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（六）未对医务人员职业暴露提供职业卫生防护。</w:t>
      </w:r>
    </w:p>
    <w:p w14:paraId="75EF6DDC">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6306"/>
        <w:gridCol w:w="4875"/>
      </w:tblGrid>
      <w:tr w14:paraId="7E58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75" w:type="dxa"/>
            <w:vAlign w:val="center"/>
          </w:tcPr>
          <w:p w14:paraId="67875E4C">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306" w:type="dxa"/>
            <w:vAlign w:val="center"/>
          </w:tcPr>
          <w:p w14:paraId="20CCB002">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875" w:type="dxa"/>
            <w:vAlign w:val="center"/>
          </w:tcPr>
          <w:p w14:paraId="7C291413">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AC8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75" w:type="dxa"/>
            <w:vAlign w:val="center"/>
          </w:tcPr>
          <w:p w14:paraId="149E8C52">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较轻</w:t>
            </w:r>
          </w:p>
        </w:tc>
        <w:tc>
          <w:tcPr>
            <w:tcW w:w="6306" w:type="dxa"/>
            <w:vAlign w:val="center"/>
          </w:tcPr>
          <w:p w14:paraId="778687DB">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首次发现违法行为的，且危害后果轻微并及时改正的。</w:t>
            </w:r>
          </w:p>
        </w:tc>
        <w:tc>
          <w:tcPr>
            <w:tcW w:w="4875" w:type="dxa"/>
            <w:vAlign w:val="center"/>
          </w:tcPr>
          <w:p w14:paraId="2E670BC4">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不予行政处罚，责令改正。</w:t>
            </w:r>
          </w:p>
        </w:tc>
      </w:tr>
      <w:tr w14:paraId="56BA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75" w:type="dxa"/>
            <w:vAlign w:val="center"/>
          </w:tcPr>
          <w:p w14:paraId="27AA00A1">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6306" w:type="dxa"/>
            <w:vAlign w:val="center"/>
          </w:tcPr>
          <w:p w14:paraId="19102F7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责令改正后，逾期不改的。</w:t>
            </w:r>
          </w:p>
        </w:tc>
        <w:tc>
          <w:tcPr>
            <w:tcW w:w="4875" w:type="dxa"/>
            <w:vAlign w:val="center"/>
          </w:tcPr>
          <w:p w14:paraId="58F7808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警告并通报批评。</w:t>
            </w:r>
          </w:p>
        </w:tc>
      </w:tr>
    </w:tbl>
    <w:p w14:paraId="7931A1AC">
      <w:pPr>
        <w:pStyle w:val="4"/>
        <w:widowControl w:val="0"/>
        <w:ind w:firstLine="640"/>
        <w:jc w:val="both"/>
        <w:rPr>
          <w:rFonts w:hint="eastAsia" w:cs="仿宋_GB2312"/>
          <w:bCs/>
          <w:color w:val="000000" w:themeColor="text1"/>
          <w14:textFill>
            <w14:solidFill>
              <w14:schemeClr w14:val="tx1"/>
            </w14:solidFill>
          </w14:textFill>
        </w:rPr>
      </w:pPr>
      <w:bookmarkStart w:id="1861" w:name="_Toc6865"/>
      <w:bookmarkStart w:id="1862" w:name="_Toc16259"/>
      <w:bookmarkStart w:id="1863" w:name="_Toc2958"/>
      <w:bookmarkStart w:id="1864" w:name="_Toc16135"/>
      <w:bookmarkStart w:id="1865" w:name="_Toc13351"/>
      <w:bookmarkStart w:id="1866" w:name="_Toc13817"/>
      <w:bookmarkStart w:id="1867" w:name="_Toc9716"/>
      <w:bookmarkStart w:id="1868" w:name="_Toc18680"/>
      <w:bookmarkStart w:id="1869" w:name="_Toc27765"/>
      <w:bookmarkStart w:id="1870" w:name="_Toc32695"/>
      <w:bookmarkStart w:id="1871" w:name="_Toc14398"/>
      <w:r>
        <w:rPr>
          <w:rFonts w:hint="eastAsia" w:cs="仿宋_GB2312"/>
          <w:bCs/>
          <w:color w:val="000000" w:themeColor="text1"/>
          <w14:textFill>
            <w14:solidFill>
              <w14:schemeClr w14:val="tx1"/>
            </w14:solidFill>
          </w14:textFill>
        </w:rPr>
        <w:t>第一百五十八条 未采取预防和控制措施或者发生医院感染未及时采取控制措施，造成医院感染暴发、传染病传播或者其他严重后果的</w:t>
      </w:r>
      <w:bookmarkEnd w:id="1861"/>
      <w:bookmarkEnd w:id="1862"/>
      <w:bookmarkEnd w:id="1863"/>
      <w:bookmarkEnd w:id="1864"/>
      <w:bookmarkEnd w:id="1865"/>
      <w:bookmarkEnd w:id="1866"/>
      <w:bookmarkEnd w:id="1867"/>
      <w:bookmarkEnd w:id="1868"/>
      <w:bookmarkEnd w:id="1869"/>
      <w:bookmarkEnd w:id="1870"/>
      <w:bookmarkEnd w:id="1871"/>
    </w:p>
    <w:p w14:paraId="78D73582">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CD8436D">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《医院感染管理办法》第三十四条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办法规定，未采取预防和控制措施或者发生医院感染未及时采取控制措施，造成医院感染暴发、传染病传播或者其他严重后果的，对负有责任的主管人员和直接责任人员给予降级、撤职、开除的行政处分；情节严重的，依照《传染病防治法》第六十九条规定，可以依法吊销有关责任人员的执业证书；构成犯罪的，依法追究刑事责任。</w:t>
      </w:r>
    </w:p>
    <w:p w14:paraId="7A1124E3">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3"/>
        <w:gridCol w:w="5571"/>
        <w:gridCol w:w="5612"/>
      </w:tblGrid>
      <w:tr w14:paraId="4648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73" w:type="dxa"/>
            <w:vAlign w:val="center"/>
          </w:tcPr>
          <w:p w14:paraId="523D75CF">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571" w:type="dxa"/>
            <w:vAlign w:val="center"/>
          </w:tcPr>
          <w:p w14:paraId="5FFF909B">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612" w:type="dxa"/>
            <w:vAlign w:val="center"/>
          </w:tcPr>
          <w:p w14:paraId="5CBCBA35">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728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773" w:type="dxa"/>
            <w:vAlign w:val="center"/>
          </w:tcPr>
          <w:p w14:paraId="67B918C9">
            <w:pPr>
              <w:widowControl w:val="0"/>
              <w:spacing w:after="0" w:line="280" w:lineRule="exact"/>
              <w:jc w:val="center"/>
              <w:textAlignment w:val="auto"/>
              <w:rPr>
                <w:rStyle w:val="56"/>
                <w:rFonts w:hint="default" w:ascii="Times New Roman" w:hAnsi="Times New Roman"/>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5571" w:type="dxa"/>
            <w:vAlign w:val="center"/>
          </w:tcPr>
          <w:p w14:paraId="60FE249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造成医院感染暴发、传染病传播或者其他严重后果的。</w:t>
            </w:r>
          </w:p>
        </w:tc>
        <w:tc>
          <w:tcPr>
            <w:tcW w:w="5612" w:type="dxa"/>
            <w:vAlign w:val="center"/>
          </w:tcPr>
          <w:p w14:paraId="5DD4CBF2">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依照《传染病防治法》相关规定，可以依法吊销有关责任人员的执业证书。</w:t>
            </w:r>
          </w:p>
        </w:tc>
      </w:tr>
    </w:tbl>
    <w:p w14:paraId="78572535">
      <w:pPr>
        <w:pStyle w:val="3"/>
        <w:keepNext w:val="0"/>
        <w:keepLines w:val="0"/>
        <w:widowControl w:val="0"/>
        <w:spacing w:before="0" w:after="0" w:line="480" w:lineRule="exact"/>
        <w:ind w:firstLine="643" w:firstLineChars="200"/>
        <w:rPr>
          <w:rFonts w:hint="eastAsia" w:ascii="Times New Roman" w:hAnsi="Times New Roman" w:eastAsia="仿宋_GB2312" w:cs="仿宋_GB2312"/>
          <w:color w:val="000000" w:themeColor="text1"/>
          <w14:textFill>
            <w14:solidFill>
              <w14:schemeClr w14:val="tx1"/>
            </w14:solidFill>
          </w14:textFill>
        </w:rPr>
      </w:pPr>
      <w:bookmarkStart w:id="1872" w:name="_Toc13460"/>
      <w:bookmarkStart w:id="1873" w:name="_Toc21095"/>
      <w:bookmarkStart w:id="1874" w:name="_Toc8"/>
      <w:bookmarkStart w:id="1875" w:name="_Toc32030"/>
      <w:bookmarkStart w:id="1876" w:name="_Toc16720"/>
      <w:bookmarkStart w:id="1877" w:name="_Toc29508"/>
      <w:bookmarkStart w:id="1878" w:name="_Toc14269"/>
      <w:bookmarkStart w:id="1879" w:name="_Toc3369"/>
      <w:bookmarkStart w:id="1880" w:name="_Toc1327"/>
      <w:bookmarkStart w:id="1881" w:name="_Toc13628"/>
      <w:bookmarkStart w:id="1882" w:name="_Toc15511"/>
      <w:bookmarkStart w:id="1883" w:name="_Toc16868"/>
      <w:bookmarkStart w:id="1884" w:name="_Toc4913"/>
      <w:r>
        <w:rPr>
          <w:rFonts w:hint="eastAsia" w:ascii="Times New Roman" w:hAnsi="Times New Roman" w:eastAsia="楷体_GB2312" w:cs="楷体_GB2312"/>
          <w:color w:val="000000" w:themeColor="text1"/>
          <w14:textFill>
            <w14:solidFill>
              <w14:schemeClr w14:val="tx1"/>
            </w14:solidFill>
          </w14:textFill>
        </w:rPr>
        <w:t>（十六）《传染性非典型肺炎防治管理办法》</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6312366F">
      <w:pPr>
        <w:pStyle w:val="4"/>
        <w:widowControl w:val="0"/>
        <w:spacing w:line="480" w:lineRule="exact"/>
        <w:ind w:firstLine="643"/>
        <w:jc w:val="both"/>
        <w:rPr>
          <w:rFonts w:hint="eastAsia" w:cs="仿宋_GB2312"/>
          <w:bCs/>
          <w:color w:val="000000" w:themeColor="text1"/>
          <w14:textFill>
            <w14:solidFill>
              <w14:schemeClr w14:val="tx1"/>
            </w14:solidFill>
          </w14:textFill>
        </w:rPr>
      </w:pPr>
      <w:bookmarkStart w:id="1885" w:name="_Toc10546"/>
      <w:bookmarkStart w:id="1886" w:name="_Toc12266"/>
      <w:bookmarkStart w:id="1887" w:name="_Toc30842"/>
      <w:bookmarkStart w:id="1888" w:name="_Toc5438"/>
      <w:bookmarkStart w:id="1889" w:name="_Toc15750"/>
      <w:bookmarkStart w:id="1890" w:name="_Toc23791"/>
      <w:bookmarkStart w:id="1891" w:name="_Toc14098"/>
      <w:bookmarkStart w:id="1892" w:name="_Toc22059"/>
      <w:bookmarkStart w:id="1893" w:name="_Toc29797"/>
      <w:bookmarkStart w:id="1894" w:name="_Toc21334"/>
      <w:bookmarkStart w:id="1895" w:name="_Toc24565"/>
      <w:r>
        <w:rPr>
          <w:rFonts w:hint="eastAsia" w:cs="仿宋_GB2312"/>
          <w:bCs/>
          <w:color w:val="000000" w:themeColor="text1"/>
          <w14:textFill>
            <w14:solidFill>
              <w14:schemeClr w14:val="tx1"/>
            </w14:solidFill>
          </w14:textFill>
        </w:rPr>
        <w:t>第一百五十九条 未依法履行疫情报告职责，隐瞒、缓报或者谎报的</w:t>
      </w:r>
      <w:bookmarkEnd w:id="1885"/>
      <w:bookmarkEnd w:id="1886"/>
      <w:bookmarkEnd w:id="1887"/>
      <w:bookmarkEnd w:id="1888"/>
      <w:bookmarkEnd w:id="1889"/>
      <w:bookmarkEnd w:id="1890"/>
      <w:bookmarkEnd w:id="1891"/>
      <w:bookmarkEnd w:id="1892"/>
      <w:bookmarkEnd w:id="1893"/>
      <w:bookmarkEnd w:id="1894"/>
      <w:bookmarkEnd w:id="1895"/>
    </w:p>
    <w:p w14:paraId="3ED16400">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2A7648C">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《传染性非典型肺炎防治管理办法》第三十七条第（一）项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14:paraId="12C96CA6">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（一）未依法履行疫情报告职责，隐瞒、缓报或者谎报。</w:t>
      </w:r>
    </w:p>
    <w:p w14:paraId="0829FEF4">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16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3"/>
        <w:gridCol w:w="5528"/>
        <w:gridCol w:w="5862"/>
      </w:tblGrid>
      <w:tr w14:paraId="3317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73" w:type="dxa"/>
            <w:vAlign w:val="center"/>
          </w:tcPr>
          <w:p w14:paraId="4F67CCE7">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528" w:type="dxa"/>
            <w:vAlign w:val="center"/>
          </w:tcPr>
          <w:p w14:paraId="2C08AAA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862" w:type="dxa"/>
            <w:vAlign w:val="center"/>
          </w:tcPr>
          <w:p w14:paraId="348E9F2E">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F46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773" w:type="dxa"/>
            <w:vAlign w:val="center"/>
          </w:tcPr>
          <w:p w14:paraId="38C71B5A">
            <w:pPr>
              <w:widowControl w:val="0"/>
              <w:spacing w:after="0" w:line="280" w:lineRule="exact"/>
              <w:jc w:val="center"/>
              <w:textAlignment w:val="auto"/>
              <w:rPr>
                <w:rStyle w:val="26"/>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Style w:val="26"/>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528" w:type="dxa"/>
            <w:vAlign w:val="center"/>
          </w:tcPr>
          <w:p w14:paraId="6504656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未依法履行疫情报告职责，隐瞒、缓报或者谎报的。</w:t>
            </w:r>
          </w:p>
        </w:tc>
        <w:tc>
          <w:tcPr>
            <w:tcW w:w="5862" w:type="dxa"/>
            <w:vAlign w:val="center"/>
          </w:tcPr>
          <w:p w14:paraId="08E1D7F0">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3D3C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773" w:type="dxa"/>
            <w:vAlign w:val="center"/>
          </w:tcPr>
          <w:p w14:paraId="7BF77D96">
            <w:pPr>
              <w:widowControl w:val="0"/>
              <w:spacing w:after="0" w:line="280" w:lineRule="exact"/>
              <w:jc w:val="center"/>
              <w:textAlignment w:val="auto"/>
              <w:rPr>
                <w:rStyle w:val="26"/>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Style w:val="26"/>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528" w:type="dxa"/>
            <w:vAlign w:val="center"/>
          </w:tcPr>
          <w:p w14:paraId="6AB5B0E2">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未依法履行疫情报告职责，隐瞒、缓报或者谎报，造成传染性非典型肺炎传播、流行或者对社会公众健康造成其他严重危害后果的。</w:t>
            </w:r>
          </w:p>
        </w:tc>
        <w:tc>
          <w:tcPr>
            <w:tcW w:w="5862" w:type="dxa"/>
            <w:vAlign w:val="center"/>
          </w:tcPr>
          <w:p w14:paraId="6C93C1A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通报批评，给予警告，依法吊销医疗机构执业许可证，对有关医疗卫生人员，并由县级以上卫生行政部门依法吊销执业证书。</w:t>
            </w:r>
          </w:p>
        </w:tc>
      </w:tr>
    </w:tbl>
    <w:p w14:paraId="58B4F87E">
      <w:pPr>
        <w:pStyle w:val="4"/>
        <w:widowControl w:val="0"/>
        <w:ind w:firstLine="640"/>
        <w:jc w:val="both"/>
        <w:rPr>
          <w:rFonts w:hint="eastAsia" w:cs="仿宋_GB2312"/>
          <w:bCs/>
          <w:color w:val="000000" w:themeColor="text1"/>
          <w14:textFill>
            <w14:solidFill>
              <w14:schemeClr w14:val="tx1"/>
            </w14:solidFill>
          </w14:textFill>
        </w:rPr>
      </w:pPr>
      <w:bookmarkStart w:id="1896" w:name="_Toc16801"/>
      <w:bookmarkStart w:id="1897" w:name="_Toc13078"/>
      <w:bookmarkStart w:id="1898" w:name="_Toc19258"/>
      <w:bookmarkStart w:id="1899" w:name="_Toc10735"/>
      <w:bookmarkStart w:id="1900" w:name="_Toc6073"/>
      <w:bookmarkStart w:id="1901" w:name="_Toc4738"/>
      <w:bookmarkStart w:id="1902" w:name="_Toc3235"/>
      <w:bookmarkStart w:id="1903" w:name="_Toc32425"/>
      <w:bookmarkStart w:id="1904" w:name="_Toc7002"/>
      <w:bookmarkStart w:id="1905" w:name="_Toc73"/>
      <w:bookmarkStart w:id="1906" w:name="_Toc17114"/>
      <w:r>
        <w:rPr>
          <w:rFonts w:hint="eastAsia" w:cs="仿宋_GB2312"/>
          <w:bCs/>
          <w:color w:val="000000" w:themeColor="text1"/>
          <w14:textFill>
            <w14:solidFill>
              <w14:schemeClr w14:val="tx1"/>
            </w14:solidFill>
          </w14:textFill>
        </w:rPr>
        <w:t>第一百六十条 拒绝服从卫生行政部门调遣的</w:t>
      </w:r>
      <w:bookmarkEnd w:id="1896"/>
      <w:bookmarkEnd w:id="1897"/>
      <w:bookmarkEnd w:id="1898"/>
      <w:bookmarkEnd w:id="1899"/>
      <w:bookmarkEnd w:id="1900"/>
      <w:bookmarkEnd w:id="1901"/>
      <w:bookmarkEnd w:id="1902"/>
      <w:bookmarkEnd w:id="1903"/>
      <w:bookmarkEnd w:id="1904"/>
      <w:bookmarkEnd w:id="1905"/>
      <w:bookmarkEnd w:id="1906"/>
    </w:p>
    <w:p w14:paraId="22A44C51">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57976EE7">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《传染性非典型肺炎防治管理办法》第三十七条第（二）项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14:paraId="0FCA1697">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（二）拒绝服从卫生行政部门调遣。</w:t>
      </w:r>
    </w:p>
    <w:p w14:paraId="2AD1D4E0">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1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7108"/>
        <w:gridCol w:w="4655"/>
      </w:tblGrid>
      <w:tr w14:paraId="5B4D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56" w:type="dxa"/>
            <w:vAlign w:val="center"/>
          </w:tcPr>
          <w:p w14:paraId="3B421580">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108" w:type="dxa"/>
            <w:vAlign w:val="center"/>
          </w:tcPr>
          <w:p w14:paraId="6C136576">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55" w:type="dxa"/>
            <w:vAlign w:val="center"/>
          </w:tcPr>
          <w:p w14:paraId="637DC8F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DAA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6" w:type="dxa"/>
            <w:vAlign w:val="center"/>
          </w:tcPr>
          <w:p w14:paraId="743BEC99">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7108" w:type="dxa"/>
            <w:vAlign w:val="center"/>
          </w:tcPr>
          <w:p w14:paraId="4977D48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拒绝服从卫生行政部门调遣的。</w:t>
            </w:r>
          </w:p>
        </w:tc>
        <w:tc>
          <w:tcPr>
            <w:tcW w:w="4655" w:type="dxa"/>
            <w:vAlign w:val="center"/>
          </w:tcPr>
          <w:p w14:paraId="30DF46A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4CD4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6" w:type="dxa"/>
            <w:vAlign w:val="center"/>
          </w:tcPr>
          <w:p w14:paraId="155FF8E6">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7108" w:type="dxa"/>
            <w:vAlign w:val="center"/>
          </w:tcPr>
          <w:p w14:paraId="30C6BBE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拒绝服从卫生行政部门调遣，严重妨碍传染性非典型肺炎治疗或流行病学调查等相关防治工作的开展；造成传染性非典型肺炎传播、流行或者对社会公众健康造成其他严重危害后果的。</w:t>
            </w:r>
          </w:p>
        </w:tc>
        <w:tc>
          <w:tcPr>
            <w:tcW w:w="4655" w:type="dxa"/>
            <w:vAlign w:val="center"/>
          </w:tcPr>
          <w:p w14:paraId="18EC6248">
            <w:pPr>
              <w:widowControl w:val="0"/>
              <w:spacing w:after="0" w:line="320" w:lineRule="exact"/>
              <w:jc w:val="left"/>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通报批评，给予警告，依法吊销医疗机构执业许可证，对有关医疗卫生人员，并由县级以上卫生行政部门依法吊销执业证书。</w:t>
            </w:r>
          </w:p>
        </w:tc>
      </w:tr>
    </w:tbl>
    <w:p w14:paraId="2B6B0C4F">
      <w:pPr>
        <w:pStyle w:val="4"/>
        <w:widowControl w:val="0"/>
        <w:ind w:firstLine="640"/>
        <w:jc w:val="both"/>
        <w:rPr>
          <w:rFonts w:hint="eastAsia" w:cs="仿宋_GB2312"/>
          <w:bCs/>
          <w:color w:val="000000" w:themeColor="text1"/>
          <w14:textFill>
            <w14:solidFill>
              <w14:schemeClr w14:val="tx1"/>
            </w14:solidFill>
          </w14:textFill>
        </w:rPr>
      </w:pPr>
      <w:bookmarkStart w:id="1907" w:name="_Toc12475"/>
      <w:bookmarkStart w:id="1908" w:name="_Toc29671"/>
      <w:bookmarkStart w:id="1909" w:name="_Toc9084"/>
      <w:bookmarkStart w:id="1910" w:name="_Toc4"/>
      <w:bookmarkStart w:id="1911" w:name="_Toc8730"/>
      <w:bookmarkStart w:id="1912" w:name="_Toc32041"/>
      <w:bookmarkStart w:id="1913" w:name="_Toc23807"/>
      <w:bookmarkStart w:id="1914" w:name="_Toc32510"/>
      <w:bookmarkStart w:id="1915" w:name="_Toc27931"/>
      <w:bookmarkStart w:id="1916" w:name="_Toc26324"/>
      <w:bookmarkStart w:id="1917" w:name="_Toc14982"/>
      <w:r>
        <w:rPr>
          <w:rFonts w:hint="eastAsia" w:cs="仿宋_GB2312"/>
          <w:bCs/>
          <w:color w:val="000000" w:themeColor="text1"/>
          <w14:textFill>
            <w14:solidFill>
              <w14:schemeClr w14:val="tx1"/>
            </w14:solidFill>
          </w14:textFill>
        </w:rPr>
        <w:t>第一百六十一条 未按照规定及时采取预防控制措施的</w:t>
      </w:r>
      <w:bookmarkEnd w:id="1907"/>
      <w:bookmarkEnd w:id="1908"/>
      <w:bookmarkEnd w:id="1909"/>
      <w:bookmarkEnd w:id="1910"/>
      <w:bookmarkEnd w:id="1911"/>
      <w:bookmarkEnd w:id="1912"/>
      <w:bookmarkEnd w:id="1913"/>
      <w:bookmarkEnd w:id="1914"/>
      <w:bookmarkEnd w:id="1915"/>
      <w:bookmarkEnd w:id="1916"/>
      <w:bookmarkEnd w:id="1917"/>
    </w:p>
    <w:p w14:paraId="77A3C5B5">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10DCEDB">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《传染性非典型肺炎防治管理办法》第三十七条第（三）项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14:paraId="0C9D0F35">
      <w:pPr>
        <w:widowControl w:val="0"/>
        <w:spacing w:line="440" w:lineRule="exact"/>
        <w:ind w:left="42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（三）未按照规定及时采取预防控制措施。</w:t>
      </w:r>
    </w:p>
    <w:p w14:paraId="26198DEB">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6447"/>
        <w:gridCol w:w="6112"/>
      </w:tblGrid>
      <w:tr w14:paraId="53C6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410" w:type="dxa"/>
            <w:vAlign w:val="center"/>
          </w:tcPr>
          <w:p w14:paraId="5061B57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447" w:type="dxa"/>
            <w:vAlign w:val="center"/>
          </w:tcPr>
          <w:p w14:paraId="0AC2E02E">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6112" w:type="dxa"/>
            <w:vAlign w:val="center"/>
          </w:tcPr>
          <w:p w14:paraId="0014367E">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17E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0" w:type="dxa"/>
            <w:vAlign w:val="center"/>
          </w:tcPr>
          <w:p w14:paraId="0DC557CB">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6447" w:type="dxa"/>
            <w:vAlign w:val="center"/>
          </w:tcPr>
          <w:p w14:paraId="4D14C47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未按照规定及时采取预防控制措施的。</w:t>
            </w:r>
          </w:p>
        </w:tc>
        <w:tc>
          <w:tcPr>
            <w:tcW w:w="6112" w:type="dxa"/>
            <w:vAlign w:val="center"/>
          </w:tcPr>
          <w:p w14:paraId="48FDB3C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2965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410" w:type="dxa"/>
            <w:vAlign w:val="center"/>
          </w:tcPr>
          <w:p w14:paraId="2710FF68">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6447" w:type="dxa"/>
            <w:vAlign w:val="center"/>
          </w:tcPr>
          <w:p w14:paraId="278837D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未按照规定及时采取预防控制措施，造成传染性非典型肺炎传播、流行或者对社会公众健康造成其他严重危害后果的。</w:t>
            </w:r>
          </w:p>
        </w:tc>
        <w:tc>
          <w:tcPr>
            <w:tcW w:w="6112" w:type="dxa"/>
            <w:vAlign w:val="center"/>
          </w:tcPr>
          <w:p w14:paraId="2E4BA78D">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通报批评，给予警告，依法吊销医疗机构执业许可证，对有关医疗卫生人员，并由县级以上卫生行政部门依法吊销执业证书。</w:t>
            </w:r>
          </w:p>
        </w:tc>
      </w:tr>
    </w:tbl>
    <w:p w14:paraId="7B36677C">
      <w:pPr>
        <w:pStyle w:val="4"/>
        <w:widowControl w:val="0"/>
        <w:spacing w:line="480" w:lineRule="exact"/>
        <w:ind w:firstLine="640"/>
        <w:jc w:val="both"/>
        <w:rPr>
          <w:rFonts w:hint="eastAsia" w:cs="仿宋_GB2312"/>
          <w:bCs/>
          <w:color w:val="000000" w:themeColor="text1"/>
          <w14:textFill>
            <w14:solidFill>
              <w14:schemeClr w14:val="tx1"/>
            </w14:solidFill>
          </w14:textFill>
        </w:rPr>
      </w:pPr>
      <w:bookmarkStart w:id="1918" w:name="_Toc16171"/>
      <w:bookmarkStart w:id="1919" w:name="_Toc4629"/>
      <w:bookmarkStart w:id="1920" w:name="_Toc11073"/>
      <w:bookmarkStart w:id="1921" w:name="_Toc16040"/>
      <w:bookmarkStart w:id="1922" w:name="_Toc22225"/>
      <w:bookmarkStart w:id="1923" w:name="_Toc21563"/>
      <w:bookmarkStart w:id="1924" w:name="_Toc23700"/>
      <w:bookmarkStart w:id="1925" w:name="_Toc13305"/>
      <w:bookmarkStart w:id="1926" w:name="_Toc11057"/>
      <w:bookmarkStart w:id="1927" w:name="_Toc30398"/>
      <w:bookmarkStart w:id="1928" w:name="_Toc19836"/>
      <w:r>
        <w:rPr>
          <w:rFonts w:hint="eastAsia" w:cs="仿宋_GB2312"/>
          <w:bCs/>
          <w:color w:val="000000" w:themeColor="text1"/>
          <w14:textFill>
            <w14:solidFill>
              <w14:schemeClr w14:val="tx1"/>
            </w14:solidFill>
          </w14:textFill>
        </w:rPr>
        <w:t>第一百六十二条 拒绝接诊病人或者疑似病人的</w:t>
      </w:r>
      <w:bookmarkEnd w:id="1918"/>
      <w:bookmarkEnd w:id="1919"/>
      <w:bookmarkEnd w:id="1920"/>
      <w:bookmarkEnd w:id="1921"/>
      <w:bookmarkEnd w:id="1922"/>
      <w:bookmarkEnd w:id="1923"/>
      <w:bookmarkEnd w:id="1924"/>
      <w:bookmarkEnd w:id="1925"/>
      <w:bookmarkEnd w:id="1926"/>
      <w:bookmarkEnd w:id="1927"/>
      <w:bookmarkEnd w:id="1928"/>
    </w:p>
    <w:p w14:paraId="3013C9DA">
      <w:pPr>
        <w:widowControl w:val="0"/>
        <w:spacing w:after="0" w:line="48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E0E68E6">
      <w:pPr>
        <w:widowControl w:val="0"/>
        <w:spacing w:after="0" w:line="48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《传染性非典型肺炎防治管理办法》第三十七条第（四）项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14:paraId="4D6DCFAB">
      <w:pPr>
        <w:widowControl w:val="0"/>
        <w:spacing w:line="48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（四）拒绝接诊病人或者疑似病人。</w:t>
      </w:r>
    </w:p>
    <w:p w14:paraId="422BE206">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7775"/>
        <w:gridCol w:w="4625"/>
      </w:tblGrid>
      <w:tr w14:paraId="55A0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81" w:type="dxa"/>
            <w:vAlign w:val="center"/>
          </w:tcPr>
          <w:p w14:paraId="2179DED2">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75" w:type="dxa"/>
            <w:vAlign w:val="center"/>
          </w:tcPr>
          <w:p w14:paraId="3310DFB2">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5" w:type="dxa"/>
            <w:vAlign w:val="center"/>
          </w:tcPr>
          <w:p w14:paraId="6FDE5219">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78C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581" w:type="dxa"/>
            <w:vAlign w:val="center"/>
          </w:tcPr>
          <w:p w14:paraId="26FBAA5A">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7775" w:type="dxa"/>
            <w:vAlign w:val="center"/>
          </w:tcPr>
          <w:p w14:paraId="6B7CC80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拒绝接诊病人或者疑似病人的。</w:t>
            </w:r>
          </w:p>
        </w:tc>
        <w:tc>
          <w:tcPr>
            <w:tcW w:w="4625" w:type="dxa"/>
            <w:vAlign w:val="center"/>
          </w:tcPr>
          <w:p w14:paraId="66C9E82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2EB2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581" w:type="dxa"/>
            <w:vAlign w:val="center"/>
          </w:tcPr>
          <w:p w14:paraId="276B9BD6">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7775" w:type="dxa"/>
            <w:vAlign w:val="center"/>
          </w:tcPr>
          <w:p w14:paraId="79DB3F6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拒绝接诊病人或者疑似病人，造成传染性非典型肺炎传播、流行或者对社会公众健康造成其他严重危害后果的。</w:t>
            </w:r>
          </w:p>
        </w:tc>
        <w:tc>
          <w:tcPr>
            <w:tcW w:w="4625" w:type="dxa"/>
            <w:vAlign w:val="center"/>
          </w:tcPr>
          <w:p w14:paraId="67C3BA52">
            <w:pPr>
              <w:widowControl w:val="0"/>
              <w:spacing w:after="0" w:line="320" w:lineRule="exact"/>
              <w:jc w:val="left"/>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通报批评，给予警告，依法吊销医疗机构执业许可证，对有关医疗卫生人员，并由县级以上卫生行政部门依法吊销执业证书。</w:t>
            </w:r>
          </w:p>
        </w:tc>
      </w:tr>
    </w:tbl>
    <w:p w14:paraId="466965F8">
      <w:pPr>
        <w:pStyle w:val="4"/>
        <w:widowControl w:val="0"/>
        <w:ind w:firstLine="640"/>
        <w:jc w:val="both"/>
        <w:rPr>
          <w:rFonts w:hint="eastAsia" w:cs="仿宋_GB2312"/>
          <w:bCs/>
          <w:color w:val="000000" w:themeColor="text1"/>
          <w14:textFill>
            <w14:solidFill>
              <w14:schemeClr w14:val="tx1"/>
            </w14:solidFill>
          </w14:textFill>
        </w:rPr>
      </w:pPr>
      <w:bookmarkStart w:id="1929" w:name="_Toc3905"/>
      <w:bookmarkStart w:id="1930" w:name="_Toc32226"/>
      <w:bookmarkStart w:id="1931" w:name="_Toc26251"/>
      <w:bookmarkStart w:id="1932" w:name="_Toc15627"/>
      <w:bookmarkStart w:id="1933" w:name="_Toc26565"/>
      <w:bookmarkStart w:id="1934" w:name="_Toc14438"/>
      <w:bookmarkStart w:id="1935" w:name="_Toc20767"/>
      <w:bookmarkStart w:id="1936" w:name="_Toc28370"/>
      <w:bookmarkStart w:id="1937" w:name="_Toc7577"/>
      <w:bookmarkStart w:id="1938" w:name="_Toc20242"/>
      <w:bookmarkStart w:id="1939" w:name="_Toc17947"/>
      <w:r>
        <w:rPr>
          <w:rFonts w:hint="eastAsia" w:cs="仿宋_GB2312"/>
          <w:bCs/>
          <w:color w:val="000000" w:themeColor="text1"/>
          <w14:textFill>
            <w14:solidFill>
              <w14:schemeClr w14:val="tx1"/>
            </w14:solidFill>
          </w14:textFill>
        </w:rPr>
        <w:t>第一百六十三条 未按照规定履行监测职责的</w:t>
      </w:r>
      <w:bookmarkEnd w:id="1929"/>
      <w:bookmarkEnd w:id="1930"/>
      <w:bookmarkEnd w:id="1931"/>
      <w:bookmarkEnd w:id="1932"/>
      <w:bookmarkEnd w:id="1933"/>
      <w:bookmarkEnd w:id="1934"/>
      <w:bookmarkEnd w:id="1935"/>
      <w:bookmarkEnd w:id="1936"/>
      <w:bookmarkEnd w:id="1937"/>
      <w:bookmarkEnd w:id="1938"/>
      <w:bookmarkEnd w:id="1939"/>
    </w:p>
    <w:p w14:paraId="0D28128B">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BFB55CF">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《传染性非典型肺炎防治管理办法》第三十七条第（五）项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14:paraId="5AEF77C6">
      <w:pPr>
        <w:widowControl w:val="0"/>
        <w:spacing w:after="0" w:line="440" w:lineRule="exact"/>
        <w:ind w:left="0"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（五）未按照规定履行监测职责。</w:t>
      </w:r>
    </w:p>
    <w:p w14:paraId="77A8134D">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5850"/>
        <w:gridCol w:w="6437"/>
      </w:tblGrid>
      <w:tr w14:paraId="1198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4" w:type="dxa"/>
            <w:vAlign w:val="center"/>
          </w:tcPr>
          <w:p w14:paraId="372AC045">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850" w:type="dxa"/>
            <w:vAlign w:val="center"/>
          </w:tcPr>
          <w:p w14:paraId="5B663F70">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6437" w:type="dxa"/>
            <w:vAlign w:val="center"/>
          </w:tcPr>
          <w:p w14:paraId="6233E918">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1AD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4" w:type="dxa"/>
            <w:vAlign w:val="center"/>
          </w:tcPr>
          <w:p w14:paraId="1EBAB3CE">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5850" w:type="dxa"/>
            <w:vAlign w:val="center"/>
          </w:tcPr>
          <w:p w14:paraId="272AF18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未按照规定履行监测职责的。</w:t>
            </w:r>
          </w:p>
        </w:tc>
        <w:tc>
          <w:tcPr>
            <w:tcW w:w="6437" w:type="dxa"/>
            <w:vAlign w:val="center"/>
          </w:tcPr>
          <w:p w14:paraId="5DFD8B40">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通报批评，给予警告。</w:t>
            </w:r>
          </w:p>
        </w:tc>
      </w:tr>
      <w:tr w14:paraId="4D68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94" w:type="dxa"/>
            <w:vAlign w:val="center"/>
          </w:tcPr>
          <w:p w14:paraId="1A3A006B">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5850" w:type="dxa"/>
            <w:vAlign w:val="center"/>
          </w:tcPr>
          <w:p w14:paraId="46F22CDF">
            <w:pPr>
              <w:widowControl w:val="0"/>
              <w:spacing w:after="0" w:line="320" w:lineRule="exact"/>
              <w:jc w:val="left"/>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未按照规定履行监测职责，造成传染性非典型肺炎传播、流行或者对社会公众健康造成其他严重危害后果的。</w:t>
            </w:r>
          </w:p>
        </w:tc>
        <w:tc>
          <w:tcPr>
            <w:tcW w:w="6437" w:type="dxa"/>
            <w:vAlign w:val="center"/>
          </w:tcPr>
          <w:p w14:paraId="4857B111">
            <w:pPr>
              <w:widowControl w:val="0"/>
              <w:spacing w:after="0" w:line="320" w:lineRule="exact"/>
              <w:jc w:val="left"/>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通报批评，给予警告，依法吊销医疗机构执业许可证，对有关医疗卫生人员，并由县级以上卫生行政部门依法吊销执业证书。</w:t>
            </w:r>
          </w:p>
        </w:tc>
      </w:tr>
    </w:tbl>
    <w:p w14:paraId="44862352">
      <w:pPr>
        <w:pStyle w:val="4"/>
        <w:widowControl w:val="0"/>
        <w:ind w:firstLine="640"/>
        <w:jc w:val="both"/>
        <w:rPr>
          <w:rFonts w:hint="eastAsia" w:cs="仿宋_GB2312"/>
          <w:bCs/>
          <w:color w:val="000000" w:themeColor="text1"/>
          <w14:textFill>
            <w14:solidFill>
              <w14:schemeClr w14:val="tx1"/>
            </w14:solidFill>
          </w14:textFill>
        </w:rPr>
      </w:pPr>
      <w:bookmarkStart w:id="1940" w:name="_Toc6311"/>
      <w:bookmarkStart w:id="1941" w:name="_Toc19263"/>
      <w:bookmarkStart w:id="1942" w:name="_Toc26091"/>
      <w:bookmarkStart w:id="1943" w:name="_Toc32039"/>
      <w:bookmarkStart w:id="1944" w:name="_Toc16343"/>
      <w:bookmarkStart w:id="1945" w:name="_Toc18942"/>
      <w:bookmarkStart w:id="1946" w:name="_Toc24356"/>
      <w:bookmarkStart w:id="1947" w:name="_Toc1090"/>
      <w:bookmarkStart w:id="1948" w:name="_Toc4896"/>
      <w:bookmarkStart w:id="1949" w:name="_Toc5069"/>
      <w:bookmarkStart w:id="1950" w:name="_Toc27347"/>
      <w:r>
        <w:rPr>
          <w:rFonts w:hint="eastAsia" w:cs="仿宋_GB2312"/>
          <w:bCs/>
          <w:color w:val="000000" w:themeColor="text1"/>
          <w14:textFill>
            <w14:solidFill>
              <w14:schemeClr w14:val="tx1"/>
            </w14:solidFill>
          </w14:textFill>
        </w:rPr>
        <w:t>第一百六十四条 对传染性非典型肺炎病原体污染的污水、污物、粪便不按规定进行消毒处理的</w:t>
      </w:r>
      <w:bookmarkEnd w:id="1940"/>
      <w:bookmarkEnd w:id="1941"/>
      <w:bookmarkEnd w:id="1942"/>
      <w:bookmarkEnd w:id="1943"/>
      <w:bookmarkEnd w:id="1944"/>
      <w:bookmarkEnd w:id="1945"/>
      <w:bookmarkEnd w:id="1946"/>
      <w:bookmarkEnd w:id="1947"/>
      <w:bookmarkEnd w:id="1948"/>
      <w:bookmarkEnd w:id="1949"/>
      <w:bookmarkEnd w:id="1950"/>
    </w:p>
    <w:p w14:paraId="634994EE">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7F83485">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《传染性非典型肺炎防治管理办法》第三十八条第（一）项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14:paraId="31F699C2">
      <w:pPr>
        <w:widowControl w:val="0"/>
        <w:numPr>
          <w:ilvl w:val="0"/>
          <w:numId w:val="8"/>
        </w:numPr>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对传染性非典型肺炎病原体污染的污水、污物、粪便不按规定进行消毒处理。</w:t>
      </w:r>
    </w:p>
    <w:p w14:paraId="5FE1B9B1">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0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8015"/>
        <w:gridCol w:w="4205"/>
      </w:tblGrid>
      <w:tr w14:paraId="2504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86" w:type="dxa"/>
            <w:vAlign w:val="center"/>
          </w:tcPr>
          <w:p w14:paraId="0EB64532">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15" w:type="dxa"/>
            <w:vAlign w:val="center"/>
          </w:tcPr>
          <w:p w14:paraId="562F494C">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05" w:type="dxa"/>
            <w:vAlign w:val="center"/>
          </w:tcPr>
          <w:p w14:paraId="771C1B0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49E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86" w:type="dxa"/>
            <w:vAlign w:val="center"/>
          </w:tcPr>
          <w:p w14:paraId="04CCF62F">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8015" w:type="dxa"/>
            <w:vAlign w:val="center"/>
          </w:tcPr>
          <w:p w14:paraId="19F737C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对传染性非典型肺炎病原体污染的污水、污物、粪便不按规定进行消毒处理，未造成传染性非典型肺炎传播的。</w:t>
            </w:r>
          </w:p>
        </w:tc>
        <w:tc>
          <w:tcPr>
            <w:tcW w:w="4205" w:type="dxa"/>
            <w:vAlign w:val="center"/>
          </w:tcPr>
          <w:p w14:paraId="42D3AFC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可以处五千元以下罚款。</w:t>
            </w:r>
          </w:p>
        </w:tc>
      </w:tr>
      <w:tr w14:paraId="2336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86" w:type="dxa"/>
            <w:vAlign w:val="center"/>
          </w:tcPr>
          <w:p w14:paraId="7C5EC549">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8015" w:type="dxa"/>
            <w:vAlign w:val="center"/>
          </w:tcPr>
          <w:p w14:paraId="2388AD6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对传染性非典型肺炎病原体污染的污水、污物、粪便不按规定进行消毒处理，造成传染性非典型肺炎传播、暴发、流行的。</w:t>
            </w:r>
          </w:p>
        </w:tc>
        <w:tc>
          <w:tcPr>
            <w:tcW w:w="4205" w:type="dxa"/>
            <w:vAlign w:val="center"/>
          </w:tcPr>
          <w:p w14:paraId="4ED0EAC8">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可以处五千元以上两万元以下的罚款。</w:t>
            </w:r>
          </w:p>
        </w:tc>
      </w:tr>
    </w:tbl>
    <w:p w14:paraId="41C72360">
      <w:pPr>
        <w:pStyle w:val="4"/>
        <w:widowControl w:val="0"/>
        <w:ind w:firstLine="640"/>
        <w:jc w:val="both"/>
        <w:rPr>
          <w:rFonts w:hint="eastAsia" w:cs="仿宋_GB2312"/>
          <w:bCs/>
          <w:color w:val="000000" w:themeColor="text1"/>
          <w14:textFill>
            <w14:solidFill>
              <w14:schemeClr w14:val="tx1"/>
            </w14:solidFill>
          </w14:textFill>
        </w:rPr>
      </w:pPr>
      <w:bookmarkStart w:id="1951" w:name="_Toc29739"/>
      <w:bookmarkStart w:id="1952" w:name="_Toc16714"/>
      <w:bookmarkStart w:id="1953" w:name="_Toc20692"/>
      <w:bookmarkStart w:id="1954" w:name="_Toc15505"/>
      <w:bookmarkStart w:id="1955" w:name="_Toc2854"/>
      <w:bookmarkStart w:id="1956" w:name="_Toc24312"/>
      <w:bookmarkStart w:id="1957" w:name="_Toc28256"/>
      <w:bookmarkStart w:id="1958" w:name="_Toc12865"/>
      <w:bookmarkStart w:id="1959" w:name="_Toc704"/>
      <w:bookmarkStart w:id="1960" w:name="_Toc498"/>
      <w:bookmarkStart w:id="1961" w:name="_Toc25346"/>
      <w:r>
        <w:rPr>
          <w:rFonts w:hint="eastAsia" w:cs="仿宋_GB2312"/>
          <w:bCs/>
          <w:color w:val="000000" w:themeColor="text1"/>
          <w14:textFill>
            <w14:solidFill>
              <w14:schemeClr w14:val="tx1"/>
            </w14:solidFill>
          </w14:textFill>
        </w:rPr>
        <w:t>第一百六十五条 造成传染性非典型肺炎的医源性感染、医院内感染、实验室感染或者致病性微生物扩散的</w:t>
      </w:r>
      <w:bookmarkEnd w:id="1951"/>
      <w:bookmarkEnd w:id="1952"/>
      <w:bookmarkEnd w:id="1953"/>
      <w:bookmarkEnd w:id="1954"/>
      <w:bookmarkEnd w:id="1955"/>
      <w:bookmarkEnd w:id="1956"/>
      <w:bookmarkEnd w:id="1957"/>
      <w:bookmarkEnd w:id="1958"/>
      <w:bookmarkEnd w:id="1959"/>
      <w:bookmarkEnd w:id="1960"/>
      <w:bookmarkEnd w:id="1961"/>
    </w:p>
    <w:p w14:paraId="5BE322CF">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1CFB1FA">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《传染性非典型肺炎防治管理办法》第三十八条第（二）项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14:paraId="3C771F2B">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（二）造成传染性非典型肺炎的医源性感染、医院内感染、实验室感染或者致病性微生物扩散。</w:t>
      </w:r>
    </w:p>
    <w:p w14:paraId="32E627E6">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9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8032"/>
        <w:gridCol w:w="4356"/>
      </w:tblGrid>
      <w:tr w14:paraId="066D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06" w:type="dxa"/>
            <w:vAlign w:val="center"/>
          </w:tcPr>
          <w:p w14:paraId="11D42B2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32" w:type="dxa"/>
            <w:vAlign w:val="center"/>
          </w:tcPr>
          <w:p w14:paraId="03533B6B">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356" w:type="dxa"/>
            <w:vAlign w:val="center"/>
          </w:tcPr>
          <w:p w14:paraId="4305E808">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432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06" w:type="dxa"/>
            <w:vAlign w:val="center"/>
          </w:tcPr>
          <w:p w14:paraId="75ACB227">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8032" w:type="dxa"/>
            <w:vAlign w:val="center"/>
          </w:tcPr>
          <w:p w14:paraId="23EB3A8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造成传染性非典型肺炎的医源性感染、医院内感染、实验室感染，感染人数在一至三例的。</w:t>
            </w:r>
          </w:p>
        </w:tc>
        <w:tc>
          <w:tcPr>
            <w:tcW w:w="4356" w:type="dxa"/>
            <w:vAlign w:val="center"/>
          </w:tcPr>
          <w:p w14:paraId="22CD73D3">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可以处五千元以下罚款。</w:t>
            </w:r>
          </w:p>
        </w:tc>
      </w:tr>
      <w:tr w14:paraId="7C7F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06" w:type="dxa"/>
            <w:vMerge w:val="restart"/>
            <w:vAlign w:val="center"/>
          </w:tcPr>
          <w:p w14:paraId="5D2904CE">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8032" w:type="dxa"/>
            <w:vAlign w:val="center"/>
          </w:tcPr>
          <w:p w14:paraId="15D7F260">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造成传染性非典型肺炎的医源性感染、医院内感染、实验室感染，感染人数在四至六例的。</w:t>
            </w:r>
          </w:p>
        </w:tc>
        <w:tc>
          <w:tcPr>
            <w:tcW w:w="4356" w:type="dxa"/>
            <w:vAlign w:val="center"/>
          </w:tcPr>
          <w:p w14:paraId="66DAAC3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处五千元以上一万元以下的罚款。</w:t>
            </w:r>
          </w:p>
        </w:tc>
      </w:tr>
      <w:tr w14:paraId="3B67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606" w:type="dxa"/>
            <w:vMerge w:val="continue"/>
            <w:vAlign w:val="center"/>
          </w:tcPr>
          <w:p w14:paraId="763F275C">
            <w:pPr>
              <w:widowControl w:val="0"/>
              <w:spacing w:line="440" w:lineRule="exact"/>
              <w:jc w:val="both"/>
              <w:textAlignment w:val="center"/>
              <w:rPr>
                <w:rStyle w:val="56"/>
                <w:rFonts w:hint="default" w:ascii="Times New Roman" w:hAnsi="Times New Roman"/>
                <w:color w:val="000000" w:themeColor="text1"/>
                <w:lang w:bidi="ar"/>
                <w14:textFill>
                  <w14:solidFill>
                    <w14:schemeClr w14:val="tx1"/>
                  </w14:solidFill>
                </w14:textFill>
              </w:rPr>
            </w:pPr>
          </w:p>
        </w:tc>
        <w:tc>
          <w:tcPr>
            <w:tcW w:w="8032" w:type="dxa"/>
            <w:vAlign w:val="center"/>
          </w:tcPr>
          <w:p w14:paraId="4C28454D">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造成传染性非典型肺炎的医源性感染、医院内感染、实验室感染，感染人数在七例以上，或致病性微生物扩散造成传染性非典型肺炎暴发、流行的。</w:t>
            </w:r>
          </w:p>
        </w:tc>
        <w:tc>
          <w:tcPr>
            <w:tcW w:w="4356" w:type="dxa"/>
            <w:vAlign w:val="center"/>
          </w:tcPr>
          <w:p w14:paraId="219ACDDB">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处一万元以上二万元以下的罚款。</w:t>
            </w:r>
          </w:p>
        </w:tc>
      </w:tr>
    </w:tbl>
    <w:p w14:paraId="06625A3A">
      <w:pPr>
        <w:pStyle w:val="4"/>
        <w:widowControl w:val="0"/>
        <w:ind w:firstLine="640"/>
        <w:jc w:val="both"/>
        <w:rPr>
          <w:rFonts w:hint="eastAsia" w:cs="仿宋_GB2312"/>
          <w:bCs/>
          <w:color w:val="000000" w:themeColor="text1"/>
          <w14:textFill>
            <w14:solidFill>
              <w14:schemeClr w14:val="tx1"/>
            </w14:solidFill>
          </w14:textFill>
        </w:rPr>
      </w:pPr>
      <w:bookmarkStart w:id="1962" w:name="_Toc6337"/>
      <w:bookmarkStart w:id="1963" w:name="_Toc13393"/>
      <w:bookmarkStart w:id="1964" w:name="_Toc30399"/>
      <w:bookmarkStart w:id="1965" w:name="_Toc4801"/>
      <w:bookmarkStart w:id="1966" w:name="_Toc15116"/>
      <w:bookmarkStart w:id="1967" w:name="_Toc980"/>
      <w:bookmarkStart w:id="1968" w:name="_Toc8671"/>
      <w:bookmarkStart w:id="1969" w:name="_Toc18827"/>
      <w:bookmarkStart w:id="1970" w:name="_Toc5669"/>
      <w:bookmarkStart w:id="1971" w:name="_Toc13639"/>
      <w:bookmarkStart w:id="1972" w:name="_Toc12164"/>
      <w:r>
        <w:rPr>
          <w:rFonts w:hint="eastAsia" w:cs="仿宋_GB2312"/>
          <w:bCs/>
          <w:color w:val="000000" w:themeColor="text1"/>
          <w14:textFill>
            <w14:solidFill>
              <w14:schemeClr w14:val="tx1"/>
            </w14:solidFill>
          </w14:textFill>
        </w:rPr>
        <w:t>第一百六十六条 生产、经营、使用消毒产品、隔离防护用品等不符合规定与标准，可能造成传染病的传播、扩散或者造成传染病的传播、扩散的</w:t>
      </w:r>
      <w:bookmarkEnd w:id="1962"/>
      <w:bookmarkEnd w:id="1963"/>
      <w:bookmarkEnd w:id="1964"/>
      <w:bookmarkEnd w:id="1965"/>
      <w:bookmarkEnd w:id="1966"/>
      <w:bookmarkEnd w:id="1967"/>
      <w:bookmarkEnd w:id="1968"/>
      <w:bookmarkEnd w:id="1969"/>
      <w:bookmarkEnd w:id="1970"/>
      <w:bookmarkEnd w:id="1971"/>
      <w:bookmarkEnd w:id="1972"/>
    </w:p>
    <w:p w14:paraId="3CA48507">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5F5E01A2">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《传染性非典型肺炎防治管理办法》第三十八条第（三）项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14:paraId="035B2A45">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（三）生产、经营、使用消毒产品、隔离防护用品等不符合规定与标准，可能造成传染病的传播、扩散或者造成传染病的传播、扩散。</w:t>
      </w:r>
    </w:p>
    <w:p w14:paraId="04F8F728">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01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9087"/>
        <w:gridCol w:w="3363"/>
      </w:tblGrid>
      <w:tr w14:paraId="2792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69" w:type="dxa"/>
            <w:vAlign w:val="center"/>
          </w:tcPr>
          <w:p w14:paraId="0B78CF8B">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9087" w:type="dxa"/>
            <w:vAlign w:val="center"/>
          </w:tcPr>
          <w:p w14:paraId="3B4229EC">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363" w:type="dxa"/>
            <w:vAlign w:val="center"/>
          </w:tcPr>
          <w:p w14:paraId="6EA1002D">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FC5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69" w:type="dxa"/>
            <w:vAlign w:val="center"/>
          </w:tcPr>
          <w:p w14:paraId="4ADA2F97">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9087" w:type="dxa"/>
            <w:vAlign w:val="center"/>
          </w:tcPr>
          <w:p w14:paraId="7F153E5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生产、经营、使用消毒产品、隔离防护用品等不符合规定与标准，可能造成传染病的传播、扩散的。</w:t>
            </w:r>
          </w:p>
        </w:tc>
        <w:tc>
          <w:tcPr>
            <w:tcW w:w="3363" w:type="dxa"/>
            <w:vAlign w:val="center"/>
          </w:tcPr>
          <w:p w14:paraId="29A93974">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可以处五千元以下罚款。</w:t>
            </w:r>
          </w:p>
        </w:tc>
      </w:tr>
      <w:tr w14:paraId="0254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69" w:type="dxa"/>
            <w:vAlign w:val="center"/>
          </w:tcPr>
          <w:p w14:paraId="7FBCF7EF">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9087" w:type="dxa"/>
            <w:vAlign w:val="center"/>
          </w:tcPr>
          <w:p w14:paraId="03C56998">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生产、经营、使用消毒产品、隔离防护用品等不符合规定与标准，造成传染病的传播、扩散的。</w:t>
            </w:r>
          </w:p>
        </w:tc>
        <w:tc>
          <w:tcPr>
            <w:tcW w:w="3363" w:type="dxa"/>
            <w:vAlign w:val="center"/>
          </w:tcPr>
          <w:p w14:paraId="7F10031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可以处五千元以上二万元以下的罚款。</w:t>
            </w:r>
          </w:p>
        </w:tc>
      </w:tr>
    </w:tbl>
    <w:p w14:paraId="7DCB24EB">
      <w:pPr>
        <w:pStyle w:val="4"/>
        <w:widowControl w:val="0"/>
        <w:ind w:firstLine="640"/>
        <w:jc w:val="both"/>
        <w:rPr>
          <w:rFonts w:hint="eastAsia" w:cs="仿宋_GB2312"/>
          <w:bCs/>
          <w:color w:val="000000" w:themeColor="text1"/>
          <w14:textFill>
            <w14:solidFill>
              <w14:schemeClr w14:val="tx1"/>
            </w14:solidFill>
          </w14:textFill>
        </w:rPr>
      </w:pPr>
      <w:bookmarkStart w:id="1973" w:name="_Toc1562"/>
      <w:bookmarkStart w:id="1974" w:name="_Toc28440"/>
      <w:bookmarkStart w:id="1975" w:name="_Toc10695"/>
      <w:bookmarkStart w:id="1976" w:name="_Toc31445"/>
      <w:bookmarkStart w:id="1977" w:name="_Toc26363"/>
      <w:bookmarkStart w:id="1978" w:name="_Toc15581"/>
      <w:bookmarkStart w:id="1979" w:name="_Toc11800"/>
      <w:bookmarkStart w:id="1980" w:name="_Toc26739"/>
      <w:bookmarkStart w:id="1981" w:name="_Toc30216"/>
      <w:bookmarkStart w:id="1982" w:name="_Toc29855"/>
      <w:bookmarkStart w:id="1983" w:name="_Toc3330"/>
      <w:r>
        <w:rPr>
          <w:rFonts w:hint="eastAsia" w:cs="仿宋_GB2312"/>
          <w:bCs/>
          <w:color w:val="000000" w:themeColor="text1"/>
          <w14:textFill>
            <w14:solidFill>
              <w14:schemeClr w14:val="tx1"/>
            </w14:solidFill>
          </w14:textFill>
        </w:rPr>
        <w:t>第一百六十七条 拒绝、阻碍或者不配合现场调查、资料收集、采样检验以及监督检查的</w:t>
      </w:r>
      <w:bookmarkEnd w:id="1973"/>
      <w:bookmarkEnd w:id="1974"/>
      <w:bookmarkEnd w:id="1975"/>
      <w:bookmarkEnd w:id="1976"/>
      <w:bookmarkEnd w:id="1977"/>
      <w:bookmarkEnd w:id="1978"/>
      <w:bookmarkEnd w:id="1979"/>
      <w:bookmarkEnd w:id="1980"/>
      <w:bookmarkEnd w:id="1981"/>
      <w:bookmarkEnd w:id="1982"/>
      <w:bookmarkEnd w:id="1983"/>
    </w:p>
    <w:p w14:paraId="6E0F4CA3">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6008D8C">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《传染性非典型肺炎防治管理办法》第三十八条第（四）项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14:paraId="46CBD0CC">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（四）拒绝、阻碍或者不配合现场调查、资料收集、采样检验以及监督检查。</w:t>
      </w:r>
    </w:p>
    <w:p w14:paraId="643E84C0">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1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7910"/>
        <w:gridCol w:w="4243"/>
      </w:tblGrid>
      <w:tr w14:paraId="5262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66" w:type="dxa"/>
            <w:vAlign w:val="center"/>
          </w:tcPr>
          <w:p w14:paraId="0E65B737">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910" w:type="dxa"/>
            <w:vAlign w:val="center"/>
          </w:tcPr>
          <w:p w14:paraId="3638C523">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3" w:type="dxa"/>
            <w:vAlign w:val="center"/>
          </w:tcPr>
          <w:p w14:paraId="44324FF2">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B29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66" w:type="dxa"/>
            <w:vAlign w:val="center"/>
          </w:tcPr>
          <w:p w14:paraId="64023BF4">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7910" w:type="dxa"/>
            <w:vAlign w:val="center"/>
          </w:tcPr>
          <w:p w14:paraId="4ABA0009">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生产、经营、使用消毒产品、隔离防护用品等不符合规定与标准，可能造成传染病的传播、扩散的。</w:t>
            </w:r>
          </w:p>
        </w:tc>
        <w:tc>
          <w:tcPr>
            <w:tcW w:w="4243" w:type="dxa"/>
            <w:vAlign w:val="center"/>
          </w:tcPr>
          <w:p w14:paraId="63853AC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可以处五千元以下罚款。</w:t>
            </w:r>
          </w:p>
        </w:tc>
      </w:tr>
      <w:tr w14:paraId="2790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66" w:type="dxa"/>
            <w:vAlign w:val="center"/>
          </w:tcPr>
          <w:p w14:paraId="25378A2B">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7910" w:type="dxa"/>
            <w:vAlign w:val="center"/>
          </w:tcPr>
          <w:p w14:paraId="79892752">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生产、经营、使用消毒产品、隔离防护用品等不符合规定与标准，造成传染病的传播、扩散的。</w:t>
            </w:r>
          </w:p>
        </w:tc>
        <w:tc>
          <w:tcPr>
            <w:tcW w:w="4243" w:type="dxa"/>
            <w:vAlign w:val="center"/>
          </w:tcPr>
          <w:p w14:paraId="29B45A4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可以处五千元以上二万元以下的罚款。</w:t>
            </w:r>
          </w:p>
        </w:tc>
      </w:tr>
    </w:tbl>
    <w:p w14:paraId="018688CD">
      <w:pPr>
        <w:pStyle w:val="4"/>
        <w:widowControl w:val="0"/>
        <w:ind w:firstLine="640"/>
        <w:jc w:val="both"/>
        <w:rPr>
          <w:rFonts w:hint="eastAsia" w:cs="仿宋_GB2312"/>
          <w:bCs/>
          <w:color w:val="000000" w:themeColor="text1"/>
          <w14:textFill>
            <w14:solidFill>
              <w14:schemeClr w14:val="tx1"/>
            </w14:solidFill>
          </w14:textFill>
        </w:rPr>
      </w:pPr>
      <w:bookmarkStart w:id="1984" w:name="_Toc24195"/>
      <w:bookmarkStart w:id="1985" w:name="_Toc19032"/>
      <w:bookmarkStart w:id="1986" w:name="_Toc27836"/>
      <w:bookmarkStart w:id="1987" w:name="_Toc9104"/>
      <w:bookmarkStart w:id="1988" w:name="_Toc14255"/>
      <w:bookmarkStart w:id="1989" w:name="_Toc17274"/>
      <w:bookmarkStart w:id="1990" w:name="_Toc24525"/>
      <w:bookmarkStart w:id="1991" w:name="_Toc7044"/>
      <w:bookmarkStart w:id="1992" w:name="_Toc3081"/>
      <w:bookmarkStart w:id="1993" w:name="_Toc9870"/>
      <w:bookmarkStart w:id="1994" w:name="_Toc4210"/>
      <w:r>
        <w:rPr>
          <w:rFonts w:hint="eastAsia" w:cs="仿宋_GB2312"/>
          <w:bCs/>
          <w:color w:val="000000" w:themeColor="text1"/>
          <w14:textFill>
            <w14:solidFill>
              <w14:schemeClr w14:val="tx1"/>
            </w14:solidFill>
          </w14:textFill>
        </w:rPr>
        <w:t>第一百六十八条 拒绝执行疾病预防控制机构提出的预防、控制措施的</w:t>
      </w:r>
      <w:bookmarkEnd w:id="1984"/>
      <w:bookmarkEnd w:id="1985"/>
      <w:bookmarkEnd w:id="1986"/>
      <w:bookmarkEnd w:id="1987"/>
      <w:bookmarkEnd w:id="1988"/>
      <w:bookmarkEnd w:id="1989"/>
      <w:bookmarkEnd w:id="1990"/>
      <w:bookmarkEnd w:id="1991"/>
      <w:bookmarkEnd w:id="1992"/>
      <w:bookmarkEnd w:id="1993"/>
      <w:bookmarkEnd w:id="1994"/>
    </w:p>
    <w:p w14:paraId="12369E2F">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FA29B3D">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《传染性非典型肺炎防治管理办法》第三十八条 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14:paraId="77C0A344">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（五）拒绝执行疾病预防控制机构提出的预防、控制措施。</w:t>
      </w:r>
    </w:p>
    <w:p w14:paraId="5ACB7157">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78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7537"/>
        <w:gridCol w:w="4500"/>
      </w:tblGrid>
      <w:tr w14:paraId="5F51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44" w:type="dxa"/>
            <w:vAlign w:val="center"/>
          </w:tcPr>
          <w:p w14:paraId="4E317F4A">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37" w:type="dxa"/>
            <w:vAlign w:val="center"/>
          </w:tcPr>
          <w:p w14:paraId="4C12EC20">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00" w:type="dxa"/>
            <w:vAlign w:val="center"/>
          </w:tcPr>
          <w:p w14:paraId="03FA644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505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44" w:type="dxa"/>
            <w:vAlign w:val="center"/>
          </w:tcPr>
          <w:p w14:paraId="460EEA07">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7537" w:type="dxa"/>
            <w:vAlign w:val="center"/>
          </w:tcPr>
          <w:p w14:paraId="5AFB1F38">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拒绝执行疾病预防控制机构提出的预防、控制措施的。</w:t>
            </w:r>
          </w:p>
        </w:tc>
        <w:tc>
          <w:tcPr>
            <w:tcW w:w="4500" w:type="dxa"/>
            <w:vAlign w:val="center"/>
          </w:tcPr>
          <w:p w14:paraId="0B4DD69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可以处五千元以下罚款。</w:t>
            </w:r>
          </w:p>
        </w:tc>
      </w:tr>
      <w:tr w14:paraId="21C7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44" w:type="dxa"/>
            <w:vAlign w:val="center"/>
          </w:tcPr>
          <w:p w14:paraId="7F6CB7B8">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7537" w:type="dxa"/>
            <w:vAlign w:val="center"/>
          </w:tcPr>
          <w:p w14:paraId="53D09B4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拒绝执行疾病预防控制机构提出的预防、控制措施，造成传染性非典型肺炎的传播、扩散的。</w:t>
            </w:r>
          </w:p>
        </w:tc>
        <w:tc>
          <w:tcPr>
            <w:tcW w:w="4500" w:type="dxa"/>
            <w:vAlign w:val="center"/>
          </w:tcPr>
          <w:p w14:paraId="13EEBA89">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可以处五千元以上二万元以下的罚款。</w:t>
            </w:r>
          </w:p>
        </w:tc>
      </w:tr>
    </w:tbl>
    <w:p w14:paraId="455A2C57">
      <w:pPr>
        <w:pStyle w:val="4"/>
        <w:widowControl w:val="0"/>
        <w:ind w:firstLine="640"/>
        <w:jc w:val="both"/>
        <w:rPr>
          <w:rFonts w:hint="eastAsia" w:cs="仿宋_GB2312"/>
          <w:bCs/>
          <w:color w:val="000000" w:themeColor="text1"/>
          <w14:textFill>
            <w14:solidFill>
              <w14:schemeClr w14:val="tx1"/>
            </w14:solidFill>
          </w14:textFill>
        </w:rPr>
      </w:pPr>
      <w:bookmarkStart w:id="1995" w:name="_Toc14888"/>
      <w:bookmarkStart w:id="1996" w:name="_Toc600"/>
      <w:bookmarkStart w:id="1997" w:name="_Toc32454"/>
      <w:bookmarkStart w:id="1998" w:name="_Toc13742"/>
      <w:bookmarkStart w:id="1999" w:name="_Toc19338"/>
      <w:bookmarkStart w:id="2000" w:name="_Toc18290"/>
      <w:bookmarkStart w:id="2001" w:name="_Toc97"/>
      <w:bookmarkStart w:id="2002" w:name="_Toc30160"/>
      <w:bookmarkStart w:id="2003" w:name="_Toc31272"/>
      <w:bookmarkStart w:id="2004" w:name="_Toc20379"/>
      <w:bookmarkStart w:id="2005" w:name="_Toc5395"/>
      <w:r>
        <w:rPr>
          <w:rFonts w:hint="eastAsia" w:cs="仿宋_GB2312"/>
          <w:bCs/>
          <w:color w:val="000000" w:themeColor="text1"/>
          <w14:textFill>
            <w14:solidFill>
              <w14:schemeClr w14:val="tx1"/>
            </w14:solidFill>
          </w14:textFill>
        </w:rPr>
        <w:t>第一百六十九条 病人或者疑似病人故意传播传染性非典型肺炎，造成他人感染的</w:t>
      </w:r>
      <w:bookmarkEnd w:id="1995"/>
      <w:bookmarkEnd w:id="1996"/>
      <w:bookmarkEnd w:id="1997"/>
      <w:bookmarkEnd w:id="1998"/>
      <w:bookmarkEnd w:id="1999"/>
      <w:bookmarkEnd w:id="2000"/>
      <w:bookmarkEnd w:id="2001"/>
      <w:bookmarkEnd w:id="2002"/>
      <w:bookmarkEnd w:id="2003"/>
      <w:bookmarkEnd w:id="2004"/>
      <w:bookmarkEnd w:id="2005"/>
    </w:p>
    <w:p w14:paraId="3DAFC2D0">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A0C23D8">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《传染性非典型肺炎防治管理办法》第三十八条第（六）项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14:paraId="6164CBB1">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（六）病人或者疑似病人故意传播传染性非典型肺炎，造成他人感染。</w:t>
      </w:r>
    </w:p>
    <w:p w14:paraId="6AC4E8B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0"/>
        <w:gridCol w:w="7360"/>
        <w:gridCol w:w="4779"/>
      </w:tblGrid>
      <w:tr w14:paraId="3AAE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30" w:type="dxa"/>
            <w:vAlign w:val="center"/>
          </w:tcPr>
          <w:p w14:paraId="023D1999">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360" w:type="dxa"/>
            <w:vAlign w:val="center"/>
          </w:tcPr>
          <w:p w14:paraId="0EC6D6CC">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79" w:type="dxa"/>
            <w:vAlign w:val="center"/>
          </w:tcPr>
          <w:p w14:paraId="1DAA3337">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E30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0" w:type="dxa"/>
            <w:vAlign w:val="center"/>
          </w:tcPr>
          <w:p w14:paraId="7B9201C1">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7360" w:type="dxa"/>
            <w:vAlign w:val="center"/>
          </w:tcPr>
          <w:p w14:paraId="23F6A762">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病人或者疑似病人故意传播传染性非典型肺炎，造成一人感染的。</w:t>
            </w:r>
          </w:p>
        </w:tc>
        <w:tc>
          <w:tcPr>
            <w:tcW w:w="4779" w:type="dxa"/>
            <w:vAlign w:val="center"/>
          </w:tcPr>
          <w:p w14:paraId="30C3DEF9">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可以处五千元以下罚款。</w:t>
            </w:r>
          </w:p>
        </w:tc>
      </w:tr>
      <w:tr w14:paraId="33ED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0" w:type="dxa"/>
            <w:vMerge w:val="restart"/>
            <w:vAlign w:val="center"/>
          </w:tcPr>
          <w:p w14:paraId="57753036">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7360" w:type="dxa"/>
            <w:vAlign w:val="center"/>
          </w:tcPr>
          <w:p w14:paraId="3023EB8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病人或者疑似病人故意传播传染性非典型肺炎，造成二人感染的。</w:t>
            </w:r>
          </w:p>
        </w:tc>
        <w:tc>
          <w:tcPr>
            <w:tcW w:w="4779" w:type="dxa"/>
            <w:vAlign w:val="center"/>
          </w:tcPr>
          <w:p w14:paraId="5D802EAE">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处五千元以上一万元以下的罚款。</w:t>
            </w:r>
          </w:p>
        </w:tc>
      </w:tr>
      <w:tr w14:paraId="503A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0" w:type="dxa"/>
            <w:vMerge w:val="continue"/>
            <w:vAlign w:val="center"/>
          </w:tcPr>
          <w:p w14:paraId="219DF3EF">
            <w:pPr>
              <w:widowControl w:val="0"/>
              <w:spacing w:line="440" w:lineRule="exact"/>
              <w:jc w:val="both"/>
              <w:textAlignment w:val="center"/>
              <w:rPr>
                <w:rStyle w:val="56"/>
                <w:rFonts w:hint="default" w:ascii="Times New Roman" w:hAnsi="Times New Roman"/>
                <w:color w:val="000000" w:themeColor="text1"/>
                <w:lang w:bidi="ar"/>
                <w14:textFill>
                  <w14:solidFill>
                    <w14:schemeClr w14:val="tx1"/>
                  </w14:solidFill>
                </w14:textFill>
              </w:rPr>
            </w:pPr>
          </w:p>
        </w:tc>
        <w:tc>
          <w:tcPr>
            <w:tcW w:w="7360" w:type="dxa"/>
            <w:vAlign w:val="center"/>
          </w:tcPr>
          <w:p w14:paraId="02EC0EA9">
            <w:pPr>
              <w:widowControl w:val="0"/>
              <w:spacing w:after="0" w:line="320" w:lineRule="exact"/>
              <w:jc w:val="left"/>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病人或者疑似病人故意传播传染性非典型肺炎，造成三人以上感染的。</w:t>
            </w:r>
          </w:p>
        </w:tc>
        <w:tc>
          <w:tcPr>
            <w:tcW w:w="4779" w:type="dxa"/>
            <w:vAlign w:val="center"/>
          </w:tcPr>
          <w:p w14:paraId="78A554C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处一万元以上二万元以下的罚款。</w:t>
            </w:r>
          </w:p>
        </w:tc>
      </w:tr>
    </w:tbl>
    <w:p w14:paraId="2DFDA708">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2006" w:name="_Toc19222"/>
      <w:bookmarkStart w:id="2007" w:name="_Toc3926"/>
      <w:bookmarkStart w:id="2008" w:name="_Toc14789"/>
      <w:bookmarkStart w:id="2009" w:name="_Toc27359"/>
      <w:bookmarkStart w:id="2010" w:name="_Toc967"/>
      <w:bookmarkStart w:id="2011" w:name="_Toc4816"/>
      <w:bookmarkStart w:id="2012" w:name="_Toc3207"/>
      <w:bookmarkStart w:id="2013" w:name="_Toc5378"/>
      <w:bookmarkStart w:id="2014" w:name="_Toc13795"/>
      <w:bookmarkStart w:id="2015" w:name="_Toc21891"/>
      <w:bookmarkStart w:id="2016" w:name="_Toc25994"/>
      <w:bookmarkStart w:id="2017" w:name="_Toc7401"/>
      <w:bookmarkStart w:id="2018" w:name="_Toc21309"/>
      <w:r>
        <w:rPr>
          <w:rFonts w:hint="eastAsia" w:ascii="Times New Roman" w:hAnsi="Times New Roman" w:eastAsia="楷体_GB2312" w:cs="楷体_GB2312"/>
          <w:color w:val="000000" w:themeColor="text1"/>
          <w14:textFill>
            <w14:solidFill>
              <w14:schemeClr w14:val="tx1"/>
            </w14:solidFill>
          </w14:textFill>
        </w:rPr>
        <w:t>（十七）《中华人民共和国生物安全法》</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259CCF01">
      <w:pPr>
        <w:pStyle w:val="4"/>
        <w:widowControl w:val="0"/>
        <w:ind w:firstLine="640"/>
        <w:jc w:val="both"/>
        <w:rPr>
          <w:rFonts w:hint="eastAsia" w:cs="仿宋_GB2312"/>
          <w:bCs/>
          <w:color w:val="000000" w:themeColor="text1"/>
          <w14:textFill>
            <w14:solidFill>
              <w14:schemeClr w14:val="tx1"/>
            </w14:solidFill>
          </w14:textFill>
        </w:rPr>
      </w:pPr>
      <w:bookmarkStart w:id="2019" w:name="_Toc14152"/>
      <w:bookmarkStart w:id="2020" w:name="_Toc7753"/>
      <w:bookmarkStart w:id="2021" w:name="_Toc15667"/>
      <w:bookmarkStart w:id="2022" w:name="_Toc1002"/>
      <w:bookmarkStart w:id="2023" w:name="_Toc25165"/>
      <w:bookmarkStart w:id="2024" w:name="_Toc30455"/>
      <w:bookmarkStart w:id="2025" w:name="_Toc31631"/>
      <w:bookmarkStart w:id="2026" w:name="_Toc19411"/>
      <w:bookmarkStart w:id="2027" w:name="_Toc27191"/>
      <w:bookmarkStart w:id="2028" w:name="_Toc32354"/>
      <w:bookmarkStart w:id="2029" w:name="_Toc7271"/>
      <w:r>
        <w:rPr>
          <w:rFonts w:hint="eastAsia" w:cs="仿宋_GB2312"/>
          <w:bCs/>
          <w:color w:val="000000" w:themeColor="text1"/>
          <w14:textFill>
            <w14:solidFill>
              <w14:schemeClr w14:val="tx1"/>
            </w14:solidFill>
          </w14:textFill>
        </w:rPr>
        <w:t>第一百七十条 医疗机构、专业机构或者其工作人员瞒报、谎报、缓报、漏报，授意他人瞒报、谎报、缓报，或者阻碍他人报告传染病或者不明原因的聚集性疾病的</w:t>
      </w:r>
      <w:bookmarkEnd w:id="2019"/>
      <w:bookmarkEnd w:id="2020"/>
      <w:bookmarkEnd w:id="2021"/>
      <w:bookmarkEnd w:id="2022"/>
      <w:bookmarkEnd w:id="2023"/>
      <w:bookmarkEnd w:id="2024"/>
      <w:bookmarkEnd w:id="2025"/>
      <w:bookmarkEnd w:id="2026"/>
      <w:bookmarkEnd w:id="2027"/>
      <w:bookmarkEnd w:id="2028"/>
      <w:bookmarkEnd w:id="2029"/>
    </w:p>
    <w:p w14:paraId="367E4013">
      <w:pPr>
        <w:widowControl w:val="0"/>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2E59DA8">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《中华人民共和国生物安全法》第七十三条第一款违</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反本法规定，医疗机构、专业机构或者其工作人员瞒报、谎报、缓报、漏报，授意他人瞒报、谎报、缓报，或者阻碍他人报告传染病、动植物疫病或者不明原因的聚集性疾病的，由县级以上人民政府有关部门责令改正，给予警告；对法定代表人、主要负责人、直接负责的主管人员和其他直接责任人员，依法给予处分，并可以依法暂停一定期限的执业活动直至吊销相关执业证书。</w:t>
      </w:r>
    </w:p>
    <w:p w14:paraId="6E6DDB6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6655"/>
        <w:gridCol w:w="5450"/>
      </w:tblGrid>
      <w:tr w14:paraId="452D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1" w:type="dxa"/>
            <w:vAlign w:val="center"/>
          </w:tcPr>
          <w:p w14:paraId="0F24E9BD">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655" w:type="dxa"/>
            <w:vAlign w:val="center"/>
          </w:tcPr>
          <w:p w14:paraId="421BA155">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450" w:type="dxa"/>
            <w:vAlign w:val="center"/>
          </w:tcPr>
          <w:p w14:paraId="5235A517">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9C5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1" w:type="dxa"/>
            <w:vAlign w:val="center"/>
          </w:tcPr>
          <w:p w14:paraId="1704EC46">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6655" w:type="dxa"/>
            <w:vAlign w:val="center"/>
          </w:tcPr>
          <w:p w14:paraId="0E5542C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未造成传染病传播、流行等严重后果的。</w:t>
            </w:r>
          </w:p>
        </w:tc>
        <w:tc>
          <w:tcPr>
            <w:tcW w:w="5450" w:type="dxa"/>
            <w:vAlign w:val="center"/>
          </w:tcPr>
          <w:p w14:paraId="01F15AFB">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p>
        </w:tc>
      </w:tr>
      <w:tr w14:paraId="15BA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51" w:type="dxa"/>
            <w:vAlign w:val="center"/>
          </w:tcPr>
          <w:p w14:paraId="1590D9A1">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6655" w:type="dxa"/>
            <w:vAlign w:val="center"/>
          </w:tcPr>
          <w:p w14:paraId="6688F135">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造成传染病传播、流行等严重后果的。</w:t>
            </w:r>
          </w:p>
        </w:tc>
        <w:tc>
          <w:tcPr>
            <w:tcW w:w="5450" w:type="dxa"/>
            <w:vAlign w:val="center"/>
          </w:tcPr>
          <w:p w14:paraId="1106EF7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依法暂停一定期限的执业活动直至吊销相关执业证书。</w:t>
            </w:r>
          </w:p>
        </w:tc>
      </w:tr>
    </w:tbl>
    <w:p w14:paraId="369EA034">
      <w:pPr>
        <w:pStyle w:val="4"/>
        <w:widowControl w:val="0"/>
        <w:spacing w:line="460" w:lineRule="exact"/>
        <w:ind w:firstLine="640"/>
        <w:jc w:val="both"/>
        <w:rPr>
          <w:rFonts w:hint="eastAsia" w:cs="仿宋_GB2312"/>
          <w:bCs/>
          <w:color w:val="000000" w:themeColor="text1"/>
          <w14:textFill>
            <w14:solidFill>
              <w14:schemeClr w14:val="tx1"/>
            </w14:solidFill>
          </w14:textFill>
        </w:rPr>
      </w:pPr>
      <w:bookmarkStart w:id="2030" w:name="_Toc8755"/>
      <w:bookmarkStart w:id="2031" w:name="_Toc12340"/>
      <w:bookmarkStart w:id="2032" w:name="_Toc5524"/>
      <w:bookmarkStart w:id="2033" w:name="_Toc26781"/>
      <w:bookmarkStart w:id="2034" w:name="_Toc25419"/>
      <w:bookmarkStart w:id="2035" w:name="_Toc28963"/>
      <w:bookmarkStart w:id="2036" w:name="_Toc348"/>
      <w:bookmarkStart w:id="2037" w:name="_Toc28428"/>
      <w:bookmarkStart w:id="2038" w:name="_Toc17515"/>
      <w:bookmarkStart w:id="2039" w:name="_Toc29472"/>
      <w:bookmarkStart w:id="2040" w:name="_Toc20626"/>
      <w:r>
        <w:rPr>
          <w:rFonts w:hint="eastAsia" w:cs="仿宋_GB2312"/>
          <w:bCs/>
          <w:color w:val="000000" w:themeColor="text1"/>
          <w14:textFill>
            <w14:solidFill>
              <w14:schemeClr w14:val="tx1"/>
            </w14:solidFill>
          </w14:textFill>
        </w:rPr>
        <w:t>第一百七十一条 从事国家禁止的生物技术研究、开发与应用活动的</w:t>
      </w:r>
      <w:bookmarkEnd w:id="2030"/>
      <w:bookmarkEnd w:id="2031"/>
      <w:bookmarkEnd w:id="2032"/>
      <w:bookmarkEnd w:id="2033"/>
      <w:bookmarkEnd w:id="2034"/>
      <w:bookmarkEnd w:id="2035"/>
      <w:bookmarkEnd w:id="2036"/>
      <w:bookmarkEnd w:id="2037"/>
      <w:bookmarkEnd w:id="2038"/>
      <w:bookmarkEnd w:id="2039"/>
      <w:bookmarkEnd w:id="2040"/>
    </w:p>
    <w:p w14:paraId="5A03C7FA">
      <w:pPr>
        <w:widowControl w:val="0"/>
        <w:spacing w:after="0" w:line="46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A7CD01E">
      <w:pPr>
        <w:widowControl w:val="0"/>
        <w:spacing w:line="46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《中华人民共和国生物安全法》第七十四条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从事国家禁止的生物技术研究、开发与应用活动的，由县级以上人民政府卫生健康、科学技术、农业农村主管部门根据职责分工，责令停止违法行为，没收违法所得、技术资料和用于违法行为的工具、设备、原材料等物品，处一百万元以上一千万元以下的罚款，违法所得在一百万元以上的，处违法所得十倍以上二十倍以下的罚款，并可以依法禁止一定期限内从事相应的生物技术研究、开发与应用活动，吊销相关许可证件；</w:t>
      </w:r>
      <w:r>
        <w:rPr>
          <w:rFonts w:hint="eastAsia" w:ascii="Times New Roman" w:hAnsi="Times New Roman" w:eastAsia="仿宋_GB2312" w:cs="仿宋_GB2312"/>
          <w:color w:val="000000" w:themeColor="text1"/>
          <w:spacing w:val="-6"/>
          <w:sz w:val="32"/>
          <w:szCs w:val="32"/>
          <w14:textFill>
            <w14:solidFill>
              <w14:schemeClr w14:val="tx1"/>
            </w14:solidFill>
          </w14:textFill>
        </w:rPr>
        <w:t>对法定代表人、主要负责人、直接负责的主管人员和其他直接责任人员，依法给予处分，处十万元以上二十万元以下的罚款，十年直至终身禁止从事相应的生物技术研究、开发与应用活动，依法吊销相关执业证书。</w:t>
      </w:r>
    </w:p>
    <w:p w14:paraId="53C49A65">
      <w:pPr>
        <w:widowControl w:val="0"/>
        <w:adjustRightInd/>
        <w:snapToGrid/>
        <w:spacing w:after="0" w:line="440" w:lineRule="exact"/>
        <w:ind w:left="0"/>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3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2936"/>
        <w:gridCol w:w="9122"/>
      </w:tblGrid>
      <w:tr w14:paraId="3E95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73" w:type="dxa"/>
            <w:vAlign w:val="center"/>
          </w:tcPr>
          <w:p w14:paraId="1819965D">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936" w:type="dxa"/>
            <w:vAlign w:val="center"/>
          </w:tcPr>
          <w:p w14:paraId="671245CA">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9122" w:type="dxa"/>
            <w:vAlign w:val="center"/>
          </w:tcPr>
          <w:p w14:paraId="1D5324E9">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26A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3" w:type="dxa"/>
            <w:vAlign w:val="center"/>
          </w:tcPr>
          <w:p w14:paraId="5B8088D4">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2936" w:type="dxa"/>
            <w:vAlign w:val="center"/>
          </w:tcPr>
          <w:p w14:paraId="1072A2A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违法所得不足一百万元。</w:t>
            </w:r>
          </w:p>
        </w:tc>
        <w:tc>
          <w:tcPr>
            <w:tcW w:w="9122" w:type="dxa"/>
            <w:vAlign w:val="center"/>
          </w:tcPr>
          <w:p w14:paraId="610D459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技术资料和用于违法行为的工具、设备、原材料等物品，处一百万元以上一千万元以下的罚款。处十万元以上十五万元以下的罚款，十年禁止从事相应的生物技术研究、开发与应用活动，依法吊销相关执业证书。</w:t>
            </w:r>
          </w:p>
        </w:tc>
      </w:tr>
      <w:tr w14:paraId="5CAE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73" w:type="dxa"/>
            <w:vAlign w:val="center"/>
          </w:tcPr>
          <w:p w14:paraId="0DBAA2A5">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2936" w:type="dxa"/>
            <w:vAlign w:val="center"/>
          </w:tcPr>
          <w:p w14:paraId="1C754FD3">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违法所得超过一百万元。</w:t>
            </w:r>
          </w:p>
        </w:tc>
        <w:tc>
          <w:tcPr>
            <w:tcW w:w="9122" w:type="dxa"/>
            <w:vAlign w:val="center"/>
          </w:tcPr>
          <w:p w14:paraId="5B291613">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技术资料和用于违法行为的工具、设备、原材料等物品，处违法所得十倍以上二十倍以下的罚款，并可以依法禁止一定期限内从事相应的生物技术研究、开发与应用活动，吊销相关许可证件；处十五万元以上二十万元以下的罚款，终身禁止从事相应的生物技术研究、开发与应用活动，依法吊销相关执业证书。</w:t>
            </w:r>
          </w:p>
        </w:tc>
      </w:tr>
    </w:tbl>
    <w:p w14:paraId="388C5352">
      <w:pPr>
        <w:pStyle w:val="4"/>
        <w:widowControl w:val="0"/>
        <w:ind w:firstLine="640"/>
        <w:jc w:val="both"/>
        <w:rPr>
          <w:rFonts w:hint="eastAsia" w:cs="仿宋_GB2312"/>
          <w:bCs/>
          <w:color w:val="000000" w:themeColor="text1"/>
          <w14:textFill>
            <w14:solidFill>
              <w14:schemeClr w14:val="tx1"/>
            </w14:solidFill>
          </w14:textFill>
        </w:rPr>
      </w:pPr>
      <w:bookmarkStart w:id="2041" w:name="_Toc15497"/>
      <w:bookmarkStart w:id="2042" w:name="_Toc1665"/>
      <w:bookmarkStart w:id="2043" w:name="_Toc29409"/>
      <w:bookmarkStart w:id="2044" w:name="_Toc8807"/>
      <w:bookmarkStart w:id="2045" w:name="_Toc14264"/>
      <w:bookmarkStart w:id="2046" w:name="_Toc20927"/>
      <w:bookmarkStart w:id="2047" w:name="_Toc26582"/>
      <w:bookmarkStart w:id="2048" w:name="_Toc528"/>
      <w:bookmarkStart w:id="2049" w:name="_Toc2639"/>
      <w:bookmarkStart w:id="2050" w:name="_Toc22068"/>
      <w:bookmarkStart w:id="2051" w:name="_Toc22726"/>
      <w:r>
        <w:rPr>
          <w:rFonts w:hint="eastAsia" w:cs="仿宋_GB2312"/>
          <w:bCs/>
          <w:color w:val="000000" w:themeColor="text1"/>
          <w14:textFill>
            <w14:solidFill>
              <w14:schemeClr w14:val="tx1"/>
            </w14:solidFill>
          </w14:textFill>
        </w:rPr>
        <w:t>第一百七十二条 从事生物技术研究、开发活动未遵守国家生物技术研究开发安全管理规范的</w:t>
      </w:r>
      <w:bookmarkEnd w:id="2041"/>
      <w:bookmarkEnd w:id="2042"/>
      <w:bookmarkEnd w:id="2043"/>
      <w:bookmarkEnd w:id="2044"/>
      <w:bookmarkEnd w:id="2045"/>
      <w:bookmarkEnd w:id="2046"/>
      <w:bookmarkEnd w:id="2047"/>
      <w:bookmarkEnd w:id="2048"/>
      <w:bookmarkEnd w:id="2049"/>
      <w:bookmarkEnd w:id="2050"/>
      <w:bookmarkEnd w:id="2051"/>
    </w:p>
    <w:p w14:paraId="2E3D2C3C">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74771643">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《中华人民共和国生物安全法》第七十五条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从事生物技术研究、开发活动未遵守国家生物技术研究开发安全管理规范的，由县级以上人民政府有关部门根据职责分工，责令改正，给予警告，可以并处二万元以上二十万元以下的罚款；拒不改正或者造成严重后果的，责令停止研究、开发活动，并处二十万元以上二百万元以下的罚款。</w:t>
      </w:r>
    </w:p>
    <w:p w14:paraId="171D6895">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1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5000"/>
        <w:gridCol w:w="7065"/>
      </w:tblGrid>
      <w:tr w14:paraId="55D1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51" w:type="dxa"/>
            <w:vAlign w:val="center"/>
          </w:tcPr>
          <w:p w14:paraId="268EEB7A">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000" w:type="dxa"/>
            <w:vAlign w:val="center"/>
          </w:tcPr>
          <w:p w14:paraId="53C3B443">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7065" w:type="dxa"/>
            <w:vAlign w:val="center"/>
          </w:tcPr>
          <w:p w14:paraId="48FCEE57">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243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51" w:type="dxa"/>
            <w:vAlign w:val="center"/>
          </w:tcPr>
          <w:p w14:paraId="6A3E07A9">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5000" w:type="dxa"/>
            <w:vAlign w:val="center"/>
          </w:tcPr>
          <w:p w14:paraId="0A23C4B1">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首次发现违法行为，危害后果轻微的。</w:t>
            </w:r>
          </w:p>
        </w:tc>
        <w:tc>
          <w:tcPr>
            <w:tcW w:w="7065" w:type="dxa"/>
            <w:vAlign w:val="center"/>
          </w:tcPr>
          <w:p w14:paraId="3051DDB8">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警告，可以并处二万元以上二十万元以下的罚款。</w:t>
            </w:r>
          </w:p>
        </w:tc>
      </w:tr>
      <w:tr w14:paraId="6B78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51" w:type="dxa"/>
            <w:vMerge w:val="restart"/>
            <w:vAlign w:val="center"/>
          </w:tcPr>
          <w:p w14:paraId="4DAD1E5E">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5000" w:type="dxa"/>
            <w:vAlign w:val="center"/>
          </w:tcPr>
          <w:p w14:paraId="0597282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责令限期改正期限后，拒不改正的。</w:t>
            </w:r>
          </w:p>
        </w:tc>
        <w:tc>
          <w:tcPr>
            <w:tcW w:w="7065" w:type="dxa"/>
            <w:vAlign w:val="center"/>
          </w:tcPr>
          <w:p w14:paraId="6387E22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责令停止研究、开发活动，并处二十万元以上一百万元以下的罚款。</w:t>
            </w:r>
          </w:p>
        </w:tc>
      </w:tr>
      <w:tr w14:paraId="463D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51" w:type="dxa"/>
            <w:vMerge w:val="continue"/>
            <w:vAlign w:val="center"/>
          </w:tcPr>
          <w:p w14:paraId="19788536">
            <w:pPr>
              <w:widowControl w:val="0"/>
              <w:spacing w:line="440" w:lineRule="exact"/>
              <w:jc w:val="both"/>
              <w:textAlignment w:val="center"/>
              <w:rPr>
                <w:rStyle w:val="56"/>
                <w:rFonts w:hint="default" w:ascii="Times New Roman" w:hAnsi="Times New Roman"/>
                <w:color w:val="000000" w:themeColor="text1"/>
                <w:lang w:bidi="ar"/>
                <w14:textFill>
                  <w14:solidFill>
                    <w14:schemeClr w14:val="tx1"/>
                  </w14:solidFill>
                </w14:textFill>
              </w:rPr>
            </w:pPr>
          </w:p>
        </w:tc>
        <w:tc>
          <w:tcPr>
            <w:tcW w:w="5000" w:type="dxa"/>
            <w:vAlign w:val="center"/>
          </w:tcPr>
          <w:p w14:paraId="67C91DD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造成严重后果的。</w:t>
            </w:r>
          </w:p>
        </w:tc>
        <w:tc>
          <w:tcPr>
            <w:tcW w:w="7065" w:type="dxa"/>
            <w:vAlign w:val="center"/>
          </w:tcPr>
          <w:p w14:paraId="0DA72BF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责令停止研究、开发活动，并处一百万元以上二百万元以下的罚款。</w:t>
            </w:r>
          </w:p>
        </w:tc>
      </w:tr>
    </w:tbl>
    <w:p w14:paraId="6C06F548">
      <w:pPr>
        <w:pStyle w:val="4"/>
        <w:widowControl w:val="0"/>
        <w:ind w:firstLine="640"/>
        <w:jc w:val="both"/>
        <w:rPr>
          <w:rFonts w:hint="eastAsia" w:cs="仿宋_GB2312"/>
          <w:bCs/>
          <w:color w:val="000000" w:themeColor="text1"/>
          <w14:textFill>
            <w14:solidFill>
              <w14:schemeClr w14:val="tx1"/>
            </w14:solidFill>
          </w14:textFill>
        </w:rPr>
      </w:pPr>
      <w:bookmarkStart w:id="2052" w:name="_Toc8595"/>
      <w:bookmarkStart w:id="2053" w:name="_Toc24306"/>
      <w:bookmarkStart w:id="2054" w:name="_Toc18854"/>
      <w:bookmarkStart w:id="2055" w:name="_Toc10237"/>
      <w:bookmarkStart w:id="2056" w:name="_Toc29206"/>
      <w:bookmarkStart w:id="2057" w:name="_Toc2892"/>
      <w:bookmarkStart w:id="2058" w:name="_Toc13262"/>
      <w:bookmarkStart w:id="2059" w:name="_Toc11170"/>
      <w:bookmarkStart w:id="2060" w:name="_Toc1649"/>
      <w:bookmarkStart w:id="2061" w:name="_Toc5687"/>
      <w:bookmarkStart w:id="2062" w:name="_Toc30757"/>
      <w:r>
        <w:rPr>
          <w:rFonts w:hint="eastAsia" w:cs="仿宋_GB2312"/>
          <w:bCs/>
          <w:color w:val="000000" w:themeColor="text1"/>
          <w14:textFill>
            <w14:solidFill>
              <w14:schemeClr w14:val="tx1"/>
            </w14:solidFill>
          </w14:textFill>
        </w:rPr>
        <w:t>第一百七十三条 从事病原微生物实验活动未在相应等级的实验室进行，或者高等级病原微生物实验室未经批准从事高致病性、疑似高致病性病原微生物实验活动的</w:t>
      </w:r>
      <w:bookmarkEnd w:id="2052"/>
      <w:bookmarkEnd w:id="2053"/>
      <w:bookmarkEnd w:id="2054"/>
      <w:bookmarkEnd w:id="2055"/>
      <w:bookmarkEnd w:id="2056"/>
      <w:bookmarkEnd w:id="2057"/>
      <w:bookmarkEnd w:id="2058"/>
      <w:bookmarkEnd w:id="2059"/>
      <w:bookmarkEnd w:id="2060"/>
      <w:bookmarkEnd w:id="2061"/>
      <w:bookmarkEnd w:id="2062"/>
    </w:p>
    <w:p w14:paraId="21228AE4">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A1A386E">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《中华人民共和国生物安全法》第七十六条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从事病原微生物实验活动未在相应等级的实验室进行，或者高等级病原微生物实验室未经批准从事高致病性、疑似高致病性病原微生物实验活动的，由县级以上地方人民政府卫生健康、农业农村主管部门根据职责分工，责令停止违法行为，监督其将用于实验活动的病原微生物销毁或者送交保藏机构，给予警告；造成传染病传播、流行或者其他严重后果的，对法定代表人、主要负责人、直接负责的主管人员和其他直接责任人员依法给予撤职、开除处分。</w:t>
      </w:r>
    </w:p>
    <w:p w14:paraId="44A62447">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00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5486"/>
        <w:gridCol w:w="7119"/>
      </w:tblGrid>
      <w:tr w14:paraId="08E2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01" w:type="dxa"/>
            <w:vAlign w:val="center"/>
          </w:tcPr>
          <w:p w14:paraId="1F4D3B1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486" w:type="dxa"/>
            <w:vAlign w:val="center"/>
          </w:tcPr>
          <w:p w14:paraId="6117EECF">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7119" w:type="dxa"/>
            <w:vAlign w:val="center"/>
          </w:tcPr>
          <w:p w14:paraId="62B7FE26">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02F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01" w:type="dxa"/>
            <w:vAlign w:val="center"/>
          </w:tcPr>
          <w:p w14:paraId="64B74551">
            <w:pPr>
              <w:widowControl w:val="0"/>
              <w:spacing w:after="0" w:line="280" w:lineRule="exact"/>
              <w:jc w:val="center"/>
              <w:textAlignment w:val="auto"/>
              <w:rPr>
                <w:rStyle w:val="56"/>
                <w:rFonts w:hint="default" w:ascii="Times New Roman" w:hAnsi="Times New Roman"/>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5486" w:type="dxa"/>
            <w:vAlign w:val="center"/>
          </w:tcPr>
          <w:p w14:paraId="046173F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从事病原微生物实验活动未在相应等级的实验室进行，或者高等级病原微生物实验室未经批准从事高致病性、疑似高致病性病原微生物实验活动。</w:t>
            </w:r>
          </w:p>
        </w:tc>
        <w:tc>
          <w:tcPr>
            <w:tcW w:w="7119" w:type="dxa"/>
            <w:vAlign w:val="center"/>
          </w:tcPr>
          <w:p w14:paraId="2653D54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责令停止违法行为，监督其将用于实验活动的病原微生物销毁或者送交保藏机构，给予警告。</w:t>
            </w:r>
          </w:p>
        </w:tc>
      </w:tr>
    </w:tbl>
    <w:p w14:paraId="29C5EA67">
      <w:pPr>
        <w:pStyle w:val="4"/>
        <w:widowControl w:val="0"/>
        <w:ind w:firstLine="640"/>
        <w:jc w:val="both"/>
        <w:rPr>
          <w:rFonts w:hint="eastAsia" w:cs="仿宋_GB2312"/>
          <w:bCs/>
          <w:color w:val="000000" w:themeColor="text1"/>
          <w14:textFill>
            <w14:solidFill>
              <w14:schemeClr w14:val="tx1"/>
            </w14:solidFill>
          </w14:textFill>
        </w:rPr>
      </w:pPr>
      <w:bookmarkStart w:id="2063" w:name="_Toc12657"/>
      <w:bookmarkStart w:id="2064" w:name="_Toc9393"/>
      <w:bookmarkStart w:id="2065" w:name="_Toc10179"/>
      <w:bookmarkStart w:id="2066" w:name="_Toc11019"/>
      <w:bookmarkStart w:id="2067" w:name="_Toc14489"/>
      <w:bookmarkStart w:id="2068" w:name="_Toc18307"/>
      <w:bookmarkStart w:id="2069" w:name="_Toc31581"/>
      <w:bookmarkStart w:id="2070" w:name="_Toc29871"/>
      <w:bookmarkStart w:id="2071" w:name="_Toc21160"/>
      <w:bookmarkStart w:id="2072" w:name="_Toc15281"/>
      <w:bookmarkStart w:id="2073" w:name="_Toc20169"/>
      <w:r>
        <w:rPr>
          <w:rFonts w:hint="eastAsia" w:cs="仿宋_GB2312"/>
          <w:bCs/>
          <w:color w:val="000000" w:themeColor="text1"/>
          <w14:textFill>
            <w14:solidFill>
              <w14:schemeClr w14:val="tx1"/>
            </w14:solidFill>
          </w14:textFill>
        </w:rPr>
        <w:t>第一百七十四条 个人设立病原微生物实验室或者从事病原微生物实验活动的</w:t>
      </w:r>
      <w:bookmarkEnd w:id="2063"/>
      <w:bookmarkEnd w:id="2064"/>
      <w:bookmarkEnd w:id="2065"/>
      <w:bookmarkEnd w:id="2066"/>
      <w:bookmarkEnd w:id="2067"/>
      <w:bookmarkEnd w:id="2068"/>
      <w:bookmarkEnd w:id="2069"/>
      <w:bookmarkEnd w:id="2070"/>
      <w:bookmarkEnd w:id="2071"/>
      <w:bookmarkEnd w:id="2072"/>
      <w:bookmarkEnd w:id="2073"/>
    </w:p>
    <w:p w14:paraId="5E4439D8">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79950930">
      <w:pPr>
        <w:widowControl w:val="0"/>
        <w:spacing w:after="0" w:line="48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《中华人民共和国生物安全法》第七十八条第（三）项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违反本法规定，有下列行为之一的，由县级以上人民政府有关部门根据职责分工，责令改正，没收违法所得，给予警告，可以并处十万元以上一百万元以下的罚款：</w:t>
      </w:r>
    </w:p>
    <w:p w14:paraId="745C0F21">
      <w:pPr>
        <w:widowControl w:val="0"/>
        <w:spacing w:line="48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（三）个人设立病原微生物实验室或者从事病原微生物实验活动。</w:t>
      </w:r>
    </w:p>
    <w:p w14:paraId="0254CD5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20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4625"/>
        <w:gridCol w:w="8125"/>
      </w:tblGrid>
      <w:tr w14:paraId="0878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56" w:type="dxa"/>
            <w:vAlign w:val="center"/>
          </w:tcPr>
          <w:p w14:paraId="583F275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4625" w:type="dxa"/>
            <w:vAlign w:val="center"/>
          </w:tcPr>
          <w:p w14:paraId="0A12B941">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8125" w:type="dxa"/>
            <w:vAlign w:val="center"/>
          </w:tcPr>
          <w:p w14:paraId="6A62B222">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948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6" w:type="dxa"/>
            <w:vAlign w:val="center"/>
          </w:tcPr>
          <w:p w14:paraId="0513EF5A">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轻微</w:t>
            </w:r>
          </w:p>
        </w:tc>
        <w:tc>
          <w:tcPr>
            <w:tcW w:w="4625" w:type="dxa"/>
            <w:vAlign w:val="center"/>
          </w:tcPr>
          <w:p w14:paraId="1D23BB9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违法所得不足十万元。</w:t>
            </w:r>
          </w:p>
        </w:tc>
        <w:tc>
          <w:tcPr>
            <w:tcW w:w="8125" w:type="dxa"/>
            <w:vAlign w:val="center"/>
          </w:tcPr>
          <w:p w14:paraId="5117E06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没收违法所得，给予警告，并处十万元以上三十万元以下的罚款。</w:t>
            </w:r>
          </w:p>
        </w:tc>
      </w:tr>
      <w:tr w14:paraId="4A8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6" w:type="dxa"/>
            <w:vAlign w:val="center"/>
          </w:tcPr>
          <w:p w14:paraId="509DB73A">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4625" w:type="dxa"/>
            <w:vAlign w:val="center"/>
          </w:tcPr>
          <w:p w14:paraId="69E56816">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违法所得十万至五十万元。</w:t>
            </w:r>
          </w:p>
        </w:tc>
        <w:tc>
          <w:tcPr>
            <w:tcW w:w="8125" w:type="dxa"/>
            <w:vAlign w:val="center"/>
          </w:tcPr>
          <w:p w14:paraId="0B9A8FD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没收违法所得，给予警告，并处三十万元以上六十万元以下的罚款。</w:t>
            </w:r>
          </w:p>
        </w:tc>
      </w:tr>
      <w:tr w14:paraId="0CE0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6" w:type="dxa"/>
            <w:vAlign w:val="center"/>
          </w:tcPr>
          <w:p w14:paraId="2A280EC7">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4625" w:type="dxa"/>
            <w:vAlign w:val="center"/>
          </w:tcPr>
          <w:p w14:paraId="0F5FFD3E">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违法所得超过五十万元。</w:t>
            </w:r>
          </w:p>
        </w:tc>
        <w:tc>
          <w:tcPr>
            <w:tcW w:w="8125" w:type="dxa"/>
            <w:vAlign w:val="center"/>
          </w:tcPr>
          <w:p w14:paraId="6C53C8B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没收违法所得，给予警告，并处六十万元以上一百万元以下的罚款。</w:t>
            </w:r>
          </w:p>
        </w:tc>
      </w:tr>
    </w:tbl>
    <w:p w14:paraId="14F82022">
      <w:pPr>
        <w:pStyle w:val="4"/>
        <w:widowControl w:val="0"/>
        <w:spacing w:line="480" w:lineRule="exact"/>
        <w:ind w:firstLine="640"/>
        <w:jc w:val="both"/>
        <w:rPr>
          <w:rFonts w:hint="eastAsia" w:cs="仿宋_GB2312"/>
          <w:bCs/>
          <w:color w:val="000000" w:themeColor="text1"/>
          <w14:textFill>
            <w14:solidFill>
              <w14:schemeClr w14:val="tx1"/>
            </w14:solidFill>
          </w14:textFill>
        </w:rPr>
      </w:pPr>
      <w:bookmarkStart w:id="2074" w:name="_Toc17227"/>
      <w:bookmarkStart w:id="2075" w:name="_Toc9228"/>
      <w:bookmarkStart w:id="2076" w:name="_Toc30260"/>
      <w:bookmarkStart w:id="2077" w:name="_Toc24930"/>
      <w:bookmarkStart w:id="2078" w:name="_Toc12803"/>
      <w:bookmarkStart w:id="2079" w:name="_Toc3717"/>
      <w:bookmarkStart w:id="2080" w:name="_Toc28790"/>
      <w:bookmarkStart w:id="2081" w:name="_Toc8365"/>
      <w:bookmarkStart w:id="2082" w:name="_Toc19403"/>
      <w:bookmarkStart w:id="2083" w:name="_Toc2460"/>
      <w:bookmarkStart w:id="2084" w:name="_Toc8021"/>
      <w:r>
        <w:rPr>
          <w:rFonts w:hint="eastAsia" w:cs="仿宋_GB2312"/>
          <w:bCs/>
          <w:color w:val="000000" w:themeColor="text1"/>
          <w14:textFill>
            <w14:solidFill>
              <w14:schemeClr w14:val="tx1"/>
            </w14:solidFill>
          </w14:textFill>
        </w:rPr>
        <w:t>第一百七十五条 未经实验室负责人批准进入高等级病原微生物实验室的</w:t>
      </w:r>
      <w:bookmarkEnd w:id="2074"/>
      <w:bookmarkEnd w:id="2075"/>
      <w:bookmarkEnd w:id="2076"/>
      <w:bookmarkEnd w:id="2077"/>
      <w:bookmarkEnd w:id="2078"/>
      <w:bookmarkEnd w:id="2079"/>
      <w:bookmarkEnd w:id="2080"/>
      <w:bookmarkEnd w:id="2081"/>
      <w:bookmarkEnd w:id="2082"/>
      <w:bookmarkEnd w:id="2083"/>
      <w:bookmarkEnd w:id="2084"/>
    </w:p>
    <w:p w14:paraId="53AE9A1A">
      <w:pPr>
        <w:widowControl w:val="0"/>
        <w:spacing w:after="0" w:line="48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3FE70FF">
      <w:pPr>
        <w:widowControl w:val="0"/>
        <w:spacing w:after="0" w:line="48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《中华人民共和国生物安全法》第七十八条第（四）项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违反本法规定，有下列行为之一的，由县级以上人民政府有关部门根据职责分工，责令改正，没收违法所得，给予警告，可以并处十万元以上一百万元以下的罚款：</w:t>
      </w:r>
    </w:p>
    <w:p w14:paraId="266D7A4E">
      <w:pPr>
        <w:widowControl w:val="0"/>
        <w:spacing w:after="0" w:line="48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（四）未经实验室负责人批准进入高等级病原微生物实验室。</w:t>
      </w:r>
    </w:p>
    <w:p w14:paraId="1EABB48C">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4586"/>
        <w:gridCol w:w="7883"/>
      </w:tblGrid>
      <w:tr w14:paraId="2B11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87" w:type="dxa"/>
            <w:vAlign w:val="center"/>
          </w:tcPr>
          <w:p w14:paraId="4A98984C">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4586" w:type="dxa"/>
            <w:vAlign w:val="center"/>
          </w:tcPr>
          <w:p w14:paraId="59E8C04F">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7883" w:type="dxa"/>
            <w:vAlign w:val="center"/>
          </w:tcPr>
          <w:p w14:paraId="539BDEB8">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9E8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87" w:type="dxa"/>
            <w:vAlign w:val="center"/>
          </w:tcPr>
          <w:p w14:paraId="62DE4FCE">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轻微</w:t>
            </w:r>
          </w:p>
        </w:tc>
        <w:tc>
          <w:tcPr>
            <w:tcW w:w="4586" w:type="dxa"/>
            <w:vAlign w:val="center"/>
          </w:tcPr>
          <w:p w14:paraId="073CCC1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未经实验室负责人批准进入高等级病原微生物实验室，涉及人数为一至三人。</w:t>
            </w:r>
          </w:p>
        </w:tc>
        <w:tc>
          <w:tcPr>
            <w:tcW w:w="7883" w:type="dxa"/>
            <w:vAlign w:val="center"/>
          </w:tcPr>
          <w:p w14:paraId="0C96E7CE">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没收违法所得，给予警告，并处十万元以上三十万元以下的罚款。</w:t>
            </w:r>
          </w:p>
        </w:tc>
      </w:tr>
      <w:tr w14:paraId="249C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87" w:type="dxa"/>
            <w:vAlign w:val="center"/>
          </w:tcPr>
          <w:p w14:paraId="05CF7AE6">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4586" w:type="dxa"/>
            <w:vAlign w:val="center"/>
          </w:tcPr>
          <w:p w14:paraId="5340489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未经实验室负责人批准进入高等级病原微生物实验室，涉及人数为四至六人。</w:t>
            </w:r>
          </w:p>
        </w:tc>
        <w:tc>
          <w:tcPr>
            <w:tcW w:w="7883" w:type="dxa"/>
            <w:vAlign w:val="center"/>
          </w:tcPr>
          <w:p w14:paraId="165A72BB">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没收违法所得，给予警告，并处三十万元以上六十万元以下的罚款。</w:t>
            </w:r>
          </w:p>
        </w:tc>
      </w:tr>
      <w:tr w14:paraId="1ED0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87" w:type="dxa"/>
            <w:vAlign w:val="center"/>
          </w:tcPr>
          <w:p w14:paraId="0A6F21C2">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4586" w:type="dxa"/>
            <w:vAlign w:val="center"/>
          </w:tcPr>
          <w:p w14:paraId="6B229DC8">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未经实验室负责人批准进入高等级病原微生物实验室，涉及人数为超过六人。</w:t>
            </w:r>
          </w:p>
        </w:tc>
        <w:tc>
          <w:tcPr>
            <w:tcW w:w="7883" w:type="dxa"/>
            <w:vAlign w:val="center"/>
          </w:tcPr>
          <w:p w14:paraId="1D67685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没收违法所得，给予警告，并处六十万元以上一百万元以下的罚款。</w:t>
            </w:r>
          </w:p>
        </w:tc>
      </w:tr>
    </w:tbl>
    <w:p w14:paraId="7A05E809">
      <w:pPr>
        <w:pStyle w:val="3"/>
        <w:keepNext w:val="0"/>
        <w:keepLines w:val="0"/>
        <w:widowControl w:val="0"/>
        <w:spacing w:before="157" w:beforeLines="50" w:after="1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2085" w:name="_Toc1610"/>
      <w:bookmarkStart w:id="2086" w:name="_Toc27773"/>
      <w:bookmarkStart w:id="2087" w:name="_Toc2307"/>
      <w:bookmarkStart w:id="2088" w:name="_Toc15189"/>
      <w:bookmarkStart w:id="2089" w:name="_Toc23307"/>
      <w:bookmarkStart w:id="2090" w:name="_Toc1529"/>
      <w:bookmarkStart w:id="2091" w:name="_Toc17435"/>
      <w:bookmarkStart w:id="2092" w:name="_Toc20026"/>
      <w:bookmarkStart w:id="2093" w:name="_Toc29015"/>
      <w:bookmarkStart w:id="2094" w:name="_Toc9877"/>
      <w:bookmarkStart w:id="2095" w:name="_Toc31127"/>
      <w:bookmarkStart w:id="2096" w:name="_Toc717"/>
      <w:bookmarkStart w:id="2097" w:name="_Toc24016"/>
      <w:r>
        <w:rPr>
          <w:rFonts w:hint="eastAsia" w:ascii="Times New Roman" w:hAnsi="Times New Roman" w:eastAsia="楷体_GB2312" w:cs="楷体_GB2312"/>
          <w:color w:val="000000" w:themeColor="text1"/>
          <w14:textFill>
            <w14:solidFill>
              <w14:schemeClr w14:val="tx1"/>
            </w14:solidFill>
          </w14:textFill>
        </w:rPr>
        <w:t>（十</w:t>
      </w:r>
      <w:r>
        <w:rPr>
          <w:rFonts w:hint="eastAsia" w:ascii="Times New Roman" w:hAnsi="Times New Roman" w:eastAsia="楷体_GB2312" w:cs="楷体_GB2312"/>
          <w:color w:val="000000" w:themeColor="text1"/>
          <w:lang w:eastAsia="zh-CN"/>
          <w14:textFill>
            <w14:solidFill>
              <w14:schemeClr w14:val="tx1"/>
            </w14:solidFill>
          </w14:textFill>
        </w:rPr>
        <w:t>八</w:t>
      </w:r>
      <w:r>
        <w:rPr>
          <w:rFonts w:hint="eastAsia" w:ascii="Times New Roman" w:hAnsi="Times New Roman" w:eastAsia="楷体_GB2312" w:cs="楷体_GB2312"/>
          <w:color w:val="000000" w:themeColor="text1"/>
          <w14:textFill>
            <w14:solidFill>
              <w14:schemeClr w14:val="tx1"/>
            </w14:solidFill>
          </w14:textFill>
        </w:rPr>
        <w:t>）《国内交通卫生检疫条例》</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14:paraId="467B4372">
      <w:pPr>
        <w:pStyle w:val="4"/>
        <w:widowControl w:val="0"/>
        <w:ind w:firstLine="640"/>
        <w:jc w:val="both"/>
        <w:rPr>
          <w:rFonts w:hint="eastAsia" w:cs="仿宋_GB2312"/>
          <w:bCs/>
          <w:color w:val="000000" w:themeColor="text1"/>
          <w14:textFill>
            <w14:solidFill>
              <w14:schemeClr w14:val="tx1"/>
            </w14:solidFill>
          </w14:textFill>
        </w:rPr>
      </w:pPr>
      <w:bookmarkStart w:id="2098" w:name="_Toc19304"/>
      <w:bookmarkStart w:id="2099" w:name="_Toc13034"/>
      <w:bookmarkStart w:id="2100" w:name="_Toc1559"/>
      <w:bookmarkStart w:id="2101" w:name="_Toc1645"/>
      <w:bookmarkStart w:id="2102" w:name="_Toc30962"/>
      <w:bookmarkStart w:id="2103" w:name="_Toc18899"/>
      <w:bookmarkStart w:id="2104" w:name="_Toc6061"/>
      <w:bookmarkStart w:id="2105" w:name="_Toc21249"/>
      <w:bookmarkStart w:id="2106" w:name="_Toc15623"/>
      <w:bookmarkStart w:id="2107" w:name="_Toc16443"/>
      <w:bookmarkStart w:id="2108" w:name="_Toc1995"/>
      <w:r>
        <w:rPr>
          <w:rFonts w:hint="eastAsia" w:cs="仿宋_GB2312"/>
          <w:bCs/>
          <w:color w:val="000000" w:themeColor="text1"/>
          <w14:textFill>
            <w14:solidFill>
              <w14:schemeClr w14:val="tx1"/>
            </w14:solidFill>
          </w14:textFill>
        </w:rPr>
        <w:t>第一百七十六条 检疫传染病病人、病原携带者、疑似检疫传染病病人和与其密切接触者隐瞒真实情况、逃避交通卫生检疫的</w:t>
      </w:r>
      <w:bookmarkEnd w:id="2098"/>
      <w:bookmarkEnd w:id="2099"/>
      <w:bookmarkEnd w:id="2100"/>
      <w:bookmarkEnd w:id="2101"/>
      <w:bookmarkEnd w:id="2102"/>
      <w:bookmarkEnd w:id="2103"/>
      <w:bookmarkEnd w:id="2104"/>
      <w:bookmarkEnd w:id="2105"/>
      <w:bookmarkEnd w:id="2106"/>
      <w:bookmarkEnd w:id="2107"/>
      <w:bookmarkEnd w:id="2108"/>
    </w:p>
    <w:p w14:paraId="64A1064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4A3EAD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《国内交通卫生检疫条例》第十三条 检疫传染病病人、病原携带者、疑似检疫传染病病人和与其密切接触者隐瞒真实情况、逃避交通卫生检疫的，由县级以上地方人民政府卫生行政部门或者铁路、交通、民用航空行政主管部门的卫生主管机构，根据各自的职责分工，责令限期改正，给予警告，可以并处1000元以下的罚款；拒绝接受查验和卫生处理的，给予警告，并处1000元以上5000元以下的罚款；情节严重，引起检疫传染病传播或者有传播严重危险，构成犯罪的，依法追究刑事责任。</w:t>
      </w:r>
    </w:p>
    <w:p w14:paraId="351643C5">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06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6407"/>
        <w:gridCol w:w="6175"/>
      </w:tblGrid>
      <w:tr w14:paraId="7827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87" w:type="dxa"/>
            <w:vAlign w:val="center"/>
          </w:tcPr>
          <w:p w14:paraId="26F7DF96">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407" w:type="dxa"/>
            <w:vAlign w:val="center"/>
          </w:tcPr>
          <w:p w14:paraId="528FE603">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6175" w:type="dxa"/>
            <w:vAlign w:val="center"/>
          </w:tcPr>
          <w:p w14:paraId="76085784">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868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87" w:type="dxa"/>
            <w:vAlign w:val="center"/>
          </w:tcPr>
          <w:p w14:paraId="610BBCE8">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轻微</w:t>
            </w:r>
          </w:p>
        </w:tc>
        <w:tc>
          <w:tcPr>
            <w:tcW w:w="6407" w:type="dxa"/>
            <w:vAlign w:val="center"/>
          </w:tcPr>
          <w:p w14:paraId="4E923D34">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隐瞒真实情况、逃避交通卫生检疫的。</w:t>
            </w:r>
          </w:p>
        </w:tc>
        <w:tc>
          <w:tcPr>
            <w:tcW w:w="6175" w:type="dxa"/>
            <w:vAlign w:val="center"/>
          </w:tcPr>
          <w:p w14:paraId="3E4342BC">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给予警告，并处1000元以下的罚款。</w:t>
            </w:r>
          </w:p>
        </w:tc>
      </w:tr>
      <w:tr w14:paraId="724D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87" w:type="dxa"/>
            <w:vAlign w:val="center"/>
          </w:tcPr>
          <w:p w14:paraId="423FED90">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一般</w:t>
            </w:r>
          </w:p>
        </w:tc>
        <w:tc>
          <w:tcPr>
            <w:tcW w:w="6407" w:type="dxa"/>
            <w:vAlign w:val="center"/>
          </w:tcPr>
          <w:p w14:paraId="5DB2A70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拒绝接受查验和卫生处理，未造成传染病传播的。</w:t>
            </w:r>
          </w:p>
        </w:tc>
        <w:tc>
          <w:tcPr>
            <w:tcW w:w="6175" w:type="dxa"/>
            <w:vAlign w:val="center"/>
          </w:tcPr>
          <w:p w14:paraId="27A4810B">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给予警告，并处1000元以上3000元以下的罚款。</w:t>
            </w:r>
          </w:p>
        </w:tc>
      </w:tr>
      <w:tr w14:paraId="1052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87" w:type="dxa"/>
            <w:vAlign w:val="center"/>
          </w:tcPr>
          <w:p w14:paraId="30F01E94">
            <w:pPr>
              <w:widowControl w:val="0"/>
              <w:spacing w:after="0" w:line="280" w:lineRule="exact"/>
              <w:jc w:val="center"/>
              <w:textAlignment w:val="auto"/>
              <w:rPr>
                <w:rStyle w:val="26"/>
                <w:rFonts w:hint="eastAsia" w:ascii="Times New Roman" w:hAnsi="Times New Roman" w:eastAsia="仿宋_GB2312" w:cs="Times New Roman"/>
                <w:b/>
                <w:bCs/>
                <w:color w:val="000000" w:themeColor="text1"/>
                <w:lang w:bidi="ar"/>
                <w14:textFill>
                  <w14:solidFill>
                    <w14:schemeClr w14:val="tx1"/>
                  </w14:solidFill>
                </w14:textFill>
              </w:rPr>
            </w:pPr>
            <w:r>
              <w:rPr>
                <w:rStyle w:val="26"/>
                <w:rFonts w:hint="eastAsia" w:ascii="Times New Roman" w:hAnsi="Times New Roman" w:eastAsia="仿宋_GB2312" w:cs="Times New Roman"/>
                <w:b/>
                <w:bCs/>
                <w:color w:val="000000" w:themeColor="text1"/>
                <w:lang w:bidi="ar"/>
                <w14:textFill>
                  <w14:solidFill>
                    <w14:schemeClr w14:val="tx1"/>
                  </w14:solidFill>
                </w14:textFill>
              </w:rPr>
              <w:t>严重</w:t>
            </w:r>
          </w:p>
        </w:tc>
        <w:tc>
          <w:tcPr>
            <w:tcW w:w="6407" w:type="dxa"/>
            <w:vAlign w:val="center"/>
          </w:tcPr>
          <w:p w14:paraId="52ACE290">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拒绝接受查验和卫生处理，引起检疫传染病传播或者有传播严重危险的。</w:t>
            </w:r>
          </w:p>
        </w:tc>
        <w:tc>
          <w:tcPr>
            <w:tcW w:w="6175" w:type="dxa"/>
            <w:vAlign w:val="center"/>
          </w:tcPr>
          <w:p w14:paraId="225E1AA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给予警告，并处3000元以上5000元以下的罚款。</w:t>
            </w:r>
          </w:p>
        </w:tc>
      </w:tr>
    </w:tbl>
    <w:p w14:paraId="12750AA4">
      <w:pPr>
        <w:pStyle w:val="4"/>
        <w:widowControl w:val="0"/>
        <w:ind w:firstLine="640"/>
        <w:jc w:val="both"/>
        <w:rPr>
          <w:rFonts w:hint="eastAsia" w:cs="仿宋_GB2312"/>
          <w:bCs/>
          <w:color w:val="000000" w:themeColor="text1"/>
          <w14:textFill>
            <w14:solidFill>
              <w14:schemeClr w14:val="tx1"/>
            </w14:solidFill>
          </w14:textFill>
        </w:rPr>
      </w:pPr>
      <w:bookmarkStart w:id="2109" w:name="_Toc12746"/>
      <w:bookmarkStart w:id="2110" w:name="_Toc10068"/>
      <w:bookmarkStart w:id="2111" w:name="_Toc32176"/>
      <w:bookmarkStart w:id="2112" w:name="_Toc3156"/>
      <w:bookmarkStart w:id="2113" w:name="_Toc12368"/>
      <w:bookmarkStart w:id="2114" w:name="_Toc24541"/>
      <w:bookmarkStart w:id="2115" w:name="_Toc25075"/>
      <w:bookmarkStart w:id="2116" w:name="_Toc5358"/>
      <w:bookmarkStart w:id="2117" w:name="_Toc10186"/>
      <w:bookmarkStart w:id="2118" w:name="_Toc7395"/>
      <w:bookmarkStart w:id="2119" w:name="_Toc3819"/>
      <w:r>
        <w:rPr>
          <w:rFonts w:hint="eastAsia" w:cs="仿宋_GB2312"/>
          <w:bCs/>
          <w:color w:val="000000" w:themeColor="text1"/>
          <w14:textFill>
            <w14:solidFill>
              <w14:schemeClr w14:val="tx1"/>
            </w14:solidFill>
          </w14:textFill>
        </w:rPr>
        <w:t>第一百七十七条 在非检疫传染病疫区的交通工具上发现检疫传染病病人、病原携带者、疑似检疫传染病病人时，交通工具负责人未依照本条例规定采取措施的</w:t>
      </w:r>
      <w:bookmarkEnd w:id="2109"/>
      <w:bookmarkEnd w:id="2110"/>
      <w:bookmarkEnd w:id="2111"/>
      <w:bookmarkEnd w:id="2112"/>
      <w:bookmarkEnd w:id="2113"/>
      <w:bookmarkEnd w:id="2114"/>
      <w:bookmarkEnd w:id="2115"/>
      <w:bookmarkEnd w:id="2116"/>
      <w:bookmarkEnd w:id="2117"/>
      <w:bookmarkEnd w:id="2118"/>
      <w:bookmarkEnd w:id="2119"/>
    </w:p>
    <w:p w14:paraId="6FFDF904">
      <w:pPr>
        <w:widowControl w:val="0"/>
        <w:adjustRightInd/>
        <w:snapToGrid/>
        <w:spacing w:after="0" w:line="44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09D3DF7">
      <w:pPr>
        <w:widowControl w:val="0"/>
        <w:adjustRightInd/>
        <w:snapToGrid/>
        <w:spacing w:after="0" w:line="44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《国内交通卫生检疫条例》第十四条 在非检疫传染病疫区的交通工具上发现检疫传染病病人、病原携带者、疑似检疫传染病病人时，交通工具负责人未依照本条例规定采取措施的，由县级以上地方人民政府卫生行政部门或者铁路、交通、民用航空行政主管部门的卫生主管机构，根据各自的职责，责令改正，给予警告，并处1000元以上5000元以下的罚款；情节严重，引起检疫传染病传播或者有传播严重危险，构成犯罪的，依法追究刑事责任。</w:t>
      </w:r>
    </w:p>
    <w:p w14:paraId="622FA7F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4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5668"/>
        <w:gridCol w:w="6100"/>
      </w:tblGrid>
      <w:tr w14:paraId="5D2E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76" w:type="dxa"/>
            <w:vAlign w:val="center"/>
          </w:tcPr>
          <w:p w14:paraId="740354EE">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668" w:type="dxa"/>
            <w:vAlign w:val="center"/>
          </w:tcPr>
          <w:p w14:paraId="06975383">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6100" w:type="dxa"/>
            <w:vAlign w:val="center"/>
          </w:tcPr>
          <w:p w14:paraId="7762CDCA">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927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76" w:type="dxa"/>
            <w:vAlign w:val="center"/>
          </w:tcPr>
          <w:p w14:paraId="61DFC80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轻微</w:t>
            </w:r>
          </w:p>
        </w:tc>
        <w:tc>
          <w:tcPr>
            <w:tcW w:w="5668" w:type="dxa"/>
            <w:vAlign w:val="center"/>
          </w:tcPr>
          <w:p w14:paraId="009DCA1F">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违反本条例第八条五项内容中的任意一项的。</w:t>
            </w:r>
          </w:p>
        </w:tc>
        <w:tc>
          <w:tcPr>
            <w:tcW w:w="6100" w:type="dxa"/>
            <w:vAlign w:val="center"/>
          </w:tcPr>
          <w:p w14:paraId="7977026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给予警告，并处1000元以上2000元以下罚款。</w:t>
            </w:r>
          </w:p>
        </w:tc>
      </w:tr>
      <w:tr w14:paraId="29A5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76" w:type="dxa"/>
            <w:vAlign w:val="center"/>
          </w:tcPr>
          <w:p w14:paraId="5EDE2A1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668" w:type="dxa"/>
            <w:vAlign w:val="center"/>
          </w:tcPr>
          <w:p w14:paraId="4ECB73BB">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违反本条例第八条五项内容中的任意二项的。</w:t>
            </w:r>
          </w:p>
        </w:tc>
        <w:tc>
          <w:tcPr>
            <w:tcW w:w="6100" w:type="dxa"/>
            <w:vAlign w:val="center"/>
          </w:tcPr>
          <w:p w14:paraId="2D370BB7">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给予警告，并处2000元以上3000元以下罚款。</w:t>
            </w:r>
          </w:p>
        </w:tc>
      </w:tr>
      <w:tr w14:paraId="17FA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76" w:type="dxa"/>
            <w:vAlign w:val="center"/>
          </w:tcPr>
          <w:p w14:paraId="016743C3">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668" w:type="dxa"/>
            <w:vAlign w:val="center"/>
          </w:tcPr>
          <w:p w14:paraId="6BA6732A">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违反本条例第八条五项内容中的其中三项以上的。</w:t>
            </w:r>
          </w:p>
        </w:tc>
        <w:tc>
          <w:tcPr>
            <w:tcW w:w="6100" w:type="dxa"/>
            <w:vAlign w:val="center"/>
          </w:tcPr>
          <w:p w14:paraId="741579E3">
            <w:pPr>
              <w:widowControl w:val="0"/>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给予警告，并处3000元以上5000元以下罚款。</w:t>
            </w:r>
          </w:p>
        </w:tc>
      </w:tr>
      <w:bookmarkEnd w:id="0"/>
      <w:bookmarkEnd w:id="1"/>
      <w:bookmarkEnd w:id="2"/>
      <w:bookmarkEnd w:id="3"/>
    </w:tbl>
    <w:p w14:paraId="3DBD82B7">
      <w:pPr>
        <w:spacing w:before="0" w:line="440" w:lineRule="exact"/>
        <w:jc w:val="center"/>
        <w:rPr>
          <w:rFonts w:hint="eastAsia" w:ascii="Times New Roman" w:hAnsi="Times New Roman" w:eastAsia="黑体" w:cs="华文中宋"/>
          <w:color w:val="000000" w:themeColor="text1"/>
          <w:kern w:val="2"/>
          <w:sz w:val="32"/>
          <w:szCs w:val="32"/>
          <w14:textFill>
            <w14:solidFill>
              <w14:schemeClr w14:val="tx1"/>
            </w14:solidFill>
          </w14:textFill>
        </w:rPr>
      </w:pPr>
      <w:bookmarkStart w:id="2120" w:name="_Toc11747"/>
      <w:bookmarkStart w:id="2121" w:name="_Toc32100"/>
      <w:bookmarkStart w:id="2122" w:name="_Toc14843"/>
      <w:bookmarkStart w:id="2123" w:name="_Toc17904"/>
      <w:bookmarkStart w:id="2124" w:name="_Toc13113"/>
      <w:bookmarkStart w:id="2125" w:name="_Toc1678"/>
      <w:bookmarkStart w:id="2126" w:name="_Toc5006"/>
      <w:bookmarkStart w:id="2127" w:name="_Toc8971"/>
      <w:bookmarkStart w:id="2128" w:name="_Toc21359"/>
      <w:r>
        <w:rPr>
          <w:rFonts w:hint="eastAsia" w:ascii="Times New Roman" w:hAnsi="Times New Roman" w:eastAsia="黑体" w:cs="华文中宋"/>
          <w:color w:val="000000" w:themeColor="text1"/>
          <w:kern w:val="2"/>
          <w:sz w:val="32"/>
          <w:szCs w:val="32"/>
          <w14:textFill>
            <w14:solidFill>
              <w14:schemeClr w14:val="tx1"/>
            </w14:solidFill>
          </w14:textFill>
        </w:rPr>
        <w:br w:type="page"/>
      </w:r>
    </w:p>
    <w:p w14:paraId="2CA439AC">
      <w:pPr>
        <w:pStyle w:val="2"/>
        <w:keepNext w:val="0"/>
        <w:keepLines w:val="0"/>
        <w:widowControl w:val="0"/>
        <w:spacing w:before="157" w:beforeLines="50" w:after="157" w:afterLines="50" w:line="240" w:lineRule="auto"/>
        <w:jc w:val="center"/>
        <w:rPr>
          <w:rFonts w:hint="eastAsia" w:ascii="Times New Roman" w:hAnsi="Times New Roman" w:eastAsia="黑体" w:cs="华文中宋"/>
          <w:color w:val="000000" w:themeColor="text1"/>
          <w:kern w:val="2"/>
          <w:sz w:val="32"/>
          <w:szCs w:val="32"/>
          <w14:textFill>
            <w14:solidFill>
              <w14:schemeClr w14:val="tx1"/>
            </w14:solidFill>
          </w14:textFill>
        </w:rPr>
      </w:pPr>
      <w:bookmarkStart w:id="2129" w:name="_Toc4710"/>
      <w:bookmarkStart w:id="2130" w:name="_Toc3413"/>
      <w:bookmarkStart w:id="2131" w:name="_Toc22645"/>
      <w:bookmarkStart w:id="2132" w:name="_Toc15592"/>
      <w:bookmarkStart w:id="2133" w:name="_Toc11786"/>
      <w:bookmarkStart w:id="2134" w:name="_Toc29477"/>
      <w:r>
        <w:rPr>
          <w:rFonts w:hint="eastAsia" w:ascii="Times New Roman" w:hAnsi="Times New Roman" w:eastAsia="黑体" w:cs="华文中宋"/>
          <w:color w:val="000000" w:themeColor="text1"/>
          <w:kern w:val="2"/>
          <w:sz w:val="32"/>
          <w:szCs w:val="32"/>
          <w14:textFill>
            <w14:solidFill>
              <w14:schemeClr w14:val="tx1"/>
            </w14:solidFill>
          </w14:textFill>
        </w:rPr>
        <w:t>二、医疗卫生</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2A27BF99">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2135" w:name="_Toc17974"/>
      <w:bookmarkStart w:id="2136" w:name="_Toc24492"/>
      <w:bookmarkStart w:id="2137" w:name="_Toc17890"/>
      <w:bookmarkStart w:id="2138" w:name="_Toc15188"/>
      <w:bookmarkStart w:id="2139" w:name="_Toc3028"/>
      <w:bookmarkStart w:id="2140" w:name="_Toc10906"/>
      <w:bookmarkStart w:id="2141" w:name="_Toc20607"/>
      <w:bookmarkStart w:id="2142" w:name="_Toc25966"/>
      <w:bookmarkStart w:id="2143" w:name="_Toc19626"/>
      <w:bookmarkStart w:id="2144" w:name="_Toc18477"/>
      <w:bookmarkStart w:id="2145" w:name="_Toc25577"/>
      <w:bookmarkStart w:id="2146" w:name="_Toc18258"/>
      <w:bookmarkStart w:id="2147" w:name="_Toc5640"/>
      <w:r>
        <w:rPr>
          <w:rFonts w:hint="eastAsia" w:ascii="Times New Roman" w:hAnsi="Times New Roman" w:eastAsia="楷体_GB2312" w:cs="楷体_GB2312"/>
          <w:bCs w:val="0"/>
          <w:color w:val="000000" w:themeColor="text1"/>
          <w:kern w:val="2"/>
          <w14:textFill>
            <w14:solidFill>
              <w14:schemeClr w14:val="tx1"/>
            </w14:solidFill>
          </w14:textFill>
        </w:rPr>
        <w:t>（一）《中华人民共和国基本医疗卫生与健康促进法》</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14:paraId="4A4F50AE">
      <w:pPr>
        <w:pStyle w:val="4"/>
        <w:widowControl w:val="0"/>
        <w:ind w:firstLine="640"/>
        <w:jc w:val="both"/>
        <w:rPr>
          <w:rFonts w:hint="eastAsia" w:cs="仿宋_GB2312"/>
          <w:bCs/>
          <w:color w:val="000000" w:themeColor="text1"/>
          <w14:textFill>
            <w14:solidFill>
              <w14:schemeClr w14:val="tx1"/>
            </w14:solidFill>
          </w14:textFill>
        </w:rPr>
      </w:pPr>
      <w:bookmarkStart w:id="2148" w:name="_Toc5604"/>
      <w:bookmarkStart w:id="2149" w:name="_Toc9044"/>
      <w:bookmarkStart w:id="2150" w:name="_Toc17325"/>
      <w:bookmarkStart w:id="2151" w:name="_Toc25623"/>
      <w:bookmarkStart w:id="2152" w:name="_Toc4011"/>
      <w:bookmarkStart w:id="2153" w:name="_Toc16717"/>
      <w:bookmarkStart w:id="2154" w:name="_Toc872"/>
      <w:bookmarkStart w:id="2155" w:name="_Toc27808"/>
      <w:bookmarkStart w:id="2156" w:name="_Toc27097"/>
      <w:bookmarkStart w:id="2157" w:name="_Toc12896"/>
      <w:bookmarkStart w:id="2158" w:name="_Toc27899"/>
      <w:r>
        <w:rPr>
          <w:rFonts w:hint="eastAsia" w:cs="仿宋_GB2312"/>
          <w:bCs/>
          <w:color w:val="000000" w:themeColor="text1"/>
          <w14:textFill>
            <w14:solidFill>
              <w14:schemeClr w14:val="tx1"/>
            </w14:solidFill>
          </w14:textFill>
        </w:rPr>
        <w:t>第一百七十八条 未取得医疗机构执业许可证擅自执业的</w:t>
      </w:r>
      <w:bookmarkEnd w:id="2148"/>
      <w:bookmarkEnd w:id="2149"/>
      <w:bookmarkEnd w:id="2150"/>
      <w:bookmarkEnd w:id="2151"/>
      <w:bookmarkEnd w:id="2152"/>
      <w:bookmarkEnd w:id="2153"/>
      <w:bookmarkEnd w:id="2154"/>
      <w:bookmarkEnd w:id="2155"/>
      <w:bookmarkEnd w:id="2156"/>
      <w:bookmarkEnd w:id="2157"/>
      <w:bookmarkEnd w:id="2158"/>
    </w:p>
    <w:p w14:paraId="3C32B13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4CD12C2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《中华人民共和国基本医疗卫生与健康促进法》第九十九条第一款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未取得医疗机构执业许可证擅自执业的，由县级以上人民政府卫生健康主管部门责令停止执业活动，没收违法所得和药品、医疗器械，并处违法所得五倍以上二十倍以下的罚款，违法所得不足一万元的，按一万元计算。</w:t>
      </w:r>
    </w:p>
    <w:p w14:paraId="4C637C83">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32"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5700"/>
        <w:gridCol w:w="6064"/>
      </w:tblGrid>
      <w:tr w14:paraId="18E8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68" w:type="dxa"/>
            <w:shd w:val="clear" w:color="auto" w:fill="auto"/>
            <w:vAlign w:val="center"/>
          </w:tcPr>
          <w:p w14:paraId="567E3417">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700" w:type="dxa"/>
            <w:shd w:val="clear" w:color="auto" w:fill="auto"/>
            <w:vAlign w:val="center"/>
          </w:tcPr>
          <w:p w14:paraId="6A9E013D">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违法后果</w:t>
            </w:r>
          </w:p>
        </w:tc>
        <w:tc>
          <w:tcPr>
            <w:tcW w:w="6064" w:type="dxa"/>
            <w:shd w:val="clear" w:color="auto" w:fill="auto"/>
            <w:vAlign w:val="center"/>
          </w:tcPr>
          <w:p w14:paraId="08D498B8">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F8B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168" w:type="dxa"/>
            <w:shd w:val="clear" w:color="auto" w:fill="auto"/>
            <w:vAlign w:val="center"/>
          </w:tcPr>
          <w:p w14:paraId="75767090">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700" w:type="dxa"/>
            <w:shd w:val="clear" w:color="auto" w:fill="auto"/>
            <w:vAlign w:val="center"/>
          </w:tcPr>
          <w:p w14:paraId="59998313">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未取得医疗机构执业许可证擅自执业，违法所得不足一万元，未造成患者人身损害。</w:t>
            </w:r>
          </w:p>
        </w:tc>
        <w:tc>
          <w:tcPr>
            <w:tcW w:w="6064" w:type="dxa"/>
            <w:shd w:val="clear" w:color="auto" w:fill="auto"/>
            <w:vAlign w:val="center"/>
          </w:tcPr>
          <w:p w14:paraId="10707329">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Style w:val="26"/>
                <w:rFonts w:hint="eastAsia" w:ascii="Times New Roman" w:hAnsi="Times New Roman" w:eastAsia="仿宋_GB2312" w:cs="Times New Roman"/>
                <w:color w:val="000000" w:themeColor="text1"/>
                <w:szCs w:val="22"/>
                <w:lang w:bidi="ar"/>
                <w14:textFill>
                  <w14:solidFill>
                    <w14:schemeClr w14:val="tx1"/>
                  </w14:solidFill>
                </w14:textFill>
              </w:rPr>
              <w:t>由县级以上人民政府卫生健康主管部门责令停止执业活动，没收违法所得和药品、医疗器械，处违法所得五倍以上十倍以下罚款，违法所得不足一万元的，按一万元计算。</w:t>
            </w:r>
          </w:p>
        </w:tc>
      </w:tr>
      <w:tr w14:paraId="1051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168" w:type="dxa"/>
            <w:shd w:val="clear" w:color="auto" w:fill="auto"/>
            <w:vAlign w:val="center"/>
          </w:tcPr>
          <w:p w14:paraId="06E7B51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5700" w:type="dxa"/>
            <w:shd w:val="clear" w:color="auto" w:fill="auto"/>
            <w:vAlign w:val="center"/>
          </w:tcPr>
          <w:p w14:paraId="32C6C0E4">
            <w:pPr>
              <w:widowControl w:val="0"/>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未取得医疗机构执业许可证擅自执业，违法所得一万元以上五万元以下，未造成患者人身损害。</w:t>
            </w:r>
          </w:p>
        </w:tc>
        <w:tc>
          <w:tcPr>
            <w:tcW w:w="6064" w:type="dxa"/>
            <w:shd w:val="clear" w:color="auto" w:fill="auto"/>
            <w:vAlign w:val="center"/>
          </w:tcPr>
          <w:p w14:paraId="2EC86C2D">
            <w:pPr>
              <w:widowControl w:val="0"/>
              <w:spacing w:after="0" w:line="320" w:lineRule="exact"/>
              <w:jc w:val="both"/>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由县级以上人民政府卫生健康主管部门责令停止执业活动，没收违法所得和药品、医疗器械，处违法所得十倍以上十五倍以下罚款。</w:t>
            </w:r>
          </w:p>
        </w:tc>
      </w:tr>
      <w:tr w14:paraId="0A36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168" w:type="dxa"/>
            <w:shd w:val="clear" w:color="auto" w:fill="auto"/>
            <w:vAlign w:val="center"/>
          </w:tcPr>
          <w:p w14:paraId="22D822D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700" w:type="dxa"/>
            <w:shd w:val="clear" w:color="auto" w:fill="auto"/>
            <w:vAlign w:val="center"/>
          </w:tcPr>
          <w:p w14:paraId="6021A1A8">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（1）未取得医疗机构执业许可证擅自执业，违法所得超过五万元，未造成患者人身损害；（2）未取得医疗机构执业许可证擅自执业造成患者人身损害。</w:t>
            </w:r>
          </w:p>
        </w:tc>
        <w:tc>
          <w:tcPr>
            <w:tcW w:w="6064" w:type="dxa"/>
            <w:shd w:val="clear" w:color="auto" w:fill="auto"/>
            <w:vAlign w:val="center"/>
          </w:tcPr>
          <w:p w14:paraId="0417D662">
            <w:pPr>
              <w:widowControl w:val="0"/>
              <w:spacing w:after="0" w:line="320" w:lineRule="exact"/>
              <w:jc w:val="both"/>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Style w:val="26"/>
                <w:rFonts w:hint="eastAsia" w:ascii="Times New Roman" w:hAnsi="Times New Roman" w:eastAsia="仿宋_GB2312" w:cs="Times New Roman"/>
                <w:color w:val="000000" w:themeColor="text1"/>
                <w:sz w:val="24"/>
                <w:szCs w:val="22"/>
                <w:lang w:bidi="ar"/>
                <w14:textFill>
                  <w14:solidFill>
                    <w14:schemeClr w14:val="tx1"/>
                  </w14:solidFill>
                </w14:textFill>
              </w:rPr>
              <w:t>有以上情节之一的，由县级以上人民政府卫生健康主管部门责令停止执业活动，没收违法所得和药品、医疗器械，处违法所得十五倍以上二十倍以下罚款。</w:t>
            </w:r>
          </w:p>
        </w:tc>
      </w:tr>
    </w:tbl>
    <w:p w14:paraId="0854002E">
      <w:pPr>
        <w:widowControl w:val="0"/>
        <w:adjustRightInd/>
        <w:snapToGrid/>
        <w:spacing w:after="0" w:line="440" w:lineRule="exact"/>
        <w:ind w:left="641" w:firstLine="200"/>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5D0BCD83">
      <w:pPr>
        <w:pStyle w:val="4"/>
        <w:widowControl w:val="0"/>
        <w:ind w:firstLine="640"/>
        <w:jc w:val="both"/>
        <w:rPr>
          <w:rFonts w:hint="eastAsia" w:cs="仿宋_GB2312"/>
          <w:bCs/>
          <w:color w:val="000000" w:themeColor="text1"/>
          <w14:textFill>
            <w14:solidFill>
              <w14:schemeClr w14:val="tx1"/>
            </w14:solidFill>
          </w14:textFill>
        </w:rPr>
      </w:pPr>
      <w:bookmarkStart w:id="2159" w:name="_Toc32159"/>
      <w:bookmarkStart w:id="2160" w:name="_Toc2113"/>
      <w:bookmarkStart w:id="2161" w:name="_Toc7502"/>
      <w:bookmarkStart w:id="2162" w:name="_Toc17729"/>
      <w:bookmarkStart w:id="2163" w:name="_Toc4797"/>
      <w:bookmarkStart w:id="2164" w:name="_Toc29282"/>
      <w:bookmarkStart w:id="2165" w:name="_Toc25298"/>
      <w:bookmarkStart w:id="2166" w:name="_Toc25242"/>
      <w:bookmarkStart w:id="2167" w:name="_Toc9413"/>
      <w:bookmarkStart w:id="2168" w:name="_Toc9326"/>
      <w:bookmarkStart w:id="2169" w:name="_Toc9883"/>
      <w:r>
        <w:rPr>
          <w:rFonts w:hint="eastAsia" w:cs="仿宋_GB2312"/>
          <w:bCs/>
          <w:color w:val="000000" w:themeColor="text1"/>
          <w14:textFill>
            <w14:solidFill>
              <w14:schemeClr w14:val="tx1"/>
            </w14:solidFill>
          </w14:textFill>
        </w:rPr>
        <w:t>第一百七十九条 伪造、变造、买卖、出租、出借医疗机构执业许可证的</w:t>
      </w:r>
      <w:bookmarkEnd w:id="2159"/>
      <w:bookmarkEnd w:id="2160"/>
      <w:bookmarkEnd w:id="2161"/>
      <w:bookmarkEnd w:id="2162"/>
      <w:bookmarkEnd w:id="2163"/>
      <w:bookmarkEnd w:id="2164"/>
      <w:bookmarkEnd w:id="2165"/>
      <w:bookmarkEnd w:id="2166"/>
      <w:bookmarkEnd w:id="2167"/>
      <w:bookmarkEnd w:id="2168"/>
      <w:bookmarkEnd w:id="2169"/>
    </w:p>
    <w:p w14:paraId="531C99AF">
      <w:pPr>
        <w:widowControl w:val="0"/>
        <w:spacing w:after="0" w:line="440" w:lineRule="exact"/>
        <w:ind w:firstLine="640" w:firstLineChars="200"/>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5FA7444E">
      <w:pPr>
        <w:widowControl w:val="0"/>
        <w:spacing w:after="0" w:line="440" w:lineRule="exact"/>
        <w:ind w:firstLine="640" w:firstLineChars="200"/>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《中华人民共和国基本医疗卫生与健康促进法》第九十九条第二款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伪造、变造、买卖、出租、出借医疗机构执业许可证的，由县级以上人民政府卫生健康主管部门责令改正，没收违法所得，并处违法所得五倍以上十五倍以下的罚款，违法所得不足一万元的，按一万元计算；情节严重的，吊销医疗机构执业许可证。</w:t>
      </w:r>
    </w:p>
    <w:p w14:paraId="090C77E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32"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5700"/>
        <w:gridCol w:w="6086"/>
      </w:tblGrid>
      <w:tr w14:paraId="59C1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46" w:type="dxa"/>
            <w:shd w:val="clear" w:color="auto" w:fill="auto"/>
            <w:vAlign w:val="center"/>
          </w:tcPr>
          <w:p w14:paraId="66239685">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700" w:type="dxa"/>
            <w:shd w:val="clear" w:color="auto" w:fill="auto"/>
            <w:vAlign w:val="center"/>
          </w:tcPr>
          <w:p w14:paraId="58EA8AC6">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违法后果</w:t>
            </w:r>
          </w:p>
        </w:tc>
        <w:tc>
          <w:tcPr>
            <w:tcW w:w="6086" w:type="dxa"/>
            <w:shd w:val="clear" w:color="auto" w:fill="auto"/>
            <w:vAlign w:val="center"/>
          </w:tcPr>
          <w:p w14:paraId="515C1A14">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1DF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146" w:type="dxa"/>
            <w:shd w:val="clear" w:color="auto" w:fill="auto"/>
            <w:vAlign w:val="center"/>
          </w:tcPr>
          <w:p w14:paraId="232ACEE6">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5700" w:type="dxa"/>
            <w:shd w:val="clear" w:color="auto" w:fill="auto"/>
            <w:vAlign w:val="center"/>
          </w:tcPr>
          <w:p w14:paraId="6D587C2D">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伪造、变造、买卖、出租、出借医疗机构执业许可证的，首次发现且未造成严重后果的。</w:t>
            </w:r>
          </w:p>
        </w:tc>
        <w:tc>
          <w:tcPr>
            <w:tcW w:w="6086" w:type="dxa"/>
            <w:shd w:val="clear" w:color="auto" w:fill="auto"/>
            <w:vAlign w:val="center"/>
          </w:tcPr>
          <w:p w14:paraId="7800952A">
            <w:pPr>
              <w:widowControl w:val="0"/>
              <w:spacing w:after="0" w:line="320" w:lineRule="exact"/>
              <w:jc w:val="both"/>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由县级以上人民政府卫生健康主管部门责令改正，没收违法所得，并处违法所得五倍的罚款，违法所得不足一万元的，按一万元计算。</w:t>
            </w:r>
          </w:p>
        </w:tc>
      </w:tr>
      <w:tr w14:paraId="4787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146" w:type="dxa"/>
            <w:shd w:val="clear" w:color="auto" w:fill="auto"/>
            <w:vAlign w:val="center"/>
          </w:tcPr>
          <w:p w14:paraId="6C1351A8">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5700" w:type="dxa"/>
            <w:shd w:val="clear" w:color="auto" w:fill="auto"/>
            <w:vAlign w:val="center"/>
          </w:tcPr>
          <w:p w14:paraId="6FF7BE71">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A、因伪造、变造、买卖、出租、出借医疗机构执业许可证曾受过卫生健康主管部门处罚的；B、买卖、出租、出借医疗机构执业许可证给非卫生技术专业人员的；C、伪造、变造、买卖、出租、出借医疗机构执业许可证，执业时间在三个月以上的。</w:t>
            </w:r>
          </w:p>
        </w:tc>
        <w:tc>
          <w:tcPr>
            <w:tcW w:w="6086" w:type="dxa"/>
            <w:shd w:val="clear" w:color="auto" w:fill="auto"/>
            <w:vAlign w:val="center"/>
          </w:tcPr>
          <w:p w14:paraId="27FE2EC6">
            <w:pPr>
              <w:widowControl w:val="0"/>
              <w:spacing w:after="0" w:line="320" w:lineRule="exact"/>
              <w:jc w:val="both"/>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由县级以上人民政府卫生健康主管部门责令改正，没收违法所得，并处违法所得</w:t>
            </w:r>
            <w:r>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t>五倍</w:t>
            </w:r>
            <w:r>
              <w:rPr>
                <w:rFonts w:hint="eastAsia" w:ascii="Times New Roman" w:hAnsi="Times New Roman" w:eastAsia="仿宋_GB2312" w:cs="Times New Roman"/>
                <w:color w:val="000000" w:themeColor="text1"/>
                <w:sz w:val="24"/>
                <w:szCs w:val="22"/>
                <w:lang w:bidi="ar"/>
                <w14:textFill>
                  <w14:solidFill>
                    <w14:schemeClr w14:val="tx1"/>
                  </w14:solidFill>
                </w14:textFill>
              </w:rPr>
              <w:t>以上十倍以下的罚款，违法所得不足一万元的，按一万元计算。</w:t>
            </w:r>
          </w:p>
        </w:tc>
      </w:tr>
      <w:tr w14:paraId="7509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146" w:type="dxa"/>
            <w:shd w:val="clear" w:color="auto" w:fill="auto"/>
            <w:vAlign w:val="center"/>
          </w:tcPr>
          <w:p w14:paraId="6A49FD1C">
            <w:pPr>
              <w:widowControl w:val="0"/>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5700" w:type="dxa"/>
            <w:shd w:val="clear" w:color="auto" w:fill="auto"/>
            <w:vAlign w:val="center"/>
          </w:tcPr>
          <w:p w14:paraId="20BAC754">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有上述两种及以上情形的。</w:t>
            </w:r>
          </w:p>
        </w:tc>
        <w:tc>
          <w:tcPr>
            <w:tcW w:w="6086" w:type="dxa"/>
            <w:shd w:val="clear" w:color="auto" w:fill="auto"/>
            <w:vAlign w:val="center"/>
          </w:tcPr>
          <w:p w14:paraId="278EF7E6">
            <w:pPr>
              <w:widowControl w:val="0"/>
              <w:spacing w:after="0" w:line="320" w:lineRule="exact"/>
              <w:jc w:val="both"/>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由县级以上人民政府卫生健康主管部门责令改正，没收违法所得，并处违法所得</w:t>
            </w:r>
            <w:r>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t>十倍</w:t>
            </w:r>
            <w:r>
              <w:rPr>
                <w:rFonts w:hint="eastAsia" w:ascii="Times New Roman" w:hAnsi="Times New Roman" w:eastAsia="仿宋_GB2312" w:cs="Times New Roman"/>
                <w:color w:val="000000" w:themeColor="text1"/>
                <w:sz w:val="24"/>
                <w:szCs w:val="22"/>
                <w:lang w:bidi="ar"/>
                <w14:textFill>
                  <w14:solidFill>
                    <w14:schemeClr w14:val="tx1"/>
                  </w14:solidFill>
                </w14:textFill>
              </w:rPr>
              <w:t>以上十五倍以下的罚款，违法所得不足一万元的，按一万元计算。</w:t>
            </w:r>
          </w:p>
        </w:tc>
      </w:tr>
      <w:tr w14:paraId="7088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146" w:type="dxa"/>
            <w:shd w:val="clear" w:color="auto" w:fill="auto"/>
            <w:vAlign w:val="center"/>
          </w:tcPr>
          <w:p w14:paraId="6A9B705E">
            <w:pPr>
              <w:widowControl w:val="0"/>
              <w:spacing w:after="0" w:line="280" w:lineRule="exact"/>
              <w:jc w:val="center"/>
              <w:textAlignment w:val="auto"/>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特别严重</w:t>
            </w:r>
          </w:p>
        </w:tc>
        <w:tc>
          <w:tcPr>
            <w:tcW w:w="5700" w:type="dxa"/>
            <w:shd w:val="clear" w:color="auto" w:fill="auto"/>
            <w:vAlign w:val="center"/>
          </w:tcPr>
          <w:p w14:paraId="76BC80E0">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伪造、变造、买卖、出租、出借医疗机构执业许可证情节严重的。</w:t>
            </w:r>
          </w:p>
        </w:tc>
        <w:tc>
          <w:tcPr>
            <w:tcW w:w="6086" w:type="dxa"/>
            <w:shd w:val="clear" w:color="auto" w:fill="auto"/>
            <w:vAlign w:val="center"/>
          </w:tcPr>
          <w:p w14:paraId="17AD1CEF">
            <w:pPr>
              <w:widowControl w:val="0"/>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由县级以上人民政府卫生健康主管部门责令改正，没收违法所得，处违法所得十五倍的罚款，违法所得不足一万元的，按一万元计算，并吊销医疗机构执业许可证。</w:t>
            </w:r>
          </w:p>
        </w:tc>
      </w:tr>
    </w:tbl>
    <w:p w14:paraId="4E448AFA">
      <w:pPr>
        <w:pStyle w:val="4"/>
        <w:widowControl w:val="0"/>
        <w:ind w:firstLine="640"/>
        <w:jc w:val="both"/>
        <w:rPr>
          <w:rFonts w:hint="eastAsia" w:cs="仿宋_GB2312"/>
          <w:bCs/>
          <w:color w:val="000000" w:themeColor="text1"/>
          <w:spacing w:val="-6"/>
          <w14:textFill>
            <w14:solidFill>
              <w14:schemeClr w14:val="tx1"/>
            </w14:solidFill>
          </w14:textFill>
        </w:rPr>
      </w:pPr>
      <w:bookmarkStart w:id="2170" w:name="_Toc3115"/>
      <w:bookmarkStart w:id="2171" w:name="_Toc9230"/>
      <w:bookmarkStart w:id="2172" w:name="_Toc27638"/>
      <w:bookmarkStart w:id="2173" w:name="_Toc30580"/>
      <w:bookmarkStart w:id="2174" w:name="_Toc16699"/>
      <w:bookmarkStart w:id="2175" w:name="_Toc30762"/>
      <w:bookmarkStart w:id="2176" w:name="_Toc3747"/>
      <w:bookmarkStart w:id="2177" w:name="_Toc5664"/>
      <w:bookmarkStart w:id="2178" w:name="_Toc12567"/>
      <w:bookmarkStart w:id="2179" w:name="_Toc28410"/>
      <w:bookmarkStart w:id="2180" w:name="_Toc11930"/>
      <w:r>
        <w:rPr>
          <w:rFonts w:hint="eastAsia" w:cs="仿宋_GB2312"/>
          <w:bCs/>
          <w:color w:val="000000" w:themeColor="text1"/>
          <w14:textFill>
            <w14:solidFill>
              <w14:schemeClr w14:val="tx1"/>
            </w14:solidFill>
          </w14:textFill>
        </w:rPr>
        <w:t xml:space="preserve">第一百八十条 </w:t>
      </w:r>
      <w:r>
        <w:rPr>
          <w:rFonts w:hint="eastAsia" w:cs="仿宋_GB2312"/>
          <w:bCs/>
          <w:color w:val="000000" w:themeColor="text1"/>
          <w:spacing w:val="-6"/>
          <w14:textFill>
            <w14:solidFill>
              <w14:schemeClr w14:val="tx1"/>
            </w14:solidFill>
          </w14:textFill>
        </w:rPr>
        <w:t>政府举办的医疗卫生机构与其他组织投资设立非独立法人资格的医疗卫生机构的</w:t>
      </w:r>
      <w:bookmarkEnd w:id="2170"/>
      <w:bookmarkEnd w:id="2171"/>
      <w:bookmarkEnd w:id="2172"/>
      <w:bookmarkEnd w:id="2173"/>
      <w:bookmarkEnd w:id="2174"/>
      <w:bookmarkEnd w:id="2175"/>
      <w:bookmarkEnd w:id="2176"/>
      <w:bookmarkEnd w:id="2177"/>
      <w:bookmarkEnd w:id="2178"/>
      <w:bookmarkEnd w:id="2179"/>
      <w:bookmarkEnd w:id="2180"/>
    </w:p>
    <w:p w14:paraId="2A3EF98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0F74750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《中华人民共和国基本医疗卫生与健康促进法》第一百条第（一）项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有下列行为之一的，由县级以上人民政府卫生健康主管部门责令改正，没收违法所得，并处违法所得二倍以上十倍以下的罚款，违法所得不足一万元的，按一万元计算；对直接负责的主管人员和其他直接责任人员依法给予处分：</w:t>
      </w:r>
    </w:p>
    <w:p w14:paraId="11D13BA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（一）政府举办的医疗卫生机构与其他组织投资设立非独立法人资格的医疗卫生机构；</w:t>
      </w:r>
    </w:p>
    <w:p w14:paraId="3B012CDA">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2683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tcPr>
          <w:p w14:paraId="5FC30FA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6EF84BF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13DACF2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6D2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5FB6C5F">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22ECFC1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政府举办的医疗卫生机构与其他组织投资设立非独立法人资格的医疗卫生机构，首次发现的。</w:t>
            </w:r>
          </w:p>
        </w:tc>
        <w:tc>
          <w:tcPr>
            <w:tcW w:w="7139" w:type="dxa"/>
            <w:vAlign w:val="center"/>
          </w:tcPr>
          <w:p w14:paraId="5448F79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由县级以上人民政府卫生健康主管部门责令改正，没收违法所得，并处违法所得二倍以上四倍以下的罚款，违法所得不足一万元的，按一万元计算。</w:t>
            </w:r>
          </w:p>
        </w:tc>
      </w:tr>
      <w:tr w14:paraId="235B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1440" w:type="dxa"/>
            <w:vAlign w:val="center"/>
          </w:tcPr>
          <w:p w14:paraId="135217F4">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2E4392C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政府举办的医疗卫生机构与其他组织投资设立非独立法人资格的医疗卫生机构，经处罚再次发现有该行为的。</w:t>
            </w:r>
          </w:p>
        </w:tc>
        <w:tc>
          <w:tcPr>
            <w:tcW w:w="7139" w:type="dxa"/>
            <w:vAlign w:val="center"/>
          </w:tcPr>
          <w:p w14:paraId="6F4DBDB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由县级以上人民政府卫生健康主管部门责令改正，没收违法所得，并处违法所得四倍以上七倍以下的罚款，违法所得不足一万元的，按一万元计算。</w:t>
            </w:r>
          </w:p>
        </w:tc>
      </w:tr>
      <w:tr w14:paraId="4DB5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1B46CD7">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5A176AC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政府举办的医疗卫生机构与其他组织投资设立非独立法人资格的医疗卫生机构，造成严重后果的。 </w:t>
            </w:r>
          </w:p>
        </w:tc>
        <w:tc>
          <w:tcPr>
            <w:tcW w:w="7139" w:type="dxa"/>
            <w:vAlign w:val="center"/>
          </w:tcPr>
          <w:p w14:paraId="5A90E70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由县级以上人民政府卫生健康主管部门责令改正，没收违法所得，并处违法所得七倍以上十倍以下的罚款，违法所得不足一万元的，按一万元计算。 </w:t>
            </w:r>
          </w:p>
        </w:tc>
      </w:tr>
    </w:tbl>
    <w:p w14:paraId="5F3A087F">
      <w:pPr>
        <w:pStyle w:val="4"/>
        <w:widowControl w:val="0"/>
        <w:ind w:firstLine="640"/>
        <w:jc w:val="both"/>
        <w:rPr>
          <w:rFonts w:hint="eastAsia" w:cs="仿宋_GB2312"/>
          <w:bCs/>
          <w:color w:val="000000" w:themeColor="text1"/>
          <w14:textFill>
            <w14:solidFill>
              <w14:schemeClr w14:val="tx1"/>
            </w14:solidFill>
          </w14:textFill>
        </w:rPr>
      </w:pPr>
      <w:bookmarkStart w:id="2181" w:name="_Toc20229"/>
      <w:bookmarkStart w:id="2182" w:name="_Toc14214"/>
      <w:bookmarkStart w:id="2183" w:name="_Toc605"/>
      <w:bookmarkStart w:id="2184" w:name="_Toc30609"/>
      <w:bookmarkStart w:id="2185" w:name="_Toc13469"/>
      <w:bookmarkStart w:id="2186" w:name="_Toc21742"/>
      <w:bookmarkStart w:id="2187" w:name="_Toc2021"/>
      <w:bookmarkStart w:id="2188" w:name="_Toc4609"/>
      <w:bookmarkStart w:id="2189" w:name="_Toc1329"/>
      <w:bookmarkStart w:id="2190" w:name="_Toc15786"/>
      <w:bookmarkStart w:id="2191" w:name="_Toc20739"/>
      <w:r>
        <w:rPr>
          <w:rFonts w:hint="eastAsia" w:cs="仿宋_GB2312"/>
          <w:bCs/>
          <w:color w:val="000000" w:themeColor="text1"/>
          <w14:textFill>
            <w14:solidFill>
              <w14:schemeClr w14:val="tx1"/>
            </w14:solidFill>
          </w14:textFill>
        </w:rPr>
        <w:t>第一百八十一条 医疗卫生机构对外出租、承包医疗科室的</w:t>
      </w:r>
      <w:bookmarkEnd w:id="2181"/>
      <w:bookmarkEnd w:id="2182"/>
      <w:bookmarkEnd w:id="2183"/>
      <w:bookmarkEnd w:id="2184"/>
      <w:bookmarkEnd w:id="2185"/>
      <w:bookmarkEnd w:id="2186"/>
      <w:bookmarkEnd w:id="2187"/>
      <w:bookmarkEnd w:id="2188"/>
      <w:bookmarkEnd w:id="2189"/>
      <w:bookmarkEnd w:id="2190"/>
      <w:bookmarkEnd w:id="2191"/>
      <w:r>
        <w:rPr>
          <w:rFonts w:hint="eastAsia" w:cs="仿宋_GB2312"/>
          <w:bCs/>
          <w:color w:val="000000" w:themeColor="text1"/>
          <w14:textFill>
            <w14:solidFill>
              <w14:schemeClr w14:val="tx1"/>
            </w14:solidFill>
          </w14:textFill>
        </w:rPr>
        <w:t xml:space="preserve"> </w:t>
      </w:r>
    </w:p>
    <w:p w14:paraId="1D20B56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5AAB89E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《中华人民共和国基本医疗卫生与健康促进法》第一百条第（二）项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有下列行为之一的，由县级以上人民政府卫生健康主管部门责令改正，没收违法所得，并处违法所得二倍以上十倍以下的罚款，违法所得不足一万元的，按一万元计算；对直接负责的主管人员和其他直接责任人员依法给予处分：</w:t>
      </w:r>
    </w:p>
    <w:p w14:paraId="7C26C1C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（二）医疗卫生机构对外出租、承包医疗科室； </w:t>
      </w:r>
    </w:p>
    <w:p w14:paraId="312DB3D3">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3CF5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D63DDE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1F2CC28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1835412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EF4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440" w:type="dxa"/>
            <w:vAlign w:val="center"/>
          </w:tcPr>
          <w:p w14:paraId="5BA3EA06">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52B29A5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医疗卫生机构对外出租、承包医疗科室，首次发现的。</w:t>
            </w:r>
          </w:p>
        </w:tc>
        <w:tc>
          <w:tcPr>
            <w:tcW w:w="7139" w:type="dxa"/>
            <w:vAlign w:val="center"/>
          </w:tcPr>
          <w:p w14:paraId="2F64048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由县级以上人民政府卫生健康主管部门责令改正，没收违法所得，并处违法所得二倍以上四倍以下的罚款，违法所得不足一万元的，按一万元计算。</w:t>
            </w:r>
          </w:p>
        </w:tc>
      </w:tr>
      <w:tr w14:paraId="7EAA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703801A">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35FBBB1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医疗卫生机构对外出租、承包医疗科室，经处罚再次发现有该行为的。</w:t>
            </w:r>
          </w:p>
        </w:tc>
        <w:tc>
          <w:tcPr>
            <w:tcW w:w="7139" w:type="dxa"/>
            <w:vAlign w:val="center"/>
          </w:tcPr>
          <w:p w14:paraId="0DC00C9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由县级以上人民政府卫生健康主管部门责令改正，没收违法所得，并处违法所得四倍以上七倍以下的罚款，违法所得不足一万元的，按一万元计算。</w:t>
            </w:r>
          </w:p>
        </w:tc>
      </w:tr>
      <w:tr w14:paraId="3A2D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242E1B5">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0352FCB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医疗卫生机构对外出租、承包医疗科室，造成严重后果的。</w:t>
            </w:r>
          </w:p>
        </w:tc>
        <w:tc>
          <w:tcPr>
            <w:tcW w:w="7139" w:type="dxa"/>
            <w:vAlign w:val="center"/>
          </w:tcPr>
          <w:p w14:paraId="367B3E2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由县级以上人民政府卫生健康主管部门责令改正，没收违法所得，并处违法所得七倍以上十倍以下的罚款，违法所得不足一万元的，按一万元计算。</w:t>
            </w:r>
          </w:p>
        </w:tc>
      </w:tr>
    </w:tbl>
    <w:p w14:paraId="3E46E9E9">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192" w:name="_Toc26964"/>
      <w:bookmarkStart w:id="2193" w:name="_Toc25746"/>
      <w:bookmarkStart w:id="2194" w:name="_Toc17956"/>
      <w:bookmarkStart w:id="2195" w:name="_Toc30851"/>
      <w:bookmarkStart w:id="2196" w:name="_Toc193"/>
      <w:bookmarkStart w:id="2197" w:name="_Toc8835"/>
      <w:bookmarkStart w:id="2198" w:name="_Toc13118"/>
      <w:bookmarkStart w:id="2199" w:name="_Toc24456"/>
      <w:bookmarkStart w:id="2200" w:name="_Toc27374"/>
      <w:bookmarkStart w:id="2201" w:name="_Toc10797"/>
      <w:bookmarkStart w:id="2202" w:name="_Toc14364"/>
      <w:r>
        <w:rPr>
          <w:rFonts w:hint="eastAsia" w:cs="仿宋_GB2312"/>
          <w:bCs/>
          <w:color w:val="000000" w:themeColor="text1"/>
          <w14:textFill>
            <w14:solidFill>
              <w14:schemeClr w14:val="tx1"/>
            </w14:solidFill>
          </w14:textFill>
        </w:rPr>
        <w:t>第一百八十二条</w:t>
      </w:r>
      <w:r>
        <w:rPr>
          <w:rFonts w:hint="eastAsia" w:ascii="Times New Roman" w:hAnsi="Times New Roman" w:cs="仿宋_GB2312"/>
          <w:bCs/>
          <w:color w:val="000000" w:themeColor="text1"/>
          <w:kern w:val="0"/>
          <w14:textFill>
            <w14:solidFill>
              <w14:schemeClr w14:val="tx1"/>
            </w14:solidFill>
          </w14:textFill>
        </w:rPr>
        <w:t xml:space="preserve"> 非营利性医疗卫生机构向出资人、举办者分配或者变相分配收益的</w:t>
      </w:r>
      <w:bookmarkEnd w:id="2192"/>
      <w:bookmarkEnd w:id="2193"/>
      <w:bookmarkEnd w:id="2194"/>
      <w:bookmarkEnd w:id="2195"/>
      <w:bookmarkEnd w:id="2196"/>
      <w:bookmarkEnd w:id="2197"/>
      <w:bookmarkEnd w:id="2198"/>
      <w:bookmarkEnd w:id="2199"/>
      <w:bookmarkEnd w:id="2200"/>
      <w:bookmarkEnd w:id="2201"/>
      <w:bookmarkEnd w:id="2202"/>
    </w:p>
    <w:p w14:paraId="253217E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184F232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《中华人民共和国基本医疗卫生与健康促进法》第一百条第（三）项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有下列行为之一的，由县级以上人民政府卫生健康主管部门责令改正，没收违法所得，并处违法所得二倍以上十倍以下的罚款，违法所得不足一万元的，按一万元计算；对直接负责的主管人员和其他直接责任人员依法给予处分：</w:t>
      </w:r>
    </w:p>
    <w:p w14:paraId="7E7AC5F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（三）非营利性医疗卫生机构向出资人举办者分配或者变相分配收益。</w:t>
      </w:r>
    </w:p>
    <w:p w14:paraId="2C46BDA6">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4538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1416294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5C85259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vAlign w:val="center"/>
          </w:tcPr>
          <w:p w14:paraId="00E48CF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6FD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3953E0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5B8BB6A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非营利性医疗卫生机构向出资人、举办者分配或者变相分配收益，首次发现的。</w:t>
            </w:r>
          </w:p>
        </w:tc>
        <w:tc>
          <w:tcPr>
            <w:tcW w:w="7139" w:type="dxa"/>
            <w:vAlign w:val="center"/>
          </w:tcPr>
          <w:p w14:paraId="2F3FF50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由县级以上人民政府卫生健康主管部门责令改正，没收违法所得，并处违法所得二倍以上四倍以下的罚款，违法所得不足一万元的，按一万元计算。</w:t>
            </w:r>
          </w:p>
        </w:tc>
      </w:tr>
      <w:tr w14:paraId="69E5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C454B0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128448E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非营利性医疗卫生机构向出资人、举办者分配或者变相分配收益，经处罚再次发现有该行为的。 </w:t>
            </w:r>
          </w:p>
        </w:tc>
        <w:tc>
          <w:tcPr>
            <w:tcW w:w="7139" w:type="dxa"/>
            <w:vAlign w:val="center"/>
          </w:tcPr>
          <w:p w14:paraId="273838F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由县级以上人民政府卫生健康主管部门责令改正，没收违法所得，并处违法所得四倍以上七倍以下的罚款，违法所得不足一万元的，按一万元计算。</w:t>
            </w:r>
          </w:p>
        </w:tc>
      </w:tr>
      <w:tr w14:paraId="59D2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E66B42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1F3BB08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非营利性医疗卫生机构向出资人、举办者分配或者变相分配收益，造成严重后果的。</w:t>
            </w:r>
          </w:p>
        </w:tc>
        <w:tc>
          <w:tcPr>
            <w:tcW w:w="7139" w:type="dxa"/>
            <w:vAlign w:val="center"/>
          </w:tcPr>
          <w:p w14:paraId="748B414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由县级以上人民政府卫生健康主管部门责令改正，没收违法所得，并处违法所得七倍以上十倍以下的罚款，违法所得不足一万元的，按一万元计算。</w:t>
            </w:r>
          </w:p>
        </w:tc>
      </w:tr>
    </w:tbl>
    <w:p w14:paraId="450D9D7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203" w:name="_Toc16849"/>
      <w:bookmarkStart w:id="2204" w:name="_Toc28206"/>
      <w:bookmarkStart w:id="2205" w:name="_Toc11543"/>
      <w:bookmarkStart w:id="2206" w:name="_Toc20769"/>
      <w:bookmarkStart w:id="2207" w:name="_Toc27292"/>
      <w:bookmarkStart w:id="2208" w:name="_Toc29781"/>
      <w:bookmarkStart w:id="2209" w:name="_Toc32081"/>
      <w:bookmarkStart w:id="2210" w:name="_Toc10739"/>
      <w:bookmarkStart w:id="2211" w:name="_Toc25771"/>
      <w:bookmarkStart w:id="2212" w:name="_Toc3256"/>
      <w:bookmarkStart w:id="2213" w:name="_Toc11931"/>
      <w:r>
        <w:rPr>
          <w:rFonts w:hint="eastAsia" w:cs="仿宋_GB2312"/>
          <w:bCs/>
          <w:color w:val="000000" w:themeColor="text1"/>
          <w14:textFill>
            <w14:solidFill>
              <w14:schemeClr w14:val="tx1"/>
            </w14:solidFill>
          </w14:textFill>
        </w:rPr>
        <w:t>第一百八十三条</w:t>
      </w:r>
      <w:r>
        <w:rPr>
          <w:rFonts w:hint="eastAsia" w:ascii="Times New Roman" w:hAnsi="Times New Roman" w:cs="仿宋_GB2312"/>
          <w:bCs/>
          <w:color w:val="000000" w:themeColor="text1"/>
          <w:kern w:val="0"/>
          <w14:textFill>
            <w14:solidFill>
              <w14:schemeClr w14:val="tx1"/>
            </w14:solidFill>
          </w14:textFill>
        </w:rPr>
        <w:t xml:space="preserve"> 医疗卫生机构等的医疗信息安全制度、保障措施不健全，导致医疗信息泄露，或者医疗质量管理和医疗技术管理制度、安全措施不健全的</w:t>
      </w:r>
      <w:bookmarkEnd w:id="2203"/>
      <w:bookmarkEnd w:id="2204"/>
      <w:bookmarkEnd w:id="2205"/>
      <w:bookmarkEnd w:id="2206"/>
      <w:bookmarkEnd w:id="2207"/>
      <w:bookmarkEnd w:id="2208"/>
      <w:bookmarkEnd w:id="2209"/>
      <w:bookmarkEnd w:id="2210"/>
      <w:bookmarkEnd w:id="2211"/>
      <w:bookmarkEnd w:id="2212"/>
      <w:bookmarkEnd w:id="2213"/>
    </w:p>
    <w:p w14:paraId="0F21406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7C37B34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《中华人民共和国基本医疗卫生与健康促进法》第一百零一条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违反本法规定，医疗卫生机构等的医疗信息安全制度、保障措施不健全，导致医疗信息泄露，或者医疗质量管理和医疗技术管理制度、安全措施不健全的，由县级以上人民政府卫生健康等主管部门责令改正，给予警告，并处一万元以上五万元以下的罚款；情节严重的，可以责令停止相应执业活动，对直接负责的主管人员和其他直接责任人员依法追究法律责任。 </w:t>
      </w:r>
    </w:p>
    <w:p w14:paraId="5434B64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465"/>
        <w:gridCol w:w="6269"/>
      </w:tblGrid>
      <w:tr w14:paraId="33A6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3E6C14F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465" w:type="dxa"/>
          </w:tcPr>
          <w:p w14:paraId="0E19A23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269" w:type="dxa"/>
          </w:tcPr>
          <w:p w14:paraId="5FE3170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DED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440" w:type="dxa"/>
            <w:vAlign w:val="center"/>
          </w:tcPr>
          <w:p w14:paraId="64AC0C8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465" w:type="dxa"/>
            <w:vAlign w:val="center"/>
          </w:tcPr>
          <w:p w14:paraId="504C804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医疗卫生机构等的医疗信息安全制度、保障措施不健全，导致医疗信息泄露，或者医疗质量管理和医疗技术管理制度、安全措施不健全的，首次发现的。</w:t>
            </w:r>
          </w:p>
        </w:tc>
        <w:tc>
          <w:tcPr>
            <w:tcW w:w="6269" w:type="dxa"/>
            <w:vAlign w:val="center"/>
          </w:tcPr>
          <w:p w14:paraId="066C05F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由县级以上人民政府卫生健康等主管部门责令改正，给予警告，并处一万元以上三万元以下的罚款。</w:t>
            </w:r>
          </w:p>
        </w:tc>
      </w:tr>
      <w:tr w14:paraId="0D8C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440" w:type="dxa"/>
            <w:vAlign w:val="center"/>
          </w:tcPr>
          <w:p w14:paraId="421C2E7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6465" w:type="dxa"/>
            <w:vAlign w:val="center"/>
          </w:tcPr>
          <w:p w14:paraId="7F9C241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医疗卫生机构等的医疗信息安全制度、保障措施不健全，导致医疗信息泄露，或者医疗质量管理和医疗技术管理制度、安全措施不健全的，经处罚再次发现有该行为的。</w:t>
            </w:r>
          </w:p>
        </w:tc>
        <w:tc>
          <w:tcPr>
            <w:tcW w:w="6269" w:type="dxa"/>
            <w:vAlign w:val="center"/>
          </w:tcPr>
          <w:p w14:paraId="4B3D864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由县级以上人民政府卫生健康等主管部门责令改正，给予警告，并处三万元以上五万元以下的罚款。</w:t>
            </w:r>
          </w:p>
        </w:tc>
      </w:tr>
      <w:tr w14:paraId="5B04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440" w:type="dxa"/>
            <w:vAlign w:val="center"/>
          </w:tcPr>
          <w:p w14:paraId="1D12C82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465" w:type="dxa"/>
            <w:vAlign w:val="center"/>
          </w:tcPr>
          <w:p w14:paraId="15099F3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医疗卫生机构等的医疗信息安全制度、保障措施不健全，导致医疗信息泄露，或者医疗质量管理和医疗技术管理制度、安全措施不健全的，情节严重的。 </w:t>
            </w:r>
          </w:p>
        </w:tc>
        <w:tc>
          <w:tcPr>
            <w:tcW w:w="6269" w:type="dxa"/>
            <w:vAlign w:val="center"/>
          </w:tcPr>
          <w:p w14:paraId="1651F2B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由县级以上人民政府卫生健康等主管部门责令改正，给予警告，并处五万元的罚款，责令停止相应执业活动。</w:t>
            </w:r>
          </w:p>
        </w:tc>
      </w:tr>
    </w:tbl>
    <w:p w14:paraId="082C30E0">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2214" w:name="_Toc18157"/>
      <w:bookmarkStart w:id="2215" w:name="_Toc20499"/>
      <w:bookmarkStart w:id="2216" w:name="_Toc5218"/>
      <w:bookmarkStart w:id="2217" w:name="_Toc27471"/>
      <w:bookmarkStart w:id="2218" w:name="_Toc8340"/>
      <w:bookmarkStart w:id="2219" w:name="_Toc12361"/>
      <w:bookmarkStart w:id="2220" w:name="_Toc17155"/>
      <w:bookmarkStart w:id="2221" w:name="_Toc14226"/>
      <w:bookmarkStart w:id="2222" w:name="_Toc20732"/>
      <w:bookmarkStart w:id="2223" w:name="_Toc16951"/>
      <w:bookmarkStart w:id="2224" w:name="_Toc16269"/>
      <w:bookmarkStart w:id="2225" w:name="_Toc9820"/>
      <w:bookmarkStart w:id="2226" w:name="_Toc15770"/>
      <w:r>
        <w:rPr>
          <w:rFonts w:hint="eastAsia" w:ascii="Times New Roman" w:hAnsi="Times New Roman" w:eastAsia="楷体_GB2312" w:cs="楷体_GB2312"/>
          <w:bCs w:val="0"/>
          <w:color w:val="000000" w:themeColor="text1"/>
          <w:kern w:val="2"/>
          <w14:textFill>
            <w14:solidFill>
              <w14:schemeClr w14:val="tx1"/>
            </w14:solidFill>
          </w14:textFill>
        </w:rPr>
        <w:t>（二）《医疗机构管理条例》</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0B4FB385">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227" w:name="_Toc20382"/>
      <w:bookmarkStart w:id="2228" w:name="_Toc27198"/>
      <w:bookmarkStart w:id="2229" w:name="_Toc1250"/>
      <w:bookmarkStart w:id="2230" w:name="_Toc28539"/>
      <w:bookmarkStart w:id="2231" w:name="_Toc15"/>
      <w:bookmarkStart w:id="2232" w:name="_Toc2230"/>
      <w:bookmarkStart w:id="2233" w:name="_Toc19693"/>
      <w:bookmarkStart w:id="2234" w:name="_Toc10339"/>
      <w:bookmarkStart w:id="2235" w:name="_Toc9992"/>
      <w:bookmarkStart w:id="2236" w:name="_Toc31105"/>
      <w:bookmarkStart w:id="2237" w:name="_Toc5836"/>
      <w:r>
        <w:rPr>
          <w:rFonts w:hint="eastAsia" w:cs="仿宋_GB2312"/>
          <w:bCs/>
          <w:color w:val="000000" w:themeColor="text1"/>
          <w14:textFill>
            <w14:solidFill>
              <w14:schemeClr w14:val="tx1"/>
            </w14:solidFill>
          </w14:textFill>
        </w:rPr>
        <w:t>第一百八十四条</w:t>
      </w:r>
      <w:r>
        <w:rPr>
          <w:rFonts w:hint="eastAsia" w:ascii="Times New Roman" w:hAnsi="Times New Roman" w:cs="仿宋_GB2312"/>
          <w:bCs/>
          <w:color w:val="000000" w:themeColor="text1"/>
          <w:kern w:val="0"/>
          <w14:textFill>
            <w14:solidFill>
              <w14:schemeClr w14:val="tx1"/>
            </w14:solidFill>
          </w14:textFill>
        </w:rPr>
        <w:t xml:space="preserve"> 诊所未经备案执业的</w:t>
      </w:r>
      <w:bookmarkEnd w:id="2227"/>
      <w:bookmarkEnd w:id="2228"/>
      <w:bookmarkEnd w:id="2229"/>
      <w:bookmarkEnd w:id="2230"/>
      <w:bookmarkEnd w:id="2231"/>
      <w:bookmarkEnd w:id="2232"/>
      <w:bookmarkEnd w:id="2233"/>
      <w:bookmarkEnd w:id="2234"/>
      <w:bookmarkEnd w:id="2235"/>
      <w:bookmarkEnd w:id="2236"/>
      <w:bookmarkEnd w:id="2237"/>
    </w:p>
    <w:p w14:paraId="5D20EC1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D420ED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《医疗机构管理条例》第四十三条第二款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违反本条例第二十三条规定，诊所未经备案执业的，由县级以上人民政府卫生行政部门责令其改正，没收违法所得，并处3万元以下罚款；拒不改正的，责令其停止执业活动。 </w:t>
      </w:r>
    </w:p>
    <w:p w14:paraId="14E4FB5E">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0CE5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67C46D6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3E013DD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42ED681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778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5CCEFEA">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6E9C234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执业时间在三个月以下且无违法所得的。</w:t>
            </w:r>
          </w:p>
        </w:tc>
        <w:tc>
          <w:tcPr>
            <w:tcW w:w="7139" w:type="dxa"/>
            <w:vAlign w:val="center"/>
          </w:tcPr>
          <w:p w14:paraId="4818DAE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由县级以上人民政府卫生行政部门责令其改正，并处1万元以下的罚款。</w:t>
            </w:r>
          </w:p>
        </w:tc>
      </w:tr>
      <w:tr w14:paraId="333E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778C16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1B59DB5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执业时间在三个月以上六个月以下的或违法所得在五千元以下的。</w:t>
            </w:r>
          </w:p>
        </w:tc>
        <w:tc>
          <w:tcPr>
            <w:tcW w:w="7139" w:type="dxa"/>
            <w:vAlign w:val="center"/>
          </w:tcPr>
          <w:p w14:paraId="57BB357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由县级以上人民政府卫生行政部门责令其改正，没收违法所得，并处1万元以上3万元以下的罚款。</w:t>
            </w:r>
          </w:p>
        </w:tc>
      </w:tr>
      <w:tr w14:paraId="3455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9D4B3D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4978CB3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受过处罚仍擅自执业的；或给患者造成伤害的。</w:t>
            </w:r>
          </w:p>
        </w:tc>
        <w:tc>
          <w:tcPr>
            <w:tcW w:w="7139" w:type="dxa"/>
            <w:vAlign w:val="center"/>
          </w:tcPr>
          <w:p w14:paraId="15C222E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由县级以上人民政府卫生行政部门责令其改正，没收违法所得，并处3万元的罚款，责令其停止执业活动。 </w:t>
            </w:r>
          </w:p>
        </w:tc>
      </w:tr>
    </w:tbl>
    <w:p w14:paraId="1D418230">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238" w:name="_Toc6046"/>
      <w:bookmarkStart w:id="2239" w:name="_Toc14935"/>
      <w:bookmarkStart w:id="2240" w:name="_Toc2987"/>
      <w:bookmarkStart w:id="2241" w:name="_Toc5336"/>
      <w:bookmarkStart w:id="2242" w:name="_Toc23333"/>
      <w:bookmarkStart w:id="2243" w:name="_Toc16337"/>
      <w:bookmarkStart w:id="2244" w:name="_Toc799"/>
      <w:bookmarkStart w:id="2245" w:name="_Toc7886"/>
      <w:bookmarkStart w:id="2246" w:name="_Toc2585"/>
      <w:bookmarkStart w:id="2247" w:name="_Toc25838"/>
      <w:bookmarkStart w:id="2248" w:name="_Toc30619"/>
      <w:r>
        <w:rPr>
          <w:rFonts w:hint="eastAsia" w:cs="仿宋_GB2312"/>
          <w:bCs/>
          <w:color w:val="000000" w:themeColor="text1"/>
          <w14:textFill>
            <w14:solidFill>
              <w14:schemeClr w14:val="tx1"/>
            </w14:solidFill>
          </w14:textFill>
        </w:rPr>
        <w:t>第一百八十五条</w:t>
      </w:r>
      <w:r>
        <w:rPr>
          <w:rFonts w:hint="eastAsia" w:ascii="Times New Roman" w:hAnsi="Times New Roman" w:cs="仿宋_GB2312"/>
          <w:bCs/>
          <w:color w:val="000000" w:themeColor="text1"/>
          <w:kern w:val="0"/>
          <w14:textFill>
            <w14:solidFill>
              <w14:schemeClr w14:val="tx1"/>
            </w14:solidFill>
          </w14:textFill>
        </w:rPr>
        <w:t xml:space="preserve"> 逾期不校验《医疗机构执业许可证》仍从事诊疗活动的</w:t>
      </w:r>
      <w:bookmarkEnd w:id="2238"/>
      <w:bookmarkEnd w:id="2239"/>
      <w:bookmarkEnd w:id="2240"/>
      <w:bookmarkEnd w:id="2241"/>
      <w:bookmarkEnd w:id="2242"/>
      <w:bookmarkEnd w:id="2243"/>
      <w:bookmarkEnd w:id="2244"/>
      <w:bookmarkEnd w:id="2245"/>
      <w:bookmarkEnd w:id="2246"/>
      <w:bookmarkEnd w:id="2247"/>
      <w:bookmarkEnd w:id="2248"/>
    </w:p>
    <w:p w14:paraId="080C964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ECB744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《医疗机构管理条例》第四十四条 违反本条例第二十一条规定，逾期不校验《医疗机构执业许可证》仍从事诊疗活动的，由县级以上人民政府卫生行政部门责令其限期补办校验手续；拒不校验的，吊销其《医疗机构执业许可证》。</w:t>
      </w:r>
    </w:p>
    <w:p w14:paraId="78BA8BB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790F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40" w:type="dxa"/>
            <w:vAlign w:val="center"/>
          </w:tcPr>
          <w:p w14:paraId="33FDAD9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542144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vAlign w:val="center"/>
          </w:tcPr>
          <w:p w14:paraId="1A7EAA4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557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Align w:val="center"/>
          </w:tcPr>
          <w:p w14:paraId="36289DA3">
            <w:pPr>
              <w:widowControl w:val="0"/>
              <w:adjustRightInd/>
              <w:snapToGrid/>
              <w:spacing w:after="0" w:line="28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tcPr>
          <w:p w14:paraId="7713FA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逾期不校验《医疗机构执业许可证》仍从事诊疗活动，经责令限期补办仍不办理校验的。</w:t>
            </w:r>
          </w:p>
        </w:tc>
        <w:tc>
          <w:tcPr>
            <w:tcW w:w="7139" w:type="dxa"/>
          </w:tcPr>
          <w:p w14:paraId="7DE3BDE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吊销其《医疗机构执业许可证》。</w:t>
            </w:r>
          </w:p>
          <w:p w14:paraId="4832D1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bl>
    <w:p w14:paraId="284059E4">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249" w:name="_Toc25225"/>
      <w:bookmarkStart w:id="2250" w:name="_Toc15307"/>
      <w:bookmarkStart w:id="2251" w:name="_Toc20758"/>
      <w:bookmarkStart w:id="2252" w:name="_Toc9114"/>
      <w:bookmarkStart w:id="2253" w:name="_Toc27019"/>
      <w:bookmarkStart w:id="2254" w:name="_Toc15120"/>
      <w:bookmarkStart w:id="2255" w:name="_Toc4790"/>
      <w:bookmarkStart w:id="2256" w:name="_Toc16134"/>
      <w:bookmarkStart w:id="2257" w:name="_Toc15253"/>
      <w:bookmarkStart w:id="2258" w:name="_Toc9154"/>
      <w:bookmarkStart w:id="2259" w:name="_Toc29972"/>
      <w:r>
        <w:rPr>
          <w:rFonts w:hint="eastAsia" w:cs="仿宋_GB2312"/>
          <w:bCs/>
          <w:color w:val="000000" w:themeColor="text1"/>
          <w14:textFill>
            <w14:solidFill>
              <w14:schemeClr w14:val="tx1"/>
            </w14:solidFill>
          </w14:textFill>
        </w:rPr>
        <w:t>第一百八十六条</w:t>
      </w:r>
      <w:r>
        <w:rPr>
          <w:rFonts w:hint="eastAsia" w:ascii="Times New Roman" w:hAnsi="Times New Roman" w:cs="仿宋_GB2312"/>
          <w:bCs/>
          <w:color w:val="000000" w:themeColor="text1"/>
          <w:kern w:val="0"/>
          <w14:textFill>
            <w14:solidFill>
              <w14:schemeClr w14:val="tx1"/>
            </w14:solidFill>
          </w14:textFill>
        </w:rPr>
        <w:t xml:space="preserve"> 医疗机构诊疗活动超出登记的诊疗科目范围的</w:t>
      </w:r>
      <w:bookmarkEnd w:id="2249"/>
      <w:bookmarkEnd w:id="2250"/>
      <w:bookmarkEnd w:id="2251"/>
      <w:bookmarkEnd w:id="2252"/>
      <w:bookmarkEnd w:id="2253"/>
      <w:bookmarkEnd w:id="2254"/>
      <w:bookmarkEnd w:id="2255"/>
      <w:bookmarkEnd w:id="2256"/>
      <w:bookmarkEnd w:id="2257"/>
      <w:bookmarkEnd w:id="2258"/>
      <w:bookmarkEnd w:id="2259"/>
    </w:p>
    <w:p w14:paraId="60CE970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3037A3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《医疗机构管理条例》第四十六条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六条规定，诊疗活动超出登记或者备案范围的，由县级以上人民政府卫生行政部门予以警告、责令其改正，没收违法所得，并可以根据情节处以1万元以上10万元以下的罚款；情节严重的，吊销其《医疗机构执业许可证》或者责令其停止执业活动。</w:t>
      </w:r>
    </w:p>
    <w:p w14:paraId="3572F0C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2B4C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0" w:type="dxa"/>
            <w:vAlign w:val="center"/>
          </w:tcPr>
          <w:p w14:paraId="68909BC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624B940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vAlign w:val="center"/>
          </w:tcPr>
          <w:p w14:paraId="5CCCE44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970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530E52C2">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5EE2A10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医疗机构诊疗活动超出登记或者备案范围的，无违法所得的、违法所得无法认定的或诊疗活动违法所得在1万元以下的。</w:t>
            </w:r>
          </w:p>
        </w:tc>
        <w:tc>
          <w:tcPr>
            <w:tcW w:w="7139" w:type="dxa"/>
            <w:vAlign w:val="center"/>
          </w:tcPr>
          <w:p w14:paraId="0A1014E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由县级以上人民政府卫生行政部门予以警告、责令其改正，没收违法所得，并可以根据情节处以1万元以上3万元以下的罚款</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r>
      <w:tr w14:paraId="267F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79261ECA">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63F2DD2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医疗机构诊疗活动超出登记或者备案范围的诊疗活动违法所得在1万元以上5万元以内的。</w:t>
            </w:r>
          </w:p>
        </w:tc>
        <w:tc>
          <w:tcPr>
            <w:tcW w:w="7139" w:type="dxa"/>
            <w:vAlign w:val="center"/>
          </w:tcPr>
          <w:p w14:paraId="3BD78D7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由县级以上人民政府卫生行政部门予以警告、责令其改正，没收违法所得，并可以根据情节处以3万元以上8万元以下的罚款。</w:t>
            </w:r>
          </w:p>
        </w:tc>
      </w:tr>
      <w:tr w14:paraId="2932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05055FE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1F4595D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10F2566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A．超出登记的诊疗科目范围的诊疗活动违法所得在5万元以上的；</w:t>
            </w:r>
          </w:p>
          <w:p w14:paraId="4F61708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B．给患者造成伤害。</w:t>
            </w:r>
          </w:p>
        </w:tc>
        <w:tc>
          <w:tcPr>
            <w:tcW w:w="7139" w:type="dxa"/>
            <w:vAlign w:val="center"/>
          </w:tcPr>
          <w:p w14:paraId="48E61EB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由县级以上人民政府卫生行政部门予以警告、责令其改正，没收违法所得，并可以根据情节处以8万元以上10万元以下的罚款。</w:t>
            </w:r>
          </w:p>
        </w:tc>
      </w:tr>
      <w:tr w14:paraId="5C97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7032C4CB">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595" w:type="dxa"/>
            <w:vAlign w:val="center"/>
          </w:tcPr>
          <w:p w14:paraId="686BED2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情节严重，造成患者死亡的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c>
          <w:tcPr>
            <w:tcW w:w="7139" w:type="dxa"/>
            <w:vAlign w:val="center"/>
          </w:tcPr>
          <w:p w14:paraId="2CEDE08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由县级以上人民政府卫生行政部门予以警告、责令其改正，没收违法所得，并可以根据情节处以10万元的罚款，吊销其《医疗机构执业许可证》或者责令其停止执业活动。</w:t>
            </w:r>
          </w:p>
        </w:tc>
      </w:tr>
    </w:tbl>
    <w:p w14:paraId="401336D7">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260" w:name="_Toc21438"/>
      <w:bookmarkStart w:id="2261" w:name="_Toc19325"/>
      <w:bookmarkStart w:id="2262" w:name="_Toc2709"/>
      <w:bookmarkStart w:id="2263" w:name="_Toc21879"/>
      <w:bookmarkStart w:id="2264" w:name="_Toc15274"/>
      <w:bookmarkStart w:id="2265" w:name="_Toc13040"/>
      <w:bookmarkStart w:id="2266" w:name="_Toc11459"/>
      <w:bookmarkStart w:id="2267" w:name="_Toc13322"/>
      <w:bookmarkStart w:id="2268" w:name="_Toc27406"/>
      <w:bookmarkStart w:id="2269" w:name="_Toc22475"/>
      <w:bookmarkStart w:id="2270" w:name="_Toc21491"/>
      <w:r>
        <w:rPr>
          <w:rFonts w:hint="eastAsia" w:cs="仿宋_GB2312"/>
          <w:bCs/>
          <w:color w:val="000000" w:themeColor="text1"/>
          <w14:textFill>
            <w14:solidFill>
              <w14:schemeClr w14:val="tx1"/>
            </w14:solidFill>
          </w14:textFill>
        </w:rPr>
        <w:t>第一百八十七条</w:t>
      </w:r>
      <w:r>
        <w:rPr>
          <w:rFonts w:hint="eastAsia" w:ascii="Times New Roman" w:hAnsi="Times New Roman" w:cs="仿宋_GB2312"/>
          <w:bCs/>
          <w:color w:val="000000" w:themeColor="text1"/>
          <w:kern w:val="0"/>
          <w14:textFill>
            <w14:solidFill>
              <w14:schemeClr w14:val="tx1"/>
            </w14:solidFill>
          </w14:textFill>
        </w:rPr>
        <w:t xml:space="preserve"> 医疗机构诊疗科目或者范围超出登记范围的</w:t>
      </w:r>
      <w:bookmarkEnd w:id="2260"/>
      <w:bookmarkEnd w:id="2261"/>
      <w:bookmarkEnd w:id="2262"/>
      <w:bookmarkEnd w:id="2263"/>
      <w:bookmarkEnd w:id="2264"/>
      <w:bookmarkEnd w:id="2265"/>
      <w:bookmarkEnd w:id="2266"/>
      <w:bookmarkEnd w:id="2267"/>
      <w:bookmarkEnd w:id="2268"/>
      <w:bookmarkEnd w:id="2269"/>
      <w:bookmarkEnd w:id="2270"/>
    </w:p>
    <w:p w14:paraId="1D1DC23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51F3227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《医疗机构管理条例》第四十六条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违反本条例第二十六条规定，诊疗活动超出登记或者备案范围的，由县级以上人民政府卫生行政部门予以警告、责令其改正，没收违法所得，并可以根据情节处以1万元以上10万元以下的罚款；情节严重的，吊销其《医疗机构执业许可证》或者责令其停止执业活动。 </w:t>
      </w:r>
    </w:p>
    <w:p w14:paraId="63E18CD4">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6E56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7CAA438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69E626F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vAlign w:val="center"/>
          </w:tcPr>
          <w:p w14:paraId="6290C55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775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931BDB2">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56906C3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医疗机构诊疗活动超出登记或者备案范围的，无违法所得的、违法所得无法认定的或诊疗活动违法所得在1万元以下的。</w:t>
            </w:r>
          </w:p>
        </w:tc>
        <w:tc>
          <w:tcPr>
            <w:tcW w:w="7139" w:type="dxa"/>
            <w:vAlign w:val="center"/>
          </w:tcPr>
          <w:p w14:paraId="7FA1A86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由县级以上人民政府卫生行政部门予以警告、责令其改正，没收违法所得，并可以根据情节处以1万元以上3万元以下的罚款。</w:t>
            </w:r>
          </w:p>
        </w:tc>
      </w:tr>
      <w:tr w14:paraId="73A8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33D575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4ACB51F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医疗机构诊疗活动超出登记或者备案范围的诊疗活动违法所得在1万元以上5万元以内的。</w:t>
            </w:r>
          </w:p>
        </w:tc>
        <w:tc>
          <w:tcPr>
            <w:tcW w:w="7139" w:type="dxa"/>
            <w:vAlign w:val="center"/>
          </w:tcPr>
          <w:p w14:paraId="5A81692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由县级以上人民政府卫生行政部门予以警告、责令其改正，没收违法所得，并可以根据情节处以3万元以上8万元以下的罚款。</w:t>
            </w:r>
          </w:p>
        </w:tc>
      </w:tr>
      <w:tr w14:paraId="271C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D4D1B1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21F7150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4F9C775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A．超出登记的诊疗科目范围的诊疗活动违法所得在5万元以上的；</w:t>
            </w:r>
          </w:p>
          <w:p w14:paraId="2BE47C5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B．给患者造成伤害。</w:t>
            </w:r>
          </w:p>
        </w:tc>
        <w:tc>
          <w:tcPr>
            <w:tcW w:w="7139" w:type="dxa"/>
            <w:vAlign w:val="center"/>
          </w:tcPr>
          <w:p w14:paraId="3AC3124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由县级以上人民政府卫生行政部门予以警告、责令其改正，没收违法所得，并可以根据情节处以8万元以上10万元以下的罚款。</w:t>
            </w:r>
          </w:p>
        </w:tc>
      </w:tr>
      <w:tr w14:paraId="0EFD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7F2D05B">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595" w:type="dxa"/>
            <w:vAlign w:val="center"/>
          </w:tcPr>
          <w:p w14:paraId="1120FB9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情节严重，造成患者死亡的。</w:t>
            </w:r>
          </w:p>
        </w:tc>
        <w:tc>
          <w:tcPr>
            <w:tcW w:w="7139" w:type="dxa"/>
            <w:vAlign w:val="center"/>
          </w:tcPr>
          <w:p w14:paraId="26D26EE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由县级以上人民政府卫生行政部门予以警告、责令其改正，没收违法所得，并可以根据情节处以10万元的罚款，吊销其《医疗机构执业许可证》或者责令其停止执业活动。</w:t>
            </w:r>
          </w:p>
        </w:tc>
      </w:tr>
    </w:tbl>
    <w:p w14:paraId="25CDCBB5">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271" w:name="_Toc32546"/>
      <w:bookmarkStart w:id="2272" w:name="_Toc24811"/>
      <w:bookmarkStart w:id="2273" w:name="_Toc20643"/>
      <w:bookmarkStart w:id="2274" w:name="_Toc5288"/>
      <w:bookmarkStart w:id="2275" w:name="_Toc18552"/>
      <w:bookmarkStart w:id="2276" w:name="_Toc28469"/>
      <w:bookmarkStart w:id="2277" w:name="_Toc4109"/>
      <w:bookmarkStart w:id="2278" w:name="_Toc31240"/>
      <w:bookmarkStart w:id="2279" w:name="_Toc12131"/>
      <w:bookmarkStart w:id="2280" w:name="_Toc23141"/>
      <w:bookmarkStart w:id="2281" w:name="_Toc24745"/>
      <w:r>
        <w:rPr>
          <w:rFonts w:hint="eastAsia" w:cs="仿宋_GB2312"/>
          <w:bCs/>
          <w:color w:val="000000" w:themeColor="text1"/>
          <w14:textFill>
            <w14:solidFill>
              <w14:schemeClr w14:val="tx1"/>
            </w14:solidFill>
          </w14:textFill>
        </w:rPr>
        <w:t>第一百八十八条</w:t>
      </w:r>
      <w:r>
        <w:rPr>
          <w:rFonts w:hint="eastAsia" w:ascii="Times New Roman" w:hAnsi="Times New Roman" w:cs="仿宋_GB2312"/>
          <w:bCs/>
          <w:color w:val="000000" w:themeColor="text1"/>
          <w:kern w:val="0"/>
          <w14:textFill>
            <w14:solidFill>
              <w14:schemeClr w14:val="tx1"/>
            </w14:solidFill>
          </w14:textFill>
        </w:rPr>
        <w:t xml:space="preserve"> 使用非卫生技术人员从事医疗卫生技术工作的</w:t>
      </w:r>
      <w:bookmarkEnd w:id="2271"/>
      <w:bookmarkEnd w:id="2272"/>
      <w:bookmarkEnd w:id="2273"/>
      <w:bookmarkEnd w:id="2274"/>
      <w:bookmarkEnd w:id="2275"/>
      <w:bookmarkEnd w:id="2276"/>
      <w:bookmarkEnd w:id="2277"/>
      <w:bookmarkEnd w:id="2278"/>
      <w:bookmarkEnd w:id="2279"/>
      <w:bookmarkEnd w:id="2280"/>
      <w:bookmarkEnd w:id="2281"/>
    </w:p>
    <w:p w14:paraId="0F04699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217489E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《医疗机构管理条例》第四十七条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七条规定，使用非卫生技术人员从事医疗卫生技术工作的，由县级以上人民政府卫生行政部门责令其限期改正，并可以处以1万元以上10万元以下的罚款；情节严重的，吊销其《医疗机构执业许可证》或者责令其停止执业活动。</w:t>
      </w:r>
    </w:p>
    <w:p w14:paraId="05C3A6AB">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7058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CEB9ED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3AA27A7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581B219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926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24ACC52">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684069C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使用1名非卫生技术人员从事医疗卫生技术工作的，未对患者造成伤害的。</w:t>
            </w:r>
          </w:p>
        </w:tc>
        <w:tc>
          <w:tcPr>
            <w:tcW w:w="7139" w:type="dxa"/>
            <w:vAlign w:val="center"/>
          </w:tcPr>
          <w:p w14:paraId="5661218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责令其立即改正，处以1万元以上2万元以下罚款。</w:t>
            </w:r>
          </w:p>
          <w:p w14:paraId="1C86D3D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r w14:paraId="7527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DFF18B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0BFFBD3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使用2名或2名以上非卫生技术人员从事医疗卫生技术工作的，未对患者造成伤害的。</w:t>
            </w:r>
          </w:p>
        </w:tc>
        <w:tc>
          <w:tcPr>
            <w:tcW w:w="7139" w:type="dxa"/>
            <w:vAlign w:val="center"/>
          </w:tcPr>
          <w:p w14:paraId="67D389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责令其立即改正，处以2万元以上8万元以下罚款。</w:t>
            </w:r>
          </w:p>
        </w:tc>
      </w:tr>
      <w:tr w14:paraId="2D80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278A22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4C026E1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使用的非卫生技术人员从事医疗卫生技术工作的，对患者造成伤害的。</w:t>
            </w:r>
          </w:p>
        </w:tc>
        <w:tc>
          <w:tcPr>
            <w:tcW w:w="7139" w:type="dxa"/>
            <w:vAlign w:val="center"/>
          </w:tcPr>
          <w:p w14:paraId="02ECF95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责令其立即改正，处以8万元以上10万元以下罚款。 </w:t>
            </w:r>
          </w:p>
        </w:tc>
      </w:tr>
      <w:tr w14:paraId="250F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40" w:type="dxa"/>
            <w:vAlign w:val="center"/>
          </w:tcPr>
          <w:p w14:paraId="4140C24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595" w:type="dxa"/>
            <w:vAlign w:val="center"/>
          </w:tcPr>
          <w:p w14:paraId="2720EA6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使用非卫生技术人员从事医疗卫生技术工作的，造成患者死亡的。</w:t>
            </w:r>
          </w:p>
        </w:tc>
        <w:tc>
          <w:tcPr>
            <w:tcW w:w="7139" w:type="dxa"/>
            <w:vAlign w:val="center"/>
          </w:tcPr>
          <w:p w14:paraId="12476F4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责令其立即改正，处以10万元罚款，情节严重的，吊销其《医疗机构执业许可证》或者责令其停止执业活动。</w:t>
            </w:r>
          </w:p>
        </w:tc>
      </w:tr>
    </w:tbl>
    <w:p w14:paraId="36632602">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2282" w:name="_Toc27934"/>
      <w:bookmarkStart w:id="2283" w:name="_Toc20855"/>
      <w:bookmarkStart w:id="2284" w:name="_Toc29284"/>
      <w:bookmarkStart w:id="2285" w:name="_Toc29168"/>
      <w:bookmarkStart w:id="2286" w:name="_Toc3980"/>
      <w:bookmarkStart w:id="2287" w:name="_Toc9046"/>
      <w:bookmarkStart w:id="2288" w:name="_Toc23230"/>
      <w:bookmarkStart w:id="2289" w:name="_Toc31035"/>
      <w:bookmarkStart w:id="2290" w:name="_Toc12280"/>
      <w:bookmarkStart w:id="2291" w:name="_Toc19156"/>
      <w:bookmarkStart w:id="2292" w:name="_Toc17942"/>
      <w:r>
        <w:rPr>
          <w:rFonts w:hint="eastAsia" w:cs="仿宋_GB2312"/>
          <w:bCs/>
          <w:color w:val="000000" w:themeColor="text1"/>
          <w14:textFill>
            <w14:solidFill>
              <w14:schemeClr w14:val="tx1"/>
            </w14:solidFill>
          </w14:textFill>
        </w:rPr>
        <w:t>第一百八十九条</w:t>
      </w:r>
      <w:r>
        <w:rPr>
          <w:rFonts w:hint="eastAsia" w:ascii="Times New Roman" w:hAnsi="Times New Roman" w:cs="仿宋_GB2312"/>
          <w:bCs/>
          <w:color w:val="000000" w:themeColor="text1"/>
          <w:kern w:val="0"/>
          <w14:textFill>
            <w14:solidFill>
              <w14:schemeClr w14:val="tx1"/>
            </w14:solidFill>
          </w14:textFill>
        </w:rPr>
        <w:t xml:space="preserve"> 出具虚假证明文件的</w:t>
      </w:r>
      <w:bookmarkEnd w:id="2282"/>
      <w:bookmarkEnd w:id="2283"/>
      <w:bookmarkEnd w:id="2284"/>
      <w:bookmarkEnd w:id="2285"/>
      <w:bookmarkEnd w:id="2286"/>
      <w:bookmarkEnd w:id="2287"/>
      <w:bookmarkEnd w:id="2288"/>
      <w:bookmarkEnd w:id="2289"/>
      <w:bookmarkEnd w:id="2290"/>
      <w:bookmarkEnd w:id="2291"/>
      <w:bookmarkEnd w:id="2292"/>
      <w:r>
        <w:rPr>
          <w:rFonts w:hint="eastAsia" w:ascii="Times New Roman" w:hAnsi="Times New Roman" w:cs="仿宋_GB2312"/>
          <w:b/>
          <w:bCs/>
          <w:color w:val="000000" w:themeColor="text1"/>
          <w:kern w:val="0"/>
          <w14:textFill>
            <w14:solidFill>
              <w14:schemeClr w14:val="tx1"/>
            </w14:solidFill>
          </w14:textFill>
        </w:rPr>
        <w:t xml:space="preserve"> </w:t>
      </w:r>
    </w:p>
    <w:p w14:paraId="1DA19E5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5E45B06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《医疗机构管理条例》第四十八条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三十一条规定，出具虚假证明文件的，由县级以上人民政府卫生行政部门予以警告；对造成危害后果的，可以处以1万元以上10万元以下的罚款；对直接责任人员由所在单位或者上级机关给予行政处分。</w:t>
      </w:r>
    </w:p>
    <w:p w14:paraId="5F768F0B">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181"/>
        <w:gridCol w:w="6553"/>
      </w:tblGrid>
      <w:tr w14:paraId="67C2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D66205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181" w:type="dxa"/>
          </w:tcPr>
          <w:p w14:paraId="72A3C2C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553" w:type="dxa"/>
          </w:tcPr>
          <w:p w14:paraId="7269AD4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CCB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E29397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轻微</w:t>
            </w:r>
          </w:p>
        </w:tc>
        <w:tc>
          <w:tcPr>
            <w:tcW w:w="6181" w:type="dxa"/>
            <w:vAlign w:val="center"/>
          </w:tcPr>
          <w:p w14:paraId="36040A0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出具虚假证明文件 1 份（次），未造成危害后果的。</w:t>
            </w:r>
          </w:p>
        </w:tc>
        <w:tc>
          <w:tcPr>
            <w:tcW w:w="6553" w:type="dxa"/>
            <w:vAlign w:val="center"/>
          </w:tcPr>
          <w:p w14:paraId="04718AC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2D93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7912A0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181" w:type="dxa"/>
            <w:vAlign w:val="center"/>
          </w:tcPr>
          <w:p w14:paraId="4FA048D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出具虚假证明文件 2 份（次）以上，未造成危害后果的。</w:t>
            </w:r>
          </w:p>
        </w:tc>
        <w:tc>
          <w:tcPr>
            <w:tcW w:w="6553" w:type="dxa"/>
            <w:vAlign w:val="center"/>
          </w:tcPr>
          <w:p w14:paraId="5E0AC3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给予警告，可以处以1万元以上3万元以下的罚款。</w:t>
            </w:r>
          </w:p>
        </w:tc>
      </w:tr>
      <w:tr w14:paraId="186C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A4E040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6181" w:type="dxa"/>
            <w:vAlign w:val="center"/>
          </w:tcPr>
          <w:p w14:paraId="517147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出具虚假证明文件，有下列情形之一的： </w:t>
            </w:r>
          </w:p>
          <w:p w14:paraId="1D1D228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A．造成延误诊治的；</w:t>
            </w:r>
          </w:p>
          <w:p w14:paraId="0A1FAC2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B．给患者精神造成伤害的； </w:t>
            </w:r>
          </w:p>
          <w:p w14:paraId="684267A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C．造成其他危害后果的。</w:t>
            </w:r>
          </w:p>
        </w:tc>
        <w:tc>
          <w:tcPr>
            <w:tcW w:w="6553" w:type="dxa"/>
            <w:vAlign w:val="center"/>
          </w:tcPr>
          <w:p w14:paraId="2B25D2E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给予警告，可以处以3万元以上10万元以下罚款。</w:t>
            </w:r>
          </w:p>
        </w:tc>
      </w:tr>
      <w:tr w14:paraId="4C66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32ED61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181" w:type="dxa"/>
            <w:vAlign w:val="center"/>
          </w:tcPr>
          <w:p w14:paraId="5AB2FB8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出具虚假证明文件，有上述两种及以上情形的。</w:t>
            </w:r>
          </w:p>
        </w:tc>
        <w:tc>
          <w:tcPr>
            <w:tcW w:w="6553" w:type="dxa"/>
            <w:vAlign w:val="center"/>
          </w:tcPr>
          <w:p w14:paraId="7047C00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给予警告，可以处以10万元罚款。</w:t>
            </w:r>
          </w:p>
        </w:tc>
      </w:tr>
    </w:tbl>
    <w:p w14:paraId="59CBAC26">
      <w:pPr>
        <w:pStyle w:val="3"/>
        <w:keepNext w:val="0"/>
        <w:keepLines w:val="0"/>
        <w:widowControl w:val="0"/>
        <w:spacing w:before="157" w:beforeLines="50" w:after="157" w:afterLines="50" w:line="240" w:lineRule="auto"/>
        <w:ind w:firstLine="643" w:firstLineChars="200"/>
        <w:rPr>
          <w:rFonts w:hint="eastAsia" w:ascii="Times New Roman" w:hAnsi="Times New Roman" w:eastAsia="方正仿宋_GB2312" w:cs="楷体"/>
          <w:bCs w:val="0"/>
          <w:color w:val="000000" w:themeColor="text1"/>
          <w:kern w:val="2"/>
          <w14:textFill>
            <w14:solidFill>
              <w14:schemeClr w14:val="tx1"/>
            </w14:solidFill>
          </w14:textFill>
        </w:rPr>
      </w:pPr>
      <w:bookmarkStart w:id="2293" w:name="_Toc14805"/>
      <w:bookmarkStart w:id="2294" w:name="_Toc27968"/>
      <w:bookmarkStart w:id="2295" w:name="_Toc3635"/>
      <w:bookmarkStart w:id="2296" w:name="_Toc6287"/>
      <w:bookmarkStart w:id="2297" w:name="_Toc13727"/>
      <w:bookmarkStart w:id="2298" w:name="_Toc2843"/>
      <w:bookmarkStart w:id="2299" w:name="_Toc10756"/>
      <w:bookmarkStart w:id="2300" w:name="_Toc12315"/>
      <w:bookmarkStart w:id="2301" w:name="_Toc7739"/>
      <w:bookmarkStart w:id="2302" w:name="_Toc20176"/>
      <w:bookmarkStart w:id="2303" w:name="_Toc11583"/>
      <w:bookmarkStart w:id="2304" w:name="_Toc22198"/>
      <w:bookmarkStart w:id="2305" w:name="_Toc31676"/>
      <w:r>
        <w:rPr>
          <w:rFonts w:hint="eastAsia" w:ascii="Times New Roman" w:hAnsi="Times New Roman" w:eastAsia="楷体_GB2312" w:cs="楷体_GB2312"/>
          <w:bCs w:val="0"/>
          <w:color w:val="000000" w:themeColor="text1"/>
          <w:kern w:val="2"/>
          <w14:textFill>
            <w14:solidFill>
              <w14:schemeClr w14:val="tx1"/>
            </w14:solidFill>
          </w14:textFill>
        </w:rPr>
        <w:t>（三）《中华人民共和国医师法》</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14:paraId="25EBCD9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306" w:name="_Toc14069"/>
      <w:bookmarkStart w:id="2307" w:name="_Toc30282"/>
      <w:bookmarkStart w:id="2308" w:name="_Toc20542"/>
      <w:bookmarkStart w:id="2309" w:name="_Toc4302"/>
      <w:bookmarkStart w:id="2310" w:name="_Toc23761"/>
      <w:bookmarkStart w:id="2311" w:name="_Toc9563"/>
      <w:bookmarkStart w:id="2312" w:name="_Toc14875"/>
      <w:bookmarkStart w:id="2313" w:name="_Toc2271"/>
      <w:bookmarkStart w:id="2314" w:name="_Toc16586"/>
      <w:bookmarkStart w:id="2315" w:name="_Toc12769"/>
      <w:bookmarkStart w:id="2316" w:name="_Toc28630"/>
      <w:r>
        <w:rPr>
          <w:rFonts w:hint="eastAsia" w:cs="仿宋_GB2312"/>
          <w:bCs/>
          <w:color w:val="000000" w:themeColor="text1"/>
          <w14:textFill>
            <w14:solidFill>
              <w14:schemeClr w14:val="tx1"/>
            </w14:solidFill>
          </w14:textFill>
        </w:rPr>
        <w:t>第一百九十条</w:t>
      </w:r>
      <w:r>
        <w:rPr>
          <w:rFonts w:hint="eastAsia" w:ascii="Times New Roman" w:hAnsi="Times New Roman" w:cs="仿宋_GB2312"/>
          <w:bCs/>
          <w:color w:val="000000" w:themeColor="text1"/>
          <w:kern w:val="0"/>
          <w14:textFill>
            <w14:solidFill>
              <w14:schemeClr w14:val="tx1"/>
            </w14:solidFill>
          </w14:textFill>
        </w:rPr>
        <w:t xml:space="preserve"> 伪造、变造、买卖、出租、出借医师执业证书的</w:t>
      </w:r>
      <w:bookmarkEnd w:id="2306"/>
      <w:bookmarkEnd w:id="2307"/>
      <w:bookmarkEnd w:id="2308"/>
      <w:bookmarkEnd w:id="2309"/>
      <w:bookmarkEnd w:id="2310"/>
      <w:bookmarkEnd w:id="2311"/>
      <w:bookmarkEnd w:id="2312"/>
      <w:bookmarkEnd w:id="2313"/>
      <w:bookmarkEnd w:id="2314"/>
      <w:bookmarkEnd w:id="2315"/>
      <w:bookmarkEnd w:id="2316"/>
    </w:p>
    <w:p w14:paraId="0E133B9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496753A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《中华人民共和国医师法》第五十四条第三款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伪造、变造、买卖、出租、出借医师执业证书的，由县级以上人民政府卫生健康主管部门责令改正，没收违法所得，并处违法所得二倍以上五倍以下的罚款，违法所得不足一万元的，按一万元计算；情节严重的，吊销医师执业证书。 </w:t>
      </w:r>
    </w:p>
    <w:p w14:paraId="5A1ACCE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5937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27287C8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01844C6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53DFC9E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B4A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ECEDFA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tcPr>
          <w:p w14:paraId="0F358FF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伪造、变造、买卖、出租、出借医师执业证书的，首次发现的。</w:t>
            </w:r>
          </w:p>
        </w:tc>
        <w:tc>
          <w:tcPr>
            <w:tcW w:w="7139" w:type="dxa"/>
          </w:tcPr>
          <w:p w14:paraId="349BC5B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由县级以上人民政府卫生健康主管部门责令改正，没收违法所得，并处违法所得二倍的罚款，违法所得不足一万元的，按一万元计算。</w:t>
            </w:r>
          </w:p>
        </w:tc>
      </w:tr>
      <w:tr w14:paraId="7272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E27406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tcPr>
          <w:p w14:paraId="7B0D05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伪造、变造、买卖、出租、出借医师执业证书的，受过卫生健康主管部门处罚，再次发生的。</w:t>
            </w:r>
          </w:p>
        </w:tc>
        <w:tc>
          <w:tcPr>
            <w:tcW w:w="7139" w:type="dxa"/>
          </w:tcPr>
          <w:p w14:paraId="4AFF071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由县级以上人民政府卫生健康主管部门责令改正，没收违法所得，并处违法所得二倍以上五倍以下的罚款，违法所得不足一万元的，按一万元计算。</w:t>
            </w:r>
          </w:p>
        </w:tc>
      </w:tr>
      <w:tr w14:paraId="185B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F850AA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595" w:type="dxa"/>
          </w:tcPr>
          <w:p w14:paraId="0F030E4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伪造、变造、买卖、出租、出借医师执业证书的，受到两次卫生健康主管部门行政处罚再次发生的或情节严重造成患者伤残或死亡的。</w:t>
            </w:r>
          </w:p>
        </w:tc>
        <w:tc>
          <w:tcPr>
            <w:tcW w:w="7139" w:type="dxa"/>
          </w:tcPr>
          <w:p w14:paraId="5BEEBA4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由县级以上人民政府卫生健康主管部门责令改正，没收违法所得，并处违法所得五倍的罚款，违法所得不足一万元的，按一万元计算，吊销医师执业证书。</w:t>
            </w:r>
          </w:p>
        </w:tc>
      </w:tr>
    </w:tbl>
    <w:p w14:paraId="17F44320">
      <w:pPr>
        <w:widowControl w:val="0"/>
        <w:rPr>
          <w:rFonts w:ascii="Times New Roman" w:hAnsi="Times New Roman"/>
          <w:color w:val="000000" w:themeColor="text1"/>
          <w14:textFill>
            <w14:solidFill>
              <w14:schemeClr w14:val="tx1"/>
            </w14:solidFill>
          </w14:textFill>
        </w:rPr>
      </w:pPr>
    </w:p>
    <w:p w14:paraId="1A9016E0">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317" w:name="_Toc9587"/>
      <w:bookmarkStart w:id="2318" w:name="_Toc31314"/>
      <w:bookmarkStart w:id="2319" w:name="_Toc24689"/>
      <w:bookmarkStart w:id="2320" w:name="_Toc30457"/>
      <w:bookmarkStart w:id="2321" w:name="_Toc21479"/>
      <w:bookmarkStart w:id="2322" w:name="_Toc26342"/>
      <w:bookmarkStart w:id="2323" w:name="_Toc18986"/>
      <w:bookmarkStart w:id="2324" w:name="_Toc1662"/>
      <w:bookmarkStart w:id="2325" w:name="_Toc1846"/>
      <w:bookmarkStart w:id="2326" w:name="_Toc12427"/>
      <w:bookmarkStart w:id="2327" w:name="_Toc30772"/>
      <w:r>
        <w:rPr>
          <w:rFonts w:hint="eastAsia" w:cs="仿宋_GB2312"/>
          <w:bCs/>
          <w:color w:val="000000" w:themeColor="text1"/>
          <w14:textFill>
            <w14:solidFill>
              <w14:schemeClr w14:val="tx1"/>
            </w14:solidFill>
          </w14:textFill>
        </w:rPr>
        <w:t>第一百九十一条</w:t>
      </w:r>
      <w:r>
        <w:rPr>
          <w:rFonts w:hint="eastAsia" w:ascii="Times New Roman" w:hAnsi="Times New Roman" w:cs="仿宋_GB2312"/>
          <w:bCs/>
          <w:color w:val="000000" w:themeColor="text1"/>
          <w:kern w:val="0"/>
          <w14:textFill>
            <w14:solidFill>
              <w14:schemeClr w14:val="tx1"/>
            </w14:solidFill>
          </w14:textFill>
        </w:rPr>
        <w:t xml:space="preserve"> 医师在提供医疗卫生服务或者开展医学临床研究中，未按照规定履行告知义务或者取得知情同意</w:t>
      </w:r>
      <w:bookmarkEnd w:id="2317"/>
      <w:bookmarkEnd w:id="2318"/>
      <w:bookmarkEnd w:id="2319"/>
      <w:bookmarkEnd w:id="2320"/>
      <w:bookmarkEnd w:id="2321"/>
      <w:bookmarkEnd w:id="2322"/>
      <w:bookmarkEnd w:id="2323"/>
      <w:bookmarkEnd w:id="2324"/>
      <w:bookmarkEnd w:id="2325"/>
      <w:bookmarkEnd w:id="2326"/>
      <w:bookmarkEnd w:id="2327"/>
    </w:p>
    <w:p w14:paraId="24FC71F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2667E6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《中华人民共和国医师法》第五十五条第（一）项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违反本法规定，医师在执业活动中有下列行为之一的，由县级以上人民政府卫生健康主管部门责令改正，给予警告；情节严重的，责令暂停六个月以上一年以下执业活动直至吊销医师执业证书：</w:t>
      </w:r>
    </w:p>
    <w:p w14:paraId="7A887204">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spacing w:val="-6"/>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 xml:space="preserve">在提供医疗卫生服务或者开展医学临床研究中，未按照规定履行告知义务或者取得知情同意； </w:t>
      </w:r>
    </w:p>
    <w:p w14:paraId="7E925044">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57"/>
        <w:gridCol w:w="5277"/>
      </w:tblGrid>
      <w:tr w14:paraId="385E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5C3CA8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57" w:type="dxa"/>
          </w:tcPr>
          <w:p w14:paraId="096DE67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277" w:type="dxa"/>
          </w:tcPr>
          <w:p w14:paraId="360406A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D27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F52161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457" w:type="dxa"/>
            <w:vAlign w:val="center"/>
          </w:tcPr>
          <w:p w14:paraId="32D4818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医师在提供医疗卫生服务或者开展医学临床研究中，未按照规定履行告知义务或者取得知情同意，首次发生且情节轻微的。 </w:t>
            </w:r>
          </w:p>
        </w:tc>
        <w:tc>
          <w:tcPr>
            <w:tcW w:w="5277" w:type="dxa"/>
            <w:vAlign w:val="center"/>
          </w:tcPr>
          <w:p w14:paraId="14B1884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责令改正，给予警告。 </w:t>
            </w:r>
          </w:p>
          <w:p w14:paraId="30C3F8D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r w14:paraId="627E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02AE5F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457" w:type="dxa"/>
            <w:vAlign w:val="center"/>
          </w:tcPr>
          <w:p w14:paraId="542731D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医师在提供医疗卫生服务或者开展医学临床研究中，未按照规定履行告知义务或者取得知情同意，受到警告行政处罚，再次发生的，或首次发生且情节较重的。 </w:t>
            </w:r>
          </w:p>
        </w:tc>
        <w:tc>
          <w:tcPr>
            <w:tcW w:w="5277" w:type="dxa"/>
            <w:vAlign w:val="center"/>
          </w:tcPr>
          <w:p w14:paraId="0E6319D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责令暂停六个月以上一年以下执业活动。 </w:t>
            </w:r>
          </w:p>
          <w:p w14:paraId="72855A9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r w14:paraId="29F8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65AC98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7457" w:type="dxa"/>
            <w:vAlign w:val="center"/>
          </w:tcPr>
          <w:p w14:paraId="67D9DC8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医师在提供医疗卫生服务或者开展医学临床研究中，未按照规定履行告知义务或者取得知情同意，受到暂停执业行政处罚，再次发生的。 </w:t>
            </w:r>
          </w:p>
        </w:tc>
        <w:tc>
          <w:tcPr>
            <w:tcW w:w="5277" w:type="dxa"/>
            <w:vAlign w:val="center"/>
          </w:tcPr>
          <w:p w14:paraId="627FAB3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吊销医师执业证书。 </w:t>
            </w:r>
          </w:p>
          <w:p w14:paraId="75D53A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bl>
    <w:p w14:paraId="2811041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328" w:name="_Toc20380"/>
      <w:bookmarkStart w:id="2329" w:name="_Toc23834"/>
      <w:bookmarkStart w:id="2330" w:name="_Toc22216"/>
      <w:bookmarkStart w:id="2331" w:name="_Toc4717"/>
      <w:bookmarkStart w:id="2332" w:name="_Toc734"/>
      <w:bookmarkStart w:id="2333" w:name="_Toc20121"/>
      <w:bookmarkStart w:id="2334" w:name="_Toc22028"/>
      <w:bookmarkStart w:id="2335" w:name="_Toc3110"/>
      <w:bookmarkStart w:id="2336" w:name="_Toc2859"/>
      <w:bookmarkStart w:id="2337" w:name="_Toc4920"/>
      <w:bookmarkStart w:id="2338" w:name="_Toc30182"/>
      <w:r>
        <w:rPr>
          <w:rFonts w:hint="eastAsia" w:cs="仿宋_GB2312"/>
          <w:bCs/>
          <w:color w:val="000000" w:themeColor="text1"/>
          <w14:textFill>
            <w14:solidFill>
              <w14:schemeClr w14:val="tx1"/>
            </w14:solidFill>
          </w14:textFill>
        </w:rPr>
        <w:t>第一百九十二条</w:t>
      </w:r>
      <w:r>
        <w:rPr>
          <w:rFonts w:hint="eastAsia" w:ascii="Times New Roman" w:hAnsi="Times New Roman" w:cs="仿宋_GB2312"/>
          <w:bCs/>
          <w:color w:val="000000" w:themeColor="text1"/>
          <w:kern w:val="0"/>
          <w14:textFill>
            <w14:solidFill>
              <w14:schemeClr w14:val="tx1"/>
            </w14:solidFill>
          </w14:textFill>
        </w:rPr>
        <w:t xml:space="preserve"> 医师对需要紧急救治的患者，拒绝急救处置，或者由于不负责任延误诊治</w:t>
      </w:r>
      <w:bookmarkEnd w:id="2328"/>
      <w:bookmarkEnd w:id="2329"/>
      <w:bookmarkEnd w:id="2330"/>
      <w:bookmarkEnd w:id="2331"/>
      <w:bookmarkEnd w:id="2332"/>
      <w:bookmarkEnd w:id="2333"/>
      <w:bookmarkEnd w:id="2334"/>
      <w:bookmarkEnd w:id="2335"/>
      <w:bookmarkEnd w:id="2336"/>
      <w:bookmarkEnd w:id="2337"/>
      <w:bookmarkEnd w:id="2338"/>
    </w:p>
    <w:p w14:paraId="7226A87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458B13C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《中华人民共和国医师法》第五十五条第（二）项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违反本法规定，医师在执业活动中有下列行为之一的，由县级以上人民政府卫生健康主管部门责令改正，给予警告；情节严重的，责令暂停六个月以上一年以下执业活动直至吊销医师执业证书：</w:t>
      </w:r>
    </w:p>
    <w:p w14:paraId="5FCCBB0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（二）对需要紧急救治的患者，拒绝急救处置，或者由于不负责任延误诊治； </w:t>
      </w:r>
    </w:p>
    <w:p w14:paraId="785DD542">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57"/>
        <w:gridCol w:w="5277"/>
      </w:tblGrid>
      <w:tr w14:paraId="7ED3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40" w:type="dxa"/>
            <w:vAlign w:val="center"/>
          </w:tcPr>
          <w:p w14:paraId="3A5259F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57" w:type="dxa"/>
            <w:vAlign w:val="center"/>
          </w:tcPr>
          <w:p w14:paraId="49FADDA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277" w:type="dxa"/>
            <w:vAlign w:val="center"/>
          </w:tcPr>
          <w:p w14:paraId="4BC2FD8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5EE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D75757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457" w:type="dxa"/>
            <w:vAlign w:val="center"/>
          </w:tcPr>
          <w:p w14:paraId="741CBB6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医师对需要紧急救治的患者，拒绝急救处置，或者由于不负责任延误诊治，首次发生且情节轻微的。</w:t>
            </w:r>
          </w:p>
        </w:tc>
        <w:tc>
          <w:tcPr>
            <w:tcW w:w="5277" w:type="dxa"/>
            <w:vAlign w:val="center"/>
          </w:tcPr>
          <w:p w14:paraId="5A763F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 </w:t>
            </w:r>
          </w:p>
          <w:p w14:paraId="40C5D12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r w14:paraId="0E74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2ACCFE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457" w:type="dxa"/>
            <w:vAlign w:val="center"/>
          </w:tcPr>
          <w:p w14:paraId="317F9EC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医师对需要紧急救治的患者，拒绝急救处置，或者由于不负责任延误诊治，受到警告行政处罚，再次发生的，或首次发生且情节较重未造成患者伤残或死亡的。 </w:t>
            </w:r>
          </w:p>
        </w:tc>
        <w:tc>
          <w:tcPr>
            <w:tcW w:w="5277" w:type="dxa"/>
            <w:vAlign w:val="center"/>
          </w:tcPr>
          <w:p w14:paraId="614BF25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责令暂停六个月以上一年以下执业活动。 </w:t>
            </w:r>
          </w:p>
          <w:p w14:paraId="1122D7F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r w14:paraId="6432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CFE8D1B">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7457" w:type="dxa"/>
            <w:vAlign w:val="center"/>
          </w:tcPr>
          <w:p w14:paraId="728CB1C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医师对需要紧急救治的患者，拒绝急救处置，或者由于不负责任延误诊治，受到暂停执业行政处罚，再次发生的；或首次发生但造成患者伤残或死亡的。 </w:t>
            </w:r>
          </w:p>
        </w:tc>
        <w:tc>
          <w:tcPr>
            <w:tcW w:w="5277" w:type="dxa"/>
            <w:vAlign w:val="center"/>
          </w:tcPr>
          <w:p w14:paraId="7D4915F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吊销医师执业证书。 </w:t>
            </w:r>
          </w:p>
          <w:p w14:paraId="22AABA2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bl>
    <w:p w14:paraId="4EFDE1E5">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339" w:name="_Toc30350"/>
      <w:bookmarkStart w:id="2340" w:name="_Toc21055"/>
      <w:bookmarkStart w:id="2341" w:name="_Toc23016"/>
      <w:bookmarkStart w:id="2342" w:name="_Toc20909"/>
      <w:bookmarkStart w:id="2343" w:name="_Toc13110"/>
      <w:bookmarkStart w:id="2344" w:name="_Toc20282"/>
      <w:bookmarkStart w:id="2345" w:name="_Toc27276"/>
      <w:bookmarkStart w:id="2346" w:name="_Toc15927"/>
      <w:bookmarkStart w:id="2347" w:name="_Toc4628"/>
      <w:bookmarkStart w:id="2348" w:name="_Toc4246"/>
      <w:bookmarkStart w:id="2349" w:name="_Toc2786"/>
      <w:r>
        <w:rPr>
          <w:rFonts w:hint="eastAsia" w:cs="仿宋_GB2312"/>
          <w:bCs/>
          <w:color w:val="000000" w:themeColor="text1"/>
          <w14:textFill>
            <w14:solidFill>
              <w14:schemeClr w14:val="tx1"/>
            </w14:solidFill>
          </w14:textFill>
        </w:rPr>
        <w:t>第一百九十三条</w:t>
      </w:r>
      <w:r>
        <w:rPr>
          <w:rFonts w:hint="eastAsia" w:ascii="Times New Roman" w:hAnsi="Times New Roman" w:cs="仿宋_GB2312"/>
          <w:bCs/>
          <w:color w:val="000000" w:themeColor="text1"/>
          <w:kern w:val="0"/>
          <w14:textFill>
            <w14:solidFill>
              <w14:schemeClr w14:val="tx1"/>
            </w14:solidFill>
          </w14:textFill>
        </w:rPr>
        <w:t xml:space="preserve"> 医师在遇有自然灾害、事故灾难、公共卫生事件和社会安全事件等严重威胁人民生命健康的突发事件时，不服从卫生健康主管部门调遣</w:t>
      </w:r>
      <w:bookmarkEnd w:id="2339"/>
      <w:bookmarkEnd w:id="2340"/>
      <w:bookmarkEnd w:id="2341"/>
      <w:bookmarkEnd w:id="2342"/>
      <w:bookmarkEnd w:id="2343"/>
      <w:bookmarkEnd w:id="2344"/>
      <w:bookmarkEnd w:id="2345"/>
      <w:bookmarkEnd w:id="2346"/>
      <w:bookmarkEnd w:id="2347"/>
      <w:bookmarkEnd w:id="2348"/>
      <w:bookmarkEnd w:id="2349"/>
    </w:p>
    <w:p w14:paraId="6296BB0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A43063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《中华人民共和国医师法》第五十五条第（三）项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违反本法规定，医师在执业活动中有下列行为之一的，由县级以上人民政府卫生健康主管部门责令改正，给予警告；情节严重的，责令暂停六个月以上一年以下执业活动直至吊销医师执业证书：</w:t>
      </w:r>
    </w:p>
    <w:p w14:paraId="1794B5A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（三）遇有自然灾害、事故灾难、公共卫生事件和社会安全事件等严重威胁人民生命健康的突发事件时，不服从卫生健康主管部门调遣；</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p>
    <w:p w14:paraId="2CE91A5F">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882"/>
        <w:gridCol w:w="4852"/>
      </w:tblGrid>
      <w:tr w14:paraId="3D67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CE8A86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882" w:type="dxa"/>
          </w:tcPr>
          <w:p w14:paraId="46962F4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852" w:type="dxa"/>
          </w:tcPr>
          <w:p w14:paraId="16AD5A1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4D5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79ED40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882" w:type="dxa"/>
          </w:tcPr>
          <w:p w14:paraId="4FA21AF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医师在遇有自然灾害、事故灾难、公共卫生事件和社会安全事件等严重威胁人民生命健康的突发事件时，不服从卫生健康主管部门调遣，首次发生且情节轻微。 </w:t>
            </w:r>
          </w:p>
        </w:tc>
        <w:tc>
          <w:tcPr>
            <w:tcW w:w="4852" w:type="dxa"/>
            <w:vAlign w:val="center"/>
          </w:tcPr>
          <w:p w14:paraId="68EC574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w:t>
            </w:r>
          </w:p>
        </w:tc>
      </w:tr>
      <w:tr w14:paraId="3615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D93D88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882" w:type="dxa"/>
          </w:tcPr>
          <w:p w14:paraId="22939EF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医师在遇有自然灾害、事故灾难、公共卫生事件和社会安全事件等严重威胁人民生命健康的突发事件时，不服从卫生健康主管部门调遣，受到警告行政处罚，再次发生的，或首次发生且情节较重的。 </w:t>
            </w:r>
          </w:p>
        </w:tc>
        <w:tc>
          <w:tcPr>
            <w:tcW w:w="4852" w:type="dxa"/>
            <w:vAlign w:val="center"/>
          </w:tcPr>
          <w:p w14:paraId="0E89500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责令暂停六个月以上一年以下执业活动。</w:t>
            </w:r>
          </w:p>
        </w:tc>
      </w:tr>
      <w:tr w14:paraId="00C9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A631DFA">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7882" w:type="dxa"/>
          </w:tcPr>
          <w:p w14:paraId="09541E9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781B620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A.医师在遇有自然灾害、事故灾难、公共卫生事件和社会安全事件等严重威胁人民生命健康的突发事件时，不服从卫生健康主管部门调遣，受到暂停执业行政处罚，再次发生的； </w:t>
            </w:r>
          </w:p>
          <w:p w14:paraId="0A37CD9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B.医师在遇有自然灾害、事故灾难、公共卫生事件和社会安全事件等严重威胁人民生命健康的突发事件时，不服从卫生健康主管部门调遣，影响疾病防控、救治工作，造成人员伤害、死亡或产生其他严重后果的。</w:t>
            </w:r>
          </w:p>
        </w:tc>
        <w:tc>
          <w:tcPr>
            <w:tcW w:w="4852" w:type="dxa"/>
            <w:vAlign w:val="center"/>
          </w:tcPr>
          <w:p w14:paraId="540DA41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吊销医师执业证书。</w:t>
            </w:r>
          </w:p>
        </w:tc>
      </w:tr>
    </w:tbl>
    <w:p w14:paraId="023CAA32">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350" w:name="_Toc24733"/>
      <w:bookmarkStart w:id="2351" w:name="_Toc4783"/>
      <w:bookmarkStart w:id="2352" w:name="_Toc28450"/>
      <w:bookmarkStart w:id="2353" w:name="_Toc26524"/>
      <w:bookmarkStart w:id="2354" w:name="_Toc12418"/>
      <w:bookmarkStart w:id="2355" w:name="_Toc16425"/>
      <w:bookmarkStart w:id="2356" w:name="_Toc15154"/>
      <w:bookmarkStart w:id="2357" w:name="_Toc5459"/>
      <w:bookmarkStart w:id="2358" w:name="_Toc12761"/>
      <w:bookmarkStart w:id="2359" w:name="_Toc14924"/>
      <w:bookmarkStart w:id="2360" w:name="_Toc13962"/>
      <w:r>
        <w:rPr>
          <w:rFonts w:hint="eastAsia" w:cs="仿宋_GB2312"/>
          <w:bCs/>
          <w:color w:val="000000" w:themeColor="text1"/>
          <w14:textFill>
            <w14:solidFill>
              <w14:schemeClr w14:val="tx1"/>
            </w14:solidFill>
          </w14:textFill>
        </w:rPr>
        <w:t>第一百九十四条</w:t>
      </w:r>
      <w:r>
        <w:rPr>
          <w:rFonts w:hint="eastAsia" w:ascii="Times New Roman" w:hAnsi="Times New Roman" w:cs="仿宋_GB2312"/>
          <w:bCs/>
          <w:color w:val="000000" w:themeColor="text1"/>
          <w:kern w:val="0"/>
          <w14:textFill>
            <w14:solidFill>
              <w14:schemeClr w14:val="tx1"/>
            </w14:solidFill>
          </w14:textFill>
        </w:rPr>
        <w:t xml:space="preserve"> 医师未按照规定报告有关情形</w:t>
      </w:r>
      <w:bookmarkEnd w:id="2350"/>
      <w:bookmarkEnd w:id="2351"/>
      <w:bookmarkEnd w:id="2352"/>
      <w:bookmarkEnd w:id="2353"/>
      <w:bookmarkEnd w:id="2354"/>
      <w:bookmarkEnd w:id="2355"/>
      <w:bookmarkEnd w:id="2356"/>
      <w:bookmarkEnd w:id="2357"/>
      <w:bookmarkEnd w:id="2358"/>
      <w:bookmarkEnd w:id="2359"/>
      <w:bookmarkEnd w:id="2360"/>
    </w:p>
    <w:p w14:paraId="1B45499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7EC914C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《中华人民共和国医师法》第五十五条第（四）项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违反本法规定，医师在执业活动中有下列行为之一的，由县级以上人民政府卫生健康主管部门责令改正，给予警告；情节严重的，责令暂停六个月以上一年以下执业活动直至吊销医师执业证书：</w:t>
      </w:r>
    </w:p>
    <w:p w14:paraId="49DB23F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（四）未按照规定报告有关情形；</w:t>
      </w:r>
    </w:p>
    <w:p w14:paraId="7272BEF0">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166"/>
        <w:gridCol w:w="4568"/>
      </w:tblGrid>
      <w:tr w14:paraId="0C2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6337757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66" w:type="dxa"/>
            <w:vAlign w:val="center"/>
          </w:tcPr>
          <w:p w14:paraId="5BA2D39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568" w:type="dxa"/>
            <w:vAlign w:val="center"/>
          </w:tcPr>
          <w:p w14:paraId="57974BC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C5A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48D301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8166" w:type="dxa"/>
          </w:tcPr>
          <w:p w14:paraId="634F4E1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现传染病、突发不明原因疾病或者异常健康事件，发生或者发现医疗事故，发现可能与药品、医疗器械有关的不良反应或者不良事件，发现假药或者劣药，发现患者涉嫌伤害事件或者非正常死亡，医师不按照规定报告，首次发现的。</w:t>
            </w:r>
          </w:p>
        </w:tc>
        <w:tc>
          <w:tcPr>
            <w:tcW w:w="4568" w:type="dxa"/>
            <w:vAlign w:val="center"/>
          </w:tcPr>
          <w:p w14:paraId="019B2FE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责令改正，给予警告。 </w:t>
            </w:r>
          </w:p>
        </w:tc>
      </w:tr>
      <w:tr w14:paraId="6787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33C9FB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一般严重</w:t>
            </w:r>
          </w:p>
        </w:tc>
        <w:tc>
          <w:tcPr>
            <w:tcW w:w="8166" w:type="dxa"/>
          </w:tcPr>
          <w:p w14:paraId="34CF717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现传染病、突发不明原因疾病或者异常健康事件，发生或者发现医疗事故，发现可能与药品、医疗器械有关的不良反应或者不良事件，发现假药或者劣药，发现患者涉嫌伤害事件或者非正常死亡，医师多次不按规定报告的。</w:t>
            </w:r>
          </w:p>
        </w:tc>
        <w:tc>
          <w:tcPr>
            <w:tcW w:w="4568" w:type="dxa"/>
            <w:vAlign w:val="center"/>
          </w:tcPr>
          <w:p w14:paraId="2C357E8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责令暂停六个月执业活动。 </w:t>
            </w:r>
          </w:p>
        </w:tc>
      </w:tr>
      <w:tr w14:paraId="0B59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440" w:type="dxa"/>
            <w:vAlign w:val="center"/>
          </w:tcPr>
          <w:p w14:paraId="616665C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较严重</w:t>
            </w:r>
          </w:p>
        </w:tc>
        <w:tc>
          <w:tcPr>
            <w:tcW w:w="8166" w:type="dxa"/>
            <w:vAlign w:val="center"/>
          </w:tcPr>
          <w:p w14:paraId="0252458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发现传染病、突发不明原因疾病或者异常健康事件，发生或者发现医疗事故，发现可能与药品、医疗器械有关的不良反应或者不良事件，发现假药或者劣药，发现患者涉嫌伤害事件或者非正常死亡，医师不按照规定报告，影响到医疗事故处理和传染病防治等工作的正常开展，或影响事故、疫情等处理的。 </w:t>
            </w:r>
          </w:p>
        </w:tc>
        <w:tc>
          <w:tcPr>
            <w:tcW w:w="4568" w:type="dxa"/>
            <w:vAlign w:val="center"/>
          </w:tcPr>
          <w:p w14:paraId="1BBBF1D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责令暂停六个月以上九个月以下执业活动。</w:t>
            </w:r>
          </w:p>
        </w:tc>
      </w:tr>
      <w:tr w14:paraId="5448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5ABCF2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8166" w:type="dxa"/>
          </w:tcPr>
          <w:p w14:paraId="1ADF9A7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现传染病、突发不明原因疾病或者异常健康事件，发生或者发现医疗事故，发现可能与药品、医疗器械有关的不良反应或者不良事件，发现假药或者劣药，发现患者涉嫌伤害事件或者非正常死亡，医师故意隐报、瞒报、谎报。</w:t>
            </w:r>
          </w:p>
        </w:tc>
        <w:tc>
          <w:tcPr>
            <w:tcW w:w="4568" w:type="dxa"/>
            <w:vAlign w:val="center"/>
          </w:tcPr>
          <w:p w14:paraId="112947E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责令暂停九个月以上一年以下执业活动。</w:t>
            </w:r>
          </w:p>
        </w:tc>
      </w:tr>
      <w:tr w14:paraId="35B2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141089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8166" w:type="dxa"/>
          </w:tcPr>
          <w:p w14:paraId="224D63A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发现传染病、突发不明原因疾病或者异常健康事件，发生或者发现医疗事故，发现可能与药品、医疗器械有关的不良反应或者不良事件，发现假药或者劣药，发现患者涉嫌伤害事件或者非正常死亡，因医师隐报、瞒报、谎报，造成传染病传播、暴发、流行，或者造成严重社会后果的。 </w:t>
            </w:r>
          </w:p>
        </w:tc>
        <w:tc>
          <w:tcPr>
            <w:tcW w:w="4568" w:type="dxa"/>
            <w:vAlign w:val="center"/>
          </w:tcPr>
          <w:p w14:paraId="6BDEFB2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吊销医师执业证书。</w:t>
            </w:r>
          </w:p>
        </w:tc>
      </w:tr>
    </w:tbl>
    <w:p w14:paraId="606C92CF">
      <w:pPr>
        <w:pStyle w:val="4"/>
        <w:widowControl w:val="0"/>
        <w:ind w:firstLine="643"/>
        <w:jc w:val="both"/>
        <w:rPr>
          <w:rFonts w:hint="eastAsia" w:ascii="Times New Roman" w:hAnsi="Times New Roman" w:cs="仿宋_GB2312"/>
          <w:bCs/>
          <w:color w:val="000000" w:themeColor="text1"/>
          <w:kern w:val="0"/>
          <w14:textFill>
            <w14:solidFill>
              <w14:schemeClr w14:val="tx1"/>
            </w14:solidFill>
          </w14:textFill>
        </w:rPr>
      </w:pPr>
      <w:bookmarkStart w:id="2361" w:name="_Toc24802"/>
      <w:bookmarkStart w:id="2362" w:name="_Toc15174"/>
      <w:bookmarkStart w:id="2363" w:name="_Toc4198"/>
      <w:bookmarkStart w:id="2364" w:name="_Toc17464"/>
      <w:bookmarkStart w:id="2365" w:name="_Toc32627"/>
      <w:bookmarkStart w:id="2366" w:name="_Toc3637"/>
      <w:bookmarkStart w:id="2367" w:name="_Toc8840"/>
      <w:bookmarkStart w:id="2368" w:name="_Toc30193"/>
      <w:bookmarkStart w:id="2369" w:name="_Toc18199"/>
      <w:bookmarkStart w:id="2370" w:name="_Toc29404"/>
      <w:bookmarkStart w:id="2371" w:name="_Toc16206"/>
      <w:r>
        <w:rPr>
          <w:rFonts w:hint="eastAsia" w:cs="仿宋_GB2312"/>
          <w:bCs/>
          <w:color w:val="000000" w:themeColor="text1"/>
          <w14:textFill>
            <w14:solidFill>
              <w14:schemeClr w14:val="tx1"/>
            </w14:solidFill>
          </w14:textFill>
        </w:rPr>
        <w:t>第一百九十五条</w:t>
      </w:r>
      <w:r>
        <w:rPr>
          <w:rFonts w:hint="eastAsia" w:ascii="Times New Roman" w:hAnsi="Times New Roman" w:cs="仿宋_GB2312"/>
          <w:bCs/>
          <w:color w:val="000000" w:themeColor="text1"/>
          <w:kern w:val="0"/>
          <w14:textFill>
            <w14:solidFill>
              <w14:schemeClr w14:val="tx1"/>
            </w14:solidFill>
          </w14:textFill>
        </w:rPr>
        <w:t xml:space="preserve"> 医师违反法律、法规、规章或者执业规范，造成医疗事故或者其他严重后果</w:t>
      </w:r>
      <w:bookmarkEnd w:id="2361"/>
      <w:bookmarkEnd w:id="2362"/>
      <w:bookmarkEnd w:id="2363"/>
      <w:bookmarkEnd w:id="2364"/>
      <w:bookmarkEnd w:id="2365"/>
      <w:bookmarkEnd w:id="2366"/>
      <w:bookmarkEnd w:id="2367"/>
      <w:bookmarkEnd w:id="2368"/>
      <w:bookmarkEnd w:id="2369"/>
      <w:bookmarkEnd w:id="2370"/>
      <w:bookmarkEnd w:id="2371"/>
    </w:p>
    <w:p w14:paraId="7402B769">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190B625E">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《中华人民共和国医师法》第五十五条第（五）项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违反本法规定，医师在执业活动中有下列行为之一的，由县级以上人民政府卫生健康主管部门责令改正，给予警告；情节严重的，责令暂停六个月以上一年以下执业活动直至吊销医师执业证书：</w:t>
      </w:r>
    </w:p>
    <w:p w14:paraId="5DC9AA4D">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（五）违反法律、法规、规章或者执业规范，造成医疗事故或者其他严重后果。 </w:t>
      </w:r>
    </w:p>
    <w:p w14:paraId="4889A5A8">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07"/>
        <w:gridCol w:w="4427"/>
      </w:tblGrid>
      <w:tr w14:paraId="1321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4BF44E0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07" w:type="dxa"/>
            <w:vAlign w:val="center"/>
          </w:tcPr>
          <w:p w14:paraId="1A62991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427" w:type="dxa"/>
            <w:vAlign w:val="center"/>
          </w:tcPr>
          <w:p w14:paraId="4EBBED6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72A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11F65C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8307" w:type="dxa"/>
            <w:vAlign w:val="center"/>
          </w:tcPr>
          <w:p w14:paraId="14BEB1F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436DBD1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1.造成三、四级医疗事故由医疗机构负主要责任的有关执业医师；</w:t>
            </w:r>
          </w:p>
          <w:p w14:paraId="737A75A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2.造成一、二级医疗事故由医疗机构负次要责任的有关执业医师。</w:t>
            </w:r>
          </w:p>
        </w:tc>
        <w:tc>
          <w:tcPr>
            <w:tcW w:w="4427" w:type="dxa"/>
            <w:vAlign w:val="center"/>
          </w:tcPr>
          <w:p w14:paraId="507D39A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责令改正，给予警告。 </w:t>
            </w:r>
          </w:p>
        </w:tc>
      </w:tr>
      <w:tr w14:paraId="26CD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545810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较严重</w:t>
            </w:r>
          </w:p>
        </w:tc>
        <w:tc>
          <w:tcPr>
            <w:tcW w:w="8307" w:type="dxa"/>
            <w:vAlign w:val="center"/>
          </w:tcPr>
          <w:p w14:paraId="2FDCF56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00ED302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1.造成三、四级医疗事故由医疗机构负完全责任的有关执业医师； </w:t>
            </w:r>
          </w:p>
          <w:p w14:paraId="0720CF5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2.造成一、二级医疗事故由医疗机构负主要责任的有关执业医师；</w:t>
            </w:r>
          </w:p>
          <w:p w14:paraId="691F592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3.造成严重后果。</w:t>
            </w:r>
          </w:p>
        </w:tc>
        <w:tc>
          <w:tcPr>
            <w:tcW w:w="4427" w:type="dxa"/>
            <w:vAlign w:val="center"/>
          </w:tcPr>
          <w:p w14:paraId="162A521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责令暂停六个月以上九个月以下执业活动。</w:t>
            </w:r>
          </w:p>
        </w:tc>
      </w:tr>
      <w:tr w14:paraId="06A7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D58697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8307" w:type="dxa"/>
            <w:vAlign w:val="center"/>
          </w:tcPr>
          <w:p w14:paraId="0D722A9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284F9C0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1.造成一、二级医疗事故由医疗机构负完全责任的有关执业医师；</w:t>
            </w:r>
          </w:p>
          <w:p w14:paraId="40E2A50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2.造成严重后果，情节严重的。 </w:t>
            </w:r>
          </w:p>
        </w:tc>
        <w:tc>
          <w:tcPr>
            <w:tcW w:w="4427" w:type="dxa"/>
            <w:vAlign w:val="center"/>
          </w:tcPr>
          <w:p w14:paraId="3EC1335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责令暂停九个月以上一年以下执业活动。</w:t>
            </w:r>
          </w:p>
        </w:tc>
      </w:tr>
      <w:tr w14:paraId="0992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40" w:type="dxa"/>
            <w:vAlign w:val="center"/>
          </w:tcPr>
          <w:p w14:paraId="4F603E2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8307" w:type="dxa"/>
            <w:vAlign w:val="center"/>
          </w:tcPr>
          <w:p w14:paraId="7CE71EC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 年内连续 2 次造成一、二级医疗事故并负完全责任的有关执业医师。</w:t>
            </w:r>
          </w:p>
        </w:tc>
        <w:tc>
          <w:tcPr>
            <w:tcW w:w="4427" w:type="dxa"/>
            <w:vAlign w:val="center"/>
          </w:tcPr>
          <w:p w14:paraId="702ABC2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吊销医师执业证书。</w:t>
            </w:r>
          </w:p>
        </w:tc>
      </w:tr>
    </w:tbl>
    <w:p w14:paraId="2F67DB39">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372" w:name="_Toc12900"/>
      <w:bookmarkStart w:id="2373" w:name="_Toc8100"/>
      <w:bookmarkStart w:id="2374" w:name="_Toc21082"/>
      <w:bookmarkStart w:id="2375" w:name="_Toc19938"/>
      <w:bookmarkStart w:id="2376" w:name="_Toc15941"/>
      <w:bookmarkStart w:id="2377" w:name="_Toc2911"/>
      <w:bookmarkStart w:id="2378" w:name="_Toc32683"/>
      <w:bookmarkStart w:id="2379" w:name="_Toc25825"/>
      <w:bookmarkStart w:id="2380" w:name="_Toc2791"/>
      <w:bookmarkStart w:id="2381" w:name="_Toc29044"/>
      <w:bookmarkStart w:id="2382" w:name="_Toc9170"/>
      <w:r>
        <w:rPr>
          <w:rFonts w:hint="eastAsia" w:cs="仿宋_GB2312"/>
          <w:bCs/>
          <w:color w:val="000000" w:themeColor="text1"/>
          <w14:textFill>
            <w14:solidFill>
              <w14:schemeClr w14:val="tx1"/>
            </w14:solidFill>
          </w14:textFill>
        </w:rPr>
        <w:t>第一百九十六条</w:t>
      </w:r>
      <w:r>
        <w:rPr>
          <w:rFonts w:hint="eastAsia" w:ascii="Times New Roman" w:hAnsi="Times New Roman" w:cs="仿宋_GB2312"/>
          <w:bCs/>
          <w:color w:val="000000" w:themeColor="text1"/>
          <w:kern w:val="0"/>
          <w14:textFill>
            <w14:solidFill>
              <w14:schemeClr w14:val="tx1"/>
            </w14:solidFill>
          </w14:textFill>
        </w:rPr>
        <w:t xml:space="preserve"> 医师泄露患者隐私或者个人信息</w:t>
      </w:r>
      <w:bookmarkEnd w:id="2372"/>
      <w:bookmarkEnd w:id="2373"/>
      <w:bookmarkEnd w:id="2374"/>
      <w:bookmarkEnd w:id="2375"/>
      <w:bookmarkEnd w:id="2376"/>
      <w:bookmarkEnd w:id="2377"/>
      <w:bookmarkEnd w:id="2378"/>
      <w:bookmarkEnd w:id="2379"/>
      <w:bookmarkEnd w:id="2380"/>
      <w:bookmarkEnd w:id="2381"/>
      <w:bookmarkEnd w:id="2382"/>
    </w:p>
    <w:p w14:paraId="658D531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0447DFCE">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w:t>
      </w:r>
      <w:r>
        <w:rPr>
          <w:rFonts w:hint="eastAsia" w:ascii="Times New Roman" w:hAnsi="Times New Roman" w:eastAsia="仿宋_GB2312" w:cs="华文中宋"/>
          <w:color w:val="000000" w:themeColor="text1"/>
          <w:sz w:val="32"/>
          <w:szCs w:val="32"/>
          <w14:textFill>
            <w14:solidFill>
              <w14:schemeClr w14:val="tx1"/>
            </w14:solidFill>
          </w14:textFill>
        </w:rPr>
        <w:t>五十六条第（一）项</w:t>
      </w:r>
      <w:r>
        <w:rPr>
          <w:rFonts w:hint="eastAsia" w:ascii="Times New Roman" w:hAnsi="Times New Roman" w:eastAsia="仿宋_GB2312" w:cs="华文中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华文中宋"/>
          <w:color w:val="000000" w:themeColor="text1"/>
          <w:sz w:val="32"/>
          <w:szCs w:val="32"/>
          <w14:textFill>
            <w14:solidFill>
              <w14:schemeClr w14:val="tx1"/>
            </w14:solidFill>
          </w14:textFill>
        </w:rPr>
        <w:t>违反本法规定，医师在执业活动中有下列行为之一的，由县级以上人民政府卫生健康主管部门责令改正，给予警告，没收违法所得，并处一万元以上三万元以下的罚款；情节严重的，责令暂停六个月以上一年以下执业活动直至吊销医师执业证书：</w:t>
      </w:r>
    </w:p>
    <w:p w14:paraId="287FC775">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32"/>
          <w14:textFill>
            <w14:solidFill>
              <w14:schemeClr w14:val="tx1"/>
            </w14:solidFill>
          </w14:textFill>
        </w:rPr>
      </w:pPr>
      <w:r>
        <w:rPr>
          <w:rFonts w:hint="eastAsia" w:ascii="Times New Roman" w:hAnsi="Times New Roman" w:eastAsia="仿宋_GB2312" w:cs="华文中宋"/>
          <w:color w:val="000000" w:themeColor="text1"/>
          <w:sz w:val="32"/>
          <w:szCs w:val="32"/>
          <w14:textFill>
            <w14:solidFill>
              <w14:schemeClr w14:val="tx1"/>
            </w14:solidFill>
          </w14:textFill>
        </w:rPr>
        <w:t>（一）泄露患者隐私或者个人信息；</w:t>
      </w:r>
    </w:p>
    <w:p w14:paraId="403B8B8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045"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6809"/>
        <w:gridCol w:w="5702"/>
      </w:tblGrid>
      <w:tr w14:paraId="3C86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tcPr>
          <w:p w14:paraId="4594A5A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809" w:type="dxa"/>
          </w:tcPr>
          <w:p w14:paraId="70D395D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702" w:type="dxa"/>
          </w:tcPr>
          <w:p w14:paraId="688A3A6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855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vAlign w:val="center"/>
          </w:tcPr>
          <w:p w14:paraId="1F7F02BA">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809" w:type="dxa"/>
          </w:tcPr>
          <w:p w14:paraId="2EB350C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医师在执业活动中泄露患者隐私或个人信息，未造成严重后果的。</w:t>
            </w:r>
          </w:p>
        </w:tc>
        <w:tc>
          <w:tcPr>
            <w:tcW w:w="5702" w:type="dxa"/>
          </w:tcPr>
          <w:p w14:paraId="445FD7C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责令改正，给予警告，没收违法所得，并处一万元以上两万元以下的罚款。 </w:t>
            </w:r>
          </w:p>
        </w:tc>
      </w:tr>
      <w:tr w14:paraId="50EB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vAlign w:val="center"/>
          </w:tcPr>
          <w:p w14:paraId="15747D4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6809" w:type="dxa"/>
          </w:tcPr>
          <w:p w14:paraId="11298BD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医师在执业活动中，不以获取利益为目的故意泄露患者隐私或个人信息，造成严重后果的。 </w:t>
            </w:r>
          </w:p>
        </w:tc>
        <w:tc>
          <w:tcPr>
            <w:tcW w:w="5702" w:type="dxa"/>
          </w:tcPr>
          <w:p w14:paraId="049BA91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责令改正，给予警告，没收违法所得，并处两万元以上三万元以下的罚款。</w:t>
            </w:r>
          </w:p>
        </w:tc>
      </w:tr>
      <w:tr w14:paraId="768C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vAlign w:val="center"/>
          </w:tcPr>
          <w:p w14:paraId="6A6AD4E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809" w:type="dxa"/>
          </w:tcPr>
          <w:p w14:paraId="3FFA88F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医师在执业活动中，为获取利益为目的故意泄露患者隐私或个人信息，造成严重后果的。 </w:t>
            </w:r>
          </w:p>
        </w:tc>
        <w:tc>
          <w:tcPr>
            <w:tcW w:w="5702" w:type="dxa"/>
          </w:tcPr>
          <w:p w14:paraId="02355C7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责令改正，给予警告，没收违法所得，并处三万元的罚款，责令暂停六个月以上一年以下执业活动。</w:t>
            </w:r>
          </w:p>
        </w:tc>
      </w:tr>
      <w:tr w14:paraId="774C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vAlign w:val="center"/>
          </w:tcPr>
          <w:p w14:paraId="55CCBB1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6809" w:type="dxa"/>
          </w:tcPr>
          <w:p w14:paraId="141D08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医师在执业活动中，故意泄露患者隐私，造成特别严重后果或恶劣社会影响的。</w:t>
            </w:r>
          </w:p>
        </w:tc>
        <w:tc>
          <w:tcPr>
            <w:tcW w:w="5702" w:type="dxa"/>
          </w:tcPr>
          <w:p w14:paraId="4334E57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责令改正，给予警告，没收违法所得，并处三万元的罚款，吊销医师执业证书</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r>
    </w:tbl>
    <w:p w14:paraId="09A5289D">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383" w:name="_Toc24169"/>
      <w:bookmarkStart w:id="2384" w:name="_Toc27925"/>
      <w:bookmarkStart w:id="2385" w:name="_Toc27007"/>
      <w:bookmarkStart w:id="2386" w:name="_Toc1691"/>
      <w:bookmarkStart w:id="2387" w:name="_Toc17471"/>
      <w:bookmarkStart w:id="2388" w:name="_Toc24615"/>
      <w:bookmarkStart w:id="2389" w:name="_Toc24330"/>
      <w:bookmarkStart w:id="2390" w:name="_Toc29617"/>
      <w:bookmarkStart w:id="2391" w:name="_Toc6515"/>
      <w:bookmarkStart w:id="2392" w:name="_Toc15675"/>
      <w:bookmarkStart w:id="2393" w:name="_Toc12182"/>
      <w:r>
        <w:rPr>
          <w:rFonts w:hint="eastAsia" w:cs="仿宋_GB2312"/>
          <w:bCs/>
          <w:color w:val="000000" w:themeColor="text1"/>
          <w14:textFill>
            <w14:solidFill>
              <w14:schemeClr w14:val="tx1"/>
            </w14:solidFill>
          </w14:textFill>
        </w:rPr>
        <w:t>第一百九十七条</w:t>
      </w:r>
      <w:r>
        <w:rPr>
          <w:rFonts w:hint="eastAsia" w:ascii="Times New Roman" w:hAnsi="Times New Roman" w:cs="仿宋_GB2312"/>
          <w:bCs/>
          <w:color w:val="000000" w:themeColor="text1"/>
          <w:kern w:val="0"/>
          <w14:textFill>
            <w14:solidFill>
              <w14:schemeClr w14:val="tx1"/>
            </w14:solidFill>
          </w14:textFill>
        </w:rPr>
        <w:t xml:space="preserve"> 医师出具虚假医学证明文件，或者未经亲自诊查、调查，签署诊断、治疗、流行病学等证明文件或者有关出生、死亡等证明文件</w:t>
      </w:r>
      <w:bookmarkEnd w:id="2383"/>
      <w:bookmarkEnd w:id="2384"/>
      <w:bookmarkEnd w:id="2385"/>
      <w:bookmarkEnd w:id="2386"/>
      <w:bookmarkEnd w:id="2387"/>
      <w:bookmarkEnd w:id="2388"/>
      <w:bookmarkEnd w:id="2389"/>
      <w:bookmarkEnd w:id="2390"/>
      <w:bookmarkEnd w:id="2391"/>
      <w:bookmarkEnd w:id="2392"/>
      <w:bookmarkEnd w:id="2393"/>
    </w:p>
    <w:p w14:paraId="3A4A891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24F1108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《中华人民共和国医师法》第五十六条第（二）项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民政府卫生健康主管部门责令改正，给予警告，没收违法所得，并处一万元以上三万元以下的罚款；情节严重的，责令暂停六个月以上一年以下执业活动直至吊销医师执业证书：</w:t>
      </w:r>
    </w:p>
    <w:p w14:paraId="35FD957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华文中宋"/>
          <w:color w:val="000000" w:themeColor="text1"/>
          <w:sz w:val="32"/>
          <w:szCs w:val="28"/>
          <w14:textFill>
            <w14:solidFill>
              <w14:schemeClr w14:val="tx1"/>
            </w14:solidFill>
          </w14:textFill>
        </w:rPr>
        <w:t>（二）出具虚假医学证明文件，或者未经亲自诊查、调查，签署诊断、治疗、流行病学等证明文件或者有关出生、死亡等证明文件；</w:t>
      </w:r>
    </w:p>
    <w:p w14:paraId="45097425">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082"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6801"/>
        <w:gridCol w:w="5700"/>
      </w:tblGrid>
      <w:tr w14:paraId="694D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81" w:type="dxa"/>
            <w:shd w:val="clear" w:color="auto" w:fill="auto"/>
            <w:vAlign w:val="center"/>
          </w:tcPr>
          <w:p w14:paraId="47CAAB4D">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801" w:type="dxa"/>
            <w:shd w:val="clear" w:color="auto" w:fill="auto"/>
            <w:vAlign w:val="center"/>
          </w:tcPr>
          <w:p w14:paraId="57AFD6D2">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违法后果</w:t>
            </w:r>
          </w:p>
        </w:tc>
        <w:tc>
          <w:tcPr>
            <w:tcW w:w="5700" w:type="dxa"/>
            <w:shd w:val="clear" w:color="auto" w:fill="auto"/>
            <w:vAlign w:val="center"/>
          </w:tcPr>
          <w:p w14:paraId="16BAF045">
            <w:pPr>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FD5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81" w:type="dxa"/>
            <w:shd w:val="clear" w:color="auto" w:fill="auto"/>
            <w:vAlign w:val="center"/>
          </w:tcPr>
          <w:p w14:paraId="2E191685">
            <w:pPr>
              <w:widowControl w:val="0"/>
              <w:adjustRightInd/>
              <w:snapToGrid/>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一般</w:t>
            </w:r>
          </w:p>
        </w:tc>
        <w:tc>
          <w:tcPr>
            <w:tcW w:w="6801" w:type="dxa"/>
            <w:shd w:val="clear" w:color="auto" w:fill="auto"/>
            <w:vAlign w:val="center"/>
          </w:tcPr>
          <w:p w14:paraId="5871827B">
            <w:pPr>
              <w:widowControl w:val="0"/>
              <w:adjustRightInd/>
              <w:snapToGrid/>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签署一至二人（次）证明文件，没有造成医疗事故，医院感染或传染病传播等严重后果。</w:t>
            </w:r>
          </w:p>
        </w:tc>
        <w:tc>
          <w:tcPr>
            <w:tcW w:w="5700" w:type="dxa"/>
            <w:shd w:val="clear" w:color="auto" w:fill="auto"/>
            <w:vAlign w:val="center"/>
          </w:tcPr>
          <w:p w14:paraId="27A38E20">
            <w:pPr>
              <w:widowControl w:val="0"/>
              <w:adjustRightInd/>
              <w:snapToGrid/>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警告，没收违法所得，并处一万元以上一万五千元以下的罚款。</w:t>
            </w:r>
          </w:p>
        </w:tc>
      </w:tr>
      <w:tr w14:paraId="0764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81" w:type="dxa"/>
            <w:shd w:val="clear" w:color="auto" w:fill="auto"/>
            <w:vAlign w:val="center"/>
          </w:tcPr>
          <w:p w14:paraId="132EB3FE">
            <w:pPr>
              <w:widowControl w:val="0"/>
              <w:adjustRightInd/>
              <w:snapToGrid/>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较重</w:t>
            </w:r>
          </w:p>
        </w:tc>
        <w:tc>
          <w:tcPr>
            <w:tcW w:w="6801" w:type="dxa"/>
            <w:shd w:val="clear" w:color="auto" w:fill="auto"/>
            <w:vAlign w:val="center"/>
          </w:tcPr>
          <w:p w14:paraId="0E9A6413">
            <w:pPr>
              <w:widowControl w:val="0"/>
              <w:adjustRightInd/>
              <w:snapToGrid/>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签署三至五人（次）证明文件，没有造成医疗事故，医院感染或传染病传播等严重后果。</w:t>
            </w:r>
          </w:p>
        </w:tc>
        <w:tc>
          <w:tcPr>
            <w:tcW w:w="5700" w:type="dxa"/>
            <w:shd w:val="clear" w:color="auto" w:fill="auto"/>
            <w:vAlign w:val="center"/>
          </w:tcPr>
          <w:p w14:paraId="103F9375">
            <w:pPr>
              <w:widowControl w:val="0"/>
              <w:adjustRightInd/>
              <w:snapToGrid/>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警告，没收违法所得，并处一万五千元以上二万元以下的罚款。</w:t>
            </w:r>
          </w:p>
        </w:tc>
      </w:tr>
      <w:tr w14:paraId="7B82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81" w:type="dxa"/>
            <w:shd w:val="clear" w:color="auto" w:fill="auto"/>
            <w:vAlign w:val="center"/>
          </w:tcPr>
          <w:p w14:paraId="2EE5D34B">
            <w:pPr>
              <w:widowControl w:val="0"/>
              <w:adjustRightInd/>
              <w:snapToGrid/>
              <w:spacing w:after="0" w:line="280" w:lineRule="exact"/>
              <w:jc w:val="center"/>
              <w:textAlignment w:val="auto"/>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sz w:val="24"/>
                <w:szCs w:val="24"/>
                <w:lang w:bidi="ar"/>
                <w14:textFill>
                  <w14:solidFill>
                    <w14:schemeClr w14:val="tx1"/>
                  </w14:solidFill>
                </w14:textFill>
              </w:rPr>
              <w:t>严重</w:t>
            </w:r>
          </w:p>
        </w:tc>
        <w:tc>
          <w:tcPr>
            <w:tcW w:w="6801" w:type="dxa"/>
            <w:shd w:val="clear" w:color="auto" w:fill="auto"/>
            <w:vAlign w:val="center"/>
          </w:tcPr>
          <w:p w14:paraId="3350400A">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1）签署六至十人（次）证明文件,没有造成医疗事故，医院感染或传染病传播等严重后果；（2）签署超过十人（次）证明文件,没有造成医疗事故，医院感染或传染病传播等严重后果；（3）造成医疗事故，医院感染或传染病传播等严重后果。</w:t>
            </w:r>
          </w:p>
        </w:tc>
        <w:tc>
          <w:tcPr>
            <w:tcW w:w="5700" w:type="dxa"/>
            <w:shd w:val="clear" w:color="auto" w:fill="auto"/>
            <w:vAlign w:val="center"/>
          </w:tcPr>
          <w:p w14:paraId="5572DCA7">
            <w:pPr>
              <w:widowControl w:val="0"/>
              <w:adjustRightInd/>
              <w:snapToGrid/>
              <w:spacing w:after="0" w:line="320" w:lineRule="exac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警告，没收违法所得，并处二万元以上三万元以下的罚款。（1）责令暂停六个月以上九个月以下执业活动；（2）责令暂停九个月以上一年以下执业活动；（3）吊销医师执业证书。</w:t>
            </w:r>
          </w:p>
        </w:tc>
      </w:tr>
    </w:tbl>
    <w:p w14:paraId="6CBDD10A">
      <w:pPr>
        <w:pStyle w:val="4"/>
        <w:widowControl w:val="0"/>
        <w:ind w:firstLine="640"/>
        <w:rPr>
          <w:rFonts w:hint="eastAsia" w:ascii="Times New Roman" w:hAnsi="Times New Roman" w:cs="仿宋"/>
          <w:b w:val="0"/>
          <w:bCs/>
          <w:color w:val="000000" w:themeColor="text1"/>
          <w:kern w:val="2"/>
          <w14:textFill>
            <w14:solidFill>
              <w14:schemeClr w14:val="tx1"/>
            </w14:solidFill>
          </w14:textFill>
        </w:rPr>
      </w:pPr>
      <w:bookmarkStart w:id="2394" w:name="_Toc22109"/>
      <w:bookmarkStart w:id="2395" w:name="_Toc18122"/>
      <w:bookmarkStart w:id="2396" w:name="_Toc23938"/>
      <w:bookmarkStart w:id="2397" w:name="_Toc2865"/>
      <w:bookmarkStart w:id="2398" w:name="_Toc28794"/>
      <w:bookmarkStart w:id="2399" w:name="_Toc17763"/>
      <w:bookmarkStart w:id="2400" w:name="_Toc23169"/>
      <w:bookmarkStart w:id="2401" w:name="_Toc20506"/>
      <w:bookmarkStart w:id="2402" w:name="_Toc6732"/>
      <w:bookmarkStart w:id="2403" w:name="_Toc3273"/>
      <w:bookmarkStart w:id="2404" w:name="_Toc20308"/>
      <w:r>
        <w:rPr>
          <w:rFonts w:hint="eastAsia" w:cs="仿宋_GB2312"/>
          <w:bCs/>
          <w:color w:val="000000" w:themeColor="text1"/>
          <w14:textFill>
            <w14:solidFill>
              <w14:schemeClr w14:val="tx1"/>
            </w14:solidFill>
          </w14:textFill>
        </w:rPr>
        <w:t>第一百九十八条</w:t>
      </w:r>
      <w:r>
        <w:rPr>
          <w:rFonts w:hint="eastAsia" w:ascii="Times New Roman" w:hAnsi="Times New Roman" w:cs="仿宋_GB2312"/>
          <w:bCs/>
          <w:color w:val="000000" w:themeColor="text1"/>
          <w:kern w:val="0"/>
          <w14:textFill>
            <w14:solidFill>
              <w14:schemeClr w14:val="tx1"/>
            </w14:solidFill>
          </w14:textFill>
        </w:rPr>
        <w:t xml:space="preserve"> 医师在执业活动中隐匿、伪造、篡改或者擅自销毁病历等医学文书及有关资</w:t>
      </w:r>
      <w:r>
        <w:rPr>
          <w:rFonts w:hint="eastAsia" w:ascii="Times New Roman" w:hAnsi="Times New Roman" w:cs="仿宋_GB2312"/>
          <w:b/>
          <w:bCs/>
          <w:color w:val="000000" w:themeColor="text1"/>
          <w:kern w:val="0"/>
          <w14:textFill>
            <w14:solidFill>
              <w14:schemeClr w14:val="tx1"/>
            </w14:solidFill>
          </w14:textFill>
        </w:rPr>
        <w:t>料</w:t>
      </w:r>
      <w:bookmarkEnd w:id="2394"/>
      <w:bookmarkEnd w:id="2395"/>
      <w:bookmarkEnd w:id="2396"/>
      <w:bookmarkEnd w:id="2397"/>
      <w:bookmarkEnd w:id="2398"/>
      <w:bookmarkEnd w:id="2399"/>
      <w:bookmarkEnd w:id="2400"/>
      <w:bookmarkEnd w:id="2401"/>
      <w:bookmarkEnd w:id="2402"/>
      <w:bookmarkEnd w:id="2403"/>
      <w:bookmarkEnd w:id="2404"/>
    </w:p>
    <w:p w14:paraId="7EAAE61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61D0A647">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《中华人民共和国医师法》第五十六条第（三）项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w:t>
      </w:r>
      <w:r>
        <w:rPr>
          <w:rFonts w:hint="eastAsia" w:ascii="Times New Roman" w:hAnsi="Times New Roman" w:eastAsia="仿宋_GB2312" w:cs="华文中宋"/>
          <w:color w:val="000000" w:themeColor="text1"/>
          <w:sz w:val="32"/>
          <w:szCs w:val="32"/>
          <w14:textFill>
            <w14:solidFill>
              <w14:schemeClr w14:val="tx1"/>
            </w14:solidFill>
          </w14:textFill>
        </w:rPr>
        <w:t>民政府卫生健康主管部门责令改正，给予警告，没收违法所得，并处一万元以上三万元以下的罚款；情节严重的，责令暂停六个月以上一年以下执业活动直至吊销医师执业证书：</w:t>
      </w:r>
    </w:p>
    <w:p w14:paraId="20B59581">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32"/>
          <w14:textFill>
            <w14:solidFill>
              <w14:schemeClr w14:val="tx1"/>
            </w14:solidFill>
          </w14:textFill>
        </w:rPr>
      </w:pPr>
      <w:r>
        <w:rPr>
          <w:rFonts w:hint="eastAsia" w:ascii="Times New Roman" w:hAnsi="Times New Roman" w:eastAsia="仿宋_GB2312" w:cs="华文中宋"/>
          <w:color w:val="000000" w:themeColor="text1"/>
          <w:sz w:val="32"/>
          <w:szCs w:val="32"/>
          <w14:textFill>
            <w14:solidFill>
              <w14:schemeClr w14:val="tx1"/>
            </w14:solidFill>
          </w14:textFill>
        </w:rPr>
        <w:t>（三）隐匿、伪造、篡改或者擅自销毁病历等医学文书及有关资料；</w:t>
      </w:r>
    </w:p>
    <w:p w14:paraId="2C41CC5C">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032"/>
        <w:gridCol w:w="5702"/>
      </w:tblGrid>
      <w:tr w14:paraId="7605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E2F139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032" w:type="dxa"/>
          </w:tcPr>
          <w:p w14:paraId="795F8DC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702" w:type="dxa"/>
          </w:tcPr>
          <w:p w14:paraId="434515E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FE8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0098B15">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032" w:type="dxa"/>
          </w:tcPr>
          <w:p w14:paraId="4086851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医师在执业活动中隐匿、伪造、篡改或者擅自销毁病历等医学文书及有关资料，首次发生且情节轻微的 。</w:t>
            </w:r>
          </w:p>
        </w:tc>
        <w:tc>
          <w:tcPr>
            <w:tcW w:w="5702" w:type="dxa"/>
          </w:tcPr>
          <w:p w14:paraId="075CF99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责令改正，给予警告，没收违法所得，并处一万元以上两万元以下的罚款 。</w:t>
            </w:r>
          </w:p>
        </w:tc>
      </w:tr>
      <w:tr w14:paraId="075A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30680B0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7032" w:type="dxa"/>
          </w:tcPr>
          <w:p w14:paraId="4FD7154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医师在执业活动中隐匿、伪造、篡改或者擅自销毁病历等医学文书及有关资料，首次发生且情节较重的 。</w:t>
            </w:r>
          </w:p>
        </w:tc>
        <w:tc>
          <w:tcPr>
            <w:tcW w:w="5702" w:type="dxa"/>
          </w:tcPr>
          <w:p w14:paraId="6D40584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责令改正，给予警告，没收违法所得，并处两万元以上三万元以下的罚款。</w:t>
            </w:r>
          </w:p>
        </w:tc>
      </w:tr>
      <w:tr w14:paraId="1A58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57ED840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032" w:type="dxa"/>
          </w:tcPr>
          <w:p w14:paraId="69A6B4A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医师在执业活动中隐匿、伪造、篡改或者擅自销毁病历等医学文书及有关资料，经处罚再次发现有该行为的。</w:t>
            </w:r>
          </w:p>
        </w:tc>
        <w:tc>
          <w:tcPr>
            <w:tcW w:w="5702" w:type="dxa"/>
          </w:tcPr>
          <w:p w14:paraId="6A34350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责令改正，给予警告，没收违法所得，并处三万元的罚款，责令暂停六个月以上一年以下执业活动。</w:t>
            </w:r>
          </w:p>
        </w:tc>
      </w:tr>
      <w:tr w14:paraId="526B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16927212">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7032" w:type="dxa"/>
          </w:tcPr>
          <w:p w14:paraId="13C866E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医师在执业活动中隐匿、伪造、篡改或者擅自销毁病历等医学文书及有关资料，造成特别严重后果或恶劣社会影响的。</w:t>
            </w:r>
          </w:p>
        </w:tc>
        <w:tc>
          <w:tcPr>
            <w:tcW w:w="5702" w:type="dxa"/>
          </w:tcPr>
          <w:p w14:paraId="2B18956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责令改正，给予警告，没收违法所得，并处三万元的罚款，吊销医师执业证书。</w:t>
            </w:r>
          </w:p>
        </w:tc>
      </w:tr>
    </w:tbl>
    <w:p w14:paraId="06B44D3F">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405" w:name="_Toc17926"/>
      <w:bookmarkStart w:id="2406" w:name="_Toc26521"/>
      <w:bookmarkStart w:id="2407" w:name="_Toc406"/>
      <w:bookmarkStart w:id="2408" w:name="_Toc12076"/>
      <w:bookmarkStart w:id="2409" w:name="_Toc3299"/>
      <w:bookmarkStart w:id="2410" w:name="_Toc8346"/>
      <w:bookmarkStart w:id="2411" w:name="_Toc17850"/>
      <w:bookmarkStart w:id="2412" w:name="_Toc30744"/>
      <w:bookmarkStart w:id="2413" w:name="_Toc28841"/>
      <w:bookmarkStart w:id="2414" w:name="_Toc29387"/>
      <w:bookmarkStart w:id="2415" w:name="_Toc8694"/>
      <w:r>
        <w:rPr>
          <w:rFonts w:hint="eastAsia" w:cs="仿宋_GB2312"/>
          <w:bCs/>
          <w:color w:val="000000" w:themeColor="text1"/>
          <w14:textFill>
            <w14:solidFill>
              <w14:schemeClr w14:val="tx1"/>
            </w14:solidFill>
          </w14:textFill>
        </w:rPr>
        <w:t>第一百九十九条</w:t>
      </w:r>
      <w:r>
        <w:rPr>
          <w:rFonts w:hint="eastAsia" w:ascii="Times New Roman" w:hAnsi="Times New Roman" w:cs="仿宋_GB2312"/>
          <w:bCs/>
          <w:color w:val="000000" w:themeColor="text1"/>
          <w:kern w:val="0"/>
          <w14:textFill>
            <w14:solidFill>
              <w14:schemeClr w14:val="tx1"/>
            </w14:solidFill>
          </w14:textFill>
        </w:rPr>
        <w:t xml:space="preserve"> 医师在执业活动中未按照规定使用麻醉药品、医疗用毒性药品、精神药品、放射性药品等</w:t>
      </w:r>
      <w:bookmarkEnd w:id="2405"/>
      <w:bookmarkEnd w:id="2406"/>
      <w:bookmarkEnd w:id="2407"/>
      <w:bookmarkEnd w:id="2408"/>
      <w:bookmarkEnd w:id="2409"/>
      <w:bookmarkEnd w:id="2410"/>
      <w:bookmarkEnd w:id="2411"/>
      <w:bookmarkEnd w:id="2412"/>
      <w:bookmarkEnd w:id="2413"/>
      <w:bookmarkEnd w:id="2414"/>
      <w:bookmarkEnd w:id="2415"/>
    </w:p>
    <w:p w14:paraId="1659DE1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4599C9A3">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《中华人民共和国医师法》第五十六条第（四）项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违反本法规定，医师在执业活动中有下列行为之一的，由县级以上人民政府卫生健康主管部门责令改正，给予警告，没收违法所得，并处一万元以上三万元以下的</w:t>
      </w:r>
      <w:r>
        <w:rPr>
          <w:rFonts w:hint="eastAsia" w:ascii="Times New Roman" w:hAnsi="Times New Roman" w:eastAsia="仿宋_GB2312" w:cs="华文中宋"/>
          <w:color w:val="000000" w:themeColor="text1"/>
          <w:sz w:val="32"/>
          <w:szCs w:val="28"/>
          <w14:textFill>
            <w14:solidFill>
              <w14:schemeClr w14:val="tx1"/>
            </w14:solidFill>
          </w14:textFill>
        </w:rPr>
        <w:t>罚款；情节严重的，责令暂停六个月以上一年以下执业活动直至吊销医师执业证书：</w:t>
      </w:r>
    </w:p>
    <w:p w14:paraId="34426930">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华文中宋"/>
          <w:color w:val="000000" w:themeColor="text1"/>
          <w:sz w:val="32"/>
          <w:szCs w:val="28"/>
          <w14:textFill>
            <w14:solidFill>
              <w14:schemeClr w14:val="tx1"/>
            </w14:solidFill>
          </w14:textFill>
        </w:rPr>
        <w:t>（四）未按照规定使用麻醉药品、医疗用毒性药品、精神药品、放射性药品等；</w:t>
      </w:r>
    </w:p>
    <w:p w14:paraId="640F862F">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485E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2BBEB5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6BF3F42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205336A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DF2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5218136B">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399C544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医师不按照规定使用麻醉药品、医疗用毒性药品、精神药品和放射性药品 2 人次以下。</w:t>
            </w:r>
          </w:p>
        </w:tc>
        <w:tc>
          <w:tcPr>
            <w:tcW w:w="7139" w:type="dxa"/>
            <w:vAlign w:val="center"/>
          </w:tcPr>
          <w:p w14:paraId="574C0D1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责令改正，给予警告，没收违法所得，并处一万元以上两万元以下的罚款 。</w:t>
            </w:r>
          </w:p>
        </w:tc>
      </w:tr>
      <w:tr w14:paraId="6237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3108AF6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3628DC5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医师不按照规定使用麻醉药品、医疗用毒性药品、精神药品和放射性药品 3 人次以上 。</w:t>
            </w:r>
          </w:p>
        </w:tc>
        <w:tc>
          <w:tcPr>
            <w:tcW w:w="7139" w:type="dxa"/>
            <w:vAlign w:val="center"/>
          </w:tcPr>
          <w:p w14:paraId="7D114FF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责令改正，给予警告，没收违法所得，并处两万元以上三万元以下的罚款。</w:t>
            </w:r>
          </w:p>
        </w:tc>
      </w:tr>
      <w:tr w14:paraId="55BF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86BC53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7095D42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医师不按照规定使用麻醉药品、医疗用毒性药品、精神药品和放射性药品 3 人次以上，且违法行为有连续或者继续状态 3 个月以上 。</w:t>
            </w:r>
          </w:p>
        </w:tc>
        <w:tc>
          <w:tcPr>
            <w:tcW w:w="7139" w:type="dxa"/>
            <w:vAlign w:val="center"/>
          </w:tcPr>
          <w:p w14:paraId="1162BE1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责令改正，给予警告，没收违法所得，并处三万元的罚款，责令暂停六个月以上一年以下执业活动。</w:t>
            </w:r>
          </w:p>
        </w:tc>
      </w:tr>
      <w:tr w14:paraId="2002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78950C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595" w:type="dxa"/>
            <w:vAlign w:val="center"/>
          </w:tcPr>
          <w:p w14:paraId="16A84C6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医师不按照规定使用麻醉药品、医疗用毒性药品、精神药品和放射性药品，给患者造成特别严重后果或恶劣社会影响的。</w:t>
            </w:r>
          </w:p>
        </w:tc>
        <w:tc>
          <w:tcPr>
            <w:tcW w:w="7139" w:type="dxa"/>
            <w:vAlign w:val="center"/>
          </w:tcPr>
          <w:p w14:paraId="220291C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责令改正，给予警告，没收违法所得，并处三万元的罚款，吊销医师执业证书。</w:t>
            </w:r>
          </w:p>
        </w:tc>
      </w:tr>
    </w:tbl>
    <w:p w14:paraId="33B14B66">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2416" w:name="_Toc18534"/>
      <w:bookmarkStart w:id="2417" w:name="_Toc13564"/>
      <w:bookmarkStart w:id="2418" w:name="_Toc1065"/>
      <w:bookmarkStart w:id="2419" w:name="_Toc29373"/>
      <w:bookmarkStart w:id="2420" w:name="_Toc16323"/>
      <w:bookmarkStart w:id="2421" w:name="_Toc3315"/>
      <w:bookmarkStart w:id="2422" w:name="_Toc2115"/>
      <w:bookmarkStart w:id="2423" w:name="_Toc23523"/>
      <w:bookmarkStart w:id="2424" w:name="_Toc28084"/>
      <w:bookmarkStart w:id="2425" w:name="_Toc1363"/>
      <w:bookmarkStart w:id="2426" w:name="_Toc24089"/>
      <w:r>
        <w:rPr>
          <w:rFonts w:hint="eastAsia" w:cs="仿宋_GB2312"/>
          <w:bCs/>
          <w:color w:val="000000" w:themeColor="text1"/>
          <w14:textFill>
            <w14:solidFill>
              <w14:schemeClr w14:val="tx1"/>
            </w14:solidFill>
          </w14:textFill>
        </w:rPr>
        <w:t>第二百条</w:t>
      </w:r>
      <w:r>
        <w:rPr>
          <w:rFonts w:hint="eastAsia" w:ascii="Times New Roman" w:hAnsi="Times New Roman" w:cs="仿宋_GB2312"/>
          <w:bCs/>
          <w:color w:val="000000" w:themeColor="text1"/>
          <w:kern w:val="0"/>
          <w14:textFill>
            <w14:solidFill>
              <w14:schemeClr w14:val="tx1"/>
            </w14:solidFill>
          </w14:textFill>
        </w:rPr>
        <w:t xml:space="preserve"> 医师在执业活动中利用职务之便，索要、非法收受财物或者牟取其他不正当利益，或者违反诊疗规范，对患者实施不必要的检查、治疗造成不良后果</w:t>
      </w:r>
      <w:bookmarkEnd w:id="2416"/>
      <w:bookmarkEnd w:id="2417"/>
      <w:bookmarkEnd w:id="2418"/>
      <w:bookmarkEnd w:id="2419"/>
      <w:bookmarkEnd w:id="2420"/>
      <w:bookmarkEnd w:id="2421"/>
      <w:bookmarkEnd w:id="2422"/>
      <w:bookmarkEnd w:id="2423"/>
      <w:bookmarkEnd w:id="2424"/>
      <w:bookmarkEnd w:id="2425"/>
      <w:bookmarkEnd w:id="2426"/>
    </w:p>
    <w:p w14:paraId="65E5AC4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2C6104CB">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《中华人民共和国医师法》第五十六条第（五）项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w:t>
      </w:r>
      <w:r>
        <w:rPr>
          <w:rFonts w:hint="eastAsia" w:ascii="Times New Roman" w:hAnsi="Times New Roman" w:eastAsia="仿宋_GB2312" w:cs="华文中宋"/>
          <w:color w:val="000000" w:themeColor="text1"/>
          <w:sz w:val="32"/>
          <w:szCs w:val="28"/>
          <w14:textFill>
            <w14:solidFill>
              <w14:schemeClr w14:val="tx1"/>
            </w14:solidFill>
          </w14:textFill>
        </w:rPr>
        <w:t>县级以上人民政府卫生健康主管部门责令改正，给予警告，没收违法所得，并处一万元以上三万元以下的罚款；情节严重的，责令暂停六个月以上一年以下执业活动直至吊销医师执业证书：</w:t>
      </w:r>
    </w:p>
    <w:p w14:paraId="4B96A8A0">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华文中宋"/>
          <w:color w:val="000000" w:themeColor="text1"/>
          <w:sz w:val="32"/>
          <w:szCs w:val="28"/>
          <w14:textFill>
            <w14:solidFill>
              <w14:schemeClr w14:val="tx1"/>
            </w14:solidFill>
          </w14:textFill>
        </w:rPr>
        <w:t>（五）利用职务之便，索要、非法收受财物或者牟取其他不正当利益，或者违反诊疗规范，对患者实施不必要的检查、治疗造成不良后果；</w:t>
      </w:r>
    </w:p>
    <w:p w14:paraId="1E8756BD">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3737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54FEE1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43D9932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58EA003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C0A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C711CB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21FD7CA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医师利用职务之便，索取、非法收受患者财物或者牟取其他不正当利益价值（货值）不足 2000 元的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;违反诊疗规范，对患者实施不必要的检查、治疗造成不良后果涉及患者1名。</w:t>
            </w:r>
          </w:p>
        </w:tc>
        <w:tc>
          <w:tcPr>
            <w:tcW w:w="7139" w:type="dxa"/>
            <w:vAlign w:val="center"/>
          </w:tcPr>
          <w:p w14:paraId="0146F7E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责令改正，给予警告，没收违法所得，并处一万元以上两万元以下的罚款 。</w:t>
            </w:r>
          </w:p>
        </w:tc>
      </w:tr>
      <w:tr w14:paraId="1CC8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443E77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4CC050A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医师利用职务之便，索取、非法收受患者财物或者牟取其他不正当利益价值（货值）2000 元以上 5000 元以下的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;违反诊疗规范，对患者实施不必要的检查、治疗造成不良后果涉及患者2-5名。</w:t>
            </w:r>
          </w:p>
        </w:tc>
        <w:tc>
          <w:tcPr>
            <w:tcW w:w="7139" w:type="dxa"/>
            <w:vAlign w:val="center"/>
          </w:tcPr>
          <w:p w14:paraId="64F427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责令改正，给予警告，没收违法所得，并处两万元以上三万元以下的罚款。</w:t>
            </w:r>
          </w:p>
        </w:tc>
      </w:tr>
      <w:tr w14:paraId="47F7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3E8638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03E5FAB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医师利用职务之便，索取、非法收受患者财物或者牟取其他不正当利益价值（货值）5000元以上10000元以下的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;违反诊疗规范，对患者实施不必要的检查、治疗造成不良后果涉及患者6-10名。</w:t>
            </w:r>
          </w:p>
        </w:tc>
        <w:tc>
          <w:tcPr>
            <w:tcW w:w="7139" w:type="dxa"/>
            <w:vAlign w:val="center"/>
          </w:tcPr>
          <w:p w14:paraId="24A7401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责令改正，给予警告，没收违法所得，并处三万元的罚款，责令暂停六个月以上一年以下执业活动。</w:t>
            </w:r>
          </w:p>
        </w:tc>
      </w:tr>
      <w:tr w14:paraId="2E19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440" w:type="dxa"/>
            <w:vAlign w:val="center"/>
          </w:tcPr>
          <w:p w14:paraId="7FF228C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595" w:type="dxa"/>
            <w:vAlign w:val="center"/>
          </w:tcPr>
          <w:p w14:paraId="396229A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利用职务之便，索取、非法收受患者财物或者牟取其他不正当利益价值（货值）10000 元以上的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 违反诊疗规范，对患者实施不必要的检查、治疗造成不良后果涉及患者11名以上。</w:t>
            </w:r>
          </w:p>
        </w:tc>
        <w:tc>
          <w:tcPr>
            <w:tcW w:w="7139" w:type="dxa"/>
            <w:vAlign w:val="center"/>
          </w:tcPr>
          <w:p w14:paraId="536CF15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责令改正，给予警告，没收违法所得，并处三万元的罚款，吊销医师执业证书。</w:t>
            </w:r>
          </w:p>
        </w:tc>
      </w:tr>
    </w:tbl>
    <w:p w14:paraId="7DD2D9E0">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427" w:name="_Toc3720"/>
      <w:bookmarkStart w:id="2428" w:name="_Toc24345"/>
      <w:bookmarkStart w:id="2429" w:name="_Toc26046"/>
      <w:bookmarkStart w:id="2430" w:name="_Toc31243"/>
      <w:bookmarkStart w:id="2431" w:name="_Toc22510"/>
      <w:bookmarkStart w:id="2432" w:name="_Toc32348"/>
      <w:bookmarkStart w:id="2433" w:name="_Toc8467"/>
      <w:bookmarkStart w:id="2434" w:name="_Toc13882"/>
      <w:bookmarkStart w:id="2435" w:name="_Toc28145"/>
      <w:bookmarkStart w:id="2436" w:name="_Toc30850"/>
      <w:bookmarkStart w:id="2437" w:name="_Toc24488"/>
      <w:r>
        <w:rPr>
          <w:rFonts w:hint="eastAsia" w:cs="仿宋_GB2312"/>
          <w:bCs/>
          <w:color w:val="000000" w:themeColor="text1"/>
          <w14:textFill>
            <w14:solidFill>
              <w14:schemeClr w14:val="tx1"/>
            </w14:solidFill>
          </w14:textFill>
        </w:rPr>
        <w:t>第二百零一条</w:t>
      </w:r>
      <w:r>
        <w:rPr>
          <w:rFonts w:hint="eastAsia" w:ascii="Times New Roman" w:hAnsi="Times New Roman" w:cs="仿宋_GB2312"/>
          <w:bCs/>
          <w:color w:val="000000" w:themeColor="text1"/>
          <w:kern w:val="0"/>
          <w14:textFill>
            <w14:solidFill>
              <w14:schemeClr w14:val="tx1"/>
            </w14:solidFill>
          </w14:textFill>
        </w:rPr>
        <w:t xml:space="preserve"> 医师在执业活动中开展禁止类医疗技术临床应用</w:t>
      </w:r>
      <w:bookmarkEnd w:id="2427"/>
      <w:bookmarkEnd w:id="2428"/>
      <w:bookmarkEnd w:id="2429"/>
      <w:bookmarkEnd w:id="2430"/>
      <w:bookmarkEnd w:id="2431"/>
      <w:bookmarkEnd w:id="2432"/>
      <w:bookmarkEnd w:id="2433"/>
      <w:bookmarkEnd w:id="2434"/>
      <w:bookmarkEnd w:id="2435"/>
      <w:bookmarkEnd w:id="2436"/>
      <w:bookmarkEnd w:id="2437"/>
    </w:p>
    <w:p w14:paraId="5F0AF71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3E964AC2">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《中华人民共和国医师法》第五十六条第（六）项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w:t>
      </w:r>
      <w:r>
        <w:rPr>
          <w:rFonts w:hint="eastAsia" w:ascii="Times New Roman" w:hAnsi="Times New Roman" w:eastAsia="仿宋_GB2312" w:cs="华文中宋"/>
          <w:color w:val="000000" w:themeColor="text1"/>
          <w:sz w:val="32"/>
          <w:szCs w:val="28"/>
          <w14:textFill>
            <w14:solidFill>
              <w14:schemeClr w14:val="tx1"/>
            </w14:solidFill>
          </w14:textFill>
        </w:rPr>
        <w:t>人民政府卫生健康主管部门责令改正，给予警告，没收违法所得，并处一万元以上三万元以下的罚款；情节严重的，责令暂停六个月以上一年以下执业活动直至吊销医师执业证书：</w:t>
      </w:r>
    </w:p>
    <w:p w14:paraId="48990814">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华文中宋"/>
          <w:color w:val="000000" w:themeColor="text1"/>
          <w:sz w:val="32"/>
          <w:szCs w:val="28"/>
          <w14:textFill>
            <w14:solidFill>
              <w14:schemeClr w14:val="tx1"/>
            </w14:solidFill>
          </w14:textFill>
        </w:rPr>
        <w:t>（六）开展禁止类医疗技术临床应用。</w:t>
      </w:r>
    </w:p>
    <w:p w14:paraId="1071BCB2">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748"/>
        <w:gridCol w:w="5986"/>
      </w:tblGrid>
      <w:tr w14:paraId="6258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39D0C4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748" w:type="dxa"/>
          </w:tcPr>
          <w:p w14:paraId="40FE084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986" w:type="dxa"/>
          </w:tcPr>
          <w:p w14:paraId="3F0C98A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D3C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450B4E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748" w:type="dxa"/>
            <w:vAlign w:val="center"/>
          </w:tcPr>
          <w:p w14:paraId="14ADCB5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医师在执业活动中开展禁止类医疗技术临床应用，违法所得在一万元以下的。</w:t>
            </w:r>
          </w:p>
        </w:tc>
        <w:tc>
          <w:tcPr>
            <w:tcW w:w="5986" w:type="dxa"/>
            <w:vAlign w:val="center"/>
          </w:tcPr>
          <w:p w14:paraId="49018C3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责令改正，给予警告，没收违法所得，并处一万元以上两万元以下的罚款 。</w:t>
            </w:r>
          </w:p>
        </w:tc>
      </w:tr>
      <w:tr w14:paraId="46C9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624A3C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6748" w:type="dxa"/>
            <w:vAlign w:val="center"/>
          </w:tcPr>
          <w:p w14:paraId="666647B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医师在执业活动中开展禁止类医疗技术临床应用，违法所得在一万元以上的。</w:t>
            </w:r>
          </w:p>
        </w:tc>
        <w:tc>
          <w:tcPr>
            <w:tcW w:w="5986" w:type="dxa"/>
            <w:vAlign w:val="center"/>
          </w:tcPr>
          <w:p w14:paraId="15714A4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责令改正，给予警告，没收违法所得，并处两万元以上三万元以下的罚款。</w:t>
            </w:r>
          </w:p>
        </w:tc>
      </w:tr>
      <w:tr w14:paraId="3640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1F74DA1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748" w:type="dxa"/>
            <w:vAlign w:val="center"/>
          </w:tcPr>
          <w:p w14:paraId="3F861CB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医师在执业活动中开展禁止类医疗技术临床应用，给患者造成严重伤害的。</w:t>
            </w:r>
          </w:p>
        </w:tc>
        <w:tc>
          <w:tcPr>
            <w:tcW w:w="5986" w:type="dxa"/>
            <w:vAlign w:val="center"/>
          </w:tcPr>
          <w:p w14:paraId="6CEF7D3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责令改正，给予警告，没收违法所得，并处三万元的罚款，责令暂停六个月以上一年以下执业活动。</w:t>
            </w:r>
          </w:p>
        </w:tc>
      </w:tr>
      <w:tr w14:paraId="3A51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A16EA6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6748" w:type="dxa"/>
            <w:vAlign w:val="center"/>
          </w:tcPr>
          <w:p w14:paraId="374AA37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医师在执业活动中开展禁止类医疗技术临床应用，造成患者死亡的。</w:t>
            </w:r>
          </w:p>
        </w:tc>
        <w:tc>
          <w:tcPr>
            <w:tcW w:w="5986" w:type="dxa"/>
            <w:vAlign w:val="center"/>
          </w:tcPr>
          <w:p w14:paraId="25C6512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责令改正，给予警告，没收违法所得，并处三万元的罚款，吊销医师执业证书。</w:t>
            </w:r>
          </w:p>
        </w:tc>
      </w:tr>
    </w:tbl>
    <w:p w14:paraId="46AA8549">
      <w:pPr>
        <w:widowControl w:val="0"/>
        <w:rPr>
          <w:rFonts w:ascii="Times New Roman" w:hAnsi="Times New Roman"/>
          <w:color w:val="000000" w:themeColor="text1"/>
          <w14:textFill>
            <w14:solidFill>
              <w14:schemeClr w14:val="tx1"/>
            </w14:solidFill>
          </w14:textFill>
        </w:rPr>
      </w:pPr>
    </w:p>
    <w:p w14:paraId="09D4C079">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438" w:name="_Toc12491"/>
      <w:bookmarkStart w:id="2439" w:name="_Toc9717"/>
      <w:bookmarkStart w:id="2440" w:name="_Toc24267"/>
      <w:bookmarkStart w:id="2441" w:name="_Toc29999"/>
      <w:bookmarkStart w:id="2442" w:name="_Toc24901"/>
      <w:bookmarkStart w:id="2443" w:name="_Toc5551"/>
      <w:bookmarkStart w:id="2444" w:name="_Toc27631"/>
      <w:bookmarkStart w:id="2445" w:name="_Toc28852"/>
      <w:bookmarkStart w:id="2446" w:name="_Toc16303"/>
      <w:bookmarkStart w:id="2447" w:name="_Toc17243"/>
      <w:bookmarkStart w:id="2448" w:name="_Toc19414"/>
      <w:r>
        <w:rPr>
          <w:rFonts w:hint="eastAsia" w:cs="仿宋_GB2312"/>
          <w:bCs/>
          <w:color w:val="000000" w:themeColor="text1"/>
          <w14:textFill>
            <w14:solidFill>
              <w14:schemeClr w14:val="tx1"/>
            </w14:solidFill>
          </w14:textFill>
        </w:rPr>
        <w:t>第二百零二条</w:t>
      </w:r>
      <w:r>
        <w:rPr>
          <w:rFonts w:hint="eastAsia" w:ascii="Times New Roman" w:hAnsi="Times New Roman" w:cs="仿宋_GB2312"/>
          <w:bCs/>
          <w:color w:val="000000" w:themeColor="text1"/>
          <w:kern w:val="0"/>
          <w14:textFill>
            <w14:solidFill>
              <w14:schemeClr w14:val="tx1"/>
            </w14:solidFill>
          </w14:textFill>
        </w:rPr>
        <w:t xml:space="preserve"> 医师未按照注册的执业地点、执业类别、执业范围执业的</w:t>
      </w:r>
      <w:bookmarkEnd w:id="2438"/>
      <w:bookmarkEnd w:id="2439"/>
      <w:bookmarkEnd w:id="2440"/>
      <w:bookmarkEnd w:id="2441"/>
      <w:bookmarkEnd w:id="2442"/>
      <w:bookmarkEnd w:id="2443"/>
      <w:bookmarkEnd w:id="2444"/>
      <w:bookmarkEnd w:id="2445"/>
      <w:bookmarkEnd w:id="2446"/>
      <w:bookmarkEnd w:id="2447"/>
      <w:bookmarkEnd w:id="2448"/>
    </w:p>
    <w:p w14:paraId="38998BA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362BC700">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违反本法规定，医师未按照注册的执业地点、执业类别、执业范围执业的，由县级以上人民政府卫生健康主管部门或者中医药主管部门责令改正，给予警告，没收违法所得，并</w:t>
      </w:r>
      <w:r>
        <w:rPr>
          <w:rFonts w:hint="eastAsia" w:ascii="Times New Roman" w:hAnsi="Times New Roman" w:eastAsia="仿宋_GB2312" w:cs="华文中宋"/>
          <w:color w:val="000000" w:themeColor="text1"/>
          <w:sz w:val="32"/>
          <w:szCs w:val="28"/>
          <w14:textFill>
            <w14:solidFill>
              <w14:schemeClr w14:val="tx1"/>
            </w14:solidFill>
          </w14:textFill>
        </w:rPr>
        <w:t>处一万元以上三万元以下的罚款；情节严重的，责令暂停六个月以上一年以下执业活动直至吊销医师执业证书。</w:t>
      </w:r>
    </w:p>
    <w:p w14:paraId="5564967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770A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F767A6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4CFA451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57957A3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5BB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D827F9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tcPr>
          <w:p w14:paraId="0DEFBC1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医师未按照注册的执业地点、执业类别、执业范围执业，无违法所得或违法所得在一万元以下的。</w:t>
            </w:r>
          </w:p>
        </w:tc>
        <w:tc>
          <w:tcPr>
            <w:tcW w:w="7139" w:type="dxa"/>
          </w:tcPr>
          <w:p w14:paraId="7699D28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责令改正，给予警告，没收违法所得，并处一万元以上两万元以下的罚款 。</w:t>
            </w:r>
          </w:p>
        </w:tc>
      </w:tr>
      <w:tr w14:paraId="3A29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F68A2C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tcPr>
          <w:p w14:paraId="7ACEB49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医师未按照注册的执业地点、执业类别、执业范围执业，违法所得在一万元以上的。</w:t>
            </w:r>
          </w:p>
        </w:tc>
        <w:tc>
          <w:tcPr>
            <w:tcW w:w="7139" w:type="dxa"/>
          </w:tcPr>
          <w:p w14:paraId="4464E0C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责令改正，给予警告，没收违法所得，并处两万元以上三万元以下的罚款。</w:t>
            </w:r>
          </w:p>
        </w:tc>
      </w:tr>
      <w:tr w14:paraId="3221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1773F11B">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30B40FC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医师未按照注册的执业地点、执业类别、执业范围执业，给患者造成严重伤害的。</w:t>
            </w:r>
          </w:p>
        </w:tc>
        <w:tc>
          <w:tcPr>
            <w:tcW w:w="7139" w:type="dxa"/>
            <w:vAlign w:val="center"/>
          </w:tcPr>
          <w:p w14:paraId="3C11E99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责令改正，给予警告，没收违法所得，并处三万元的罚款，责令暂停六个月以上一年以下执业活动。</w:t>
            </w:r>
          </w:p>
        </w:tc>
      </w:tr>
      <w:tr w14:paraId="6597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2CD4C6C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595" w:type="dxa"/>
          </w:tcPr>
          <w:p w14:paraId="5138C95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医师未按照注册的执业地点、执业类别、执业范围执业，造成患者死亡的。</w:t>
            </w:r>
          </w:p>
        </w:tc>
        <w:tc>
          <w:tcPr>
            <w:tcW w:w="7139" w:type="dxa"/>
          </w:tcPr>
          <w:p w14:paraId="1B5B7C9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责令改正，给予警告，没收违法所得，并处三万元的罚款，吊销医师执业证书。</w:t>
            </w:r>
          </w:p>
        </w:tc>
      </w:tr>
    </w:tbl>
    <w:p w14:paraId="3994B9C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449" w:name="_Toc14183"/>
      <w:bookmarkStart w:id="2450" w:name="_Toc28951"/>
      <w:bookmarkStart w:id="2451" w:name="_Toc15287"/>
      <w:bookmarkStart w:id="2452" w:name="_Toc28171"/>
      <w:bookmarkStart w:id="2453" w:name="_Toc21539"/>
      <w:bookmarkStart w:id="2454" w:name="_Toc27952"/>
      <w:bookmarkStart w:id="2455" w:name="_Toc19427"/>
      <w:bookmarkStart w:id="2456" w:name="_Toc22074"/>
      <w:bookmarkStart w:id="2457" w:name="_Toc23728"/>
      <w:bookmarkStart w:id="2458" w:name="_Toc2137"/>
      <w:bookmarkStart w:id="2459" w:name="_Toc30302"/>
      <w:r>
        <w:rPr>
          <w:rFonts w:hint="eastAsia" w:cs="仿宋_GB2312"/>
          <w:bCs/>
          <w:color w:val="000000" w:themeColor="text1"/>
          <w14:textFill>
            <w14:solidFill>
              <w14:schemeClr w14:val="tx1"/>
            </w14:solidFill>
          </w14:textFill>
        </w:rPr>
        <w:t>第二百零三条</w:t>
      </w:r>
      <w:r>
        <w:rPr>
          <w:rFonts w:hint="eastAsia" w:ascii="Times New Roman" w:hAnsi="Times New Roman" w:cs="仿宋_GB2312"/>
          <w:bCs/>
          <w:color w:val="000000" w:themeColor="text1"/>
          <w:kern w:val="0"/>
          <w14:textFill>
            <w14:solidFill>
              <w14:schemeClr w14:val="tx1"/>
            </w14:solidFill>
          </w14:textFill>
        </w:rPr>
        <w:t xml:space="preserve"> 医师在执业活动中严重违反医师职业道德、医学伦理规范，造成恶劣社会影响的</w:t>
      </w:r>
      <w:bookmarkEnd w:id="2449"/>
      <w:bookmarkEnd w:id="2450"/>
      <w:bookmarkEnd w:id="2451"/>
      <w:bookmarkEnd w:id="2452"/>
      <w:bookmarkEnd w:id="2453"/>
      <w:bookmarkEnd w:id="2454"/>
      <w:bookmarkEnd w:id="2455"/>
      <w:bookmarkEnd w:id="2456"/>
      <w:bookmarkEnd w:id="2457"/>
      <w:bookmarkEnd w:id="2458"/>
      <w:bookmarkEnd w:id="2459"/>
    </w:p>
    <w:p w14:paraId="1D2FC5E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1A2B21B7">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《中华人民共和国医师法》第五十八条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严重违反医师职业道德、医学伦理规范，造成恶劣社会影响的，由省级以上</w:t>
      </w:r>
      <w:r>
        <w:rPr>
          <w:rFonts w:hint="eastAsia" w:ascii="Times New Roman" w:hAnsi="Times New Roman" w:eastAsia="仿宋_GB2312" w:cs="华文中宋"/>
          <w:color w:val="000000" w:themeColor="text1"/>
          <w:kern w:val="2"/>
          <w:sz w:val="32"/>
          <w:szCs w:val="28"/>
          <w14:textFill>
            <w14:solidFill>
              <w14:schemeClr w14:val="tx1"/>
            </w14:solidFill>
          </w14:textFill>
        </w:rPr>
        <w:t>人民政府卫生健康主管部门吊销医师执业证书或者责令停止非法执业活动，五年直至终身禁止从事医疗卫生服务或者医学临床研究。</w:t>
      </w:r>
    </w:p>
    <w:p w14:paraId="1A4B7BBD">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591"/>
        <w:gridCol w:w="4143"/>
      </w:tblGrid>
      <w:tr w14:paraId="46E7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440" w:type="dxa"/>
            <w:vAlign w:val="center"/>
          </w:tcPr>
          <w:p w14:paraId="66B1743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591" w:type="dxa"/>
            <w:vAlign w:val="center"/>
          </w:tcPr>
          <w:p w14:paraId="1CF957D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143" w:type="dxa"/>
            <w:vAlign w:val="center"/>
          </w:tcPr>
          <w:p w14:paraId="62858BC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D48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24BAD5E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8591" w:type="dxa"/>
            <w:vAlign w:val="center"/>
          </w:tcPr>
          <w:p w14:paraId="19FFC15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医师在执业活动中严重违反医师职业道德、医学伦理规范，造成恶劣社会影响的。</w:t>
            </w:r>
          </w:p>
        </w:tc>
        <w:tc>
          <w:tcPr>
            <w:tcW w:w="4143" w:type="dxa"/>
            <w:vAlign w:val="center"/>
          </w:tcPr>
          <w:p w14:paraId="1221D16E">
            <w:pPr>
              <w:widowControl w:val="0"/>
              <w:adjustRightInd/>
              <w:snapToGrid/>
              <w:spacing w:after="0" w:line="320" w:lineRule="exact"/>
              <w:jc w:val="left"/>
              <w:rPr>
                <w:rFonts w:hint="eastAsia" w:ascii="Times New Roman" w:hAnsi="Times New Roman" w:eastAsia="仿宋_GB2312" w:cs="Times New Roman"/>
                <w:color w:val="000000" w:themeColor="text1"/>
                <w:spacing w:val="-1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11"/>
                <w:kern w:val="0"/>
                <w:sz w:val="24"/>
                <w:szCs w:val="22"/>
                <w:lang w:bidi="ar"/>
                <w14:textFill>
                  <w14:solidFill>
                    <w14:schemeClr w14:val="tx1"/>
                  </w14:solidFill>
                </w14:textFill>
              </w:rPr>
              <w:t>责令停止非法执业活动，五年至十年禁止从事医疗卫生服务或者医学临床研究。</w:t>
            </w:r>
          </w:p>
        </w:tc>
      </w:tr>
      <w:tr w14:paraId="39DA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05DFFB4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8591" w:type="dxa"/>
            <w:vAlign w:val="center"/>
          </w:tcPr>
          <w:p w14:paraId="22BF276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医师在执业活动中严重违反医师职业道德、医学伦理规范，造成患者伤残或死亡及恶劣社会影响的。</w:t>
            </w:r>
          </w:p>
        </w:tc>
        <w:tc>
          <w:tcPr>
            <w:tcW w:w="4143" w:type="dxa"/>
            <w:vAlign w:val="center"/>
          </w:tcPr>
          <w:p w14:paraId="689308E8">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吊销医师执业证书，十年直至终身禁止从事医疗卫生服务或者医学临床研究。</w:t>
            </w:r>
          </w:p>
        </w:tc>
      </w:tr>
    </w:tbl>
    <w:p w14:paraId="04A3591A">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460" w:name="_Toc13142"/>
      <w:bookmarkStart w:id="2461" w:name="_Toc32620"/>
      <w:bookmarkStart w:id="2462" w:name="_Toc29269"/>
      <w:bookmarkStart w:id="2463" w:name="_Toc261"/>
      <w:bookmarkStart w:id="2464" w:name="_Toc6149"/>
      <w:bookmarkStart w:id="2465" w:name="_Toc966"/>
      <w:bookmarkStart w:id="2466" w:name="_Toc19320"/>
      <w:bookmarkStart w:id="2467" w:name="_Toc6613"/>
      <w:bookmarkStart w:id="2468" w:name="_Toc10907"/>
      <w:bookmarkStart w:id="2469" w:name="_Toc17232"/>
      <w:bookmarkStart w:id="2470" w:name="_Toc13411"/>
      <w:r>
        <w:rPr>
          <w:rFonts w:hint="eastAsia" w:cs="仿宋_GB2312"/>
          <w:bCs/>
          <w:color w:val="000000" w:themeColor="text1"/>
          <w14:textFill>
            <w14:solidFill>
              <w14:schemeClr w14:val="tx1"/>
            </w14:solidFill>
          </w14:textFill>
        </w:rPr>
        <w:t>第二百零四条</w:t>
      </w:r>
      <w:r>
        <w:rPr>
          <w:rFonts w:hint="eastAsia" w:ascii="Times New Roman" w:hAnsi="Times New Roman" w:cs="仿宋_GB2312"/>
          <w:bCs/>
          <w:color w:val="000000" w:themeColor="text1"/>
          <w:kern w:val="0"/>
          <w14:textFill>
            <w14:solidFill>
              <w14:schemeClr w14:val="tx1"/>
            </w14:solidFill>
          </w14:textFill>
        </w:rPr>
        <w:t xml:space="preserve"> 非医师行医</w:t>
      </w:r>
      <w:bookmarkEnd w:id="2460"/>
      <w:bookmarkEnd w:id="2461"/>
      <w:bookmarkEnd w:id="2462"/>
      <w:bookmarkEnd w:id="2463"/>
      <w:bookmarkEnd w:id="2464"/>
      <w:bookmarkEnd w:id="2465"/>
      <w:bookmarkEnd w:id="2466"/>
      <w:bookmarkEnd w:id="2467"/>
      <w:bookmarkEnd w:id="2468"/>
      <w:bookmarkEnd w:id="2469"/>
      <w:bookmarkEnd w:id="2470"/>
    </w:p>
    <w:p w14:paraId="7C36115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257252E1">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《中华人民共和国医师法》第五十九条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违反本法规定，非医师行医的，由县级以上人民政府卫生健康主管部门责令停</w:t>
      </w:r>
      <w:r>
        <w:rPr>
          <w:rFonts w:hint="eastAsia" w:ascii="Times New Roman" w:hAnsi="Times New Roman" w:eastAsia="仿宋_GB2312" w:cs="华文中宋"/>
          <w:color w:val="000000" w:themeColor="text1"/>
          <w:sz w:val="32"/>
          <w:szCs w:val="28"/>
          <w14:textFill>
            <w14:solidFill>
              <w14:schemeClr w14:val="tx1"/>
            </w14:solidFill>
          </w14:textFill>
        </w:rPr>
        <w:t>止非法执业活动，没收违法所得和药品、医疗器械，并处违法所得二倍以上十倍以下的罚款，违法所得不足一万元的，按一万元计算。</w:t>
      </w:r>
    </w:p>
    <w:p w14:paraId="517F6A33">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2202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CEC2A2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6B55B0B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1B09809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60E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40" w:type="dxa"/>
            <w:vAlign w:val="center"/>
          </w:tcPr>
          <w:p w14:paraId="1F5207B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109AF0A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非医师行医，执业三个月以下的且违法所得不足 1 万元的。</w:t>
            </w:r>
          </w:p>
        </w:tc>
        <w:tc>
          <w:tcPr>
            <w:tcW w:w="7139" w:type="dxa"/>
            <w:vAlign w:val="center"/>
          </w:tcPr>
          <w:p w14:paraId="0FC2B0C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由县级以上人民政府卫生健康主管部门责令停止非法执业活动，没收违法所得和药品、医疗器械，并处违法所得二倍的罚款，违法所得不足一万元的，按一万元计算。</w:t>
            </w:r>
          </w:p>
        </w:tc>
      </w:tr>
      <w:tr w14:paraId="27E6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10D55AE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4BC3737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非医师行医，执业三个月以上或者违法所得 1 万元以上的。</w:t>
            </w:r>
          </w:p>
        </w:tc>
        <w:tc>
          <w:tcPr>
            <w:tcW w:w="7139" w:type="dxa"/>
            <w:vAlign w:val="center"/>
          </w:tcPr>
          <w:p w14:paraId="0DB9FCF2">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由县级以上人民政府卫生健康主管部门责令停止非法执业活动，没收违法所得和药品、医疗器械，并处违法所得二倍以上七倍以下的罚款 。</w:t>
            </w:r>
          </w:p>
        </w:tc>
      </w:tr>
      <w:tr w14:paraId="432D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4C5EE86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14011A5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因非医师行医曾受过卫生行政处罚的，仍不改正的。</w:t>
            </w:r>
          </w:p>
        </w:tc>
        <w:tc>
          <w:tcPr>
            <w:tcW w:w="7139" w:type="dxa"/>
            <w:vAlign w:val="center"/>
          </w:tcPr>
          <w:p w14:paraId="38BD290D">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由县级以上人民政府卫生健康主管部门责令停止非法执业活动，没收违法所得和药品、医疗器械，并处违法所得七倍以上十倍以下的罚款。</w:t>
            </w:r>
          </w:p>
        </w:tc>
      </w:tr>
    </w:tbl>
    <w:p w14:paraId="2F57DDC5">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471" w:name="_Toc5531"/>
      <w:bookmarkStart w:id="2472" w:name="_Toc31371"/>
      <w:bookmarkStart w:id="2473" w:name="_Toc14363"/>
      <w:bookmarkStart w:id="2474" w:name="_Toc2696"/>
      <w:bookmarkStart w:id="2475" w:name="_Toc10166"/>
      <w:bookmarkStart w:id="2476" w:name="_Toc1377"/>
      <w:bookmarkStart w:id="2477" w:name="_Toc26956"/>
      <w:bookmarkStart w:id="2478" w:name="_Toc5245"/>
      <w:bookmarkStart w:id="2479" w:name="_Toc11158"/>
      <w:bookmarkStart w:id="2480" w:name="_Toc32173"/>
      <w:bookmarkStart w:id="2481" w:name="_Toc17073"/>
      <w:r>
        <w:rPr>
          <w:rFonts w:hint="eastAsia" w:cs="仿宋_GB2312"/>
          <w:bCs/>
          <w:color w:val="000000" w:themeColor="text1"/>
          <w14:textFill>
            <w14:solidFill>
              <w14:schemeClr w14:val="tx1"/>
            </w14:solidFill>
          </w14:textFill>
        </w:rPr>
        <w:t>第二百零五条</w:t>
      </w:r>
      <w:r>
        <w:rPr>
          <w:rFonts w:hint="eastAsia" w:ascii="Times New Roman" w:hAnsi="Times New Roman" w:cs="仿宋_GB2312"/>
          <w:bCs/>
          <w:color w:val="000000" w:themeColor="text1"/>
          <w:kern w:val="0"/>
          <w14:textFill>
            <w14:solidFill>
              <w14:schemeClr w14:val="tx1"/>
            </w14:solidFill>
          </w14:textFill>
        </w:rPr>
        <w:t xml:space="preserve"> 医疗卫生机构未履行报告职责，造成严重后果的</w:t>
      </w:r>
      <w:bookmarkEnd w:id="2471"/>
      <w:bookmarkEnd w:id="2472"/>
      <w:bookmarkEnd w:id="2473"/>
      <w:bookmarkEnd w:id="2474"/>
      <w:bookmarkEnd w:id="2475"/>
      <w:bookmarkEnd w:id="2476"/>
      <w:bookmarkEnd w:id="2477"/>
      <w:bookmarkEnd w:id="2478"/>
      <w:bookmarkEnd w:id="2479"/>
      <w:bookmarkEnd w:id="2480"/>
      <w:bookmarkEnd w:id="2481"/>
    </w:p>
    <w:p w14:paraId="6561BD7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71422E6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《中华人民共和国医师法》第六十一条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违反本法规定，医疗卫生机构未履行报告职责，造成严重后果的，由县级以上人民政府卫生健康主管部门给予警告，对直接负责的主管人员和其他直接责任人员依法给予处分。</w:t>
      </w:r>
    </w:p>
    <w:p w14:paraId="75E86616">
      <w:pPr>
        <w:widowControl w:val="0"/>
        <w:adjustRightInd/>
        <w:snapToGrid/>
        <w:spacing w:after="0" w:line="440" w:lineRule="exact"/>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07"/>
        <w:gridCol w:w="4427"/>
      </w:tblGrid>
      <w:tr w14:paraId="4883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28A86DC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07" w:type="dxa"/>
          </w:tcPr>
          <w:p w14:paraId="349BF0F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427" w:type="dxa"/>
          </w:tcPr>
          <w:p w14:paraId="4D79911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DF7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3270F74">
            <w:pPr>
              <w:widowControl w:val="0"/>
              <w:adjustRightInd/>
              <w:snapToGrid/>
              <w:spacing w:after="0" w:line="280" w:lineRule="exact"/>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8307" w:type="dxa"/>
            <w:vAlign w:val="center"/>
          </w:tcPr>
          <w:p w14:paraId="23DD909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医疗卫生机构未履行报告职责，未及时注销注册，废止医师执业证书造成严重后果的。</w:t>
            </w:r>
          </w:p>
        </w:tc>
        <w:tc>
          <w:tcPr>
            <w:tcW w:w="4427" w:type="dxa"/>
            <w:vAlign w:val="center"/>
          </w:tcPr>
          <w:p w14:paraId="65C9ECE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bl>
    <w:p w14:paraId="47D9CACD">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2482" w:name="_Toc3798"/>
      <w:bookmarkStart w:id="2483" w:name="_Toc22811"/>
      <w:bookmarkStart w:id="2484" w:name="_Toc17935"/>
      <w:bookmarkStart w:id="2485" w:name="_Toc16195"/>
      <w:bookmarkStart w:id="2486" w:name="_Toc29670"/>
      <w:bookmarkStart w:id="2487" w:name="_Toc16628"/>
      <w:bookmarkStart w:id="2488" w:name="_Toc23799"/>
      <w:bookmarkStart w:id="2489" w:name="_Toc10159"/>
      <w:bookmarkStart w:id="2490" w:name="_Toc15077"/>
      <w:bookmarkStart w:id="2491" w:name="_Toc7770"/>
      <w:bookmarkStart w:id="2492" w:name="_Toc20317"/>
      <w:bookmarkStart w:id="2493" w:name="_Toc7483"/>
      <w:bookmarkStart w:id="2494" w:name="_Toc5093"/>
      <w:r>
        <w:rPr>
          <w:rFonts w:hint="eastAsia" w:ascii="Times New Roman" w:hAnsi="Times New Roman" w:eastAsia="楷体_GB2312" w:cs="楷体_GB2312"/>
          <w:bCs w:val="0"/>
          <w:color w:val="000000" w:themeColor="text1"/>
          <w:kern w:val="2"/>
          <w14:textFill>
            <w14:solidFill>
              <w14:schemeClr w14:val="tx1"/>
            </w14:solidFill>
          </w14:textFill>
        </w:rPr>
        <w:t>（四）《护士条例》</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14:paraId="6889B6E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495" w:name="_Toc22093"/>
      <w:bookmarkStart w:id="2496" w:name="_Toc15226"/>
      <w:bookmarkStart w:id="2497" w:name="_Toc9745"/>
      <w:bookmarkStart w:id="2498" w:name="_Toc27747"/>
      <w:bookmarkStart w:id="2499" w:name="_Toc14633"/>
      <w:bookmarkStart w:id="2500" w:name="_Toc13934"/>
      <w:bookmarkStart w:id="2501" w:name="_Toc12109"/>
      <w:bookmarkStart w:id="2502" w:name="_Toc24499"/>
      <w:bookmarkStart w:id="2503" w:name="_Toc17001"/>
      <w:bookmarkStart w:id="2504" w:name="_Toc19816"/>
      <w:bookmarkStart w:id="2505" w:name="_Toc17457"/>
      <w:r>
        <w:rPr>
          <w:rFonts w:hint="eastAsia" w:cs="仿宋_GB2312"/>
          <w:bCs/>
          <w:color w:val="000000" w:themeColor="text1"/>
          <w14:textFill>
            <w14:solidFill>
              <w14:schemeClr w14:val="tx1"/>
            </w14:solidFill>
          </w14:textFill>
        </w:rPr>
        <w:t>第二百零六条</w:t>
      </w:r>
      <w:r>
        <w:rPr>
          <w:rFonts w:hint="eastAsia" w:ascii="Times New Roman" w:hAnsi="Times New Roman" w:cs="仿宋_GB2312"/>
          <w:bCs/>
          <w:color w:val="000000" w:themeColor="text1"/>
          <w:kern w:val="0"/>
          <w14:textFill>
            <w14:solidFill>
              <w14:schemeClr w14:val="tx1"/>
            </w14:solidFill>
          </w14:textFill>
        </w:rPr>
        <w:t xml:space="preserve"> 护士的配备数量低于国务院卫生主管部门规定的护士配备标准的</w:t>
      </w:r>
      <w:bookmarkEnd w:id="2495"/>
      <w:bookmarkEnd w:id="2496"/>
      <w:bookmarkEnd w:id="2497"/>
      <w:bookmarkEnd w:id="2498"/>
      <w:bookmarkEnd w:id="2499"/>
      <w:bookmarkEnd w:id="2500"/>
      <w:bookmarkEnd w:id="2501"/>
      <w:bookmarkEnd w:id="2502"/>
      <w:bookmarkEnd w:id="2503"/>
      <w:bookmarkEnd w:id="2504"/>
      <w:bookmarkEnd w:id="2505"/>
    </w:p>
    <w:p w14:paraId="36BEBC2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024EF4F">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《护士条例》第二十八条第（一）项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医疗卫生机构有下列情形之一的，由县级以上地方人民政府卫生主管部门依据</w:t>
      </w:r>
      <w:r>
        <w:rPr>
          <w:rFonts w:hint="eastAsia" w:ascii="Times New Roman" w:hAnsi="Times New Roman" w:eastAsia="仿宋_GB2312" w:cs="华文中宋"/>
          <w:color w:val="000000" w:themeColor="text1"/>
          <w:sz w:val="32"/>
          <w:szCs w:val="28"/>
          <w14:textFill>
            <w14:solidFill>
              <w14:schemeClr w14:val="tx1"/>
            </w14:solidFill>
          </w14:textFill>
        </w:rPr>
        <w:t>职责分工责令限期改正，给予警告；逾期不改正的，根据国务院卫生主管部门规定的护士配备标准和在医疗卫生机构合法执业的护士数量核减其诊疗科目，或者暂停其 6 个月以上 1 年以下执业活动；国家举办的医疗卫生机构有下列情形之一、情节严重的，还应当对负有责任的主管人员和其他直接责任人员依法给予处分：</w:t>
      </w:r>
    </w:p>
    <w:p w14:paraId="747C16FB">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华文中宋"/>
          <w:color w:val="000000" w:themeColor="text1"/>
          <w:sz w:val="32"/>
          <w:szCs w:val="28"/>
          <w14:textFill>
            <w14:solidFill>
              <w14:schemeClr w14:val="tx1"/>
            </w14:solidFill>
          </w14:textFill>
        </w:rPr>
        <w:t>（一）违反本条例规定，护士的配备数量低于国务院卫生主管部门规定的护士配备标准的；</w:t>
      </w:r>
    </w:p>
    <w:p w14:paraId="5B6AE656">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3917" w:type="dxa"/>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7943"/>
        <w:gridCol w:w="4457"/>
      </w:tblGrid>
      <w:tr w14:paraId="2F38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tcPr>
          <w:p w14:paraId="4C3C845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43" w:type="dxa"/>
          </w:tcPr>
          <w:p w14:paraId="74A9352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457" w:type="dxa"/>
          </w:tcPr>
          <w:p w14:paraId="2296D3C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E40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14:paraId="5A17CFBA">
            <w:pPr>
              <w:widowControl w:val="0"/>
              <w:adjustRightInd/>
              <w:snapToGrid/>
              <w:spacing w:after="0" w:line="28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943" w:type="dxa"/>
            <w:vAlign w:val="center"/>
          </w:tcPr>
          <w:p w14:paraId="76BDC1E6">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 xml:space="preserve">护士的配备数量低于国务院卫生主管部门规定的护士配备标准的 </w:t>
            </w:r>
            <w:r>
              <w:rPr>
                <w:rFonts w:hint="eastAsia" w:ascii="Times New Roman" w:hAnsi="Times New Roman" w:eastAsia="仿宋_GB2312" w:cs="Times New Roman"/>
                <w:color w:val="000000" w:themeColor="text1"/>
                <w:spacing w:val="-6"/>
                <w:kern w:val="0"/>
                <w:sz w:val="24"/>
                <w:szCs w:val="22"/>
                <w:lang w:val="en" w:bidi="ar"/>
                <w14:textFill>
                  <w14:solidFill>
                    <w14:schemeClr w14:val="tx1"/>
                  </w14:solidFill>
                </w14:textFill>
              </w:rPr>
              <w:t>,首次发现的。</w:t>
            </w:r>
          </w:p>
        </w:tc>
        <w:tc>
          <w:tcPr>
            <w:tcW w:w="4457" w:type="dxa"/>
            <w:vAlign w:val="center"/>
          </w:tcPr>
          <w:p w14:paraId="4BF6BE6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责令限期改正，警告。</w:t>
            </w:r>
          </w:p>
        </w:tc>
      </w:tr>
      <w:tr w14:paraId="5CB3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14:paraId="02780D5D">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较重</w:t>
            </w:r>
          </w:p>
        </w:tc>
        <w:tc>
          <w:tcPr>
            <w:tcW w:w="7943" w:type="dxa"/>
            <w:vAlign w:val="center"/>
          </w:tcPr>
          <w:p w14:paraId="5A85660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护士的配备数量为国务院卫生主管部门规定的护士配备标准的50%以上至100%以下的，经责令限期改正，逾期不改正的。</w:t>
            </w:r>
          </w:p>
        </w:tc>
        <w:tc>
          <w:tcPr>
            <w:tcW w:w="4457" w:type="dxa"/>
            <w:vAlign w:val="center"/>
          </w:tcPr>
          <w:p w14:paraId="657A042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6 个月以上 9 个月以下执业活动。</w:t>
            </w:r>
          </w:p>
        </w:tc>
      </w:tr>
      <w:tr w14:paraId="2FF2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14:paraId="1C7DB68D">
            <w:pPr>
              <w:widowControl w:val="0"/>
              <w:adjustRightInd/>
              <w:snapToGrid/>
              <w:spacing w:after="0" w:line="28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943" w:type="dxa"/>
            <w:vAlign w:val="center"/>
          </w:tcPr>
          <w:p w14:paraId="52F74A9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护士的配备数量低于国务院卫生主管部门规定的护士配备标准的50%以下的，经责令限期改正，逾期不改正的。</w:t>
            </w:r>
          </w:p>
        </w:tc>
        <w:tc>
          <w:tcPr>
            <w:tcW w:w="4457" w:type="dxa"/>
            <w:vAlign w:val="center"/>
          </w:tcPr>
          <w:p w14:paraId="47649A0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9 个月以上 1 年以下执业活动。</w:t>
            </w:r>
          </w:p>
        </w:tc>
      </w:tr>
    </w:tbl>
    <w:p w14:paraId="68074C7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506" w:name="_Toc3069"/>
      <w:bookmarkStart w:id="2507" w:name="_Toc24569"/>
      <w:bookmarkStart w:id="2508" w:name="_Toc12945"/>
      <w:bookmarkStart w:id="2509" w:name="_Toc23458"/>
      <w:bookmarkStart w:id="2510" w:name="_Toc13675"/>
      <w:bookmarkStart w:id="2511" w:name="_Toc14096"/>
      <w:bookmarkStart w:id="2512" w:name="_Toc15522"/>
      <w:bookmarkStart w:id="2513" w:name="_Toc21436"/>
      <w:bookmarkStart w:id="2514" w:name="_Toc10760"/>
      <w:bookmarkStart w:id="2515" w:name="_Toc19376"/>
      <w:bookmarkStart w:id="2516" w:name="_Toc18912"/>
      <w:r>
        <w:rPr>
          <w:rFonts w:hint="eastAsia" w:cs="仿宋_GB2312"/>
          <w:bCs/>
          <w:color w:val="000000" w:themeColor="text1"/>
          <w14:textFill>
            <w14:solidFill>
              <w14:schemeClr w14:val="tx1"/>
            </w14:solidFill>
          </w14:textFill>
        </w:rPr>
        <w:t>第二百零七条</w:t>
      </w:r>
      <w:r>
        <w:rPr>
          <w:rFonts w:hint="eastAsia" w:ascii="Times New Roman" w:hAnsi="Times New Roman" w:cs="仿宋_GB2312"/>
          <w:bCs/>
          <w:color w:val="000000" w:themeColor="text1"/>
          <w:kern w:val="0"/>
          <w14:textFill>
            <w14:solidFill>
              <w14:schemeClr w14:val="tx1"/>
            </w14:solidFill>
          </w14:textFill>
        </w:rPr>
        <w:t xml:space="preserve"> 允许未取得护士执业证书的人员或者允许未依照《护士条例》规定办理执业地点变更手续、延续执业注册有效期的护士在本机构从事诊疗技术规范规定的护理活动的</w:t>
      </w:r>
      <w:bookmarkEnd w:id="2506"/>
      <w:bookmarkEnd w:id="2507"/>
      <w:bookmarkEnd w:id="2508"/>
      <w:bookmarkEnd w:id="2509"/>
      <w:bookmarkEnd w:id="2510"/>
      <w:bookmarkEnd w:id="2511"/>
      <w:bookmarkEnd w:id="2512"/>
      <w:bookmarkEnd w:id="2513"/>
      <w:bookmarkEnd w:id="2514"/>
      <w:bookmarkEnd w:id="2515"/>
      <w:bookmarkEnd w:id="2516"/>
    </w:p>
    <w:p w14:paraId="0AEF879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EF62379">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《护士条例》第二十八条第（二）项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医疗卫生机构有下列情形之一的，由县级以上地方人民政府卫生主管部门依据职责分工责令限期改正，给予警告；逾期不改正的，根据国务院卫生主管部门规定的护士配备标准和在医疗</w:t>
      </w:r>
      <w:r>
        <w:rPr>
          <w:rFonts w:hint="eastAsia" w:ascii="Times New Roman" w:hAnsi="Times New Roman" w:eastAsia="仿宋_GB2312" w:cs="华文中宋"/>
          <w:color w:val="000000" w:themeColor="text1"/>
          <w:sz w:val="32"/>
          <w:szCs w:val="28"/>
          <w14:textFill>
            <w14:solidFill>
              <w14:schemeClr w14:val="tx1"/>
            </w14:solidFill>
          </w14:textFill>
        </w:rPr>
        <w:t>卫生机构合法执业的护士数量核减其诊疗科目，或者暂停其6个月以上1 年以下执业活动；国家举办的医疗卫生机构有下列情形之一、情节严重的，还应当对负有责任的主管人员和其他直接责任人员依法给予处分：</w:t>
      </w:r>
    </w:p>
    <w:p w14:paraId="6D85854F">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（二）允许未取得护士执业证书的人员或者允许未依照本条例规定办理执业地点变更手续、延续执业注册有效期的护士在本机</w:t>
      </w:r>
      <w:r>
        <w:rPr>
          <w:rFonts w:hint="eastAsia" w:ascii="Times New Roman" w:hAnsi="Times New Roman" w:eastAsia="仿宋_GB2312" w:cs="华文中宋"/>
          <w:color w:val="000000" w:themeColor="text1"/>
          <w:sz w:val="32"/>
          <w:szCs w:val="28"/>
          <w14:textFill>
            <w14:solidFill>
              <w14:schemeClr w14:val="tx1"/>
            </w14:solidFill>
          </w14:textFill>
        </w:rPr>
        <w:t xml:space="preserve">构从事诊疗技术规范规定的护理活动的。 </w:t>
      </w:r>
    </w:p>
    <w:p w14:paraId="3747C4A8">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9300"/>
        <w:gridCol w:w="3434"/>
      </w:tblGrid>
      <w:tr w14:paraId="1593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64DD6FF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300" w:type="dxa"/>
            <w:vAlign w:val="center"/>
          </w:tcPr>
          <w:p w14:paraId="66802E6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3434" w:type="dxa"/>
            <w:vAlign w:val="center"/>
          </w:tcPr>
          <w:p w14:paraId="6F7F079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142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6FE246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9300" w:type="dxa"/>
            <w:vAlign w:val="center"/>
          </w:tcPr>
          <w:p w14:paraId="163AB5A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允许未取得护士执业证书的人员或者允许未依照《护士条例》规定办理执业地点变更手续、延续执业注册有效期的护士在本机构从事诊疗技术规范规定的护理活动的。</w:t>
            </w:r>
          </w:p>
        </w:tc>
        <w:tc>
          <w:tcPr>
            <w:tcW w:w="3434" w:type="dxa"/>
            <w:vAlign w:val="center"/>
          </w:tcPr>
          <w:p w14:paraId="55F216E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责令限期改正，警告。</w:t>
            </w:r>
          </w:p>
        </w:tc>
      </w:tr>
      <w:tr w14:paraId="4657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EA9CEE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9300" w:type="dxa"/>
            <w:vAlign w:val="center"/>
          </w:tcPr>
          <w:p w14:paraId="29984DA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允许未取得护士执业证书的人员或者允许未依照本条例规定办理执业地点变更手续、延续执业注册有效期的护士在本机构从事诊疗技术规范规定的护理活动，经责令限期改正，逾期不改正的。</w:t>
            </w:r>
          </w:p>
        </w:tc>
        <w:tc>
          <w:tcPr>
            <w:tcW w:w="3434" w:type="dxa"/>
            <w:vAlign w:val="center"/>
          </w:tcPr>
          <w:p w14:paraId="4B26F12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6 个月以上 9 个月以下执业活动。</w:t>
            </w:r>
          </w:p>
        </w:tc>
      </w:tr>
      <w:tr w14:paraId="1D4E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D05511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9300" w:type="dxa"/>
            <w:vAlign w:val="center"/>
          </w:tcPr>
          <w:p w14:paraId="4976E42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允许未取得护士执业证书的人员或者允许未依照本条例规定办理执业地点变更手续、延续执业注册有效期的护士在本机构从事诊疗技术规范规定的护理活动，经责令限期改正，逾期不改正，造成严重医疗危害后果的 。</w:t>
            </w:r>
          </w:p>
        </w:tc>
        <w:tc>
          <w:tcPr>
            <w:tcW w:w="3434" w:type="dxa"/>
            <w:vAlign w:val="center"/>
          </w:tcPr>
          <w:p w14:paraId="6BCC4E6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暂停其 9 个月以上 1 年以下执业活动 。 </w:t>
            </w:r>
          </w:p>
        </w:tc>
      </w:tr>
    </w:tbl>
    <w:p w14:paraId="677EA0C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517" w:name="_Toc13842"/>
      <w:bookmarkStart w:id="2518" w:name="_Toc22425"/>
      <w:bookmarkStart w:id="2519" w:name="_Toc14513"/>
      <w:bookmarkStart w:id="2520" w:name="_Toc23527"/>
      <w:bookmarkStart w:id="2521" w:name="_Toc21394"/>
      <w:bookmarkStart w:id="2522" w:name="_Toc8094"/>
      <w:bookmarkStart w:id="2523" w:name="_Toc12823"/>
      <w:bookmarkStart w:id="2524" w:name="_Toc30283"/>
      <w:bookmarkStart w:id="2525" w:name="_Toc17248"/>
      <w:bookmarkStart w:id="2526" w:name="_Toc27873"/>
      <w:bookmarkStart w:id="2527" w:name="_Toc19609"/>
      <w:r>
        <w:rPr>
          <w:rFonts w:hint="eastAsia" w:cs="仿宋_GB2312"/>
          <w:bCs/>
          <w:color w:val="000000" w:themeColor="text1"/>
          <w14:textFill>
            <w14:solidFill>
              <w14:schemeClr w14:val="tx1"/>
            </w14:solidFill>
          </w14:textFill>
        </w:rPr>
        <w:t>第二百零八条</w:t>
      </w:r>
      <w:r>
        <w:rPr>
          <w:rFonts w:hint="eastAsia" w:ascii="Times New Roman" w:hAnsi="Times New Roman" w:cs="仿宋_GB2312"/>
          <w:bCs/>
          <w:color w:val="000000" w:themeColor="text1"/>
          <w:kern w:val="0"/>
          <w14:textFill>
            <w14:solidFill>
              <w14:schemeClr w14:val="tx1"/>
            </w14:solidFill>
          </w14:textFill>
        </w:rPr>
        <w:t xml:space="preserve"> 医疗卫生机构未制定、实施本机构护士在职培训计划或者未保证护士接受培训的</w:t>
      </w:r>
      <w:bookmarkEnd w:id="2517"/>
      <w:bookmarkEnd w:id="2518"/>
      <w:bookmarkEnd w:id="2519"/>
      <w:bookmarkEnd w:id="2520"/>
      <w:bookmarkEnd w:id="2521"/>
      <w:bookmarkEnd w:id="2522"/>
      <w:bookmarkEnd w:id="2523"/>
      <w:bookmarkEnd w:id="2524"/>
      <w:bookmarkEnd w:id="2525"/>
      <w:bookmarkEnd w:id="2526"/>
      <w:bookmarkEnd w:id="2527"/>
    </w:p>
    <w:p w14:paraId="185E72F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46F37B4">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《护士条例》第三十条第（一）项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医疗卫生机构有下列情形之一的，由县级以上地方人民政府卫生主管部门依据职责分工责</w:t>
      </w:r>
      <w:r>
        <w:rPr>
          <w:rFonts w:hint="eastAsia" w:ascii="Times New Roman" w:hAnsi="Times New Roman" w:eastAsia="仿宋_GB2312" w:cs="华文中宋"/>
          <w:color w:val="000000" w:themeColor="text1"/>
          <w:sz w:val="32"/>
          <w:szCs w:val="28"/>
          <w14:textFill>
            <w14:solidFill>
              <w14:schemeClr w14:val="tx1"/>
            </w14:solidFill>
          </w14:textFill>
        </w:rPr>
        <w:t>令限期改正，给予警告：</w:t>
      </w:r>
    </w:p>
    <w:p w14:paraId="15C0D79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（一）未制定、实施本机构护士在职培训计划或者未保证护士接受培训的；</w:t>
      </w:r>
    </w:p>
    <w:p w14:paraId="1C9374BE">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045"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5372"/>
        <w:gridCol w:w="7139"/>
      </w:tblGrid>
      <w:tr w14:paraId="5445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534" w:type="dxa"/>
          </w:tcPr>
          <w:p w14:paraId="7AF352F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372" w:type="dxa"/>
          </w:tcPr>
          <w:p w14:paraId="7D19748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291E138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CEE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vAlign w:val="center"/>
          </w:tcPr>
          <w:p w14:paraId="4BE721C4">
            <w:pPr>
              <w:widowControl w:val="0"/>
              <w:adjustRightInd/>
              <w:snapToGrid/>
              <w:spacing w:after="0" w:line="280" w:lineRule="exact"/>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372" w:type="dxa"/>
          </w:tcPr>
          <w:p w14:paraId="33E1746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医疗卫生机构未制定、实施本机构护士在职培训计划或者未保证护士接受培训的。</w:t>
            </w:r>
          </w:p>
        </w:tc>
        <w:tc>
          <w:tcPr>
            <w:tcW w:w="7139" w:type="dxa"/>
          </w:tcPr>
          <w:p w14:paraId="0EC8A9E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由县级以上地方人民政府卫生主管部门依据职责分工责令限期改正，给予警告。</w:t>
            </w:r>
          </w:p>
        </w:tc>
      </w:tr>
    </w:tbl>
    <w:p w14:paraId="4EE752AD">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528" w:name="_Toc13908"/>
      <w:bookmarkStart w:id="2529" w:name="_Toc14928"/>
      <w:bookmarkStart w:id="2530" w:name="_Toc1919"/>
      <w:bookmarkStart w:id="2531" w:name="_Toc17680"/>
      <w:bookmarkStart w:id="2532" w:name="_Toc30702"/>
      <w:bookmarkStart w:id="2533" w:name="_Toc22177"/>
      <w:bookmarkStart w:id="2534" w:name="_Toc31089"/>
      <w:bookmarkStart w:id="2535" w:name="_Toc10648"/>
      <w:bookmarkStart w:id="2536" w:name="_Toc15384"/>
      <w:bookmarkStart w:id="2537" w:name="_Toc19276"/>
      <w:bookmarkStart w:id="2538" w:name="_Toc59"/>
      <w:r>
        <w:rPr>
          <w:rFonts w:hint="eastAsia" w:cs="仿宋_GB2312"/>
          <w:bCs/>
          <w:color w:val="000000" w:themeColor="text1"/>
          <w14:textFill>
            <w14:solidFill>
              <w14:schemeClr w14:val="tx1"/>
            </w14:solidFill>
          </w14:textFill>
        </w:rPr>
        <w:t>第二百零九条</w:t>
      </w:r>
      <w:r>
        <w:rPr>
          <w:rFonts w:hint="eastAsia" w:ascii="Times New Roman" w:hAnsi="Times New Roman" w:cs="仿宋_GB2312"/>
          <w:bCs/>
          <w:color w:val="000000" w:themeColor="text1"/>
          <w:kern w:val="0"/>
          <w14:textFill>
            <w14:solidFill>
              <w14:schemeClr w14:val="tx1"/>
            </w14:solidFill>
          </w14:textFill>
        </w:rPr>
        <w:t xml:space="preserve"> 医疗卫生机构未依照本条例规定履行护士管理职责的</w:t>
      </w:r>
      <w:bookmarkEnd w:id="2528"/>
      <w:bookmarkEnd w:id="2529"/>
      <w:bookmarkEnd w:id="2530"/>
      <w:bookmarkEnd w:id="2531"/>
      <w:bookmarkEnd w:id="2532"/>
      <w:bookmarkEnd w:id="2533"/>
      <w:bookmarkEnd w:id="2534"/>
      <w:bookmarkEnd w:id="2535"/>
      <w:bookmarkEnd w:id="2536"/>
      <w:bookmarkEnd w:id="2537"/>
      <w:bookmarkEnd w:id="2538"/>
    </w:p>
    <w:p w14:paraId="5E1BB0D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04999C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《护士条例》第三十条第（二）项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医疗卫生机构有下列情形之一的，由县级以上地方人民政府卫生主管部门依据职责分工责令限期改正，给予警告：</w:t>
      </w:r>
    </w:p>
    <w:p w14:paraId="5C8FC71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（二）未依照《护士条例》规定履行护士管理职责的。</w:t>
      </w:r>
    </w:p>
    <w:p w14:paraId="27C096E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028" w:type="dxa"/>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5389"/>
        <w:gridCol w:w="7139"/>
      </w:tblGrid>
      <w:tr w14:paraId="3574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1667463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389" w:type="dxa"/>
          </w:tcPr>
          <w:p w14:paraId="61E184B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3040C9D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B63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Align w:val="center"/>
          </w:tcPr>
          <w:p w14:paraId="5B33A31F">
            <w:pPr>
              <w:widowControl w:val="0"/>
              <w:adjustRightInd/>
              <w:snapToGrid/>
              <w:spacing w:after="0" w:line="280" w:lineRule="exact"/>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389" w:type="dxa"/>
            <w:vAlign w:val="center"/>
          </w:tcPr>
          <w:p w14:paraId="7883D9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医疗卫生机构未依照本条例规定履行护士管理职责的。</w:t>
            </w:r>
          </w:p>
        </w:tc>
        <w:tc>
          <w:tcPr>
            <w:tcW w:w="7139" w:type="dxa"/>
            <w:vAlign w:val="center"/>
          </w:tcPr>
          <w:p w14:paraId="488CF54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由县级以上地方人民政府卫生主管部门依据职责分工责令限期改正， 给予警告。</w:t>
            </w:r>
          </w:p>
        </w:tc>
      </w:tr>
    </w:tbl>
    <w:p w14:paraId="7A5D720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539" w:name="_Toc11386"/>
      <w:bookmarkStart w:id="2540" w:name="_Toc11119"/>
      <w:bookmarkStart w:id="2541" w:name="_Toc24422"/>
      <w:bookmarkStart w:id="2542" w:name="_Toc8102"/>
      <w:bookmarkStart w:id="2543" w:name="_Toc5191"/>
      <w:bookmarkStart w:id="2544" w:name="_Toc5663"/>
      <w:bookmarkStart w:id="2545" w:name="_Toc11605"/>
      <w:bookmarkStart w:id="2546" w:name="_Toc10653"/>
      <w:bookmarkStart w:id="2547" w:name="_Toc11516"/>
      <w:bookmarkStart w:id="2548" w:name="_Toc24560"/>
      <w:bookmarkStart w:id="2549" w:name="_Toc23564"/>
      <w:r>
        <w:rPr>
          <w:rFonts w:hint="eastAsia" w:cs="仿宋_GB2312"/>
          <w:bCs/>
          <w:color w:val="000000" w:themeColor="text1"/>
          <w14:textFill>
            <w14:solidFill>
              <w14:schemeClr w14:val="tx1"/>
            </w14:solidFill>
          </w14:textFill>
        </w:rPr>
        <w:t>第二百一十条</w:t>
      </w:r>
      <w:r>
        <w:rPr>
          <w:rFonts w:hint="eastAsia" w:ascii="Times New Roman" w:hAnsi="Times New Roman" w:cs="仿宋_GB2312"/>
          <w:bCs/>
          <w:color w:val="000000" w:themeColor="text1"/>
          <w:kern w:val="0"/>
          <w14:textFill>
            <w14:solidFill>
              <w14:schemeClr w14:val="tx1"/>
            </w14:solidFill>
          </w14:textFill>
        </w:rPr>
        <w:t xml:space="preserve"> 护士发现患者病情危急未立即通知医师的</w:t>
      </w:r>
      <w:bookmarkEnd w:id="2539"/>
      <w:bookmarkEnd w:id="2540"/>
      <w:bookmarkEnd w:id="2541"/>
      <w:bookmarkEnd w:id="2542"/>
      <w:bookmarkEnd w:id="2543"/>
      <w:bookmarkEnd w:id="2544"/>
      <w:bookmarkEnd w:id="2545"/>
      <w:bookmarkEnd w:id="2546"/>
      <w:bookmarkEnd w:id="2547"/>
      <w:bookmarkEnd w:id="2548"/>
      <w:bookmarkEnd w:id="2549"/>
    </w:p>
    <w:p w14:paraId="16CAD34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33BF771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《护士条例》第三十一条第一款第（一）项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护士在执业活动中有下列情形之一的，由县级以上地方人民政府卫生主管部门依据职责分工责令改正，给予警告；情节严重的，暂停其6个月以上 1 年以下执业活动，直至由原发证部门吊销其护士执业证书：</w:t>
      </w:r>
    </w:p>
    <w:p w14:paraId="45956F71">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（一）发现患者病情危</w:t>
      </w:r>
      <w:r>
        <w:rPr>
          <w:rFonts w:hint="eastAsia" w:ascii="Times New Roman" w:hAnsi="Times New Roman" w:eastAsia="仿宋_GB2312" w:cs="华文中宋"/>
          <w:color w:val="000000" w:themeColor="text1"/>
          <w:sz w:val="32"/>
          <w:szCs w:val="28"/>
          <w14:textFill>
            <w14:solidFill>
              <w14:schemeClr w14:val="tx1"/>
            </w14:solidFill>
          </w14:textFill>
        </w:rPr>
        <w:t>急未立即通知医师的；</w:t>
      </w:r>
    </w:p>
    <w:p w14:paraId="07079BA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028" w:type="dxa"/>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7943"/>
        <w:gridCol w:w="4568"/>
      </w:tblGrid>
      <w:tr w14:paraId="22C9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tcPr>
          <w:p w14:paraId="6278D01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43" w:type="dxa"/>
          </w:tcPr>
          <w:p w14:paraId="020F996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568" w:type="dxa"/>
          </w:tcPr>
          <w:p w14:paraId="6A052B3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5E8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517" w:type="dxa"/>
            <w:vAlign w:val="center"/>
          </w:tcPr>
          <w:p w14:paraId="284CBBF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943" w:type="dxa"/>
            <w:vAlign w:val="center"/>
          </w:tcPr>
          <w:p w14:paraId="4ED80D6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护士发现患者病情危急未立即通知医师的。</w:t>
            </w:r>
          </w:p>
        </w:tc>
        <w:tc>
          <w:tcPr>
            <w:tcW w:w="4568" w:type="dxa"/>
            <w:vAlign w:val="center"/>
          </w:tcPr>
          <w:p w14:paraId="2BC4EB4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责令改正，警告。</w:t>
            </w:r>
          </w:p>
        </w:tc>
      </w:tr>
      <w:tr w14:paraId="4960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17" w:type="dxa"/>
            <w:vAlign w:val="center"/>
          </w:tcPr>
          <w:p w14:paraId="0EE89C8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较严重</w:t>
            </w:r>
          </w:p>
        </w:tc>
        <w:tc>
          <w:tcPr>
            <w:tcW w:w="7943" w:type="dxa"/>
            <w:vAlign w:val="center"/>
          </w:tcPr>
          <w:p w14:paraId="3BC187C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护士发现患者病情危急未立即通知医师的，产生伤害后果的。</w:t>
            </w:r>
          </w:p>
        </w:tc>
        <w:tc>
          <w:tcPr>
            <w:tcW w:w="4568" w:type="dxa"/>
            <w:vAlign w:val="center"/>
          </w:tcPr>
          <w:p w14:paraId="759CB68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6 个月以上 9 个月以下执业活动。</w:t>
            </w:r>
          </w:p>
        </w:tc>
      </w:tr>
      <w:tr w14:paraId="21D9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17" w:type="dxa"/>
            <w:vAlign w:val="center"/>
          </w:tcPr>
          <w:p w14:paraId="0471A692">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943" w:type="dxa"/>
            <w:vAlign w:val="center"/>
          </w:tcPr>
          <w:p w14:paraId="0ECEEAB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护士发现患者病情危急未立即通知医师的，产生严重伤害后果的 。</w:t>
            </w:r>
          </w:p>
        </w:tc>
        <w:tc>
          <w:tcPr>
            <w:tcW w:w="4568" w:type="dxa"/>
            <w:vAlign w:val="center"/>
          </w:tcPr>
          <w:p w14:paraId="083C8BA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9 个月以上 1 年以下执业活动。</w:t>
            </w:r>
          </w:p>
        </w:tc>
      </w:tr>
      <w:tr w14:paraId="44FF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17" w:type="dxa"/>
            <w:vAlign w:val="center"/>
          </w:tcPr>
          <w:p w14:paraId="7D14FC6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7943" w:type="dxa"/>
            <w:vAlign w:val="center"/>
          </w:tcPr>
          <w:p w14:paraId="476F664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护士发现患者病情危急未立即通知医师的，造成患者死亡的 </w:t>
            </w:r>
          </w:p>
        </w:tc>
        <w:tc>
          <w:tcPr>
            <w:tcW w:w="4568" w:type="dxa"/>
            <w:vAlign w:val="center"/>
          </w:tcPr>
          <w:p w14:paraId="005B63B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原发证部门吊销其护士执业证书。</w:t>
            </w:r>
          </w:p>
        </w:tc>
      </w:tr>
    </w:tbl>
    <w:p w14:paraId="0C677822">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550" w:name="_Toc20804"/>
      <w:bookmarkStart w:id="2551" w:name="_Toc14179"/>
      <w:bookmarkStart w:id="2552" w:name="_Toc6701"/>
      <w:bookmarkStart w:id="2553" w:name="_Toc32707"/>
      <w:bookmarkStart w:id="2554" w:name="_Toc23543"/>
      <w:bookmarkStart w:id="2555" w:name="_Toc30130"/>
      <w:bookmarkStart w:id="2556" w:name="_Toc20754"/>
      <w:bookmarkStart w:id="2557" w:name="_Toc17988"/>
      <w:bookmarkStart w:id="2558" w:name="_Toc12034"/>
      <w:bookmarkStart w:id="2559" w:name="_Toc7999"/>
      <w:bookmarkStart w:id="2560" w:name="_Toc11603"/>
      <w:r>
        <w:rPr>
          <w:rFonts w:hint="eastAsia" w:cs="仿宋_GB2312"/>
          <w:bCs/>
          <w:color w:val="000000" w:themeColor="text1"/>
          <w14:textFill>
            <w14:solidFill>
              <w14:schemeClr w14:val="tx1"/>
            </w14:solidFill>
          </w14:textFill>
        </w:rPr>
        <w:t>第二百一十一条</w:t>
      </w:r>
      <w:r>
        <w:rPr>
          <w:rFonts w:hint="eastAsia" w:ascii="Times New Roman" w:hAnsi="Times New Roman" w:cs="仿宋_GB2312"/>
          <w:bCs/>
          <w:color w:val="000000" w:themeColor="text1"/>
          <w:kern w:val="0"/>
          <w14:textFill>
            <w14:solidFill>
              <w14:schemeClr w14:val="tx1"/>
            </w14:solidFill>
          </w14:textFill>
        </w:rPr>
        <w:t xml:space="preserve"> 护士发现医嘱违反法律、法规、规章或者诊疗技术规范的规定，未依照本条例第十七条的规定提出或者报告的</w:t>
      </w:r>
      <w:bookmarkEnd w:id="2550"/>
      <w:bookmarkEnd w:id="2551"/>
      <w:bookmarkEnd w:id="2552"/>
      <w:bookmarkEnd w:id="2553"/>
      <w:bookmarkEnd w:id="2554"/>
      <w:bookmarkEnd w:id="2555"/>
      <w:bookmarkEnd w:id="2556"/>
      <w:bookmarkEnd w:id="2557"/>
      <w:bookmarkEnd w:id="2558"/>
      <w:bookmarkEnd w:id="2559"/>
      <w:bookmarkEnd w:id="2560"/>
    </w:p>
    <w:p w14:paraId="118A80D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00DDC54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1.《护士条例》第三十一条第一款第（二）项 护士在执业活动中有下列情形之一的，由县级以上地方人民政府卫生主管部门依据职责分工责令改正，给予警告；情节严重的，暂停其 6 个月以上 1 年以下执业活动，直至由原发证部门吊销其护士执业证书：</w:t>
      </w:r>
    </w:p>
    <w:p w14:paraId="4EB75F5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（二）发现医嘱违反法律、法规、规章或者诊疗技术规范的规定，未依照《护士条例》第十七条的规定提出或者报告的。</w:t>
      </w:r>
    </w:p>
    <w:p w14:paraId="73E7F9B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2.《护士条例》第十七条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护士发现医嘱违反法律、法规、规章或者诊疗技术规范规定的，应当及时向开具医嘱的医师提出；必要时，应当向该医师所在科室的负责人或者医疗卫生机构负责医疗服务管理的人员报告。</w:t>
      </w:r>
    </w:p>
    <w:p w14:paraId="1096244E">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07"/>
        <w:gridCol w:w="4427"/>
      </w:tblGrid>
      <w:tr w14:paraId="66EF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440" w:type="dxa"/>
            <w:vAlign w:val="center"/>
          </w:tcPr>
          <w:p w14:paraId="59CE176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07" w:type="dxa"/>
            <w:vAlign w:val="center"/>
          </w:tcPr>
          <w:p w14:paraId="6A9ABBD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427" w:type="dxa"/>
            <w:vAlign w:val="center"/>
          </w:tcPr>
          <w:p w14:paraId="5CA56B9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0E8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E8D255B">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8307" w:type="dxa"/>
            <w:vAlign w:val="center"/>
          </w:tcPr>
          <w:p w14:paraId="6B68268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护士发现医嘱违反法律、法规、规章或者诊疗技术规范的规定，未依照本条例第十七条的规定提出或者报告的。</w:t>
            </w:r>
          </w:p>
        </w:tc>
        <w:tc>
          <w:tcPr>
            <w:tcW w:w="4427" w:type="dxa"/>
            <w:vAlign w:val="center"/>
          </w:tcPr>
          <w:p w14:paraId="615D51A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 。</w:t>
            </w:r>
          </w:p>
        </w:tc>
      </w:tr>
      <w:tr w14:paraId="5BF1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2AD91A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较严重</w:t>
            </w:r>
          </w:p>
        </w:tc>
        <w:tc>
          <w:tcPr>
            <w:tcW w:w="8307" w:type="dxa"/>
            <w:vAlign w:val="center"/>
          </w:tcPr>
          <w:p w14:paraId="7A8A794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护士发现医嘱违反法律、法规、规章或者诊疗技术规范的规定，未依照本条例第十七条的规定提出或者报告的，给患者造成伤害的 。</w:t>
            </w:r>
          </w:p>
        </w:tc>
        <w:tc>
          <w:tcPr>
            <w:tcW w:w="4427" w:type="dxa"/>
            <w:vAlign w:val="center"/>
          </w:tcPr>
          <w:p w14:paraId="0500270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6 个月以上 9 个月以下执业活动 。</w:t>
            </w:r>
          </w:p>
        </w:tc>
      </w:tr>
      <w:tr w14:paraId="4B0F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9A386E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8307" w:type="dxa"/>
            <w:vAlign w:val="center"/>
          </w:tcPr>
          <w:p w14:paraId="170D48E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护士发现医嘱违反法律、法规、规章或者诊疗技术规范的规定，未依照本条例第十七条的规定提出或者报告的，给患者造成严重伤害的 。</w:t>
            </w:r>
          </w:p>
        </w:tc>
        <w:tc>
          <w:tcPr>
            <w:tcW w:w="4427" w:type="dxa"/>
            <w:vAlign w:val="center"/>
          </w:tcPr>
          <w:p w14:paraId="5639BDD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9 个月以上 1 年以下执业活动</w:t>
            </w:r>
          </w:p>
        </w:tc>
      </w:tr>
      <w:tr w14:paraId="611B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4EED8AD">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8307" w:type="dxa"/>
            <w:vAlign w:val="center"/>
          </w:tcPr>
          <w:p w14:paraId="2A6A049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护士发现医嘱违反法律、法规、规章或者诊疗技术规范的规定，未依照本条例第十七条的规定提出或者报告的，造成患者死亡的。</w:t>
            </w:r>
          </w:p>
        </w:tc>
        <w:tc>
          <w:tcPr>
            <w:tcW w:w="4427" w:type="dxa"/>
            <w:vAlign w:val="center"/>
          </w:tcPr>
          <w:p w14:paraId="1D44EB2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原发证部门吊销其护士执业证书。</w:t>
            </w:r>
          </w:p>
        </w:tc>
      </w:tr>
    </w:tbl>
    <w:p w14:paraId="70EA288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561" w:name="_Toc7325"/>
      <w:bookmarkStart w:id="2562" w:name="_Toc4007"/>
      <w:bookmarkStart w:id="2563" w:name="_Toc24107"/>
      <w:bookmarkStart w:id="2564" w:name="_Toc25658"/>
      <w:bookmarkStart w:id="2565" w:name="_Toc23798"/>
      <w:bookmarkStart w:id="2566" w:name="_Toc17967"/>
      <w:bookmarkStart w:id="2567" w:name="_Toc32591"/>
      <w:bookmarkStart w:id="2568" w:name="_Toc30187"/>
      <w:bookmarkStart w:id="2569" w:name="_Toc2265"/>
      <w:bookmarkStart w:id="2570" w:name="_Toc30165"/>
      <w:bookmarkStart w:id="2571" w:name="_Toc20381"/>
      <w:r>
        <w:rPr>
          <w:rFonts w:hint="eastAsia" w:cs="仿宋_GB2312"/>
          <w:bCs/>
          <w:color w:val="000000" w:themeColor="text1"/>
          <w14:textFill>
            <w14:solidFill>
              <w14:schemeClr w14:val="tx1"/>
            </w14:solidFill>
          </w14:textFill>
        </w:rPr>
        <w:t>第二百一十二条</w:t>
      </w:r>
      <w:r>
        <w:rPr>
          <w:rFonts w:hint="eastAsia" w:ascii="Times New Roman" w:hAnsi="Times New Roman" w:cs="仿宋_GB2312"/>
          <w:bCs/>
          <w:color w:val="000000" w:themeColor="text1"/>
          <w:kern w:val="0"/>
          <w14:textFill>
            <w14:solidFill>
              <w14:schemeClr w14:val="tx1"/>
            </w14:solidFill>
          </w14:textFill>
        </w:rPr>
        <w:t xml:space="preserve"> 护士泄露患者隐私的</w:t>
      </w:r>
      <w:bookmarkEnd w:id="2561"/>
      <w:bookmarkEnd w:id="2562"/>
      <w:bookmarkEnd w:id="2563"/>
      <w:bookmarkEnd w:id="2564"/>
      <w:bookmarkEnd w:id="2565"/>
      <w:bookmarkEnd w:id="2566"/>
      <w:bookmarkEnd w:id="2567"/>
      <w:bookmarkEnd w:id="2568"/>
      <w:bookmarkEnd w:id="2569"/>
      <w:bookmarkEnd w:id="2570"/>
      <w:bookmarkEnd w:id="2571"/>
      <w:r>
        <w:rPr>
          <w:rFonts w:hint="eastAsia" w:ascii="Times New Roman" w:hAnsi="Times New Roman" w:cs="仿宋_GB2312"/>
          <w:bCs/>
          <w:color w:val="000000" w:themeColor="text1"/>
          <w:kern w:val="0"/>
          <w14:textFill>
            <w14:solidFill>
              <w14:schemeClr w14:val="tx1"/>
            </w14:solidFill>
          </w14:textFill>
        </w:rPr>
        <w:t xml:space="preserve"> </w:t>
      </w:r>
    </w:p>
    <w:p w14:paraId="20B06A6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2E9EC3B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《护士条例》第三十一条第一款第（三）项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护士在执业活动中有下列情形之一的，由县级以上地方人民政府卫生主管部门依据职责分工责令改正，给予警告；情节严重的，暂停其 6 个月以上 1 年以下执业活动，直至由原发证部门吊销其护士执业证书：</w:t>
      </w:r>
    </w:p>
    <w:p w14:paraId="2BB143A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（三）泄露患者隐私的；</w:t>
      </w:r>
    </w:p>
    <w:p w14:paraId="6E4C0DE5">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882"/>
        <w:gridCol w:w="4852"/>
      </w:tblGrid>
      <w:tr w14:paraId="3426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692662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882" w:type="dxa"/>
          </w:tcPr>
          <w:p w14:paraId="06F09FC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852" w:type="dxa"/>
          </w:tcPr>
          <w:p w14:paraId="35FBE5A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A82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DC97875">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882" w:type="dxa"/>
            <w:vAlign w:val="center"/>
          </w:tcPr>
          <w:p w14:paraId="1C1D021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护士在执业活动中泄露患者隐私，未造成危害后果的。</w:t>
            </w:r>
          </w:p>
        </w:tc>
        <w:tc>
          <w:tcPr>
            <w:tcW w:w="4852" w:type="dxa"/>
            <w:vAlign w:val="center"/>
          </w:tcPr>
          <w:p w14:paraId="3A7EDC2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w:t>
            </w:r>
          </w:p>
        </w:tc>
      </w:tr>
      <w:tr w14:paraId="4DAB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5FAF11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较严重</w:t>
            </w:r>
          </w:p>
        </w:tc>
        <w:tc>
          <w:tcPr>
            <w:tcW w:w="7882" w:type="dxa"/>
            <w:vAlign w:val="center"/>
          </w:tcPr>
          <w:p w14:paraId="51D040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护士不以获取利益为目的故意泄露患者隐私，或者泄露患者隐私造成危害后果的。</w:t>
            </w:r>
          </w:p>
        </w:tc>
        <w:tc>
          <w:tcPr>
            <w:tcW w:w="4852" w:type="dxa"/>
            <w:vAlign w:val="center"/>
          </w:tcPr>
          <w:p w14:paraId="1EBEFE6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6 个月以上 9 个月以下执业活动。</w:t>
            </w:r>
          </w:p>
        </w:tc>
      </w:tr>
      <w:tr w14:paraId="02B6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445AD6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882" w:type="dxa"/>
            <w:vAlign w:val="center"/>
          </w:tcPr>
          <w:p w14:paraId="6C96579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护士为获取利益而故意泄露患者隐私，或者造成比较严重后果的。</w:t>
            </w:r>
          </w:p>
        </w:tc>
        <w:tc>
          <w:tcPr>
            <w:tcW w:w="4852" w:type="dxa"/>
            <w:vAlign w:val="center"/>
          </w:tcPr>
          <w:p w14:paraId="58F8195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9 个月以上 1 年以下执业活动。</w:t>
            </w:r>
          </w:p>
        </w:tc>
      </w:tr>
      <w:tr w14:paraId="5254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761AEF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7882" w:type="dxa"/>
            <w:vAlign w:val="center"/>
          </w:tcPr>
          <w:p w14:paraId="7E85806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护士在执业活动中，故意泄露患者隐私，造成特别严重后果或恶劣社会影响的。</w:t>
            </w:r>
          </w:p>
        </w:tc>
        <w:tc>
          <w:tcPr>
            <w:tcW w:w="4852" w:type="dxa"/>
            <w:vAlign w:val="center"/>
          </w:tcPr>
          <w:p w14:paraId="4798AB3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原发证部门吊销其护士执业证书。</w:t>
            </w:r>
          </w:p>
        </w:tc>
      </w:tr>
    </w:tbl>
    <w:p w14:paraId="5BCF0D9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572" w:name="_Toc1357"/>
      <w:bookmarkStart w:id="2573" w:name="_Toc26102"/>
      <w:bookmarkStart w:id="2574" w:name="_Toc27615"/>
      <w:bookmarkStart w:id="2575" w:name="_Toc20914"/>
      <w:bookmarkStart w:id="2576" w:name="_Toc9507"/>
      <w:bookmarkStart w:id="2577" w:name="_Toc27884"/>
      <w:bookmarkStart w:id="2578" w:name="_Toc32335"/>
      <w:bookmarkStart w:id="2579" w:name="_Toc30533"/>
      <w:bookmarkStart w:id="2580" w:name="_Toc29040"/>
      <w:bookmarkStart w:id="2581" w:name="_Toc32262"/>
      <w:bookmarkStart w:id="2582" w:name="_Toc10617"/>
      <w:r>
        <w:rPr>
          <w:rFonts w:hint="eastAsia" w:cs="仿宋_GB2312"/>
          <w:bCs/>
          <w:color w:val="000000" w:themeColor="text1"/>
          <w14:textFill>
            <w14:solidFill>
              <w14:schemeClr w14:val="tx1"/>
            </w14:solidFill>
          </w14:textFill>
        </w:rPr>
        <w:t>第二百一十三条</w:t>
      </w:r>
      <w:r>
        <w:rPr>
          <w:rFonts w:hint="eastAsia" w:ascii="Times New Roman" w:hAnsi="Times New Roman" w:cs="仿宋_GB2312"/>
          <w:bCs/>
          <w:color w:val="000000" w:themeColor="text1"/>
          <w:kern w:val="0"/>
          <w14:textFill>
            <w14:solidFill>
              <w14:schemeClr w14:val="tx1"/>
            </w14:solidFill>
          </w14:textFill>
        </w:rPr>
        <w:t xml:space="preserve"> 发生自然灾害、公共卫生事件等严重威胁公众生命健康的突发事件，护士不服从安排参加医疗救护的</w:t>
      </w:r>
      <w:bookmarkEnd w:id="2572"/>
      <w:bookmarkEnd w:id="2573"/>
      <w:bookmarkEnd w:id="2574"/>
      <w:bookmarkEnd w:id="2575"/>
      <w:bookmarkEnd w:id="2576"/>
      <w:bookmarkEnd w:id="2577"/>
      <w:bookmarkEnd w:id="2578"/>
      <w:bookmarkEnd w:id="2579"/>
      <w:bookmarkEnd w:id="2580"/>
      <w:bookmarkEnd w:id="2581"/>
      <w:bookmarkEnd w:id="2582"/>
    </w:p>
    <w:p w14:paraId="423AC8C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32C5DEA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《护士条例》第三十一条第一款第（四）项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护士在执业活动中有下列情形之一的，由县级以上地方人民政府卫生主管部门依据职责分工责令改正，给予警告；情节严重的，暂停其 6 个月以上 1 年以下执业活动，直至由原发证部门吊销其护士执业证书：</w:t>
      </w:r>
    </w:p>
    <w:p w14:paraId="7D0C9E21">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（四）发生自然灾害、公</w:t>
      </w:r>
      <w:r>
        <w:rPr>
          <w:rFonts w:hint="eastAsia" w:ascii="Times New Roman" w:hAnsi="Times New Roman" w:eastAsia="仿宋_GB2312" w:cs="华文中宋"/>
          <w:color w:val="000000" w:themeColor="text1"/>
          <w:sz w:val="32"/>
          <w:szCs w:val="28"/>
          <w14:textFill>
            <w14:solidFill>
              <w14:schemeClr w14:val="tx1"/>
            </w14:solidFill>
          </w14:textFill>
        </w:rPr>
        <w:t>共卫生事件等严重威胁公众生命健康的突发事件，不服从安排参加医疗救护的。</w:t>
      </w:r>
    </w:p>
    <w:p w14:paraId="7FC7AB6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07"/>
        <w:gridCol w:w="4427"/>
      </w:tblGrid>
      <w:tr w14:paraId="1234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7EC9115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07" w:type="dxa"/>
          </w:tcPr>
          <w:p w14:paraId="60A9F48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427" w:type="dxa"/>
          </w:tcPr>
          <w:p w14:paraId="52750A7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23E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37670B5">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8307" w:type="dxa"/>
            <w:vAlign w:val="center"/>
          </w:tcPr>
          <w:p w14:paraId="36B2CDF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发生自然灾害、公共卫生事件等严重威胁公众生命健康的突发事件，护士首次不服从安排参加医疗救护的 。</w:t>
            </w:r>
          </w:p>
        </w:tc>
        <w:tc>
          <w:tcPr>
            <w:tcW w:w="4427" w:type="dxa"/>
            <w:vAlign w:val="center"/>
          </w:tcPr>
          <w:p w14:paraId="103908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 。</w:t>
            </w:r>
          </w:p>
        </w:tc>
      </w:tr>
      <w:tr w14:paraId="43E8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40" w:type="dxa"/>
            <w:vAlign w:val="center"/>
          </w:tcPr>
          <w:p w14:paraId="508A8D9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较严重</w:t>
            </w:r>
          </w:p>
        </w:tc>
        <w:tc>
          <w:tcPr>
            <w:tcW w:w="8307" w:type="dxa"/>
            <w:vAlign w:val="center"/>
          </w:tcPr>
          <w:p w14:paraId="3241340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护士在执业活动中发生自然灾害、公共卫生事件等严重威胁公众生命健康的突发事件，护士不服从安排参加医疗救护两次以上的 。</w:t>
            </w:r>
          </w:p>
        </w:tc>
        <w:tc>
          <w:tcPr>
            <w:tcW w:w="4427" w:type="dxa"/>
            <w:vAlign w:val="center"/>
          </w:tcPr>
          <w:p w14:paraId="77D3DC8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暂停其 6 个月以上 9 个月以下执业活动。 </w:t>
            </w:r>
          </w:p>
        </w:tc>
      </w:tr>
      <w:tr w14:paraId="4D73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40" w:type="dxa"/>
            <w:vAlign w:val="center"/>
          </w:tcPr>
          <w:p w14:paraId="4ECBEF9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8307" w:type="dxa"/>
            <w:vAlign w:val="center"/>
          </w:tcPr>
          <w:p w14:paraId="60F417E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护士在执业活动中发生自然灾害、公共卫生事件等严重威胁公众生命健康的突发事件，不服从安排参加医疗救护，造成危害后果的。 </w:t>
            </w:r>
          </w:p>
        </w:tc>
        <w:tc>
          <w:tcPr>
            <w:tcW w:w="4427" w:type="dxa"/>
            <w:vAlign w:val="center"/>
          </w:tcPr>
          <w:p w14:paraId="5D77F76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9 个月以上 1 年以下执业活动。</w:t>
            </w:r>
          </w:p>
        </w:tc>
      </w:tr>
      <w:tr w14:paraId="493B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40" w:type="dxa"/>
            <w:vAlign w:val="center"/>
          </w:tcPr>
          <w:p w14:paraId="1C3C55C5">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8307" w:type="dxa"/>
            <w:vAlign w:val="center"/>
          </w:tcPr>
          <w:p w14:paraId="5FE763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护士在执业活动中发生自然灾害、公共卫生事件等严重威胁公众生命健康的突发事件，不服从安排参加医疗救护，造成严重危害后果的。</w:t>
            </w:r>
          </w:p>
        </w:tc>
        <w:tc>
          <w:tcPr>
            <w:tcW w:w="4427" w:type="dxa"/>
            <w:vAlign w:val="center"/>
          </w:tcPr>
          <w:p w14:paraId="15877A2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原发证部门吊销其护士执业证书。</w:t>
            </w:r>
          </w:p>
        </w:tc>
      </w:tr>
    </w:tbl>
    <w:p w14:paraId="16FE8978">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2583" w:name="_Toc11628"/>
      <w:bookmarkStart w:id="2584" w:name="_Toc9052"/>
      <w:bookmarkStart w:id="2585" w:name="_Toc8758"/>
      <w:bookmarkStart w:id="2586" w:name="_Toc27212"/>
      <w:bookmarkStart w:id="2587" w:name="_Toc14720"/>
      <w:bookmarkStart w:id="2588" w:name="_Toc610"/>
      <w:bookmarkStart w:id="2589" w:name="_Toc15192"/>
      <w:bookmarkStart w:id="2590" w:name="_Toc23975"/>
      <w:bookmarkStart w:id="2591" w:name="_Toc32102"/>
      <w:bookmarkStart w:id="2592" w:name="_Toc443"/>
      <w:bookmarkStart w:id="2593" w:name="_Toc11911"/>
      <w:bookmarkStart w:id="2594" w:name="_Toc20142"/>
      <w:bookmarkStart w:id="2595" w:name="_Toc13794"/>
      <w:r>
        <w:rPr>
          <w:rFonts w:hint="eastAsia" w:ascii="Times New Roman" w:hAnsi="Times New Roman" w:eastAsia="楷体_GB2312" w:cs="楷体_GB2312"/>
          <w:bCs w:val="0"/>
          <w:color w:val="000000" w:themeColor="text1"/>
          <w:kern w:val="2"/>
          <w14:textFill>
            <w14:solidFill>
              <w14:schemeClr w14:val="tx1"/>
            </w14:solidFill>
          </w14:textFill>
        </w:rPr>
        <w:t>（五）《乡村医生从业管理条例》</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3A76038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596" w:name="_Toc25026"/>
      <w:bookmarkStart w:id="2597" w:name="_Toc23940"/>
      <w:bookmarkStart w:id="2598" w:name="_Toc18718"/>
      <w:bookmarkStart w:id="2599" w:name="_Toc16648"/>
      <w:bookmarkStart w:id="2600" w:name="_Toc23270"/>
      <w:bookmarkStart w:id="2601" w:name="_Toc16478"/>
      <w:bookmarkStart w:id="2602" w:name="_Toc14929"/>
      <w:bookmarkStart w:id="2603" w:name="_Toc15526"/>
      <w:bookmarkStart w:id="2604" w:name="_Toc20808"/>
      <w:bookmarkStart w:id="2605" w:name="_Toc21096"/>
      <w:bookmarkStart w:id="2606" w:name="_Toc16190"/>
      <w:r>
        <w:rPr>
          <w:rFonts w:hint="eastAsia" w:cs="仿宋_GB2312"/>
          <w:bCs/>
          <w:color w:val="000000" w:themeColor="text1"/>
          <w14:textFill>
            <w14:solidFill>
              <w14:schemeClr w14:val="tx1"/>
            </w14:solidFill>
          </w14:textFill>
        </w:rPr>
        <w:t>第二百一十四条</w:t>
      </w:r>
      <w:r>
        <w:rPr>
          <w:rFonts w:hint="eastAsia" w:ascii="Times New Roman" w:hAnsi="Times New Roman" w:cs="仿宋_GB2312"/>
          <w:bCs/>
          <w:color w:val="000000" w:themeColor="text1"/>
          <w:kern w:val="0"/>
          <w14:textFill>
            <w14:solidFill>
              <w14:schemeClr w14:val="tx1"/>
            </w14:solidFill>
          </w14:textFill>
        </w:rPr>
        <w:t xml:space="preserve"> 乡村医生执业活动超出规定的执业范围，或者未按照规定进行转诊的</w:t>
      </w:r>
      <w:bookmarkEnd w:id="2596"/>
      <w:bookmarkEnd w:id="2597"/>
      <w:bookmarkEnd w:id="2598"/>
      <w:bookmarkEnd w:id="2599"/>
      <w:bookmarkEnd w:id="2600"/>
      <w:bookmarkEnd w:id="2601"/>
      <w:bookmarkEnd w:id="2602"/>
      <w:bookmarkEnd w:id="2603"/>
      <w:bookmarkEnd w:id="2604"/>
      <w:bookmarkEnd w:id="2605"/>
      <w:bookmarkEnd w:id="2606"/>
      <w:r>
        <w:rPr>
          <w:rFonts w:hint="eastAsia" w:ascii="Times New Roman" w:hAnsi="Times New Roman" w:cs="仿宋_GB2312"/>
          <w:bCs/>
          <w:color w:val="000000" w:themeColor="text1"/>
          <w:kern w:val="0"/>
          <w14:textFill>
            <w14:solidFill>
              <w14:schemeClr w14:val="tx1"/>
            </w14:solidFill>
          </w14:textFill>
        </w:rPr>
        <w:t xml:space="preserve"> </w:t>
      </w:r>
    </w:p>
    <w:p w14:paraId="7C6B150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5E5197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《乡村医生从业管理条例》第三十八条第（一）项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本条例规定，有下列行为之一的，由县级人民政府卫生行政主管部门责令限期改正，给予警告；逾期不改正的，责令暂停３个月以上６个月以下执业活动；情节严重的，由原发证部门暂扣乡村医生执业证书：</w:t>
      </w:r>
    </w:p>
    <w:p w14:paraId="5DED4C52">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（一）执业活动超</w:t>
      </w:r>
      <w:r>
        <w:rPr>
          <w:rFonts w:hint="eastAsia" w:ascii="Times New Roman" w:hAnsi="Times New Roman" w:eastAsia="仿宋_GB2312" w:cs="华文中宋"/>
          <w:color w:val="000000" w:themeColor="text1"/>
          <w:sz w:val="32"/>
          <w:szCs w:val="28"/>
          <w14:textFill>
            <w14:solidFill>
              <w14:schemeClr w14:val="tx1"/>
            </w14:solidFill>
          </w14:textFill>
        </w:rPr>
        <w:t>出规定的执业范围，或者未按照规定进行转诊的；</w:t>
      </w:r>
    </w:p>
    <w:p w14:paraId="2DE0269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882"/>
        <w:gridCol w:w="4852"/>
      </w:tblGrid>
      <w:tr w14:paraId="6961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tcPr>
          <w:p w14:paraId="56E6AD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882" w:type="dxa"/>
          </w:tcPr>
          <w:p w14:paraId="3383363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852" w:type="dxa"/>
          </w:tcPr>
          <w:p w14:paraId="560D65F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3FC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440" w:type="dxa"/>
            <w:vAlign w:val="center"/>
          </w:tcPr>
          <w:p w14:paraId="4BBA3C2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882" w:type="dxa"/>
            <w:vAlign w:val="center"/>
          </w:tcPr>
          <w:p w14:paraId="303C2CB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执业活动超出规定的执业范围，或者未按照规定进行转诊的。</w:t>
            </w:r>
          </w:p>
        </w:tc>
        <w:tc>
          <w:tcPr>
            <w:tcW w:w="4852" w:type="dxa"/>
            <w:vAlign w:val="center"/>
          </w:tcPr>
          <w:p w14:paraId="473E2C4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w:t>
            </w:r>
          </w:p>
        </w:tc>
      </w:tr>
      <w:tr w14:paraId="6C9A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A5F1CB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7882" w:type="dxa"/>
            <w:vAlign w:val="center"/>
          </w:tcPr>
          <w:p w14:paraId="2F24CB7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执业活动超出规定的执业范围，或者未按照规定进行转诊，经责令限期改正，逾期不改正的。或造成患者伤害的。</w:t>
            </w:r>
          </w:p>
        </w:tc>
        <w:tc>
          <w:tcPr>
            <w:tcW w:w="4852" w:type="dxa"/>
            <w:vAlign w:val="center"/>
          </w:tcPr>
          <w:p w14:paraId="7A380AD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暂停其 3 个月以上 6 个月以下执业活动。</w:t>
            </w:r>
          </w:p>
        </w:tc>
      </w:tr>
      <w:tr w14:paraId="6085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440" w:type="dxa"/>
            <w:vAlign w:val="center"/>
          </w:tcPr>
          <w:p w14:paraId="70BA569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882" w:type="dxa"/>
            <w:vAlign w:val="center"/>
          </w:tcPr>
          <w:p w14:paraId="1CBF759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执业活动超出规定的执业范围，或者未按照规定进行转诊，造成患者死亡或者其他严重后果的。</w:t>
            </w:r>
          </w:p>
        </w:tc>
        <w:tc>
          <w:tcPr>
            <w:tcW w:w="4852" w:type="dxa"/>
            <w:vAlign w:val="center"/>
          </w:tcPr>
          <w:p w14:paraId="08149D6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原发证部门暂扣乡村医生执业证书。</w:t>
            </w:r>
          </w:p>
        </w:tc>
      </w:tr>
    </w:tbl>
    <w:p w14:paraId="5531D724">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607" w:name="_Toc1741"/>
      <w:bookmarkStart w:id="2608" w:name="_Toc1135"/>
      <w:bookmarkStart w:id="2609" w:name="_Toc26223"/>
      <w:bookmarkStart w:id="2610" w:name="_Toc21428"/>
      <w:bookmarkStart w:id="2611" w:name="_Toc30902"/>
      <w:bookmarkStart w:id="2612" w:name="_Toc10530"/>
      <w:bookmarkStart w:id="2613" w:name="_Toc6795"/>
      <w:bookmarkStart w:id="2614" w:name="_Toc7088"/>
      <w:bookmarkStart w:id="2615" w:name="_Toc21516"/>
      <w:bookmarkStart w:id="2616" w:name="_Toc27671"/>
      <w:bookmarkStart w:id="2617" w:name="_Toc19685"/>
      <w:r>
        <w:rPr>
          <w:rFonts w:hint="eastAsia" w:cs="仿宋_GB2312"/>
          <w:bCs/>
          <w:color w:val="000000" w:themeColor="text1"/>
          <w14:textFill>
            <w14:solidFill>
              <w14:schemeClr w14:val="tx1"/>
            </w14:solidFill>
          </w14:textFill>
        </w:rPr>
        <w:t>第二百一十五条</w:t>
      </w:r>
      <w:r>
        <w:rPr>
          <w:rFonts w:hint="eastAsia" w:ascii="Times New Roman" w:hAnsi="Times New Roman" w:cs="仿宋_GB2312"/>
          <w:bCs/>
          <w:color w:val="000000" w:themeColor="text1"/>
          <w:kern w:val="0"/>
          <w14:textFill>
            <w14:solidFill>
              <w14:schemeClr w14:val="tx1"/>
            </w14:solidFill>
          </w14:textFill>
        </w:rPr>
        <w:t xml:space="preserve"> 违反规定使用乡村医生基本用药目录以外的处方药品的</w:t>
      </w:r>
      <w:bookmarkEnd w:id="2607"/>
      <w:bookmarkEnd w:id="2608"/>
      <w:bookmarkEnd w:id="2609"/>
      <w:bookmarkEnd w:id="2610"/>
      <w:bookmarkEnd w:id="2611"/>
      <w:bookmarkEnd w:id="2612"/>
      <w:bookmarkEnd w:id="2613"/>
      <w:bookmarkEnd w:id="2614"/>
      <w:bookmarkEnd w:id="2615"/>
      <w:bookmarkEnd w:id="2616"/>
      <w:bookmarkEnd w:id="2617"/>
    </w:p>
    <w:p w14:paraId="3159133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50BCAE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《乡村医生从业管理条例》第三十八条第（二）项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乡村医生在执业活动中，违反本条例规定，有下列行为之一的，由县级人民政府卫生行政主管部门责令限期改正，给予警告；逾期不改正的，责令暂停 3 个月以上6 个月以下执业活动；情节严重的，由原发证部门暂扣乡村医生执业证书：</w:t>
      </w:r>
    </w:p>
    <w:p w14:paraId="0B610A7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（二）违反规定使用乡村医生基本用药目录以外的处方药品的；</w:t>
      </w:r>
    </w:p>
    <w:p w14:paraId="05432DDE">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07"/>
        <w:gridCol w:w="4427"/>
      </w:tblGrid>
      <w:tr w14:paraId="66A6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785521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07" w:type="dxa"/>
          </w:tcPr>
          <w:p w14:paraId="7A29CFE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427" w:type="dxa"/>
          </w:tcPr>
          <w:p w14:paraId="69A1AA2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B26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D19FAC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8307" w:type="dxa"/>
            <w:vAlign w:val="center"/>
          </w:tcPr>
          <w:p w14:paraId="6B00D70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违反规定使用乡村医生基本用药目录以外的处方药品的。</w:t>
            </w:r>
          </w:p>
        </w:tc>
        <w:tc>
          <w:tcPr>
            <w:tcW w:w="4427" w:type="dxa"/>
            <w:vAlign w:val="center"/>
          </w:tcPr>
          <w:p w14:paraId="13601D0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责令限期改正，给予警告。 </w:t>
            </w:r>
          </w:p>
        </w:tc>
      </w:tr>
      <w:tr w14:paraId="1054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8A5121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8307" w:type="dxa"/>
            <w:vAlign w:val="center"/>
          </w:tcPr>
          <w:p w14:paraId="59C50A0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违反规定使用乡村医生基本用药目录以外的处方药品，逾期不改正的或造成患者伤害的 。</w:t>
            </w:r>
          </w:p>
        </w:tc>
        <w:tc>
          <w:tcPr>
            <w:tcW w:w="4427" w:type="dxa"/>
            <w:vAlign w:val="center"/>
          </w:tcPr>
          <w:p w14:paraId="7FF6C07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 3 个月以上 6 个月以下执业活动。</w:t>
            </w:r>
          </w:p>
        </w:tc>
      </w:tr>
      <w:tr w14:paraId="59D1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AED91E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8307" w:type="dxa"/>
            <w:vAlign w:val="center"/>
          </w:tcPr>
          <w:p w14:paraId="1617692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违反规定使用乡村医生基本用药目录以外的处方药品，造成患者死亡或者其他严重后果的。</w:t>
            </w:r>
          </w:p>
        </w:tc>
        <w:tc>
          <w:tcPr>
            <w:tcW w:w="4427" w:type="dxa"/>
            <w:vAlign w:val="center"/>
          </w:tcPr>
          <w:p w14:paraId="53AA765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由原发证部门暂扣乡村医生执业证书。 </w:t>
            </w:r>
          </w:p>
        </w:tc>
      </w:tr>
    </w:tbl>
    <w:p w14:paraId="217240BD">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618" w:name="_Toc8578"/>
      <w:bookmarkStart w:id="2619" w:name="_Toc26494"/>
      <w:bookmarkStart w:id="2620" w:name="_Toc31046"/>
      <w:bookmarkStart w:id="2621" w:name="_Toc25050"/>
      <w:bookmarkStart w:id="2622" w:name="_Toc7219"/>
      <w:bookmarkStart w:id="2623" w:name="_Toc22771"/>
      <w:bookmarkStart w:id="2624" w:name="_Toc8817"/>
      <w:bookmarkStart w:id="2625" w:name="_Toc5215"/>
      <w:bookmarkStart w:id="2626" w:name="_Toc6698"/>
      <w:bookmarkStart w:id="2627" w:name="_Toc656"/>
      <w:bookmarkStart w:id="2628" w:name="_Toc19289"/>
      <w:r>
        <w:rPr>
          <w:rFonts w:hint="eastAsia" w:cs="仿宋_GB2312"/>
          <w:bCs/>
          <w:color w:val="000000" w:themeColor="text1"/>
          <w14:textFill>
            <w14:solidFill>
              <w14:schemeClr w14:val="tx1"/>
            </w14:solidFill>
          </w14:textFill>
        </w:rPr>
        <w:t>第二百一十六条</w:t>
      </w:r>
      <w:r>
        <w:rPr>
          <w:rFonts w:hint="eastAsia" w:ascii="Times New Roman" w:hAnsi="Times New Roman" w:cs="仿宋_GB2312"/>
          <w:bCs/>
          <w:color w:val="000000" w:themeColor="text1"/>
          <w:kern w:val="0"/>
          <w14:textFill>
            <w14:solidFill>
              <w14:schemeClr w14:val="tx1"/>
            </w14:solidFill>
          </w14:textFill>
        </w:rPr>
        <w:t xml:space="preserve"> 乡村医生违反规定出具医学证明，或者伪造卫生统计资料的</w:t>
      </w:r>
      <w:bookmarkEnd w:id="2618"/>
      <w:bookmarkEnd w:id="2619"/>
      <w:bookmarkEnd w:id="2620"/>
      <w:bookmarkEnd w:id="2621"/>
      <w:bookmarkEnd w:id="2622"/>
      <w:bookmarkEnd w:id="2623"/>
      <w:bookmarkEnd w:id="2624"/>
      <w:bookmarkEnd w:id="2625"/>
      <w:bookmarkEnd w:id="2626"/>
      <w:bookmarkEnd w:id="2627"/>
      <w:bookmarkEnd w:id="2628"/>
      <w:r>
        <w:rPr>
          <w:rFonts w:hint="eastAsia" w:ascii="Times New Roman" w:hAnsi="Times New Roman" w:cs="仿宋_GB2312"/>
          <w:bCs/>
          <w:color w:val="000000" w:themeColor="text1"/>
          <w:kern w:val="0"/>
          <w14:textFill>
            <w14:solidFill>
              <w14:schemeClr w14:val="tx1"/>
            </w14:solidFill>
          </w14:textFill>
        </w:rPr>
        <w:t xml:space="preserve"> </w:t>
      </w:r>
    </w:p>
    <w:p w14:paraId="26A68AE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 法律依据：</w:t>
      </w:r>
    </w:p>
    <w:p w14:paraId="1BCDC7C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《乡村医生从业管理条例》第三十八条第（三）项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本条例规定，有下列行为之一的，由县级人民政府卫生行政主管部门责令限期改正，给予警告；逾期不改正的，责令暂停３个月以上６个月以下执业活动；情节严重的，由原发证部门暂扣乡村医生执业证书：</w:t>
      </w:r>
    </w:p>
    <w:p w14:paraId="0CCFBD13">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（三）违反规定出具医</w:t>
      </w:r>
      <w:r>
        <w:rPr>
          <w:rFonts w:hint="eastAsia" w:ascii="Times New Roman" w:hAnsi="Times New Roman" w:eastAsia="仿宋_GB2312" w:cs="华文中宋"/>
          <w:color w:val="000000" w:themeColor="text1"/>
          <w:sz w:val="32"/>
          <w:szCs w:val="28"/>
          <w14:textFill>
            <w14:solidFill>
              <w14:schemeClr w14:val="tx1"/>
            </w14:solidFill>
          </w14:textFill>
        </w:rPr>
        <w:t>学证明，或者伪造卫生统计资料的；</w:t>
      </w:r>
    </w:p>
    <w:p w14:paraId="600E95C4">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740"/>
        <w:gridCol w:w="4994"/>
      </w:tblGrid>
      <w:tr w14:paraId="1F61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64680E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40" w:type="dxa"/>
          </w:tcPr>
          <w:p w14:paraId="70CB024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994" w:type="dxa"/>
          </w:tcPr>
          <w:p w14:paraId="2AC0A2D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F16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C5F8C6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740" w:type="dxa"/>
            <w:vAlign w:val="center"/>
          </w:tcPr>
          <w:p w14:paraId="6495B7A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违反规定出具医学证明，或者伪造卫生统计资料的 。</w:t>
            </w:r>
          </w:p>
        </w:tc>
        <w:tc>
          <w:tcPr>
            <w:tcW w:w="4994" w:type="dxa"/>
            <w:vAlign w:val="center"/>
          </w:tcPr>
          <w:p w14:paraId="664659A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责令限期改正，给予警告。 </w:t>
            </w:r>
          </w:p>
        </w:tc>
      </w:tr>
      <w:tr w14:paraId="27EA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210343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7740" w:type="dxa"/>
            <w:vAlign w:val="center"/>
          </w:tcPr>
          <w:p w14:paraId="1B6687F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违反规定出具医学证明，或者伪造卫生统计资料，经责令限期改正， 逾期不改正的 。</w:t>
            </w:r>
          </w:p>
        </w:tc>
        <w:tc>
          <w:tcPr>
            <w:tcW w:w="4994" w:type="dxa"/>
            <w:vAlign w:val="center"/>
          </w:tcPr>
          <w:p w14:paraId="40B26F1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 3 个月以上 6 个月以下执业活动。</w:t>
            </w:r>
          </w:p>
        </w:tc>
      </w:tr>
      <w:tr w14:paraId="512A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7E75D0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740" w:type="dxa"/>
            <w:vAlign w:val="center"/>
          </w:tcPr>
          <w:p w14:paraId="61CF42E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违反规定出具医学证明，或者伪造卫生统计资料，情节严重的。</w:t>
            </w:r>
          </w:p>
        </w:tc>
        <w:tc>
          <w:tcPr>
            <w:tcW w:w="4994" w:type="dxa"/>
            <w:vAlign w:val="center"/>
          </w:tcPr>
          <w:p w14:paraId="45A18C8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由原发证部门暂扣乡村医生执业证书。 </w:t>
            </w:r>
          </w:p>
        </w:tc>
      </w:tr>
    </w:tbl>
    <w:p w14:paraId="216A057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629" w:name="_Toc10436"/>
      <w:bookmarkStart w:id="2630" w:name="_Toc10550"/>
      <w:bookmarkStart w:id="2631" w:name="_Toc8996"/>
      <w:bookmarkStart w:id="2632" w:name="_Toc21726"/>
      <w:bookmarkStart w:id="2633" w:name="_Toc12120"/>
      <w:bookmarkStart w:id="2634" w:name="_Toc20408"/>
      <w:bookmarkStart w:id="2635" w:name="_Toc7786"/>
      <w:bookmarkStart w:id="2636" w:name="_Toc19692"/>
      <w:bookmarkStart w:id="2637" w:name="_Toc28989"/>
      <w:bookmarkStart w:id="2638" w:name="_Toc21113"/>
      <w:bookmarkStart w:id="2639" w:name="_Toc28728"/>
      <w:r>
        <w:rPr>
          <w:rFonts w:hint="eastAsia" w:cs="仿宋_GB2312"/>
          <w:bCs/>
          <w:color w:val="000000" w:themeColor="text1"/>
          <w14:textFill>
            <w14:solidFill>
              <w14:schemeClr w14:val="tx1"/>
            </w14:solidFill>
          </w14:textFill>
        </w:rPr>
        <w:t>第二百一十七条</w:t>
      </w:r>
      <w:r>
        <w:rPr>
          <w:rFonts w:hint="eastAsia" w:ascii="Times New Roman" w:hAnsi="Times New Roman" w:cs="仿宋_GB2312"/>
          <w:bCs/>
          <w:color w:val="000000" w:themeColor="text1"/>
          <w:kern w:val="0"/>
          <w14:textFill>
            <w14:solidFill>
              <w14:schemeClr w14:val="tx1"/>
            </w14:solidFill>
          </w14:textFill>
        </w:rPr>
        <w:t xml:space="preserve"> 发现传染病疫情、中毒事件不按规定报告的</w:t>
      </w:r>
      <w:bookmarkEnd w:id="2629"/>
      <w:bookmarkEnd w:id="2630"/>
      <w:bookmarkEnd w:id="2631"/>
      <w:bookmarkEnd w:id="2632"/>
      <w:bookmarkEnd w:id="2633"/>
      <w:bookmarkEnd w:id="2634"/>
      <w:bookmarkEnd w:id="2635"/>
      <w:bookmarkEnd w:id="2636"/>
      <w:bookmarkEnd w:id="2637"/>
      <w:bookmarkEnd w:id="2638"/>
      <w:bookmarkEnd w:id="2639"/>
    </w:p>
    <w:p w14:paraId="5F94939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D3B4B9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《乡村医生从业管理条例》第三十八条第（四）项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本条例规定，有下列行为之一的，由县级人民政府卫生行政主管部门责令限期改正，给予警告；逾期不改正的，责令暂停３个月以上６个月以下执业活动；情节严重的，由原发证部门暂扣乡村医生执业证书：</w:t>
      </w:r>
    </w:p>
    <w:p w14:paraId="3F0C02F3">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（四）发现传染病疫</w:t>
      </w:r>
      <w:r>
        <w:rPr>
          <w:rFonts w:hint="eastAsia" w:ascii="Times New Roman" w:hAnsi="Times New Roman" w:eastAsia="仿宋_GB2312" w:cs="华文中宋"/>
          <w:color w:val="000000" w:themeColor="text1"/>
          <w:sz w:val="32"/>
          <w:szCs w:val="28"/>
          <w14:textFill>
            <w14:solidFill>
              <w14:schemeClr w14:val="tx1"/>
            </w14:solidFill>
          </w14:textFill>
        </w:rPr>
        <w:t>情、中毒事件不按规定报告的。</w:t>
      </w:r>
    </w:p>
    <w:p w14:paraId="03CBB2A2">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173"/>
        <w:gridCol w:w="5561"/>
      </w:tblGrid>
      <w:tr w14:paraId="29A6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C66A9F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173" w:type="dxa"/>
          </w:tcPr>
          <w:p w14:paraId="5697299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561" w:type="dxa"/>
          </w:tcPr>
          <w:p w14:paraId="600B6AC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51F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F4EA5E2">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173" w:type="dxa"/>
            <w:vAlign w:val="center"/>
          </w:tcPr>
          <w:p w14:paraId="14312D6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发现传染病疫情、中毒事件不按规定报告的。</w:t>
            </w:r>
          </w:p>
        </w:tc>
        <w:tc>
          <w:tcPr>
            <w:tcW w:w="5561" w:type="dxa"/>
            <w:vAlign w:val="center"/>
          </w:tcPr>
          <w:p w14:paraId="7DEF694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责令限期改正，给予警告。 </w:t>
            </w:r>
          </w:p>
        </w:tc>
      </w:tr>
      <w:tr w14:paraId="3316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B863BC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7173" w:type="dxa"/>
            <w:vAlign w:val="center"/>
          </w:tcPr>
          <w:p w14:paraId="1D8D4D9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发现传染病疫情、中毒事件不按规定报告，经责令限期改正，逾期不改正的。</w:t>
            </w:r>
          </w:p>
        </w:tc>
        <w:tc>
          <w:tcPr>
            <w:tcW w:w="5561" w:type="dxa"/>
            <w:vAlign w:val="center"/>
          </w:tcPr>
          <w:p w14:paraId="786529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 3 个月以上 6 个月以下执业活动。</w:t>
            </w:r>
          </w:p>
        </w:tc>
      </w:tr>
      <w:tr w14:paraId="54A6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70E56D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173" w:type="dxa"/>
            <w:vAlign w:val="center"/>
          </w:tcPr>
          <w:p w14:paraId="4DE2296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发现传染病疫情、中毒事件不按规定报告，情节严重的。</w:t>
            </w:r>
          </w:p>
        </w:tc>
        <w:tc>
          <w:tcPr>
            <w:tcW w:w="5561" w:type="dxa"/>
            <w:vAlign w:val="center"/>
          </w:tcPr>
          <w:p w14:paraId="299A2CF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由原发证部门暂扣乡村医生执业证书。 </w:t>
            </w:r>
          </w:p>
        </w:tc>
      </w:tr>
    </w:tbl>
    <w:p w14:paraId="2B023D7F">
      <w:pPr>
        <w:pStyle w:val="4"/>
        <w:widowControl w:val="0"/>
        <w:ind w:firstLine="640"/>
        <w:jc w:val="both"/>
        <w:rPr>
          <w:rFonts w:hint="eastAsia" w:ascii="Times New Roman" w:hAnsi="Times New Roman" w:cs="仿宋_GB2312"/>
          <w:bCs/>
          <w:color w:val="000000" w:themeColor="text1"/>
          <w:spacing w:val="-6"/>
          <w:kern w:val="0"/>
          <w14:textFill>
            <w14:solidFill>
              <w14:schemeClr w14:val="tx1"/>
            </w14:solidFill>
          </w14:textFill>
        </w:rPr>
      </w:pPr>
      <w:bookmarkStart w:id="2640" w:name="_Toc6632"/>
      <w:bookmarkStart w:id="2641" w:name="_Toc11925"/>
      <w:bookmarkStart w:id="2642" w:name="_Toc16124"/>
      <w:bookmarkStart w:id="2643" w:name="_Toc18099"/>
      <w:bookmarkStart w:id="2644" w:name="_Toc9980"/>
      <w:bookmarkStart w:id="2645" w:name="_Toc7353"/>
      <w:bookmarkStart w:id="2646" w:name="_Toc26146"/>
      <w:bookmarkStart w:id="2647" w:name="_Toc27481"/>
      <w:bookmarkStart w:id="2648" w:name="_Toc30333"/>
      <w:bookmarkStart w:id="2649" w:name="_Toc10350"/>
      <w:bookmarkStart w:id="2650" w:name="_Toc16385"/>
      <w:r>
        <w:rPr>
          <w:rFonts w:hint="eastAsia" w:cs="仿宋_GB2312"/>
          <w:bCs/>
          <w:color w:val="000000" w:themeColor="text1"/>
          <w14:textFill>
            <w14:solidFill>
              <w14:schemeClr w14:val="tx1"/>
            </w14:solidFill>
          </w14:textFill>
        </w:rPr>
        <w:t>第二百一十八条</w:t>
      </w:r>
      <w:r>
        <w:rPr>
          <w:rFonts w:hint="eastAsia" w:ascii="Times New Roman" w:hAnsi="Times New Roman" w:cs="仿宋_GB2312"/>
          <w:bCs/>
          <w:color w:val="000000" w:themeColor="text1"/>
          <w:kern w:val="0"/>
          <w14:textFill>
            <w14:solidFill>
              <w14:schemeClr w14:val="tx1"/>
            </w14:solidFill>
          </w14:textFill>
        </w:rPr>
        <w:t xml:space="preserve"> </w:t>
      </w:r>
      <w:r>
        <w:rPr>
          <w:rFonts w:hint="eastAsia" w:ascii="Times New Roman" w:hAnsi="Times New Roman" w:cs="仿宋_GB2312"/>
          <w:bCs/>
          <w:color w:val="000000" w:themeColor="text1"/>
          <w:spacing w:val="-6"/>
          <w:kern w:val="0"/>
          <w14:textFill>
            <w14:solidFill>
              <w14:schemeClr w14:val="tx1"/>
            </w14:solidFill>
          </w14:textFill>
        </w:rPr>
        <w:t>违反规定进行实验性临床医疗活动，或者重复使用一次性医疗器械和卫生材料的</w:t>
      </w:r>
      <w:bookmarkEnd w:id="2640"/>
      <w:bookmarkEnd w:id="2641"/>
      <w:bookmarkEnd w:id="2642"/>
      <w:bookmarkEnd w:id="2643"/>
      <w:bookmarkEnd w:id="2644"/>
      <w:bookmarkEnd w:id="2645"/>
      <w:bookmarkEnd w:id="2646"/>
      <w:bookmarkEnd w:id="2647"/>
      <w:bookmarkEnd w:id="2648"/>
      <w:bookmarkEnd w:id="2649"/>
      <w:bookmarkEnd w:id="2650"/>
    </w:p>
    <w:p w14:paraId="100CAF0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09814280">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《乡村医生从业管理条例》第三十九条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乡村医生在执业活动中，违反规定进行实验性临床医疗活动，或者重复使用一次性医疗器械和卫生材料的，由县级人民政府卫生行政主管部门责令停止违法行为，给予警告，可以并处 1000 元</w:t>
      </w:r>
      <w:r>
        <w:rPr>
          <w:rFonts w:hint="eastAsia" w:ascii="Times New Roman" w:hAnsi="Times New Roman" w:eastAsia="仿宋_GB2312" w:cs="华文中宋"/>
          <w:color w:val="000000" w:themeColor="text1"/>
          <w:sz w:val="32"/>
          <w:szCs w:val="28"/>
          <w14:textFill>
            <w14:solidFill>
              <w14:schemeClr w14:val="tx1"/>
            </w14:solidFill>
          </w14:textFill>
        </w:rPr>
        <w:t>以下的罚款；情节严重的，由原发证部门暂扣或者吊销乡村医生执业证书。</w:t>
      </w:r>
    </w:p>
    <w:p w14:paraId="731C2803">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4556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942E88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724B802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4221DB1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DC9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00EFA6E5">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20489FF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违反规定进行实验性临床医疗活动，或者重复使用一次性医疗器械和卫生材料的。</w:t>
            </w:r>
          </w:p>
        </w:tc>
        <w:tc>
          <w:tcPr>
            <w:tcW w:w="7139" w:type="dxa"/>
            <w:vAlign w:val="center"/>
          </w:tcPr>
          <w:p w14:paraId="7627CCC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责令停止违法行为，给予警告，可并处 1000 元以下罚款。</w:t>
            </w:r>
          </w:p>
        </w:tc>
      </w:tr>
      <w:tr w14:paraId="0789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78B8E05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3742010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违反规定进行实验性临床医疗活动，或者重复使用一次性医疗器械和卫生材料，情节严重的。</w:t>
            </w:r>
          </w:p>
        </w:tc>
        <w:tc>
          <w:tcPr>
            <w:tcW w:w="7139" w:type="dxa"/>
            <w:vAlign w:val="center"/>
          </w:tcPr>
          <w:p w14:paraId="31A8B64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原发证部门暂扣乡村医生执业证书或者吊销乡村医生执业证书。</w:t>
            </w:r>
          </w:p>
        </w:tc>
      </w:tr>
    </w:tbl>
    <w:p w14:paraId="262291BF">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651" w:name="_Toc17908"/>
      <w:bookmarkStart w:id="2652" w:name="_Toc18328"/>
      <w:bookmarkStart w:id="2653" w:name="_Toc16619"/>
      <w:bookmarkStart w:id="2654" w:name="_Toc30526"/>
      <w:bookmarkStart w:id="2655" w:name="_Toc31910"/>
      <w:bookmarkStart w:id="2656" w:name="_Toc2041"/>
      <w:bookmarkStart w:id="2657" w:name="_Toc12232"/>
      <w:bookmarkStart w:id="2658" w:name="_Toc26079"/>
      <w:bookmarkStart w:id="2659" w:name="_Toc8165"/>
      <w:bookmarkStart w:id="2660" w:name="_Toc4552"/>
      <w:bookmarkStart w:id="2661" w:name="_Toc16567"/>
      <w:r>
        <w:rPr>
          <w:rFonts w:hint="eastAsia" w:cs="仿宋_GB2312"/>
          <w:bCs/>
          <w:color w:val="000000" w:themeColor="text1"/>
          <w14:textFill>
            <w14:solidFill>
              <w14:schemeClr w14:val="tx1"/>
            </w14:solidFill>
          </w14:textFill>
        </w:rPr>
        <w:t>第二百一十九条</w:t>
      </w:r>
      <w:r>
        <w:rPr>
          <w:rFonts w:hint="eastAsia" w:ascii="Times New Roman" w:hAnsi="Times New Roman" w:cs="仿宋_GB2312"/>
          <w:bCs/>
          <w:color w:val="000000" w:themeColor="text1"/>
          <w:kern w:val="0"/>
          <w14:textFill>
            <w14:solidFill>
              <w14:schemeClr w14:val="tx1"/>
            </w14:solidFill>
          </w14:textFill>
        </w:rPr>
        <w:t xml:space="preserve"> 未经注册在村医疗卫生机构从事医疗活动的</w:t>
      </w:r>
      <w:bookmarkEnd w:id="2651"/>
      <w:bookmarkEnd w:id="2652"/>
      <w:bookmarkEnd w:id="2653"/>
      <w:bookmarkEnd w:id="2654"/>
      <w:bookmarkEnd w:id="2655"/>
      <w:bookmarkEnd w:id="2656"/>
      <w:bookmarkEnd w:id="2657"/>
      <w:bookmarkEnd w:id="2658"/>
      <w:bookmarkEnd w:id="2659"/>
      <w:bookmarkEnd w:id="2660"/>
      <w:bookmarkEnd w:id="2661"/>
    </w:p>
    <w:p w14:paraId="319AFFE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4D9E68B2">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《乡村医生从业管理条例》第四十二条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未经注册在村医疗卫生机构从事医疗活动的，由县级以上地方人民政府卫生行政主管部门予以取缔，没收其违法所得以及药品、医疗器械，违法所得 5000 元以上的，并处违法所得1倍以上3倍以下的罚款；没有违法所得或者违法所得不足5000元的，并处 1000</w:t>
      </w:r>
      <w:r>
        <w:rPr>
          <w:rFonts w:hint="eastAsia" w:ascii="Times New Roman" w:hAnsi="Times New Roman" w:eastAsia="仿宋_GB2312" w:cs="华文中宋"/>
          <w:color w:val="000000" w:themeColor="text1"/>
          <w:sz w:val="32"/>
          <w:szCs w:val="28"/>
          <w14:textFill>
            <w14:solidFill>
              <w14:schemeClr w14:val="tx1"/>
            </w14:solidFill>
          </w14:textFill>
        </w:rPr>
        <w:t xml:space="preserve"> 元以</w:t>
      </w:r>
      <w:r>
        <w:rPr>
          <w:rFonts w:hint="eastAsia" w:ascii="Times New Roman" w:hAnsi="Times New Roman" w:eastAsia="仿宋_GB2312" w:cs="仿宋_GB2312"/>
          <w:color w:val="000000" w:themeColor="text1"/>
          <w:kern w:val="2"/>
          <w:sz w:val="32"/>
          <w:szCs w:val="32"/>
          <w14:textFill>
            <w14:solidFill>
              <w14:schemeClr w14:val="tx1"/>
            </w14:solidFill>
          </w14:textFill>
        </w:rPr>
        <w:t>上 3000 元</w:t>
      </w:r>
      <w:r>
        <w:rPr>
          <w:rFonts w:hint="eastAsia" w:ascii="Times New Roman" w:hAnsi="Times New Roman" w:eastAsia="仿宋_GB2312" w:cs="华文中宋"/>
          <w:color w:val="000000" w:themeColor="text1"/>
          <w:sz w:val="32"/>
          <w:szCs w:val="28"/>
          <w14:textFill>
            <w14:solidFill>
              <w14:schemeClr w14:val="tx1"/>
            </w14:solidFill>
          </w14:textFill>
        </w:rPr>
        <w:t>以下的罚款；造成患者人身损害的，依法承担民事赔偿责任；构成犯罪的，依法追究刑事责任。</w:t>
      </w:r>
    </w:p>
    <w:p w14:paraId="41F5B01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039"/>
        <w:gridCol w:w="6695"/>
      </w:tblGrid>
      <w:tr w14:paraId="0F66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642D2F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039" w:type="dxa"/>
          </w:tcPr>
          <w:p w14:paraId="2B99066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695" w:type="dxa"/>
          </w:tcPr>
          <w:p w14:paraId="267F28A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86C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2DA96695">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039" w:type="dxa"/>
            <w:vAlign w:val="center"/>
          </w:tcPr>
          <w:p w14:paraId="5452627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未经注册在村医疗卫生机构从事医疗活动的，没有违法所得的 。</w:t>
            </w:r>
          </w:p>
        </w:tc>
        <w:tc>
          <w:tcPr>
            <w:tcW w:w="6695" w:type="dxa"/>
            <w:vAlign w:val="center"/>
          </w:tcPr>
          <w:p w14:paraId="099D497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予以取缔，没收药品、医疗器械，并处 1000 元罚款。</w:t>
            </w:r>
          </w:p>
        </w:tc>
      </w:tr>
      <w:tr w14:paraId="77FF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1A605A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6039" w:type="dxa"/>
            <w:vAlign w:val="center"/>
          </w:tcPr>
          <w:p w14:paraId="4ADAEC9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未经注册在村医疗卫生机构从事医疗活动，违法所得不足 5000 元的。 </w:t>
            </w:r>
          </w:p>
        </w:tc>
        <w:tc>
          <w:tcPr>
            <w:tcW w:w="6695" w:type="dxa"/>
            <w:vAlign w:val="center"/>
          </w:tcPr>
          <w:p w14:paraId="25006BF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予以取缔，没收其违法所得以及药品、医疗器械，并处 1000 元以上3000 元以下的罚款 。</w:t>
            </w:r>
          </w:p>
        </w:tc>
      </w:tr>
      <w:tr w14:paraId="42BB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283E002">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039" w:type="dxa"/>
            <w:vAlign w:val="center"/>
          </w:tcPr>
          <w:p w14:paraId="37ED861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未经注册在村医疗卫生机构从事医疗活动，违法所得 5000 元以上的。 </w:t>
            </w:r>
          </w:p>
        </w:tc>
        <w:tc>
          <w:tcPr>
            <w:tcW w:w="6695" w:type="dxa"/>
            <w:vAlign w:val="center"/>
          </w:tcPr>
          <w:p w14:paraId="08087DA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予以取缔，没收其违法所得以及药品、医疗器械，并处违法所得 1 倍以上 3 倍以下的罚款。 </w:t>
            </w:r>
          </w:p>
        </w:tc>
      </w:tr>
    </w:tbl>
    <w:p w14:paraId="6C96C829">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662" w:name="_Toc834"/>
      <w:bookmarkStart w:id="2663" w:name="_Toc12780"/>
      <w:bookmarkStart w:id="2664" w:name="_Toc3061"/>
      <w:bookmarkStart w:id="2665" w:name="_Toc26220"/>
      <w:bookmarkStart w:id="2666" w:name="_Toc27843"/>
      <w:bookmarkStart w:id="2667" w:name="_Toc119"/>
      <w:bookmarkStart w:id="2668" w:name="_Toc15112"/>
      <w:bookmarkStart w:id="2669" w:name="_Toc30075"/>
      <w:bookmarkStart w:id="2670" w:name="_Toc19656"/>
      <w:bookmarkStart w:id="2671" w:name="_Toc18717"/>
      <w:bookmarkStart w:id="2672" w:name="_Toc19827"/>
      <w:r>
        <w:rPr>
          <w:rFonts w:hint="eastAsia" w:cs="仿宋_GB2312"/>
          <w:bCs/>
          <w:color w:val="000000" w:themeColor="text1"/>
          <w14:textFill>
            <w14:solidFill>
              <w14:schemeClr w14:val="tx1"/>
            </w14:solidFill>
          </w14:textFill>
        </w:rPr>
        <w:t>第二百二十条</w:t>
      </w:r>
      <w:r>
        <w:rPr>
          <w:rFonts w:hint="eastAsia" w:ascii="Times New Roman" w:hAnsi="Times New Roman" w:cs="仿宋_GB2312"/>
          <w:bCs/>
          <w:color w:val="000000" w:themeColor="text1"/>
          <w:kern w:val="0"/>
          <w14:textFill>
            <w14:solidFill>
              <w14:schemeClr w14:val="tx1"/>
            </w14:solidFill>
          </w14:textFill>
        </w:rPr>
        <w:t xml:space="preserve"> 乡村医生变更执业的村医疗卫生机构，未办理变更执业注册手续的</w:t>
      </w:r>
      <w:bookmarkEnd w:id="2662"/>
      <w:bookmarkEnd w:id="2663"/>
      <w:bookmarkEnd w:id="2664"/>
      <w:bookmarkEnd w:id="2665"/>
      <w:bookmarkEnd w:id="2666"/>
      <w:bookmarkEnd w:id="2667"/>
      <w:bookmarkEnd w:id="2668"/>
      <w:bookmarkEnd w:id="2669"/>
      <w:bookmarkEnd w:id="2670"/>
      <w:bookmarkEnd w:id="2671"/>
      <w:bookmarkEnd w:id="2672"/>
    </w:p>
    <w:p w14:paraId="6B7843B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37ED4EC9">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w:t>
      </w:r>
      <w:r>
        <w:rPr>
          <w:rFonts w:hint="eastAsia" w:ascii="Times New Roman" w:hAnsi="Times New Roman" w:eastAsia="仿宋_GB2312" w:cs="华文中宋"/>
          <w:color w:val="000000" w:themeColor="text1"/>
          <w:sz w:val="32"/>
          <w:szCs w:val="28"/>
          <w14:textFill>
            <w14:solidFill>
              <w14:schemeClr w14:val="tx1"/>
            </w14:solidFill>
          </w14:textFill>
        </w:rPr>
        <w:t>从业管理条例》第四十条</w:t>
      </w:r>
      <w:r>
        <w:rPr>
          <w:rFonts w:hint="eastAsia" w:ascii="Times New Roman" w:hAnsi="Times New Roman" w:eastAsia="仿宋_GB2312" w:cs="华文中宋"/>
          <w:color w:val="000000" w:themeColor="text1"/>
          <w:sz w:val="32"/>
          <w:szCs w:val="28"/>
          <w:lang w:eastAsia="zh-CN"/>
          <w14:textFill>
            <w14:solidFill>
              <w14:schemeClr w14:val="tx1"/>
            </w14:solidFill>
          </w14:textFill>
        </w:rPr>
        <w:t xml:space="preserve"> </w:t>
      </w:r>
      <w:r>
        <w:rPr>
          <w:rFonts w:hint="eastAsia" w:ascii="Times New Roman" w:hAnsi="Times New Roman" w:eastAsia="仿宋_GB2312" w:cs="华文中宋"/>
          <w:color w:val="000000" w:themeColor="text1"/>
          <w:sz w:val="32"/>
          <w:szCs w:val="28"/>
          <w14:textFill>
            <w14:solidFill>
              <w14:schemeClr w14:val="tx1"/>
            </w14:solidFill>
          </w14:textFill>
        </w:rPr>
        <w:t xml:space="preserve">乡村医生变更执业的村医疗卫生机构，未办理变更执业注册手续的，由县级人民政府卫生行政主管部门给予警告，责令限期办理变更注册手续。 </w:t>
      </w:r>
    </w:p>
    <w:p w14:paraId="44F04E86">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1084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 w:type="dxa"/>
          </w:tcPr>
          <w:p w14:paraId="16F1872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0A64A9B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1A1EA8C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A33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D45D043">
            <w:pPr>
              <w:widowControl w:val="0"/>
              <w:adjustRightInd/>
              <w:snapToGrid/>
              <w:spacing w:after="0" w:line="280" w:lineRule="exact"/>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tcPr>
          <w:p w14:paraId="03F60C7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乡村医生变更执业的村医疗卫生机构，未办理变更执业注册手续的 。</w:t>
            </w:r>
          </w:p>
        </w:tc>
        <w:tc>
          <w:tcPr>
            <w:tcW w:w="7139" w:type="dxa"/>
          </w:tcPr>
          <w:p w14:paraId="552E7BF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由县级人民政府卫生行政主管部门给予警告，责令限期办理变更注册手续。</w:t>
            </w:r>
          </w:p>
        </w:tc>
      </w:tr>
    </w:tbl>
    <w:p w14:paraId="2BCBDF48">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2673" w:name="_Toc5629"/>
      <w:bookmarkStart w:id="2674" w:name="_Toc1512"/>
      <w:bookmarkStart w:id="2675" w:name="_Toc23305"/>
      <w:bookmarkStart w:id="2676" w:name="_Toc11686"/>
      <w:bookmarkStart w:id="2677" w:name="_Toc30895"/>
      <w:bookmarkStart w:id="2678" w:name="_Toc2874"/>
      <w:bookmarkStart w:id="2679" w:name="_Toc3103"/>
      <w:bookmarkStart w:id="2680" w:name="_Toc1052"/>
      <w:bookmarkStart w:id="2681" w:name="_Toc14987"/>
      <w:bookmarkStart w:id="2682" w:name="_Toc365"/>
      <w:bookmarkStart w:id="2683" w:name="_Toc26408"/>
      <w:bookmarkStart w:id="2684" w:name="_Toc15255"/>
      <w:bookmarkStart w:id="2685" w:name="_Toc30286"/>
      <w:r>
        <w:rPr>
          <w:rFonts w:hint="eastAsia" w:ascii="Times New Roman" w:hAnsi="Times New Roman" w:eastAsia="楷体_GB2312" w:cs="楷体_GB2312"/>
          <w:bCs w:val="0"/>
          <w:color w:val="000000" w:themeColor="text1"/>
          <w:kern w:val="2"/>
          <w14:textFill>
            <w14:solidFill>
              <w14:schemeClr w14:val="tx1"/>
            </w14:solidFill>
          </w14:textFill>
        </w:rPr>
        <w:t>（六）《医师外出会诊管理暂行规定》</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7D21925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686" w:name="_Toc5504"/>
      <w:bookmarkStart w:id="2687" w:name="_Toc28836"/>
      <w:bookmarkStart w:id="2688" w:name="_Toc17369"/>
      <w:bookmarkStart w:id="2689" w:name="_Toc5520"/>
      <w:bookmarkStart w:id="2690" w:name="_Toc15273"/>
      <w:bookmarkStart w:id="2691" w:name="_Toc4595"/>
      <w:bookmarkStart w:id="2692" w:name="_Toc8704"/>
      <w:bookmarkStart w:id="2693" w:name="_Toc16421"/>
      <w:bookmarkStart w:id="2694" w:name="_Toc535"/>
      <w:bookmarkStart w:id="2695" w:name="_Toc3833"/>
      <w:bookmarkStart w:id="2696" w:name="_Toc21009"/>
      <w:r>
        <w:rPr>
          <w:rFonts w:hint="eastAsia" w:cs="仿宋_GB2312"/>
          <w:bCs/>
          <w:color w:val="000000" w:themeColor="text1"/>
          <w14:textFill>
            <w14:solidFill>
              <w14:schemeClr w14:val="tx1"/>
            </w14:solidFill>
          </w14:textFill>
        </w:rPr>
        <w:t>第二百二十一条</w:t>
      </w:r>
      <w:r>
        <w:rPr>
          <w:rFonts w:hint="eastAsia" w:ascii="Times New Roman" w:hAnsi="Times New Roman" w:cs="仿宋_GB2312"/>
          <w:bCs/>
          <w:color w:val="000000" w:themeColor="text1"/>
          <w:kern w:val="0"/>
          <w14:textFill>
            <w14:solidFill>
              <w14:schemeClr w14:val="tx1"/>
            </w14:solidFill>
          </w14:textFill>
        </w:rPr>
        <w:t xml:space="preserve"> 会诊邀请超出医疗机构诊疗科目的</w:t>
      </w:r>
      <w:bookmarkEnd w:id="2686"/>
      <w:bookmarkEnd w:id="2687"/>
      <w:bookmarkEnd w:id="2688"/>
      <w:bookmarkEnd w:id="2689"/>
      <w:bookmarkEnd w:id="2690"/>
      <w:bookmarkEnd w:id="2691"/>
      <w:bookmarkEnd w:id="2692"/>
      <w:bookmarkEnd w:id="2693"/>
      <w:bookmarkEnd w:id="2694"/>
      <w:bookmarkEnd w:id="2695"/>
      <w:bookmarkEnd w:id="2696"/>
    </w:p>
    <w:p w14:paraId="2F7B86F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1743D4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1.《医师外出会诊管理暂行规定》第十九条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医疗机构违反本规定第六条、第八条、第十五条的，由县级以上卫生行政部门责令改正，给予警告；诊疗活动超出登记范围的，按照《医疗机构管理条例》第四十七条处理。</w:t>
      </w:r>
    </w:p>
    <w:p w14:paraId="0EF32E8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2.《医师外出会诊管理暂行规定》第六条第（一）项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有下列情形之一的，医疗机构不得提出会诊邀请：</w:t>
      </w:r>
    </w:p>
    <w:p w14:paraId="24299FE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（一）会诊邀请超出本单位诊疗科目或者本单位不具备相应资质的；</w:t>
      </w:r>
    </w:p>
    <w:p w14:paraId="5B80577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3.《医疗机构管理条例》第四十六条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六条规定，诊疗活动超出登记或者备案范围的，由县级以上人民政府卫生行政部门予以警告、责令其改正，没收违法所得，并可以根据情节处以1万元以上10万元以下的罚款；情节严重的，吊销其《医疗机构执业许可证》或者责令其停止执业活动。</w:t>
      </w:r>
    </w:p>
    <w:p w14:paraId="650331D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5591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40" w:type="dxa"/>
          </w:tcPr>
          <w:p w14:paraId="6154DF3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5FDA490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6FF2CAA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C11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4598F7F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轻微</w:t>
            </w:r>
          </w:p>
        </w:tc>
        <w:tc>
          <w:tcPr>
            <w:tcW w:w="5595" w:type="dxa"/>
            <w:vAlign w:val="center"/>
          </w:tcPr>
          <w:p w14:paraId="17CF75C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会诊邀请超出医疗机构诊疗科目，无违法所得的、违法所得无法认定的或诊疗活动违法所得在1万元以下的。</w:t>
            </w:r>
          </w:p>
        </w:tc>
        <w:tc>
          <w:tcPr>
            <w:tcW w:w="7139" w:type="dxa"/>
            <w:vAlign w:val="center"/>
          </w:tcPr>
          <w:p w14:paraId="66315E8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由县级以上人民政府卫生行政部门予以警告、责令其改正，并可以根据情节处以1万元以上3万元以下的罚款。</w:t>
            </w:r>
          </w:p>
        </w:tc>
      </w:tr>
      <w:tr w14:paraId="2DE4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4FC1DD2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29D314D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会诊邀请超出医疗机构诊疗科目的诊疗活动违法所得在1万元以上5万元以下的。</w:t>
            </w:r>
          </w:p>
        </w:tc>
        <w:tc>
          <w:tcPr>
            <w:tcW w:w="7139" w:type="dxa"/>
            <w:vAlign w:val="center"/>
          </w:tcPr>
          <w:p w14:paraId="0DBB95B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由县级以上人民政府卫生行政部门予以警告、责令其改正，并可以根据情节处以3万元以上8万元以下的罚款。</w:t>
            </w:r>
          </w:p>
        </w:tc>
      </w:tr>
      <w:tr w14:paraId="5A4E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03A523F2">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2AFF6BB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2AFFF7B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A．超出登记的诊疗科目范围的诊疗活动违法所得在5万元以上的；</w:t>
            </w:r>
          </w:p>
          <w:p w14:paraId="380FB40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B．给患者造成伤害。</w:t>
            </w:r>
          </w:p>
        </w:tc>
        <w:tc>
          <w:tcPr>
            <w:tcW w:w="7139" w:type="dxa"/>
            <w:vAlign w:val="center"/>
          </w:tcPr>
          <w:p w14:paraId="3C6EE5C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由县级以上人民政府卫生行政部门予以警告、责令其改正，并可以根据情节处以8万元以上10万元以下的罚款。</w:t>
            </w:r>
          </w:p>
        </w:tc>
      </w:tr>
      <w:tr w14:paraId="7042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3D5FF22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2D1086C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造成患者死亡或其他严重后果的。</w:t>
            </w:r>
          </w:p>
        </w:tc>
        <w:tc>
          <w:tcPr>
            <w:tcW w:w="7139" w:type="dxa"/>
            <w:vAlign w:val="center"/>
          </w:tcPr>
          <w:p w14:paraId="547C2CD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由县级以上人民政府卫生行政部门予以警告、责令其改正，并可以根据情节处以10万元的罚款，吊销其《医疗机构执业许可证》或者责令其停止执业活动。</w:t>
            </w:r>
          </w:p>
        </w:tc>
      </w:tr>
    </w:tbl>
    <w:p w14:paraId="0D401F2F">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697" w:name="_Toc5166"/>
      <w:bookmarkStart w:id="2698" w:name="_Toc1134"/>
      <w:bookmarkStart w:id="2699" w:name="_Toc10736"/>
      <w:bookmarkStart w:id="2700" w:name="_Toc5749"/>
      <w:bookmarkStart w:id="2701" w:name="_Toc20957"/>
      <w:bookmarkStart w:id="2702" w:name="_Toc5432"/>
      <w:bookmarkStart w:id="2703" w:name="_Toc18074"/>
      <w:bookmarkStart w:id="2704" w:name="_Toc14865"/>
      <w:bookmarkStart w:id="2705" w:name="_Toc6059"/>
      <w:bookmarkStart w:id="2706" w:name="_Toc15685"/>
      <w:bookmarkStart w:id="2707" w:name="_Toc10533"/>
      <w:r>
        <w:rPr>
          <w:rFonts w:hint="eastAsia" w:cs="仿宋_GB2312"/>
          <w:bCs/>
          <w:color w:val="000000" w:themeColor="text1"/>
          <w14:textFill>
            <w14:solidFill>
              <w14:schemeClr w14:val="tx1"/>
            </w14:solidFill>
          </w14:textFill>
        </w:rPr>
        <w:t>第二百二十二条</w:t>
      </w:r>
      <w:r>
        <w:rPr>
          <w:rFonts w:hint="eastAsia" w:ascii="Times New Roman" w:hAnsi="Times New Roman" w:cs="仿宋_GB2312"/>
          <w:bCs/>
          <w:color w:val="000000" w:themeColor="text1"/>
          <w:kern w:val="0"/>
          <w14:textFill>
            <w14:solidFill>
              <w14:schemeClr w14:val="tx1"/>
            </w14:solidFill>
          </w14:textFill>
        </w:rPr>
        <w:t xml:space="preserve"> 医疗机构违反《医师外出会诊管理暂行规定》第六条、第八条、第十五条的</w:t>
      </w:r>
      <w:bookmarkEnd w:id="2697"/>
      <w:bookmarkEnd w:id="2698"/>
      <w:bookmarkEnd w:id="2699"/>
      <w:bookmarkEnd w:id="2700"/>
      <w:bookmarkEnd w:id="2701"/>
      <w:bookmarkEnd w:id="2702"/>
      <w:bookmarkEnd w:id="2703"/>
      <w:bookmarkEnd w:id="2704"/>
      <w:bookmarkEnd w:id="2705"/>
      <w:bookmarkEnd w:id="2706"/>
      <w:bookmarkEnd w:id="2707"/>
    </w:p>
    <w:p w14:paraId="37D325D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4F53BD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《医师外出会诊管理暂行规定》第十九条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医疗机构违反本规定第六条、第八条、第十五条的，由县级以上卫生行政部门责令改正，给予警告；诊疗活动超出登记范围的，按照《医疗机构管理条例》第四十七条处理。 </w:t>
      </w:r>
    </w:p>
    <w:p w14:paraId="049F235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《医师外出会诊管理暂行规定》第六条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有下列情形之一的，医疗机构不得提出会诊邀请：（一）会诊邀请超出本单位诊疗科目或者本单位不具备相应资质的；（二）本单位的技术力量、设备、设施不能为会诊提供必要的医疗安全保障的；（三）会诊邀请超出被邀请医师执业范围的；（四）省级卫生行政部门规定的其他情形。</w:t>
      </w:r>
    </w:p>
    <w:p w14:paraId="06DAE9D5">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《医师外出会诊管理暂行规定》第八条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有下列情形之一的，医疗机构不得派出医师外出会诊：（一）会诊邀请超出本单位诊疗科目或者本单位不具备相应资质的；（二）会诊邀请超出被邀请医师执业范围的；（三）邀请医疗机构</w:t>
      </w:r>
      <w:r>
        <w:rPr>
          <w:rFonts w:hint="eastAsia" w:ascii="Times New Roman" w:hAnsi="Times New Roman" w:eastAsia="仿宋_GB2312" w:cs="华文中宋"/>
          <w:color w:val="000000" w:themeColor="text1"/>
          <w:sz w:val="32"/>
          <w:szCs w:val="28"/>
          <w14:textFill>
            <w14:solidFill>
              <w14:schemeClr w14:val="tx1"/>
            </w14:solidFill>
          </w14:textFill>
        </w:rPr>
        <w:t>不具备相应医疗救治条件的；（四）省级卫生行政部门规定的其他情形。</w:t>
      </w:r>
    </w:p>
    <w:p w14:paraId="779D455B">
      <w:pPr>
        <w:widowControl w:val="0"/>
        <w:adjustRightInd/>
        <w:snapToGrid/>
        <w:spacing w:after="0" w:line="440" w:lineRule="exact"/>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华文中宋"/>
          <w:color w:val="000000" w:themeColor="text1"/>
          <w:sz w:val="32"/>
          <w:szCs w:val="28"/>
          <w14:textFill>
            <w14:solidFill>
              <w14:schemeClr w14:val="tx1"/>
            </w14:solidFill>
          </w14:textFill>
        </w:rPr>
        <w:t>《医师外出会诊管理暂行规定》第十五条</w:t>
      </w:r>
      <w:r>
        <w:rPr>
          <w:rFonts w:hint="eastAsia" w:ascii="Times New Roman" w:hAnsi="Times New Roman" w:eastAsia="仿宋_GB2312" w:cs="华文中宋"/>
          <w:color w:val="000000" w:themeColor="text1"/>
          <w:sz w:val="32"/>
          <w:szCs w:val="28"/>
          <w:lang w:eastAsia="zh-CN"/>
          <w14:textFill>
            <w14:solidFill>
              <w14:schemeClr w14:val="tx1"/>
            </w14:solidFill>
          </w14:textFill>
        </w:rPr>
        <w:t xml:space="preserve"> </w:t>
      </w:r>
      <w:r>
        <w:rPr>
          <w:rFonts w:hint="eastAsia" w:ascii="Times New Roman" w:hAnsi="Times New Roman" w:eastAsia="仿宋_GB2312" w:cs="华文中宋"/>
          <w:color w:val="000000" w:themeColor="text1"/>
          <w:sz w:val="32"/>
          <w:szCs w:val="28"/>
          <w14:textFill>
            <w14:solidFill>
              <w14:schemeClr w14:val="tx1"/>
            </w14:solidFill>
          </w14:textFill>
        </w:rPr>
        <w:t>会诊中涉及的会诊费用按照邀请医疗机构所在地的规定执行。差旅费按照实际发生额结算，不得重复收费。属医疗机构根据诊疗需要邀请的，差旅费由医疗机构承担；属患者主动要求邀请的，差旅费由患者承担，收费方应向患者提供正式收费票据。会诊中涉及的治疗、手术等收费标准可在当地规定的基础上酌情加收，加收幅度由省级价格主管部门会同同级卫生行政部门确定。邀请医疗机构支付会诊费用应当统一支付给会诊医疗机构，不得支付给会诊医师本人。会诊医疗机构由于会诊产生的收入，应纳入单位财务部门统一核算。</w:t>
      </w:r>
    </w:p>
    <w:p w14:paraId="780E2F28">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166"/>
        <w:gridCol w:w="4568"/>
      </w:tblGrid>
      <w:tr w14:paraId="13B9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7A37AFC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66" w:type="dxa"/>
          </w:tcPr>
          <w:p w14:paraId="141CF90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568" w:type="dxa"/>
          </w:tcPr>
          <w:p w14:paraId="25711D8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F8B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40" w:type="dxa"/>
            <w:vAlign w:val="center"/>
          </w:tcPr>
          <w:p w14:paraId="49B046F1">
            <w:pPr>
              <w:widowControl w:val="0"/>
              <w:adjustRightInd/>
              <w:snapToGrid/>
              <w:spacing w:after="0" w:line="440" w:lineRule="exact"/>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166" w:type="dxa"/>
            <w:vAlign w:val="center"/>
          </w:tcPr>
          <w:p w14:paraId="637B799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医疗机构违反《医师外出会诊管理暂行规定》第六条、第八条、第十五条的。</w:t>
            </w:r>
          </w:p>
        </w:tc>
        <w:tc>
          <w:tcPr>
            <w:tcW w:w="4568" w:type="dxa"/>
            <w:vAlign w:val="center"/>
          </w:tcPr>
          <w:p w14:paraId="7406F32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 。</w:t>
            </w:r>
          </w:p>
        </w:tc>
      </w:tr>
    </w:tbl>
    <w:p w14:paraId="0EC276B7">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sz w:val="32"/>
          <w:szCs w:val="32"/>
          <w14:textFill>
            <w14:solidFill>
              <w14:schemeClr w14:val="tx1"/>
            </w14:solidFill>
          </w14:textFill>
        </w:rPr>
      </w:pPr>
      <w:bookmarkStart w:id="2708" w:name="_Toc621"/>
      <w:bookmarkStart w:id="2709" w:name="_Toc3277"/>
      <w:bookmarkStart w:id="2710" w:name="_Toc22219"/>
      <w:bookmarkStart w:id="2711" w:name="_Toc21348"/>
      <w:bookmarkStart w:id="2712" w:name="_Toc31348"/>
      <w:bookmarkStart w:id="2713" w:name="_Toc1400"/>
      <w:bookmarkStart w:id="2714" w:name="_Toc341"/>
      <w:bookmarkStart w:id="2715" w:name="_Toc19448"/>
      <w:bookmarkStart w:id="2716" w:name="_Toc32157"/>
      <w:bookmarkStart w:id="2717" w:name="_Toc4733"/>
      <w:bookmarkStart w:id="2718" w:name="_Toc113"/>
      <w:bookmarkStart w:id="2719" w:name="_Toc2551"/>
      <w:bookmarkStart w:id="2720" w:name="_Toc18932"/>
      <w:r>
        <w:rPr>
          <w:rFonts w:hint="eastAsia" w:ascii="Times New Roman" w:hAnsi="Times New Roman" w:eastAsia="楷体_GB2312" w:cs="楷体_GB2312"/>
          <w:bCs w:val="0"/>
          <w:color w:val="000000" w:themeColor="text1"/>
          <w:kern w:val="2"/>
          <w14:textFill>
            <w14:solidFill>
              <w14:schemeClr w14:val="tx1"/>
            </w14:solidFill>
          </w14:textFill>
        </w:rPr>
        <w:t>（七）《医疗气功管理暂行规定》</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p>
    <w:p w14:paraId="6C6C789B">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721" w:name="_Toc21607"/>
      <w:bookmarkStart w:id="2722" w:name="_Toc15100"/>
      <w:bookmarkStart w:id="2723" w:name="_Toc2336"/>
      <w:bookmarkStart w:id="2724" w:name="_Toc6580"/>
      <w:bookmarkStart w:id="2725" w:name="_Toc19738"/>
      <w:bookmarkStart w:id="2726" w:name="_Toc657"/>
      <w:bookmarkStart w:id="2727" w:name="_Toc8518"/>
      <w:bookmarkStart w:id="2728" w:name="_Toc22904"/>
      <w:bookmarkStart w:id="2729" w:name="_Toc31668"/>
      <w:bookmarkStart w:id="2730" w:name="_Toc26061"/>
      <w:bookmarkStart w:id="2731" w:name="_Toc30643"/>
      <w:r>
        <w:rPr>
          <w:rFonts w:hint="eastAsia" w:cs="仿宋_GB2312"/>
          <w:bCs/>
          <w:color w:val="000000" w:themeColor="text1"/>
          <w14:textFill>
            <w14:solidFill>
              <w14:schemeClr w14:val="tx1"/>
            </w14:solidFill>
          </w14:textFill>
        </w:rPr>
        <w:t>第二百二十三条</w:t>
      </w:r>
      <w:r>
        <w:rPr>
          <w:rFonts w:hint="eastAsia" w:ascii="Times New Roman" w:hAnsi="Times New Roman" w:cs="仿宋_GB2312"/>
          <w:bCs/>
          <w:color w:val="000000" w:themeColor="text1"/>
          <w:kern w:val="0"/>
          <w14:textFill>
            <w14:solidFill>
              <w14:schemeClr w14:val="tx1"/>
            </w14:solidFill>
          </w14:textFill>
        </w:rPr>
        <w:t xml:space="preserve"> 开展医疗气功活动不符合相关管理规定的</w:t>
      </w:r>
      <w:bookmarkEnd w:id="2721"/>
      <w:bookmarkEnd w:id="2722"/>
      <w:bookmarkEnd w:id="2723"/>
      <w:bookmarkEnd w:id="2724"/>
      <w:bookmarkEnd w:id="2725"/>
      <w:bookmarkEnd w:id="2726"/>
      <w:bookmarkEnd w:id="2727"/>
      <w:bookmarkEnd w:id="2728"/>
      <w:bookmarkEnd w:id="2729"/>
      <w:bookmarkEnd w:id="2730"/>
      <w:bookmarkEnd w:id="2731"/>
    </w:p>
    <w:p w14:paraId="446094A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9C039A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《医疗气功管理暂行规定》第二十六条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有下列情形之一的，由县级以上人民政府中医药行政管理机构责令其停止活动，给予警告，并可以处以一万元以下罚款；情节严重的，处以一万元以上三万元以下罚款；构成犯罪的，依法追究刑事责任。（一）医疗气功人员在注册的执业地点以外开展医疗气功活动的；（二）借医疗气功之名损害公民身心健康、宣扬迷信、骗人敛财的；（三）非医疗气功人员开展医疗气功活动的；（四）制造、使用、经营、散发宣称具有医疗气功效力物品的；（五）未经批准擅自组织开展大型医疗气功讲座、大型现场性医疗气功活动，或未经批准擅自开展国家中医药管理局规定必须严格管理的其他医疗气功活动的。</w:t>
      </w:r>
    </w:p>
    <w:p w14:paraId="594BF48C">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6373"/>
        <w:gridCol w:w="6182"/>
      </w:tblGrid>
      <w:tr w14:paraId="311E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5" w:type="dxa"/>
            <w:vAlign w:val="center"/>
          </w:tcPr>
          <w:p w14:paraId="1E41CF6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73" w:type="dxa"/>
            <w:vAlign w:val="center"/>
          </w:tcPr>
          <w:p w14:paraId="1D7E572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182" w:type="dxa"/>
            <w:vAlign w:val="center"/>
          </w:tcPr>
          <w:p w14:paraId="73DCB74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A0C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5" w:type="dxa"/>
            <w:vAlign w:val="center"/>
          </w:tcPr>
          <w:p w14:paraId="78CEA27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轻微</w:t>
            </w:r>
          </w:p>
        </w:tc>
        <w:tc>
          <w:tcPr>
            <w:tcW w:w="6373" w:type="dxa"/>
            <w:vAlign w:val="center"/>
          </w:tcPr>
          <w:p w14:paraId="7A2CEACB">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有任意一种上述情形的。</w:t>
            </w:r>
          </w:p>
        </w:tc>
        <w:tc>
          <w:tcPr>
            <w:tcW w:w="6182" w:type="dxa"/>
            <w:vAlign w:val="center"/>
          </w:tcPr>
          <w:p w14:paraId="027D2D7A">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责令其停止活动，给予警告，并处 3000 元以下罚款。</w:t>
            </w:r>
          </w:p>
        </w:tc>
      </w:tr>
      <w:tr w14:paraId="331A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45" w:type="dxa"/>
            <w:vAlign w:val="center"/>
          </w:tcPr>
          <w:p w14:paraId="33C8DCD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373" w:type="dxa"/>
            <w:vAlign w:val="center"/>
          </w:tcPr>
          <w:p w14:paraId="2AC8B059">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有任意两种上述情形的。</w:t>
            </w:r>
          </w:p>
        </w:tc>
        <w:tc>
          <w:tcPr>
            <w:tcW w:w="6182" w:type="dxa"/>
            <w:vAlign w:val="center"/>
          </w:tcPr>
          <w:p w14:paraId="792B618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责令其停止活动，给予警告，并处 3000 元以上 7000 元以下罚款。</w:t>
            </w:r>
          </w:p>
        </w:tc>
      </w:tr>
      <w:tr w14:paraId="24A1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45" w:type="dxa"/>
            <w:vAlign w:val="center"/>
          </w:tcPr>
          <w:p w14:paraId="5ED7809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6373" w:type="dxa"/>
            <w:vAlign w:val="center"/>
          </w:tcPr>
          <w:p w14:paraId="501B0788">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有任意三种上述情形的。</w:t>
            </w:r>
          </w:p>
        </w:tc>
        <w:tc>
          <w:tcPr>
            <w:tcW w:w="6182" w:type="dxa"/>
            <w:vAlign w:val="center"/>
          </w:tcPr>
          <w:p w14:paraId="102F0C1D">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责令其停止活动，给予警告，并处 7000 元以上 1 万元以下罚款。</w:t>
            </w:r>
          </w:p>
        </w:tc>
      </w:tr>
      <w:tr w14:paraId="1B2F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45" w:type="dxa"/>
            <w:vAlign w:val="center"/>
          </w:tcPr>
          <w:p w14:paraId="1815CBE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373" w:type="dxa"/>
            <w:vAlign w:val="center"/>
          </w:tcPr>
          <w:p w14:paraId="05C321E7">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有任意四种上述情形的。</w:t>
            </w:r>
          </w:p>
        </w:tc>
        <w:tc>
          <w:tcPr>
            <w:tcW w:w="6182" w:type="dxa"/>
            <w:vAlign w:val="center"/>
          </w:tcPr>
          <w:p w14:paraId="08DE35DC">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责令其停止活动，给予警告，并处 1 万元以上 2 万元以下罚款。</w:t>
            </w:r>
          </w:p>
        </w:tc>
      </w:tr>
      <w:tr w14:paraId="6FA8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45" w:type="dxa"/>
            <w:vAlign w:val="center"/>
          </w:tcPr>
          <w:p w14:paraId="48319F4D">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6373" w:type="dxa"/>
            <w:vAlign w:val="center"/>
          </w:tcPr>
          <w:p w14:paraId="30668076">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有五种上述情形的或者致人死亡或产生其他严重后果的。</w:t>
            </w:r>
          </w:p>
        </w:tc>
        <w:tc>
          <w:tcPr>
            <w:tcW w:w="6182" w:type="dxa"/>
            <w:vAlign w:val="center"/>
          </w:tcPr>
          <w:p w14:paraId="1EC4E01C">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责令其停止活动，给予警告，并处 2 万元以上 3 万元以下罚款。</w:t>
            </w:r>
          </w:p>
        </w:tc>
      </w:tr>
    </w:tbl>
    <w:p w14:paraId="252ADF6A">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2732" w:name="_Toc22723"/>
      <w:bookmarkStart w:id="2733" w:name="_Toc17721"/>
      <w:bookmarkStart w:id="2734" w:name="_Toc24363"/>
      <w:bookmarkStart w:id="2735" w:name="_Toc13826"/>
      <w:bookmarkStart w:id="2736" w:name="_Toc29176"/>
      <w:bookmarkStart w:id="2737" w:name="_Toc11239"/>
      <w:bookmarkStart w:id="2738" w:name="_Toc27000"/>
      <w:bookmarkStart w:id="2739" w:name="_Toc1620"/>
      <w:bookmarkStart w:id="2740" w:name="_Toc4622"/>
      <w:bookmarkStart w:id="2741" w:name="_Toc31637"/>
      <w:bookmarkStart w:id="2742" w:name="_Toc14980"/>
      <w:bookmarkStart w:id="2743" w:name="_Toc29518"/>
      <w:bookmarkStart w:id="2744" w:name="_Toc3879"/>
      <w:r>
        <w:rPr>
          <w:rFonts w:hint="eastAsia" w:ascii="Times New Roman" w:hAnsi="Times New Roman" w:eastAsia="楷体_GB2312" w:cs="楷体_GB2312"/>
          <w:bCs w:val="0"/>
          <w:color w:val="000000" w:themeColor="text1"/>
          <w:kern w:val="2"/>
          <w14:textFill>
            <w14:solidFill>
              <w14:schemeClr w14:val="tx1"/>
            </w14:solidFill>
          </w14:textFill>
        </w:rPr>
        <w:t>（八）《香港、澳门特别行政区医师在内地短期行医管理规定》</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72F00BA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745" w:name="_Toc30288"/>
      <w:bookmarkStart w:id="2746" w:name="_Toc3581"/>
      <w:bookmarkStart w:id="2747" w:name="_Toc10722"/>
      <w:bookmarkStart w:id="2748" w:name="_Toc26842"/>
      <w:bookmarkStart w:id="2749" w:name="_Toc25597"/>
      <w:bookmarkStart w:id="2750" w:name="_Toc18408"/>
      <w:bookmarkStart w:id="2751" w:name="_Toc7046"/>
      <w:bookmarkStart w:id="2752" w:name="_Toc32417"/>
      <w:bookmarkStart w:id="2753" w:name="_Toc1268"/>
      <w:bookmarkStart w:id="2754" w:name="_Toc4663"/>
      <w:bookmarkStart w:id="2755" w:name="_Toc15946"/>
      <w:r>
        <w:rPr>
          <w:rFonts w:hint="eastAsia" w:cs="仿宋_GB2312"/>
          <w:bCs/>
          <w:color w:val="000000" w:themeColor="text1"/>
          <w14:textFill>
            <w14:solidFill>
              <w14:schemeClr w14:val="tx1"/>
            </w14:solidFill>
          </w14:textFill>
        </w:rPr>
        <w:t>第二百二十四条</w:t>
      </w:r>
      <w:r>
        <w:rPr>
          <w:rFonts w:hint="eastAsia" w:ascii="Times New Roman" w:hAnsi="Times New Roman" w:cs="仿宋_GB2312"/>
          <w:bCs/>
          <w:color w:val="000000" w:themeColor="text1"/>
          <w:kern w:val="0"/>
          <w14:textFill>
            <w14:solidFill>
              <w14:schemeClr w14:val="tx1"/>
            </w14:solidFill>
          </w14:textFill>
        </w:rPr>
        <w:t xml:space="preserve"> 医疗机构聘用未经内地短期行医执业注册的港澳医师从事诊疗活动的</w:t>
      </w:r>
      <w:bookmarkEnd w:id="2745"/>
      <w:bookmarkEnd w:id="2746"/>
      <w:bookmarkEnd w:id="2747"/>
      <w:bookmarkEnd w:id="2748"/>
      <w:bookmarkEnd w:id="2749"/>
      <w:bookmarkEnd w:id="2750"/>
      <w:bookmarkEnd w:id="2751"/>
      <w:bookmarkEnd w:id="2752"/>
      <w:bookmarkEnd w:id="2753"/>
      <w:bookmarkEnd w:id="2754"/>
      <w:bookmarkEnd w:id="2755"/>
    </w:p>
    <w:p w14:paraId="188E96E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3E8898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1.《香港、澳门特别行政区医师在内地短期行医管理规定》第十七条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聘用未经内地短期行医执业注册的港澳医师从事诊疗活动，视为聘用非卫生技术人员，按照《医疗机构管理条例》第四十八条规定处理。【根据医疗机构管理条例（2022修订），原第四十八条修改为第四十七条】</w:t>
      </w:r>
    </w:p>
    <w:p w14:paraId="11CB9946">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2.《医疗机构管理条例》第四十七条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违反本条例第二十七条规定，使用非卫生技术人员从事医疗卫生技术工作的，由县级以上人民政府卫生行政部门责令其限期改正，并可以处以1万元以上10万元以下的罚款；情节严重的，吊销其《</w:t>
      </w:r>
      <w:r>
        <w:rPr>
          <w:rFonts w:hint="eastAsia" w:ascii="Times New Roman" w:hAnsi="Times New Roman" w:eastAsia="仿宋_GB2312" w:cs="华文中宋"/>
          <w:color w:val="000000" w:themeColor="text1"/>
          <w:sz w:val="32"/>
          <w:szCs w:val="28"/>
          <w14:textFill>
            <w14:solidFill>
              <w14:schemeClr w14:val="tx1"/>
            </w14:solidFill>
          </w14:textFill>
        </w:rPr>
        <w:t>医疗机构执业许可证》或者责令其停止执业活动。</w:t>
      </w:r>
    </w:p>
    <w:p w14:paraId="743B40BB">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748"/>
        <w:gridCol w:w="5986"/>
      </w:tblGrid>
      <w:tr w14:paraId="414B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552DFD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748" w:type="dxa"/>
          </w:tcPr>
          <w:p w14:paraId="72E2DD8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986" w:type="dxa"/>
          </w:tcPr>
          <w:p w14:paraId="09EB905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D8D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043C0AD">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轻微</w:t>
            </w:r>
          </w:p>
        </w:tc>
        <w:tc>
          <w:tcPr>
            <w:tcW w:w="6748" w:type="dxa"/>
            <w:vAlign w:val="center"/>
          </w:tcPr>
          <w:p w14:paraId="400955E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使用1名未经内地短期行医执业注册的港澳医师从事医疗卫生技术工作的。</w:t>
            </w:r>
          </w:p>
        </w:tc>
        <w:tc>
          <w:tcPr>
            <w:tcW w:w="5986" w:type="dxa"/>
            <w:vAlign w:val="center"/>
          </w:tcPr>
          <w:p w14:paraId="2689740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责令其立即改正，可以处以1万元以上2万元以下罚款。</w:t>
            </w:r>
          </w:p>
        </w:tc>
      </w:tr>
      <w:tr w14:paraId="705E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C85568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748" w:type="dxa"/>
            <w:vAlign w:val="center"/>
          </w:tcPr>
          <w:p w14:paraId="057CC63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使用2名或2名以上未经内地短期行医执业注册的港澳医师从事医疗卫生技术工作的。</w:t>
            </w:r>
          </w:p>
        </w:tc>
        <w:tc>
          <w:tcPr>
            <w:tcW w:w="5986" w:type="dxa"/>
            <w:vAlign w:val="center"/>
          </w:tcPr>
          <w:p w14:paraId="3B9687E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责令其立即改正，可以处以2万元以上8万元以下罚款。</w:t>
            </w:r>
          </w:p>
        </w:tc>
      </w:tr>
      <w:tr w14:paraId="68E6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42DE067D">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6748" w:type="dxa"/>
            <w:vAlign w:val="center"/>
          </w:tcPr>
          <w:p w14:paraId="62A52F2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使用未经内地短期行医执业注册的港澳医师从事医疗卫生技术工作给患者造成伤害的。</w:t>
            </w:r>
          </w:p>
        </w:tc>
        <w:tc>
          <w:tcPr>
            <w:tcW w:w="5986" w:type="dxa"/>
            <w:vAlign w:val="center"/>
          </w:tcPr>
          <w:p w14:paraId="492E370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责令其立即改正，可以处以8万元以上10万元以下罚款。 </w:t>
            </w:r>
          </w:p>
        </w:tc>
      </w:tr>
      <w:tr w14:paraId="353C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5AAD1F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748" w:type="dxa"/>
            <w:vAlign w:val="center"/>
          </w:tcPr>
          <w:p w14:paraId="3155F58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使用未经内地短期行医执业注册的港澳医师从事医疗卫生技术工作的，造成患者死亡的。</w:t>
            </w:r>
          </w:p>
        </w:tc>
        <w:tc>
          <w:tcPr>
            <w:tcW w:w="5986" w:type="dxa"/>
            <w:vAlign w:val="center"/>
          </w:tcPr>
          <w:p w14:paraId="24251450">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责令其立即改正，可以处以10万元罚款，情节严重的，吊销其《医疗机构执业许可证》或者责令其停止执业活动。</w:t>
            </w:r>
          </w:p>
        </w:tc>
      </w:tr>
    </w:tbl>
    <w:p w14:paraId="231AB85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756" w:name="_Toc2451"/>
      <w:bookmarkStart w:id="2757" w:name="_Toc30951"/>
      <w:bookmarkStart w:id="2758" w:name="_Toc6991"/>
      <w:bookmarkStart w:id="2759" w:name="_Toc21985"/>
      <w:bookmarkStart w:id="2760" w:name="_Toc32690"/>
      <w:bookmarkStart w:id="2761" w:name="_Toc24640"/>
      <w:bookmarkStart w:id="2762" w:name="_Toc4631"/>
      <w:bookmarkStart w:id="2763" w:name="_Toc22065"/>
      <w:bookmarkStart w:id="2764" w:name="_Toc12226"/>
      <w:bookmarkStart w:id="2765" w:name="_Toc10115"/>
      <w:bookmarkStart w:id="2766" w:name="_Toc7470"/>
      <w:r>
        <w:rPr>
          <w:rFonts w:hint="eastAsia" w:cs="仿宋_GB2312"/>
          <w:bCs/>
          <w:color w:val="000000" w:themeColor="text1"/>
          <w14:textFill>
            <w14:solidFill>
              <w14:schemeClr w14:val="tx1"/>
            </w14:solidFill>
          </w14:textFill>
        </w:rPr>
        <w:t>第二百二十五条</w:t>
      </w:r>
      <w:r>
        <w:rPr>
          <w:rFonts w:hint="eastAsia" w:ascii="Times New Roman" w:hAnsi="Times New Roman" w:cs="仿宋_GB2312"/>
          <w:bCs/>
          <w:color w:val="000000" w:themeColor="text1"/>
          <w:kern w:val="0"/>
          <w14:textFill>
            <w14:solidFill>
              <w14:schemeClr w14:val="tx1"/>
            </w14:solidFill>
          </w14:textFill>
        </w:rPr>
        <w:t xml:space="preserve"> 港澳医师未取得《港澳医师短期行医执业证书》行医或者未按照注册的有效期从事诊疗活动的</w:t>
      </w:r>
      <w:bookmarkEnd w:id="2756"/>
      <w:bookmarkEnd w:id="2757"/>
      <w:bookmarkEnd w:id="2758"/>
      <w:bookmarkEnd w:id="2759"/>
      <w:bookmarkEnd w:id="2760"/>
      <w:bookmarkEnd w:id="2761"/>
      <w:bookmarkEnd w:id="2762"/>
      <w:bookmarkEnd w:id="2763"/>
      <w:bookmarkEnd w:id="2764"/>
      <w:bookmarkEnd w:id="2765"/>
      <w:bookmarkEnd w:id="2766"/>
    </w:p>
    <w:p w14:paraId="797DD8F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4418A5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1.《香港、澳门特别行政区医师在内地短期行医管理规定》第十八条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港澳医师未取得《港澳医师短期行医执业证书》行医或者未按照注册的有效期从事诊疗活动的，按照《执业医师法》第三十九条规定处理。【《执业医师法》已废止，现施行《医师法》】</w:t>
      </w:r>
    </w:p>
    <w:p w14:paraId="66E208EE">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2.《中华人民共和国医师法》第五十九条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违反本法规定，非医师行医的，由县级以上人民政府卫生健康主管部门责令停止非法执业活动，没收违法所得和药品、医疗器械，并处违法所得二倍以上十倍以下的罚款，违法所得不足一万</w:t>
      </w:r>
      <w:r>
        <w:rPr>
          <w:rFonts w:hint="eastAsia" w:ascii="Times New Roman" w:hAnsi="Times New Roman" w:eastAsia="仿宋_GB2312" w:cs="华文中宋"/>
          <w:color w:val="000000" w:themeColor="text1"/>
          <w:sz w:val="32"/>
          <w:szCs w:val="28"/>
          <w14:textFill>
            <w14:solidFill>
              <w14:schemeClr w14:val="tx1"/>
            </w14:solidFill>
          </w14:textFill>
        </w:rPr>
        <w:t>元的，按一万元计算。</w:t>
      </w:r>
    </w:p>
    <w:p w14:paraId="6D8A147A">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756"/>
        <w:gridCol w:w="6978"/>
      </w:tblGrid>
      <w:tr w14:paraId="0879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D292F8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756" w:type="dxa"/>
            <w:vAlign w:val="center"/>
          </w:tcPr>
          <w:p w14:paraId="4F1F5F9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978" w:type="dxa"/>
            <w:vAlign w:val="center"/>
          </w:tcPr>
          <w:p w14:paraId="1E095E1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388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6B74D71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756" w:type="dxa"/>
            <w:vAlign w:val="center"/>
          </w:tcPr>
          <w:p w14:paraId="325BED2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港澳医师未取得《港澳医师短期行医执业证书》行医或者未按照注册的有效期从事诊疗活动，时间在三个月以下的且违法所得不足一万元的。</w:t>
            </w:r>
          </w:p>
        </w:tc>
        <w:tc>
          <w:tcPr>
            <w:tcW w:w="6978" w:type="dxa"/>
            <w:vAlign w:val="center"/>
          </w:tcPr>
          <w:p w14:paraId="560BC3F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由县级以上人民政府卫生健康主管部门责令停止非法执业活动，没收违法所得和药品、医疗器械，并处违法所得二倍的罚款，违法所得不足一万元的，按一万元计算。</w:t>
            </w:r>
          </w:p>
        </w:tc>
      </w:tr>
      <w:tr w14:paraId="71AB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08FAF5F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756" w:type="dxa"/>
            <w:vAlign w:val="center"/>
          </w:tcPr>
          <w:p w14:paraId="0AEE4A2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港澳医师未取得《港澳医师短期行医执业证书》行医或者未按照注册的有效期从事诊疗活动，时间在三个月以上或者违法所得一万元以上的。</w:t>
            </w:r>
          </w:p>
        </w:tc>
        <w:tc>
          <w:tcPr>
            <w:tcW w:w="6978" w:type="dxa"/>
            <w:vAlign w:val="center"/>
          </w:tcPr>
          <w:p w14:paraId="6ECFD6A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由县级以上人民政府卫生健康主管部门责令停止非法执业活动，没收违法所得和药品、医疗器械，并处违法所得二倍以上七倍以下的罚款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违法所得不足一万元的，按一万元计算。</w:t>
            </w:r>
          </w:p>
        </w:tc>
      </w:tr>
      <w:tr w14:paraId="2C5F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515A9A2D">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756" w:type="dxa"/>
            <w:vAlign w:val="center"/>
          </w:tcPr>
          <w:p w14:paraId="531CF75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港澳医师未取得《港澳医师短期行医执业证书》行医或者未按照注册的有效期从事诊疗活动，因擅自违法执业曾受过卫生行政处罚的，仍不改正的；或给患者造成伤害的。</w:t>
            </w:r>
          </w:p>
        </w:tc>
        <w:tc>
          <w:tcPr>
            <w:tcW w:w="6978" w:type="dxa"/>
            <w:vAlign w:val="center"/>
          </w:tcPr>
          <w:p w14:paraId="17A0345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由县级以上人民政府卫生健康主管部门责令停止非法执业活动，没收违法所得和药品、医疗器械，并处违法所得七倍以上十倍以下的罚款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违法所得不足一万元的，按一万元计算。</w:t>
            </w:r>
          </w:p>
        </w:tc>
      </w:tr>
      <w:tr w14:paraId="0A3B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40" w:type="dxa"/>
            <w:vAlign w:val="center"/>
          </w:tcPr>
          <w:p w14:paraId="4F2CFBFA">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756" w:type="dxa"/>
            <w:vAlign w:val="center"/>
          </w:tcPr>
          <w:p w14:paraId="02353A8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港澳医师未取得《港澳医师短期行医执业证书》行医或者未按照注册的有效期从事诊疗活动，曾受过两次以上卫生行政处罚或致人死亡的。</w:t>
            </w:r>
          </w:p>
        </w:tc>
        <w:tc>
          <w:tcPr>
            <w:tcW w:w="6978" w:type="dxa"/>
            <w:vAlign w:val="center"/>
          </w:tcPr>
          <w:p w14:paraId="509DFB8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由县级以上人民政府卫生健康主管部门责令停止非法执业活动，没收违法所得和药品、医疗器械，并处违法所得十倍的罚款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违法所得不足一万元的，按一万元计算。</w:t>
            </w:r>
          </w:p>
        </w:tc>
      </w:tr>
    </w:tbl>
    <w:p w14:paraId="1595FBE4">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767" w:name="_Toc23639"/>
      <w:bookmarkStart w:id="2768" w:name="_Toc18293"/>
      <w:bookmarkStart w:id="2769" w:name="_Toc15619"/>
      <w:bookmarkStart w:id="2770" w:name="_Toc13365"/>
      <w:bookmarkStart w:id="2771" w:name="_Toc6924"/>
      <w:bookmarkStart w:id="2772" w:name="_Toc26323"/>
      <w:bookmarkStart w:id="2773" w:name="_Toc18316"/>
      <w:bookmarkStart w:id="2774" w:name="_Toc14357"/>
      <w:bookmarkStart w:id="2775" w:name="_Toc7935"/>
      <w:bookmarkStart w:id="2776" w:name="_Toc20907"/>
      <w:bookmarkStart w:id="2777" w:name="_Toc4641"/>
      <w:r>
        <w:rPr>
          <w:rFonts w:hint="eastAsia" w:cs="仿宋_GB2312"/>
          <w:bCs/>
          <w:color w:val="000000" w:themeColor="text1"/>
          <w14:textFill>
            <w14:solidFill>
              <w14:schemeClr w14:val="tx1"/>
            </w14:solidFill>
          </w14:textFill>
        </w:rPr>
        <w:t>第二百二十六条</w:t>
      </w:r>
      <w:r>
        <w:rPr>
          <w:rFonts w:hint="eastAsia" w:ascii="Times New Roman" w:hAnsi="Times New Roman" w:cs="仿宋_GB2312"/>
          <w:bCs/>
          <w:color w:val="000000" w:themeColor="text1"/>
          <w:kern w:val="0"/>
          <w14:textFill>
            <w14:solidFill>
              <w14:schemeClr w14:val="tx1"/>
            </w14:solidFill>
          </w14:textFill>
        </w:rPr>
        <w:t xml:space="preserve"> 医疗机构聘用未经大陆短期行医执业注册的台湾医师从事诊疗活动，视为聘用非卫生技术人员</w:t>
      </w:r>
      <w:bookmarkEnd w:id="2767"/>
      <w:bookmarkEnd w:id="2768"/>
      <w:bookmarkEnd w:id="2769"/>
      <w:bookmarkEnd w:id="2770"/>
      <w:bookmarkEnd w:id="2771"/>
      <w:bookmarkEnd w:id="2772"/>
      <w:bookmarkEnd w:id="2773"/>
      <w:bookmarkEnd w:id="2774"/>
      <w:bookmarkEnd w:id="2775"/>
      <w:bookmarkEnd w:id="2776"/>
      <w:bookmarkEnd w:id="2777"/>
    </w:p>
    <w:p w14:paraId="5629F10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E8A1D1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1.《台湾地区医师在大陆短期行医管理规定》第十七条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聘用未经大陆短期行医执业注册的台湾医师从事诊疗活动，视为聘用非卫生技术人员，按照《医疗机构管理条例》第四十八条规定处理。【根据医疗机构管理条例（2022修订），原第四十八条修改为第四十七条】</w:t>
      </w:r>
    </w:p>
    <w:p w14:paraId="7A4AB206">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2.《医疗机构管理条例》第四十七条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违反本条例第二十七条规定，使用非卫生技术人员从事医疗卫生技术工作的，由县级以上人民政府卫生行政部门责令其限期改正，并可以处以1万元以上10万元以下的罚款；情节</w:t>
      </w:r>
      <w:r>
        <w:rPr>
          <w:rFonts w:hint="eastAsia" w:ascii="Times New Roman" w:hAnsi="Times New Roman" w:eastAsia="仿宋_GB2312" w:cs="华文中宋"/>
          <w:color w:val="000000" w:themeColor="text1"/>
          <w:sz w:val="32"/>
          <w:szCs w:val="28"/>
          <w14:textFill>
            <w14:solidFill>
              <w14:schemeClr w14:val="tx1"/>
            </w14:solidFill>
          </w14:textFill>
        </w:rPr>
        <w:t>严重的，吊销其《医疗机构执业许可证》或者责令其停止执业活动。</w:t>
      </w:r>
    </w:p>
    <w:p w14:paraId="147B83B4">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4423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698AFF7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7F2D272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2C40544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524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D411D1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轻微</w:t>
            </w:r>
          </w:p>
        </w:tc>
        <w:tc>
          <w:tcPr>
            <w:tcW w:w="5595" w:type="dxa"/>
            <w:vAlign w:val="center"/>
          </w:tcPr>
          <w:p w14:paraId="3BD4DD2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使用1名未经大陆短期行医执业注册的台湾医师从事医疗卫生技术工作的。</w:t>
            </w:r>
          </w:p>
        </w:tc>
        <w:tc>
          <w:tcPr>
            <w:tcW w:w="7139" w:type="dxa"/>
            <w:vAlign w:val="center"/>
          </w:tcPr>
          <w:p w14:paraId="149FF84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责令其立即改正，可以处以1万元以上2万元以下罚款。</w:t>
            </w:r>
          </w:p>
          <w:p w14:paraId="51341AF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r w14:paraId="0AB2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0EEC3C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2FBB717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使用2名或2名以上未经大陆短期行医执业注册的台湾医师从事医疗卫生技术工作的。</w:t>
            </w:r>
          </w:p>
        </w:tc>
        <w:tc>
          <w:tcPr>
            <w:tcW w:w="7139" w:type="dxa"/>
            <w:vAlign w:val="center"/>
          </w:tcPr>
          <w:p w14:paraId="5E852CA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责令其立即改正，可以处以2万元以上8万元以下罚款。</w:t>
            </w:r>
          </w:p>
        </w:tc>
      </w:tr>
      <w:tr w14:paraId="14CB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121C9D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26EBBB0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使用未经大陆短期行医执业注册的台湾医师从事医疗卫生技术工作给患者造成伤害的。</w:t>
            </w:r>
          </w:p>
        </w:tc>
        <w:tc>
          <w:tcPr>
            <w:tcW w:w="7139" w:type="dxa"/>
            <w:vAlign w:val="center"/>
          </w:tcPr>
          <w:p w14:paraId="5CCF006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责令其立即改正，可以处以8万元以上10万元以下罚款 。</w:t>
            </w:r>
          </w:p>
        </w:tc>
      </w:tr>
      <w:tr w14:paraId="4118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11C9B0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38BFF4A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使用未经大陆短期行医执业注册的台湾医师从事医疗卫生技术工作的，造成患者死亡的。</w:t>
            </w:r>
          </w:p>
        </w:tc>
        <w:tc>
          <w:tcPr>
            <w:tcW w:w="7139" w:type="dxa"/>
            <w:vAlign w:val="center"/>
          </w:tcPr>
          <w:p w14:paraId="4D87D5F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责令其立即改正，可以处以10万元罚款，情节严重的，吊销其《医疗机构执业许可证》或者责令其停止执业活动。</w:t>
            </w:r>
          </w:p>
        </w:tc>
      </w:tr>
    </w:tbl>
    <w:p w14:paraId="149C3B78">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778" w:name="_Toc23267"/>
      <w:bookmarkStart w:id="2779" w:name="_Toc24636"/>
      <w:bookmarkStart w:id="2780" w:name="_Toc9706"/>
      <w:bookmarkStart w:id="2781" w:name="_Toc23489"/>
      <w:bookmarkStart w:id="2782" w:name="_Toc32458"/>
      <w:bookmarkStart w:id="2783" w:name="_Toc5760"/>
      <w:bookmarkStart w:id="2784" w:name="_Toc15091"/>
      <w:bookmarkStart w:id="2785" w:name="_Toc29745"/>
      <w:bookmarkStart w:id="2786" w:name="_Toc1648"/>
      <w:bookmarkStart w:id="2787" w:name="_Toc26902"/>
      <w:bookmarkStart w:id="2788" w:name="_Toc32595"/>
      <w:r>
        <w:rPr>
          <w:rFonts w:hint="eastAsia" w:cs="仿宋_GB2312"/>
          <w:bCs/>
          <w:color w:val="000000" w:themeColor="text1"/>
          <w14:textFill>
            <w14:solidFill>
              <w14:schemeClr w14:val="tx1"/>
            </w14:solidFill>
          </w14:textFill>
        </w:rPr>
        <w:t>第二百二十七条</w:t>
      </w:r>
      <w:r>
        <w:rPr>
          <w:rFonts w:hint="eastAsia" w:ascii="Times New Roman" w:hAnsi="Times New Roman" w:cs="仿宋_GB2312"/>
          <w:bCs/>
          <w:color w:val="000000" w:themeColor="text1"/>
          <w:kern w:val="0"/>
          <w14:textFill>
            <w14:solidFill>
              <w14:schemeClr w14:val="tx1"/>
            </w14:solidFill>
          </w14:textFill>
        </w:rPr>
        <w:t xml:space="preserve"> 台湾医师未取得《台湾医师短期行医执业证书》行医或者未按照注册的有效期从事诊疗活动的</w:t>
      </w:r>
      <w:bookmarkEnd w:id="2778"/>
      <w:bookmarkEnd w:id="2779"/>
      <w:bookmarkEnd w:id="2780"/>
      <w:bookmarkEnd w:id="2781"/>
      <w:bookmarkEnd w:id="2782"/>
      <w:bookmarkEnd w:id="2783"/>
      <w:bookmarkEnd w:id="2784"/>
      <w:bookmarkEnd w:id="2785"/>
      <w:bookmarkEnd w:id="2786"/>
      <w:bookmarkEnd w:id="2787"/>
      <w:bookmarkEnd w:id="2788"/>
      <w:r>
        <w:rPr>
          <w:rFonts w:hint="eastAsia" w:ascii="Times New Roman" w:hAnsi="Times New Roman" w:cs="仿宋_GB2312"/>
          <w:bCs/>
          <w:color w:val="000000" w:themeColor="text1"/>
          <w:kern w:val="0"/>
          <w14:textFill>
            <w14:solidFill>
              <w14:schemeClr w14:val="tx1"/>
            </w14:solidFill>
          </w14:textFill>
        </w:rPr>
        <w:t xml:space="preserve"> </w:t>
      </w:r>
    </w:p>
    <w:p w14:paraId="163D28C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785F798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1.《台湾地区医师在大陆短期行医管理规定》第十八条 台湾医师未取得《台湾医师短期行医执业证书》行医或者未按照注册的有效期从事诊疗活动的，按照《执业医师法》第三十九条规定处理。【《执业医师法》已废止，现施行《医师法》】</w:t>
      </w:r>
    </w:p>
    <w:p w14:paraId="2DEF660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2.《中华人民共和国医师法》第五十九条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违反本法规定，非医师行医的，由县级以上人民政府卫生健康主管部门责令停止非法执业活动，没收违法所得和药品、医疗器械，并处违法所得二倍以上十倍以下的罚款，违法所得不足一万元的，按一万元计算。</w:t>
      </w:r>
    </w:p>
    <w:p w14:paraId="31CE6EEF">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5E21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2696FA2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225AC04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0990992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FA7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8629D9D">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95" w:type="dxa"/>
            <w:vAlign w:val="center"/>
          </w:tcPr>
          <w:p w14:paraId="49436B1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台湾医师未取得《台湾医师短期行医执业证书》行医或者未按照注册的有效期从事诊疗活动，时间在三个月以下的且违法所得不足一万元的。</w:t>
            </w:r>
          </w:p>
        </w:tc>
        <w:tc>
          <w:tcPr>
            <w:tcW w:w="7139" w:type="dxa"/>
            <w:vAlign w:val="center"/>
          </w:tcPr>
          <w:p w14:paraId="6C8C686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由县级以上人民政府卫生健康主管部门责令停止非法执业活动，没收违法所得和药品、医疗器械，并处违法所得二倍的罚款，违法所得不足一万元的，按一万元计算。</w:t>
            </w:r>
          </w:p>
        </w:tc>
      </w:tr>
      <w:tr w14:paraId="05F7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5F4A22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95" w:type="dxa"/>
            <w:vAlign w:val="center"/>
          </w:tcPr>
          <w:p w14:paraId="0A5A0F8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台湾医师未取得《台湾医师短期行医执业证书》行医或者未按照注册的有效期从事诊疗活动，时间在三个月以上或者违法所得一万元以上的。</w:t>
            </w:r>
          </w:p>
        </w:tc>
        <w:tc>
          <w:tcPr>
            <w:tcW w:w="7139" w:type="dxa"/>
            <w:vAlign w:val="center"/>
          </w:tcPr>
          <w:p w14:paraId="642BE4C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由县级以上人民政府卫生健康主管部门责令停止非法执业活动，没收违法所得和药品、医疗器械，并处违法所得二倍以上七倍以下的罚款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违法所得不足一万元的，按一万元计算。</w:t>
            </w:r>
          </w:p>
        </w:tc>
      </w:tr>
      <w:tr w14:paraId="123E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CA8B1E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5" w:type="dxa"/>
            <w:vAlign w:val="center"/>
          </w:tcPr>
          <w:p w14:paraId="410AB67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台湾医师未取得《台湾医师短期行医执业证书》行医或者未按照注册的有效期从事诊疗活动，因擅自违法执业曾受过卫生行政处罚的，仍不改正的；或给患者造成伤害的。</w:t>
            </w:r>
          </w:p>
        </w:tc>
        <w:tc>
          <w:tcPr>
            <w:tcW w:w="7139" w:type="dxa"/>
            <w:vAlign w:val="center"/>
          </w:tcPr>
          <w:p w14:paraId="16B5293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由县级以上人民政府卫生健康主管部门责令停止非法执业活动，没收违法所得和药品、医疗器械，并处违法所得七倍以上十倍以下的罚款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违法所得不足一万元的，按一万元计算。</w:t>
            </w:r>
          </w:p>
        </w:tc>
      </w:tr>
      <w:tr w14:paraId="6FBA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12184A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5595" w:type="dxa"/>
            <w:vAlign w:val="center"/>
          </w:tcPr>
          <w:p w14:paraId="026E94B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台湾医师未取得《台湾医师短期行医执业证书》行医或者未按照注册的有效期从事诊疗活动，曾受过两次以上卫生行政处罚或致人死亡的。</w:t>
            </w:r>
          </w:p>
        </w:tc>
        <w:tc>
          <w:tcPr>
            <w:tcW w:w="7139" w:type="dxa"/>
            <w:vAlign w:val="center"/>
          </w:tcPr>
          <w:p w14:paraId="25A49D5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由县级以上人民政府卫生健康主管部门责令停止非法执业活动，没收违法所得和药品、医疗器械，并处违法所得十倍的罚款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违法所得不足一万元的，按一万元计算。</w:t>
            </w:r>
          </w:p>
        </w:tc>
      </w:tr>
    </w:tbl>
    <w:p w14:paraId="27C5CD12">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szCs w:val="32"/>
          <w14:textFill>
            <w14:solidFill>
              <w14:schemeClr w14:val="tx1"/>
            </w14:solidFill>
          </w14:textFill>
        </w:rPr>
      </w:pPr>
      <w:bookmarkStart w:id="2789" w:name="_Toc26748"/>
      <w:bookmarkStart w:id="2790" w:name="_Toc17895"/>
      <w:bookmarkStart w:id="2791" w:name="_Toc6025"/>
      <w:bookmarkStart w:id="2792" w:name="_Toc30430"/>
      <w:bookmarkStart w:id="2793" w:name="_Toc30855"/>
      <w:bookmarkStart w:id="2794" w:name="_Toc11678"/>
      <w:bookmarkStart w:id="2795" w:name="_Toc31100"/>
      <w:bookmarkStart w:id="2796" w:name="_Toc21885"/>
      <w:bookmarkStart w:id="2797" w:name="_Toc23428"/>
      <w:bookmarkStart w:id="2798" w:name="_Toc1486"/>
      <w:bookmarkStart w:id="2799" w:name="_Toc21454"/>
      <w:bookmarkStart w:id="2800" w:name="_Toc25930"/>
      <w:bookmarkStart w:id="2801" w:name="_Toc17479"/>
      <w:r>
        <w:rPr>
          <w:rFonts w:hint="eastAsia" w:ascii="Times New Roman" w:hAnsi="Times New Roman" w:eastAsia="楷体_GB2312" w:cs="楷体_GB2312"/>
          <w:bCs w:val="0"/>
          <w:color w:val="000000" w:themeColor="text1"/>
          <w:kern w:val="2"/>
          <w14:textFill>
            <w14:solidFill>
              <w14:schemeClr w14:val="tx1"/>
            </w14:solidFill>
          </w14:textFill>
        </w:rPr>
        <w:t>（九）《中华人民共和国精神卫生法》</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7E953567">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02" w:name="_Toc1838"/>
      <w:bookmarkStart w:id="2803" w:name="_Toc22324"/>
      <w:bookmarkStart w:id="2804" w:name="_Toc29474"/>
      <w:bookmarkStart w:id="2805" w:name="_Toc1068"/>
      <w:bookmarkStart w:id="2806" w:name="_Toc4450"/>
      <w:bookmarkStart w:id="2807" w:name="_Toc26803"/>
      <w:bookmarkStart w:id="2808" w:name="_Toc10056"/>
      <w:bookmarkStart w:id="2809" w:name="_Toc22287"/>
      <w:bookmarkStart w:id="2810" w:name="_Toc31527"/>
      <w:bookmarkStart w:id="2811" w:name="_Toc2482"/>
      <w:bookmarkStart w:id="2812" w:name="_Toc8772"/>
      <w:r>
        <w:rPr>
          <w:rFonts w:hint="eastAsia" w:cs="仿宋_GB2312"/>
          <w:bCs/>
          <w:color w:val="000000" w:themeColor="text1"/>
          <w14:textFill>
            <w14:solidFill>
              <w14:schemeClr w14:val="tx1"/>
            </w14:solidFill>
          </w14:textFill>
        </w:rPr>
        <w:t>第二百二十八条</w:t>
      </w:r>
      <w:r>
        <w:rPr>
          <w:rFonts w:hint="eastAsia" w:ascii="Times New Roman" w:hAnsi="Times New Roman" w:cs="仿宋_GB2312"/>
          <w:bCs/>
          <w:color w:val="000000" w:themeColor="text1"/>
          <w:kern w:val="0"/>
          <w14:textFill>
            <w14:solidFill>
              <w14:schemeClr w14:val="tx1"/>
            </w14:solidFill>
          </w14:textFill>
        </w:rPr>
        <w:t xml:space="preserve"> 不符合《中华人民共和国精神卫生法》规定条件的医疗机构擅自从事精神障碍诊断、治疗的</w:t>
      </w:r>
      <w:bookmarkEnd w:id="2802"/>
      <w:bookmarkEnd w:id="2803"/>
      <w:bookmarkEnd w:id="2804"/>
      <w:bookmarkEnd w:id="2805"/>
      <w:bookmarkEnd w:id="2806"/>
      <w:bookmarkEnd w:id="2807"/>
      <w:bookmarkEnd w:id="2808"/>
      <w:bookmarkEnd w:id="2809"/>
      <w:bookmarkEnd w:id="2810"/>
      <w:bookmarkEnd w:id="2811"/>
      <w:bookmarkEnd w:id="2812"/>
    </w:p>
    <w:p w14:paraId="154D098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F38B57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《中华人民共和国精神卫生法》第七十三条　不符合本法规定条件的医疗机构擅自从事精神障碍诊断、治疗的，由县级以上人民政府卫生行政部门责令停止相关诊疗活动，给予警告，并处五千元以上一万元以下罚款，有违法所得的，没收违法所得；对直接负责的主管人员和其他直接责任人员依法给予或者责令给予降低岗位等级或者撤职、开除的处分；对有关医务人员，吊销其执业证书。</w:t>
      </w:r>
    </w:p>
    <w:p w14:paraId="182ADF93">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98"/>
        <w:gridCol w:w="5599"/>
        <w:gridCol w:w="6173"/>
      </w:tblGrid>
      <w:tr w14:paraId="1AA0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2198" w:type="dxa"/>
            <w:tcMar>
              <w:top w:w="0" w:type="dxa"/>
              <w:left w:w="108" w:type="dxa"/>
              <w:bottom w:w="0" w:type="dxa"/>
              <w:right w:w="108" w:type="dxa"/>
            </w:tcMar>
            <w:vAlign w:val="center"/>
          </w:tcPr>
          <w:p w14:paraId="1407CD6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9" w:type="dxa"/>
            <w:tcMar>
              <w:top w:w="0" w:type="dxa"/>
              <w:left w:w="108" w:type="dxa"/>
              <w:bottom w:w="0" w:type="dxa"/>
              <w:right w:w="108" w:type="dxa"/>
            </w:tcMar>
            <w:vAlign w:val="center"/>
          </w:tcPr>
          <w:p w14:paraId="6A01AC0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173" w:type="dxa"/>
            <w:tcMar>
              <w:top w:w="0" w:type="dxa"/>
              <w:left w:w="108" w:type="dxa"/>
              <w:bottom w:w="0" w:type="dxa"/>
              <w:right w:w="108" w:type="dxa"/>
            </w:tcMar>
            <w:vAlign w:val="center"/>
          </w:tcPr>
          <w:p w14:paraId="13F1B75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FD0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 w:hRule="atLeast"/>
        </w:trPr>
        <w:tc>
          <w:tcPr>
            <w:tcW w:w="2198" w:type="dxa"/>
            <w:tcMar>
              <w:top w:w="0" w:type="dxa"/>
              <w:left w:w="108" w:type="dxa"/>
              <w:bottom w:w="0" w:type="dxa"/>
              <w:right w:w="108" w:type="dxa"/>
            </w:tcMar>
            <w:vAlign w:val="center"/>
          </w:tcPr>
          <w:p w14:paraId="57058875">
            <w:pPr>
              <w:widowControl w:val="0"/>
              <w:adjustRightInd/>
              <w:snapToGrid/>
              <w:spacing w:after="0" w:line="28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99" w:type="dxa"/>
            <w:tcMar>
              <w:top w:w="0" w:type="dxa"/>
              <w:left w:w="108" w:type="dxa"/>
              <w:bottom w:w="0" w:type="dxa"/>
              <w:right w:w="108" w:type="dxa"/>
            </w:tcMar>
            <w:vAlign w:val="center"/>
          </w:tcPr>
          <w:p w14:paraId="47C77BA0">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不符合本法规定条件的医疗机构擅自从事精神障碍诊断、治疗的。</w:t>
            </w:r>
          </w:p>
        </w:tc>
        <w:tc>
          <w:tcPr>
            <w:tcW w:w="6173" w:type="dxa"/>
            <w:tcMar>
              <w:top w:w="0" w:type="dxa"/>
              <w:left w:w="108" w:type="dxa"/>
              <w:bottom w:w="0" w:type="dxa"/>
              <w:right w:w="108" w:type="dxa"/>
            </w:tcMar>
            <w:vAlign w:val="center"/>
          </w:tcPr>
          <w:p w14:paraId="1450137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由县级以上人民政府卫生行政部门责令停止相关诊疗活动，给予警告，并处五千元以上一万元以下罚款，没收违法所得；对有关医务人员，吊销其执业证书。</w:t>
            </w:r>
          </w:p>
        </w:tc>
      </w:tr>
    </w:tbl>
    <w:p w14:paraId="5D65BC99">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13" w:name="_Toc9986"/>
      <w:bookmarkStart w:id="2814" w:name="_Toc12959"/>
      <w:bookmarkStart w:id="2815" w:name="_Toc29621"/>
      <w:bookmarkStart w:id="2816" w:name="_Toc18521"/>
      <w:bookmarkStart w:id="2817" w:name="_Toc27792"/>
      <w:bookmarkStart w:id="2818" w:name="_Toc14622"/>
      <w:bookmarkStart w:id="2819" w:name="_Toc11441"/>
      <w:bookmarkStart w:id="2820" w:name="_Toc1683"/>
      <w:bookmarkStart w:id="2821" w:name="_Toc2335"/>
      <w:bookmarkStart w:id="2822" w:name="_Toc24700"/>
      <w:bookmarkStart w:id="2823" w:name="_Toc6198"/>
      <w:r>
        <w:rPr>
          <w:rFonts w:hint="eastAsia" w:cs="仿宋_GB2312"/>
          <w:bCs/>
          <w:color w:val="000000" w:themeColor="text1"/>
          <w14:textFill>
            <w14:solidFill>
              <w14:schemeClr w14:val="tx1"/>
            </w14:solidFill>
          </w14:textFill>
        </w:rPr>
        <w:t>第二百二十九条</w:t>
      </w:r>
      <w:r>
        <w:rPr>
          <w:rFonts w:hint="eastAsia" w:ascii="Times New Roman" w:hAnsi="Times New Roman" w:cs="仿宋_GB2312"/>
          <w:bCs/>
          <w:color w:val="000000" w:themeColor="text1"/>
          <w:kern w:val="0"/>
          <w14:textFill>
            <w14:solidFill>
              <w14:schemeClr w14:val="tx1"/>
            </w14:solidFill>
          </w14:textFill>
        </w:rPr>
        <w:t xml:space="preserve"> 医疗机构及其工作人员拒绝对送诊的疑似精神障碍患者作出诊断的</w:t>
      </w:r>
      <w:bookmarkEnd w:id="2813"/>
      <w:bookmarkEnd w:id="2814"/>
      <w:bookmarkEnd w:id="2815"/>
      <w:bookmarkEnd w:id="2816"/>
      <w:bookmarkEnd w:id="2817"/>
      <w:bookmarkEnd w:id="2818"/>
      <w:bookmarkEnd w:id="2819"/>
      <w:bookmarkEnd w:id="2820"/>
      <w:bookmarkEnd w:id="2821"/>
      <w:bookmarkEnd w:id="2822"/>
      <w:bookmarkEnd w:id="2823"/>
    </w:p>
    <w:p w14:paraId="443568F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4752F4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《中华人民共和国精神卫生法》第七十四条第（一）项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医疗机构及其工作人员有下列行为之一的，由县级以上人民政府卫生行政部门责令改正，给予警告；情节严重的，并可以责令有关医务人员暂停一个月以上六个月以下执业活动：</w:t>
      </w:r>
    </w:p>
    <w:p w14:paraId="030AB9B6">
      <w:pPr>
        <w:widowControl w:val="0"/>
        <w:spacing w:line="440" w:lineRule="exact"/>
        <w:ind w:firstLine="640" w:firstLineChars="200"/>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（一）拒绝对送诊的疑似精神障碍患者作出诊断的；</w:t>
      </w:r>
    </w:p>
    <w:p w14:paraId="794004ED">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84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8"/>
        <w:gridCol w:w="4425"/>
        <w:gridCol w:w="7178"/>
      </w:tblGrid>
      <w:tr w14:paraId="7ECF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2238" w:type="dxa"/>
            <w:tcMar>
              <w:top w:w="0" w:type="dxa"/>
              <w:left w:w="108" w:type="dxa"/>
              <w:bottom w:w="0" w:type="dxa"/>
              <w:right w:w="108" w:type="dxa"/>
            </w:tcMar>
            <w:vAlign w:val="center"/>
          </w:tcPr>
          <w:p w14:paraId="4E9A5F5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4425" w:type="dxa"/>
            <w:tcMar>
              <w:top w:w="0" w:type="dxa"/>
              <w:left w:w="108" w:type="dxa"/>
              <w:bottom w:w="0" w:type="dxa"/>
              <w:right w:w="108" w:type="dxa"/>
            </w:tcMar>
            <w:vAlign w:val="center"/>
          </w:tcPr>
          <w:p w14:paraId="5529829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78" w:type="dxa"/>
            <w:tcMar>
              <w:top w:w="0" w:type="dxa"/>
              <w:left w:w="108" w:type="dxa"/>
              <w:bottom w:w="0" w:type="dxa"/>
              <w:right w:w="108" w:type="dxa"/>
            </w:tcMar>
            <w:vAlign w:val="center"/>
          </w:tcPr>
          <w:p w14:paraId="7DB57BA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BB5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2238" w:type="dxa"/>
            <w:tcMar>
              <w:top w:w="0" w:type="dxa"/>
              <w:left w:w="108" w:type="dxa"/>
              <w:bottom w:w="0" w:type="dxa"/>
              <w:right w:w="108" w:type="dxa"/>
            </w:tcMar>
            <w:vAlign w:val="center"/>
          </w:tcPr>
          <w:p w14:paraId="0F3A26F4">
            <w:pPr>
              <w:widowControl w:val="0"/>
              <w:adjustRightInd/>
              <w:snapToGrid/>
              <w:spacing w:after="0" w:line="28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4425" w:type="dxa"/>
            <w:tcMar>
              <w:top w:w="0" w:type="dxa"/>
              <w:left w:w="108" w:type="dxa"/>
              <w:bottom w:w="0" w:type="dxa"/>
              <w:right w:w="108" w:type="dxa"/>
            </w:tcMar>
            <w:vAlign w:val="center"/>
          </w:tcPr>
          <w:p w14:paraId="539F409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拒绝对送诊的疑似精神障碍患者作出诊断的。</w:t>
            </w:r>
          </w:p>
        </w:tc>
        <w:tc>
          <w:tcPr>
            <w:tcW w:w="7178" w:type="dxa"/>
            <w:tcMar>
              <w:top w:w="0" w:type="dxa"/>
              <w:left w:w="108" w:type="dxa"/>
              <w:bottom w:w="0" w:type="dxa"/>
              <w:right w:w="108" w:type="dxa"/>
            </w:tcMar>
            <w:vAlign w:val="center"/>
          </w:tcPr>
          <w:p w14:paraId="76F77B84">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由县级以上人民政府卫生行政部门责令改正，给予警告。</w:t>
            </w:r>
          </w:p>
        </w:tc>
      </w:tr>
      <w:tr w14:paraId="0615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2238" w:type="dxa"/>
            <w:tcMar>
              <w:top w:w="0" w:type="dxa"/>
              <w:left w:w="108" w:type="dxa"/>
              <w:bottom w:w="0" w:type="dxa"/>
              <w:right w:w="108" w:type="dxa"/>
            </w:tcMar>
            <w:vAlign w:val="center"/>
          </w:tcPr>
          <w:p w14:paraId="7CF3232B">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4425" w:type="dxa"/>
            <w:tcMar>
              <w:top w:w="0" w:type="dxa"/>
              <w:left w:w="108" w:type="dxa"/>
              <w:bottom w:w="0" w:type="dxa"/>
              <w:right w:w="108" w:type="dxa"/>
            </w:tcMar>
            <w:vAlign w:val="center"/>
          </w:tcPr>
          <w:p w14:paraId="484AC79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拒绝对送诊的疑似精神障碍患者作出诊断的，情节严重的。</w:t>
            </w:r>
          </w:p>
        </w:tc>
        <w:tc>
          <w:tcPr>
            <w:tcW w:w="7178" w:type="dxa"/>
            <w:tcMar>
              <w:top w:w="0" w:type="dxa"/>
              <w:left w:w="108" w:type="dxa"/>
              <w:bottom w:w="0" w:type="dxa"/>
              <w:right w:w="108" w:type="dxa"/>
            </w:tcMar>
          </w:tcPr>
          <w:p w14:paraId="31E533BC">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由县级以上人民政府卫生行政部门责令改正，给予警告；可以责令暂停有关医务人员一个月以上六个月以下执业活动。</w:t>
            </w:r>
          </w:p>
        </w:tc>
      </w:tr>
    </w:tbl>
    <w:p w14:paraId="7D0C82FA">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24" w:name="_Toc4847"/>
      <w:bookmarkStart w:id="2825" w:name="_Toc16796"/>
      <w:bookmarkStart w:id="2826" w:name="_Toc5117"/>
      <w:bookmarkStart w:id="2827" w:name="_Toc11838"/>
      <w:bookmarkStart w:id="2828" w:name="_Toc8619"/>
      <w:bookmarkStart w:id="2829" w:name="_Toc2536"/>
      <w:bookmarkStart w:id="2830" w:name="_Toc11274"/>
      <w:bookmarkStart w:id="2831" w:name="_Toc15802"/>
      <w:bookmarkStart w:id="2832" w:name="_Toc25499"/>
      <w:bookmarkStart w:id="2833" w:name="_Toc6407"/>
      <w:bookmarkStart w:id="2834" w:name="_Toc26957"/>
      <w:r>
        <w:rPr>
          <w:rFonts w:hint="eastAsia" w:cs="仿宋_GB2312"/>
          <w:bCs/>
          <w:color w:val="000000" w:themeColor="text1"/>
          <w14:textFill>
            <w14:solidFill>
              <w14:schemeClr w14:val="tx1"/>
            </w14:solidFill>
          </w14:textFill>
        </w:rPr>
        <w:t>第二百三十条</w:t>
      </w:r>
      <w:r>
        <w:rPr>
          <w:rFonts w:hint="eastAsia" w:ascii="Times New Roman" w:hAnsi="Times New Roman" w:cs="仿宋_GB2312"/>
          <w:bCs/>
          <w:color w:val="000000" w:themeColor="text1"/>
          <w:kern w:val="0"/>
          <w14:textFill>
            <w14:solidFill>
              <w14:schemeClr w14:val="tx1"/>
            </w14:solidFill>
          </w14:textFill>
        </w:rPr>
        <w:t xml:space="preserve"> 医疗机构及其工作人员实施住院治疗的患者未及时进行检查评估或者未根据评估结果作出处理的</w:t>
      </w:r>
      <w:bookmarkEnd w:id="2824"/>
      <w:bookmarkEnd w:id="2825"/>
      <w:bookmarkEnd w:id="2826"/>
      <w:bookmarkEnd w:id="2827"/>
      <w:bookmarkEnd w:id="2828"/>
      <w:bookmarkEnd w:id="2829"/>
      <w:bookmarkEnd w:id="2830"/>
      <w:bookmarkEnd w:id="2831"/>
      <w:bookmarkEnd w:id="2832"/>
      <w:bookmarkEnd w:id="2833"/>
      <w:bookmarkEnd w:id="2834"/>
    </w:p>
    <w:p w14:paraId="1E7D396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4B95E8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1.《中华人民共和国精神卫生法》第七十四条第（二）项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医疗机构及其工作人员有下列行为之一的，由县级以上人民政府卫生行政部门责令改正，给予警告；情节严重的，对直接负责的主管人员和其他直接责任人员依法给予或者责令给予降低岗位等级或者撤职、开除的处分，并可以责令有关医务人员暂停一个月以上六个月以下执业活动: </w:t>
      </w:r>
    </w:p>
    <w:p w14:paraId="0E69CC2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（二）对依照本法第三十条第二款规定实施住院治疗的患者未及时进行检查评估或者未根据评估结果作出处理的。</w:t>
      </w:r>
    </w:p>
    <w:p w14:paraId="51D1B28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2.《中华人民共和国精神卫生法》第三十条第二款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诊断结论、病情评估表明，就诊者为严重精神障碍患者并有下列情形之一的，应当对其实施住院治疗: </w:t>
      </w:r>
    </w:p>
    <w:p w14:paraId="1673154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（一）已经发生伤害自身的行为，或者有伤害自身的危险的；</w:t>
      </w:r>
    </w:p>
    <w:p w14:paraId="35AA0410">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（二）已经发生危</w:t>
      </w:r>
      <w:r>
        <w:rPr>
          <w:rFonts w:hint="eastAsia" w:ascii="Times New Roman" w:hAnsi="Times New Roman" w:eastAsia="仿宋_GB2312" w:cs="华文中宋"/>
          <w:color w:val="000000" w:themeColor="text1"/>
          <w:sz w:val="32"/>
          <w:szCs w:val="28"/>
          <w14:textFill>
            <w14:solidFill>
              <w14:schemeClr w14:val="tx1"/>
            </w14:solidFill>
          </w14:textFill>
        </w:rPr>
        <w:t>害他人安全的行为，或者有危害他人安全的危险的。</w:t>
      </w:r>
    </w:p>
    <w:p w14:paraId="422F467A">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2"/>
        <w:gridCol w:w="5106"/>
        <w:gridCol w:w="6851"/>
      </w:tblGrid>
      <w:tr w14:paraId="5341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trPr>
        <w:tc>
          <w:tcPr>
            <w:tcW w:w="1982" w:type="dxa"/>
            <w:tcMar>
              <w:top w:w="0" w:type="dxa"/>
              <w:left w:w="108" w:type="dxa"/>
              <w:bottom w:w="0" w:type="dxa"/>
              <w:right w:w="108" w:type="dxa"/>
            </w:tcMar>
            <w:vAlign w:val="center"/>
          </w:tcPr>
          <w:p w14:paraId="0F4888B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106" w:type="dxa"/>
            <w:tcMar>
              <w:top w:w="0" w:type="dxa"/>
              <w:left w:w="108" w:type="dxa"/>
              <w:bottom w:w="0" w:type="dxa"/>
              <w:right w:w="108" w:type="dxa"/>
            </w:tcMar>
            <w:vAlign w:val="center"/>
          </w:tcPr>
          <w:p w14:paraId="73D57D9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851" w:type="dxa"/>
            <w:tcMar>
              <w:top w:w="0" w:type="dxa"/>
              <w:left w:w="108" w:type="dxa"/>
              <w:bottom w:w="0" w:type="dxa"/>
              <w:right w:w="108" w:type="dxa"/>
            </w:tcMar>
            <w:vAlign w:val="center"/>
          </w:tcPr>
          <w:p w14:paraId="08F7C77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498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982" w:type="dxa"/>
            <w:tcMar>
              <w:top w:w="0" w:type="dxa"/>
              <w:left w:w="108" w:type="dxa"/>
              <w:bottom w:w="0" w:type="dxa"/>
              <w:right w:w="108" w:type="dxa"/>
            </w:tcMar>
            <w:vAlign w:val="center"/>
          </w:tcPr>
          <w:p w14:paraId="1C6EB43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106" w:type="dxa"/>
            <w:tcMar>
              <w:top w:w="0" w:type="dxa"/>
              <w:left w:w="108" w:type="dxa"/>
              <w:bottom w:w="0" w:type="dxa"/>
              <w:right w:w="108" w:type="dxa"/>
            </w:tcMar>
            <w:vAlign w:val="center"/>
          </w:tcPr>
          <w:p w14:paraId="0A385E4A">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未及时对住院治疗的患者进行检查评估或者未根据评估结果作出处理的。</w:t>
            </w:r>
          </w:p>
        </w:tc>
        <w:tc>
          <w:tcPr>
            <w:tcW w:w="6851" w:type="dxa"/>
            <w:tcMar>
              <w:top w:w="0" w:type="dxa"/>
              <w:left w:w="108" w:type="dxa"/>
              <w:bottom w:w="0" w:type="dxa"/>
              <w:right w:w="108" w:type="dxa"/>
            </w:tcMar>
            <w:vAlign w:val="center"/>
          </w:tcPr>
          <w:p w14:paraId="6F3EF738">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由县级以上人民政府卫生行政部门责令改正，给予警告。</w:t>
            </w:r>
          </w:p>
        </w:tc>
      </w:tr>
      <w:tr w14:paraId="298E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trPr>
        <w:tc>
          <w:tcPr>
            <w:tcW w:w="1982" w:type="dxa"/>
            <w:tcMar>
              <w:top w:w="0" w:type="dxa"/>
              <w:left w:w="108" w:type="dxa"/>
              <w:bottom w:w="0" w:type="dxa"/>
              <w:right w:w="108" w:type="dxa"/>
            </w:tcMar>
            <w:vAlign w:val="center"/>
          </w:tcPr>
          <w:p w14:paraId="3D7D2EBE">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106" w:type="dxa"/>
            <w:tcMar>
              <w:top w:w="0" w:type="dxa"/>
              <w:left w:w="108" w:type="dxa"/>
              <w:bottom w:w="0" w:type="dxa"/>
              <w:right w:w="108" w:type="dxa"/>
            </w:tcMar>
            <w:vAlign w:val="center"/>
          </w:tcPr>
          <w:p w14:paraId="7DFD6FE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未及时对住院治疗的患者进行检查评估，也未根据评估结果作出处理,情节严重的。</w:t>
            </w:r>
          </w:p>
        </w:tc>
        <w:tc>
          <w:tcPr>
            <w:tcW w:w="6851" w:type="dxa"/>
            <w:tcMar>
              <w:top w:w="0" w:type="dxa"/>
              <w:left w:w="108" w:type="dxa"/>
              <w:bottom w:w="0" w:type="dxa"/>
              <w:right w:w="108" w:type="dxa"/>
            </w:tcMar>
            <w:vAlign w:val="center"/>
          </w:tcPr>
          <w:p w14:paraId="7ECBD350">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由县级以上人民政府卫生行政部门责令改正，给予警告；可以责令暂停有关医务人员一个月以上六个月以下执业活动。</w:t>
            </w:r>
          </w:p>
        </w:tc>
      </w:tr>
    </w:tbl>
    <w:p w14:paraId="15373038">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35" w:name="_Toc12992"/>
      <w:bookmarkStart w:id="2836" w:name="_Toc21667"/>
      <w:bookmarkStart w:id="2837" w:name="_Toc31671"/>
      <w:bookmarkStart w:id="2838" w:name="_Toc3206"/>
      <w:bookmarkStart w:id="2839" w:name="_Toc6863"/>
      <w:bookmarkStart w:id="2840" w:name="_Toc16183"/>
      <w:bookmarkStart w:id="2841" w:name="_Toc15269"/>
      <w:bookmarkStart w:id="2842" w:name="_Toc22247"/>
      <w:bookmarkStart w:id="2843" w:name="_Toc22988"/>
      <w:bookmarkStart w:id="2844" w:name="_Toc25490"/>
      <w:bookmarkStart w:id="2845" w:name="_Toc12908"/>
      <w:r>
        <w:rPr>
          <w:rFonts w:hint="eastAsia" w:cs="仿宋_GB2312"/>
          <w:bCs/>
          <w:color w:val="000000" w:themeColor="text1"/>
          <w14:textFill>
            <w14:solidFill>
              <w14:schemeClr w14:val="tx1"/>
            </w14:solidFill>
          </w14:textFill>
        </w:rPr>
        <w:t>第二百三十一条</w:t>
      </w:r>
      <w:r>
        <w:rPr>
          <w:rFonts w:hint="eastAsia" w:ascii="Times New Roman" w:hAnsi="Times New Roman" w:cs="仿宋_GB2312"/>
          <w:bCs/>
          <w:color w:val="000000" w:themeColor="text1"/>
          <w:kern w:val="0"/>
          <w14:textFill>
            <w14:solidFill>
              <w14:schemeClr w14:val="tx1"/>
            </w14:solidFill>
          </w14:textFill>
        </w:rPr>
        <w:t xml:space="preserve"> 医疗机构及其工作人员违反《中华人民共和国精神卫生法》规定实施约束、隔离等保护性医疗措施的</w:t>
      </w:r>
      <w:bookmarkEnd w:id="2835"/>
      <w:bookmarkEnd w:id="2836"/>
      <w:bookmarkEnd w:id="2837"/>
      <w:bookmarkEnd w:id="2838"/>
      <w:bookmarkEnd w:id="2839"/>
      <w:bookmarkEnd w:id="2840"/>
      <w:bookmarkEnd w:id="2841"/>
      <w:bookmarkEnd w:id="2842"/>
      <w:bookmarkEnd w:id="2843"/>
      <w:bookmarkEnd w:id="2844"/>
      <w:bookmarkEnd w:id="2845"/>
    </w:p>
    <w:p w14:paraId="25740D5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5C1659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《中华人民共和国精神卫生法》第七十五条第（一）项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医疗机构及其工作人员有下列行为之一的，由县级以上人民政府卫生行政部门责令改正，对有关医务人员，暂停六个月以上一年以下执业活动；情节严重的，并吊销有关医务人员的执业证书：</w:t>
      </w:r>
    </w:p>
    <w:p w14:paraId="65DD3E77">
      <w:pPr>
        <w:widowControl w:val="0"/>
        <w:adjustRightInd/>
        <w:snapToGrid/>
        <w:spacing w:after="0" w:line="440" w:lineRule="exact"/>
        <w:ind w:firstLine="640"/>
        <w:jc w:val="both"/>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（一）违反本法规定实施约束、隔离等保护性医疗措施的；</w:t>
      </w:r>
    </w:p>
    <w:p w14:paraId="2F93456F">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06"/>
        <w:gridCol w:w="5624"/>
        <w:gridCol w:w="6662"/>
      </w:tblGrid>
      <w:tr w14:paraId="7A46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trPr>
        <w:tc>
          <w:tcPr>
            <w:tcW w:w="1606" w:type="dxa"/>
            <w:tcMar>
              <w:top w:w="0" w:type="dxa"/>
              <w:left w:w="108" w:type="dxa"/>
              <w:bottom w:w="0" w:type="dxa"/>
              <w:right w:w="108" w:type="dxa"/>
            </w:tcMar>
            <w:vAlign w:val="center"/>
          </w:tcPr>
          <w:p w14:paraId="680BE1A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624" w:type="dxa"/>
            <w:tcMar>
              <w:top w:w="0" w:type="dxa"/>
              <w:left w:w="108" w:type="dxa"/>
              <w:bottom w:w="0" w:type="dxa"/>
              <w:right w:w="108" w:type="dxa"/>
            </w:tcMar>
            <w:vAlign w:val="center"/>
          </w:tcPr>
          <w:p w14:paraId="06C7B6F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662" w:type="dxa"/>
            <w:tcMar>
              <w:top w:w="0" w:type="dxa"/>
              <w:left w:w="108" w:type="dxa"/>
              <w:bottom w:w="0" w:type="dxa"/>
              <w:right w:w="108" w:type="dxa"/>
            </w:tcMar>
            <w:vAlign w:val="center"/>
          </w:tcPr>
          <w:p w14:paraId="295D829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F00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trPr>
        <w:tc>
          <w:tcPr>
            <w:tcW w:w="1606" w:type="dxa"/>
            <w:tcMar>
              <w:top w:w="0" w:type="dxa"/>
              <w:left w:w="108" w:type="dxa"/>
              <w:bottom w:w="0" w:type="dxa"/>
              <w:right w:w="108" w:type="dxa"/>
            </w:tcMar>
            <w:vAlign w:val="center"/>
          </w:tcPr>
          <w:p w14:paraId="0CEC304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624" w:type="dxa"/>
            <w:tcMar>
              <w:top w:w="0" w:type="dxa"/>
              <w:left w:w="108" w:type="dxa"/>
              <w:bottom w:w="0" w:type="dxa"/>
              <w:right w:w="108" w:type="dxa"/>
            </w:tcMar>
            <w:vAlign w:val="center"/>
          </w:tcPr>
          <w:p w14:paraId="4D22C9E8">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未按本法规定实施约束、隔离等保护性医疗措施的。</w:t>
            </w:r>
          </w:p>
        </w:tc>
        <w:tc>
          <w:tcPr>
            <w:tcW w:w="6662" w:type="dxa"/>
            <w:tcMar>
              <w:top w:w="0" w:type="dxa"/>
              <w:left w:w="108" w:type="dxa"/>
              <w:bottom w:w="0" w:type="dxa"/>
              <w:right w:w="108" w:type="dxa"/>
            </w:tcMar>
            <w:vAlign w:val="center"/>
          </w:tcPr>
          <w:p w14:paraId="6F87A48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由县级以上人民政府卫生行政部门责令改正；对有关医务人员，暂停六个月以上一年以下执业活动。</w:t>
            </w:r>
          </w:p>
        </w:tc>
      </w:tr>
      <w:tr w14:paraId="7012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1606" w:type="dxa"/>
            <w:tcMar>
              <w:top w:w="0" w:type="dxa"/>
              <w:left w:w="108" w:type="dxa"/>
              <w:bottom w:w="0" w:type="dxa"/>
              <w:right w:w="108" w:type="dxa"/>
            </w:tcMar>
            <w:vAlign w:val="center"/>
          </w:tcPr>
          <w:p w14:paraId="7164737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624" w:type="dxa"/>
            <w:tcMar>
              <w:top w:w="0" w:type="dxa"/>
              <w:left w:w="108" w:type="dxa"/>
              <w:bottom w:w="0" w:type="dxa"/>
              <w:right w:w="108" w:type="dxa"/>
            </w:tcMar>
            <w:vAlign w:val="center"/>
          </w:tcPr>
          <w:p w14:paraId="5CA1D4CD">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未按本法规定实施约束、隔离等保护性医疗措施，造成危害后果的。</w:t>
            </w:r>
          </w:p>
        </w:tc>
        <w:tc>
          <w:tcPr>
            <w:tcW w:w="6662" w:type="dxa"/>
            <w:tcMar>
              <w:top w:w="0" w:type="dxa"/>
              <w:left w:w="108" w:type="dxa"/>
              <w:bottom w:w="0" w:type="dxa"/>
              <w:right w:w="108" w:type="dxa"/>
            </w:tcMar>
            <w:vAlign w:val="center"/>
          </w:tcPr>
          <w:p w14:paraId="6DD809E6">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由县级以上人民政府卫生行政部门责令改正，吊销有关医务人员执业证书。</w:t>
            </w:r>
          </w:p>
        </w:tc>
      </w:tr>
    </w:tbl>
    <w:p w14:paraId="31883D45">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46" w:name="_Toc4886"/>
      <w:bookmarkStart w:id="2847" w:name="_Toc14142"/>
      <w:bookmarkStart w:id="2848" w:name="_Toc8803"/>
      <w:bookmarkStart w:id="2849" w:name="_Toc10462"/>
      <w:bookmarkStart w:id="2850" w:name="_Toc19392"/>
      <w:bookmarkStart w:id="2851" w:name="_Toc8785"/>
      <w:bookmarkStart w:id="2852" w:name="_Toc6960"/>
      <w:bookmarkStart w:id="2853" w:name="_Toc7552"/>
      <w:bookmarkStart w:id="2854" w:name="_Toc67"/>
      <w:bookmarkStart w:id="2855" w:name="_Toc298"/>
      <w:bookmarkStart w:id="2856" w:name="_Toc11460"/>
      <w:r>
        <w:rPr>
          <w:rFonts w:hint="eastAsia" w:cs="仿宋_GB2312"/>
          <w:bCs/>
          <w:color w:val="000000" w:themeColor="text1"/>
          <w14:textFill>
            <w14:solidFill>
              <w14:schemeClr w14:val="tx1"/>
            </w14:solidFill>
          </w14:textFill>
        </w:rPr>
        <w:t>第二百三十二条</w:t>
      </w:r>
      <w:r>
        <w:rPr>
          <w:rFonts w:hint="eastAsia" w:ascii="Times New Roman" w:hAnsi="Times New Roman" w:cs="仿宋_GB2312"/>
          <w:bCs/>
          <w:color w:val="000000" w:themeColor="text1"/>
          <w:kern w:val="0"/>
          <w14:textFill>
            <w14:solidFill>
              <w14:schemeClr w14:val="tx1"/>
            </w14:solidFill>
          </w14:textFill>
        </w:rPr>
        <w:t xml:space="preserve"> 违反《中华人民共和国精神卫生法》，强迫精神障碍患者劳动的</w:t>
      </w:r>
      <w:bookmarkEnd w:id="2846"/>
      <w:bookmarkEnd w:id="2847"/>
      <w:bookmarkEnd w:id="2848"/>
      <w:bookmarkEnd w:id="2849"/>
      <w:bookmarkEnd w:id="2850"/>
      <w:bookmarkEnd w:id="2851"/>
      <w:bookmarkEnd w:id="2852"/>
      <w:bookmarkEnd w:id="2853"/>
      <w:bookmarkEnd w:id="2854"/>
      <w:bookmarkEnd w:id="2855"/>
      <w:bookmarkEnd w:id="2856"/>
    </w:p>
    <w:p w14:paraId="065FE1A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B25BED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《中华人民共和国精神卫生法》第七十五条第（二）项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医疗机构及其工作人员有下列行为之一的，由县级以上人民政府卫生行政部门责令改正，对有关医务人员，暂停六个月以上一年以下执业活动；情节严重的，并吊销有关医务人员的执业证书： </w:t>
      </w:r>
    </w:p>
    <w:p w14:paraId="4792C3D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（二）违反本法规定，强迫精神障碍患者劳动的；</w:t>
      </w:r>
    </w:p>
    <w:p w14:paraId="5D7BAE88">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8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05"/>
        <w:gridCol w:w="5618"/>
        <w:gridCol w:w="6655"/>
      </w:tblGrid>
      <w:tr w14:paraId="0870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1605" w:type="dxa"/>
            <w:tcMar>
              <w:top w:w="0" w:type="dxa"/>
              <w:left w:w="108" w:type="dxa"/>
              <w:bottom w:w="0" w:type="dxa"/>
              <w:right w:w="108" w:type="dxa"/>
            </w:tcMar>
            <w:vAlign w:val="center"/>
          </w:tcPr>
          <w:p w14:paraId="5D6337B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618" w:type="dxa"/>
            <w:tcMar>
              <w:top w:w="0" w:type="dxa"/>
              <w:left w:w="108" w:type="dxa"/>
              <w:bottom w:w="0" w:type="dxa"/>
              <w:right w:w="108" w:type="dxa"/>
            </w:tcMar>
            <w:vAlign w:val="center"/>
          </w:tcPr>
          <w:p w14:paraId="48DCC52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655" w:type="dxa"/>
            <w:tcMar>
              <w:top w:w="0" w:type="dxa"/>
              <w:left w:w="108" w:type="dxa"/>
              <w:bottom w:w="0" w:type="dxa"/>
              <w:right w:w="108" w:type="dxa"/>
            </w:tcMar>
            <w:vAlign w:val="center"/>
          </w:tcPr>
          <w:p w14:paraId="48E3FBB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FF0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1605" w:type="dxa"/>
            <w:tcMar>
              <w:top w:w="0" w:type="dxa"/>
              <w:left w:w="108" w:type="dxa"/>
              <w:bottom w:w="0" w:type="dxa"/>
              <w:right w:w="108" w:type="dxa"/>
            </w:tcMar>
            <w:vAlign w:val="center"/>
          </w:tcPr>
          <w:p w14:paraId="52E16BA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618" w:type="dxa"/>
            <w:tcMar>
              <w:top w:w="0" w:type="dxa"/>
              <w:left w:w="108" w:type="dxa"/>
              <w:bottom w:w="0" w:type="dxa"/>
              <w:right w:w="108" w:type="dxa"/>
            </w:tcMar>
            <w:vAlign w:val="center"/>
          </w:tcPr>
          <w:p w14:paraId="19F4B74D">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医疗机构及其工作人员不以营利为目的，强迫精神障碍患者劳动的。</w:t>
            </w:r>
          </w:p>
        </w:tc>
        <w:tc>
          <w:tcPr>
            <w:tcW w:w="6655" w:type="dxa"/>
            <w:tcMar>
              <w:top w:w="0" w:type="dxa"/>
              <w:left w:w="108" w:type="dxa"/>
              <w:bottom w:w="0" w:type="dxa"/>
              <w:right w:w="108" w:type="dxa"/>
            </w:tcMar>
            <w:vAlign w:val="center"/>
          </w:tcPr>
          <w:p w14:paraId="45A5CAAA">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由县级以上人民政府卫生行政部门责令改正；对有关医务人员，暂停六个月以上一年以下执业活动。</w:t>
            </w:r>
          </w:p>
        </w:tc>
      </w:tr>
      <w:tr w14:paraId="46BD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1605" w:type="dxa"/>
            <w:tcMar>
              <w:top w:w="0" w:type="dxa"/>
              <w:left w:w="108" w:type="dxa"/>
              <w:bottom w:w="0" w:type="dxa"/>
              <w:right w:w="108" w:type="dxa"/>
            </w:tcMar>
            <w:vAlign w:val="center"/>
          </w:tcPr>
          <w:p w14:paraId="643BBFB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618" w:type="dxa"/>
            <w:tcMar>
              <w:top w:w="0" w:type="dxa"/>
              <w:left w:w="108" w:type="dxa"/>
              <w:bottom w:w="0" w:type="dxa"/>
              <w:right w:w="108" w:type="dxa"/>
            </w:tcMar>
            <w:vAlign w:val="center"/>
          </w:tcPr>
          <w:p w14:paraId="69C52E8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医疗机构及其工作人员以营利为目的，强迫精神障碍患者劳动。</w:t>
            </w:r>
          </w:p>
        </w:tc>
        <w:tc>
          <w:tcPr>
            <w:tcW w:w="6655" w:type="dxa"/>
            <w:tcMar>
              <w:top w:w="0" w:type="dxa"/>
              <w:left w:w="108" w:type="dxa"/>
              <w:bottom w:w="0" w:type="dxa"/>
              <w:right w:w="108" w:type="dxa"/>
            </w:tcMar>
            <w:vAlign w:val="center"/>
          </w:tcPr>
          <w:p w14:paraId="2BCCFF82">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由县级以上人民政府卫生行政部门责令改正，吊销有关医务人员的执业证书。</w:t>
            </w:r>
          </w:p>
        </w:tc>
      </w:tr>
    </w:tbl>
    <w:p w14:paraId="54CDE62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57" w:name="_Toc1139"/>
      <w:bookmarkStart w:id="2858" w:name="_Toc30608"/>
      <w:bookmarkStart w:id="2859" w:name="_Toc16577"/>
      <w:bookmarkStart w:id="2860" w:name="_Toc20910"/>
      <w:bookmarkStart w:id="2861" w:name="_Toc6348"/>
      <w:bookmarkStart w:id="2862" w:name="_Toc6262"/>
      <w:bookmarkStart w:id="2863" w:name="_Toc25546"/>
      <w:bookmarkStart w:id="2864" w:name="_Toc3065"/>
      <w:bookmarkStart w:id="2865" w:name="_Toc18309"/>
      <w:bookmarkStart w:id="2866" w:name="_Toc20171"/>
      <w:bookmarkStart w:id="2867" w:name="_Toc26264"/>
      <w:r>
        <w:rPr>
          <w:rFonts w:hint="eastAsia" w:cs="仿宋_GB2312"/>
          <w:bCs/>
          <w:color w:val="000000" w:themeColor="text1"/>
          <w14:textFill>
            <w14:solidFill>
              <w14:schemeClr w14:val="tx1"/>
            </w14:solidFill>
          </w14:textFill>
        </w:rPr>
        <w:t>第二百三十三条</w:t>
      </w:r>
      <w:r>
        <w:rPr>
          <w:rFonts w:hint="eastAsia" w:ascii="Times New Roman" w:hAnsi="Times New Roman" w:cs="仿宋_GB2312"/>
          <w:bCs/>
          <w:color w:val="000000" w:themeColor="text1"/>
          <w:kern w:val="0"/>
          <w14:textFill>
            <w14:solidFill>
              <w14:schemeClr w14:val="tx1"/>
            </w14:solidFill>
          </w14:textFill>
        </w:rPr>
        <w:t xml:space="preserve"> 违反《中华人民共和国精神卫生法》规定，对精神障碍患者实施外科手术或者实验性临床医疗的</w:t>
      </w:r>
      <w:bookmarkEnd w:id="2857"/>
      <w:bookmarkEnd w:id="2858"/>
      <w:bookmarkEnd w:id="2859"/>
      <w:bookmarkEnd w:id="2860"/>
      <w:bookmarkEnd w:id="2861"/>
      <w:bookmarkEnd w:id="2862"/>
      <w:bookmarkEnd w:id="2863"/>
      <w:bookmarkEnd w:id="2864"/>
      <w:bookmarkEnd w:id="2865"/>
      <w:bookmarkEnd w:id="2866"/>
      <w:bookmarkEnd w:id="2867"/>
    </w:p>
    <w:p w14:paraId="061F5DA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7C5245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《中华人民共和国精神卫生法》第七十五条第（三）项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医疗机构及其工作人员有下列行为之一的，由县级以上人民政府卫生行政部门责令改正，对有关医务人员，暂停六个月以上一年以下执业活动；情节严重的，并吊销有关医务人员的执业证书：</w:t>
      </w:r>
    </w:p>
    <w:p w14:paraId="070EC93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（三）违反本法规定对精神障碍患者实施外科手术或者实验性临床医疗的；</w:t>
      </w:r>
    </w:p>
    <w:p w14:paraId="593EB71E">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6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4"/>
        <w:gridCol w:w="5441"/>
        <w:gridCol w:w="6926"/>
      </w:tblGrid>
      <w:tr w14:paraId="7BF8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trPr>
        <w:tc>
          <w:tcPr>
            <w:tcW w:w="1594" w:type="dxa"/>
            <w:tcMar>
              <w:top w:w="0" w:type="dxa"/>
              <w:left w:w="108" w:type="dxa"/>
              <w:bottom w:w="0" w:type="dxa"/>
              <w:right w:w="108" w:type="dxa"/>
            </w:tcMar>
            <w:vAlign w:val="center"/>
          </w:tcPr>
          <w:p w14:paraId="5128D98B">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441" w:type="dxa"/>
            <w:tcMar>
              <w:top w:w="0" w:type="dxa"/>
              <w:left w:w="108" w:type="dxa"/>
              <w:bottom w:w="0" w:type="dxa"/>
              <w:right w:w="108" w:type="dxa"/>
            </w:tcMar>
            <w:vAlign w:val="center"/>
          </w:tcPr>
          <w:p w14:paraId="7140906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926" w:type="dxa"/>
            <w:tcMar>
              <w:top w:w="0" w:type="dxa"/>
              <w:left w:w="108" w:type="dxa"/>
              <w:bottom w:w="0" w:type="dxa"/>
              <w:right w:w="108" w:type="dxa"/>
            </w:tcMar>
            <w:vAlign w:val="center"/>
          </w:tcPr>
          <w:p w14:paraId="6F47F4F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E8A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1594" w:type="dxa"/>
            <w:tcMar>
              <w:top w:w="0" w:type="dxa"/>
              <w:left w:w="108" w:type="dxa"/>
              <w:bottom w:w="0" w:type="dxa"/>
              <w:right w:w="108" w:type="dxa"/>
            </w:tcMar>
            <w:vAlign w:val="center"/>
          </w:tcPr>
          <w:p w14:paraId="5641BCBA">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441" w:type="dxa"/>
            <w:tcMar>
              <w:top w:w="0" w:type="dxa"/>
              <w:left w:w="108" w:type="dxa"/>
              <w:bottom w:w="0" w:type="dxa"/>
              <w:right w:w="108" w:type="dxa"/>
            </w:tcMar>
            <w:vAlign w:val="center"/>
          </w:tcPr>
          <w:p w14:paraId="72CCCB9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违反本法规定对精神障碍患者实施外科手术或者实验性临床医疗的。</w:t>
            </w:r>
          </w:p>
        </w:tc>
        <w:tc>
          <w:tcPr>
            <w:tcW w:w="6926" w:type="dxa"/>
            <w:tcMar>
              <w:top w:w="0" w:type="dxa"/>
              <w:left w:w="108" w:type="dxa"/>
              <w:bottom w:w="0" w:type="dxa"/>
              <w:right w:w="108" w:type="dxa"/>
            </w:tcMar>
            <w:vAlign w:val="center"/>
          </w:tcPr>
          <w:p w14:paraId="1612C80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由县级以上人民政府卫生行政部门责令改正，对有关医务人员，暂停六个月以上一年以下执业活动。</w:t>
            </w:r>
          </w:p>
        </w:tc>
      </w:tr>
      <w:tr w14:paraId="1474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594" w:type="dxa"/>
            <w:tcMar>
              <w:top w:w="0" w:type="dxa"/>
              <w:left w:w="108" w:type="dxa"/>
              <w:bottom w:w="0" w:type="dxa"/>
              <w:right w:w="108" w:type="dxa"/>
            </w:tcMar>
            <w:vAlign w:val="center"/>
          </w:tcPr>
          <w:p w14:paraId="54613CC5">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441" w:type="dxa"/>
            <w:tcMar>
              <w:top w:w="0" w:type="dxa"/>
              <w:left w:w="108" w:type="dxa"/>
              <w:bottom w:w="0" w:type="dxa"/>
              <w:right w:w="108" w:type="dxa"/>
            </w:tcMar>
            <w:vAlign w:val="center"/>
          </w:tcPr>
          <w:p w14:paraId="3DCB3855">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违反本法规定对精神障碍患者实施外科手术或者实验性临床医疗，造成患者死亡或其他严重伤害的。</w:t>
            </w:r>
          </w:p>
        </w:tc>
        <w:tc>
          <w:tcPr>
            <w:tcW w:w="6926" w:type="dxa"/>
            <w:tcMar>
              <w:top w:w="0" w:type="dxa"/>
              <w:left w:w="108" w:type="dxa"/>
              <w:bottom w:w="0" w:type="dxa"/>
              <w:right w:w="108" w:type="dxa"/>
            </w:tcMar>
            <w:vAlign w:val="center"/>
          </w:tcPr>
          <w:p w14:paraId="41BBADE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由县级以上人民政府卫生行政部门责令改正，吊销有关医务人员的执业证书。</w:t>
            </w:r>
          </w:p>
        </w:tc>
      </w:tr>
    </w:tbl>
    <w:p w14:paraId="23CBF49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68" w:name="_Toc19691"/>
      <w:bookmarkStart w:id="2869" w:name="_Toc16719"/>
      <w:bookmarkStart w:id="2870" w:name="_Toc28241"/>
      <w:bookmarkStart w:id="2871" w:name="_Toc11828"/>
      <w:bookmarkStart w:id="2872" w:name="_Toc13665"/>
      <w:bookmarkStart w:id="2873" w:name="_Toc20103"/>
      <w:bookmarkStart w:id="2874" w:name="_Toc14388"/>
      <w:bookmarkStart w:id="2875" w:name="_Toc14603"/>
      <w:bookmarkStart w:id="2876" w:name="_Toc21656"/>
      <w:bookmarkStart w:id="2877" w:name="_Toc17266"/>
      <w:bookmarkStart w:id="2878" w:name="_Toc19583"/>
      <w:r>
        <w:rPr>
          <w:rFonts w:hint="eastAsia" w:cs="仿宋_GB2312"/>
          <w:bCs/>
          <w:color w:val="000000" w:themeColor="text1"/>
          <w14:textFill>
            <w14:solidFill>
              <w14:schemeClr w14:val="tx1"/>
            </w14:solidFill>
          </w14:textFill>
        </w:rPr>
        <w:t>第二百三十四条</w:t>
      </w:r>
      <w:r>
        <w:rPr>
          <w:rFonts w:hint="eastAsia" w:ascii="Times New Roman" w:hAnsi="Times New Roman" w:cs="仿宋_GB2312"/>
          <w:bCs/>
          <w:color w:val="000000" w:themeColor="text1"/>
          <w:kern w:val="0"/>
          <w14:textFill>
            <w14:solidFill>
              <w14:schemeClr w14:val="tx1"/>
            </w14:solidFill>
          </w14:textFill>
        </w:rPr>
        <w:t xml:space="preserve"> 违反《中华人民共和国精神卫生法》规定，侵害精神障碍患者的通讯和会见探访者等权利的</w:t>
      </w:r>
      <w:bookmarkEnd w:id="2868"/>
      <w:bookmarkEnd w:id="2869"/>
      <w:bookmarkEnd w:id="2870"/>
      <w:bookmarkEnd w:id="2871"/>
      <w:bookmarkEnd w:id="2872"/>
      <w:bookmarkEnd w:id="2873"/>
      <w:bookmarkEnd w:id="2874"/>
      <w:bookmarkEnd w:id="2875"/>
      <w:bookmarkEnd w:id="2876"/>
      <w:bookmarkEnd w:id="2877"/>
      <w:bookmarkEnd w:id="2878"/>
    </w:p>
    <w:p w14:paraId="751DAD5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4B3A19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《中华人民共和国精神卫生法》第七十五条第（四）项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医疗机构及其工作人员有下列行为之一的，由县级以上人民政府卫生行政部门责令改正，对有关医务人员，暂停六个月以上一年以下执业活动；情节严重的，并吊销有关医务人员的执业证书：</w:t>
      </w:r>
    </w:p>
    <w:p w14:paraId="7A50DA3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（四）违反本法规定，侵害精神障碍患者的通讯和会见探访者等权利的；</w:t>
      </w:r>
    </w:p>
    <w:p w14:paraId="1D1BB718">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06"/>
        <w:gridCol w:w="5765"/>
        <w:gridCol w:w="6669"/>
      </w:tblGrid>
      <w:tr w14:paraId="5732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trPr>
        <w:tc>
          <w:tcPr>
            <w:tcW w:w="1606" w:type="dxa"/>
            <w:tcMar>
              <w:top w:w="0" w:type="dxa"/>
              <w:left w:w="108" w:type="dxa"/>
              <w:bottom w:w="0" w:type="dxa"/>
              <w:right w:w="108" w:type="dxa"/>
            </w:tcMar>
            <w:vAlign w:val="center"/>
          </w:tcPr>
          <w:p w14:paraId="313592C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765" w:type="dxa"/>
            <w:tcMar>
              <w:top w:w="0" w:type="dxa"/>
              <w:left w:w="108" w:type="dxa"/>
              <w:bottom w:w="0" w:type="dxa"/>
              <w:right w:w="108" w:type="dxa"/>
            </w:tcMar>
            <w:vAlign w:val="center"/>
          </w:tcPr>
          <w:p w14:paraId="35113BF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669" w:type="dxa"/>
            <w:tcMar>
              <w:top w:w="0" w:type="dxa"/>
              <w:left w:w="108" w:type="dxa"/>
              <w:bottom w:w="0" w:type="dxa"/>
              <w:right w:w="108" w:type="dxa"/>
            </w:tcMar>
            <w:vAlign w:val="center"/>
          </w:tcPr>
          <w:p w14:paraId="740A3AA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6B8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atLeast"/>
        </w:trPr>
        <w:tc>
          <w:tcPr>
            <w:tcW w:w="1606" w:type="dxa"/>
            <w:tcMar>
              <w:top w:w="0" w:type="dxa"/>
              <w:left w:w="108" w:type="dxa"/>
              <w:bottom w:w="0" w:type="dxa"/>
              <w:right w:w="108" w:type="dxa"/>
            </w:tcMar>
            <w:vAlign w:val="center"/>
          </w:tcPr>
          <w:p w14:paraId="24D4E6E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765" w:type="dxa"/>
            <w:tcMar>
              <w:top w:w="0" w:type="dxa"/>
              <w:left w:w="108" w:type="dxa"/>
              <w:bottom w:w="0" w:type="dxa"/>
              <w:right w:w="108" w:type="dxa"/>
            </w:tcMar>
            <w:vAlign w:val="center"/>
          </w:tcPr>
          <w:p w14:paraId="1966E9E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侵害精神障碍患者的通讯或会见探访者等权利的。</w:t>
            </w:r>
          </w:p>
        </w:tc>
        <w:tc>
          <w:tcPr>
            <w:tcW w:w="6669" w:type="dxa"/>
            <w:tcMar>
              <w:top w:w="0" w:type="dxa"/>
              <w:left w:w="108" w:type="dxa"/>
              <w:bottom w:w="0" w:type="dxa"/>
              <w:right w:w="108" w:type="dxa"/>
            </w:tcMar>
            <w:vAlign w:val="center"/>
          </w:tcPr>
          <w:p w14:paraId="035197C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由县级以上人民政府卫生行政部门责令改正，对有关医务人员，暂停六个月以上一年以下执业活动。</w:t>
            </w:r>
          </w:p>
        </w:tc>
      </w:tr>
      <w:tr w14:paraId="235B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1606" w:type="dxa"/>
            <w:tcMar>
              <w:top w:w="0" w:type="dxa"/>
              <w:left w:w="108" w:type="dxa"/>
              <w:bottom w:w="0" w:type="dxa"/>
              <w:right w:w="108" w:type="dxa"/>
            </w:tcMar>
            <w:vAlign w:val="center"/>
          </w:tcPr>
          <w:p w14:paraId="7D0EE0A6">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765" w:type="dxa"/>
            <w:tcMar>
              <w:top w:w="0" w:type="dxa"/>
              <w:left w:w="108" w:type="dxa"/>
              <w:bottom w:w="0" w:type="dxa"/>
              <w:right w:w="108" w:type="dxa"/>
            </w:tcMar>
            <w:vAlign w:val="center"/>
          </w:tcPr>
          <w:p w14:paraId="5782846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侵害精神障碍患者的通讯和会见探访者等权利的，造成严重后果的。</w:t>
            </w:r>
          </w:p>
        </w:tc>
        <w:tc>
          <w:tcPr>
            <w:tcW w:w="6669" w:type="dxa"/>
            <w:tcMar>
              <w:top w:w="0" w:type="dxa"/>
              <w:left w:w="108" w:type="dxa"/>
              <w:bottom w:w="0" w:type="dxa"/>
              <w:right w:w="108" w:type="dxa"/>
            </w:tcMar>
            <w:vAlign w:val="center"/>
          </w:tcPr>
          <w:p w14:paraId="4849A2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由县级以上人民政府卫生行政部门责令改正，吊销有关医务人员执业证书。</w:t>
            </w:r>
          </w:p>
        </w:tc>
      </w:tr>
    </w:tbl>
    <w:p w14:paraId="699A9267">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79" w:name="_Toc29799"/>
      <w:bookmarkStart w:id="2880" w:name="_Toc2163"/>
      <w:bookmarkStart w:id="2881" w:name="_Toc29090"/>
      <w:bookmarkStart w:id="2882" w:name="_Toc9237"/>
      <w:bookmarkStart w:id="2883" w:name="_Toc20795"/>
      <w:bookmarkStart w:id="2884" w:name="_Toc794"/>
      <w:bookmarkStart w:id="2885" w:name="_Toc15705"/>
      <w:bookmarkStart w:id="2886" w:name="_Toc17560"/>
      <w:bookmarkStart w:id="2887" w:name="_Toc22101"/>
      <w:bookmarkStart w:id="2888" w:name="_Toc28487"/>
      <w:bookmarkStart w:id="2889" w:name="_Toc9359"/>
      <w:r>
        <w:rPr>
          <w:rFonts w:hint="eastAsia" w:cs="仿宋_GB2312"/>
          <w:bCs/>
          <w:color w:val="000000" w:themeColor="text1"/>
          <w14:textFill>
            <w14:solidFill>
              <w14:schemeClr w14:val="tx1"/>
            </w14:solidFill>
          </w14:textFill>
        </w:rPr>
        <w:t>第二百三十五条</w:t>
      </w:r>
      <w:r>
        <w:rPr>
          <w:rFonts w:hint="eastAsia" w:ascii="Times New Roman" w:hAnsi="Times New Roman" w:cs="仿宋_GB2312"/>
          <w:bCs/>
          <w:color w:val="000000" w:themeColor="text1"/>
          <w:kern w:val="0"/>
          <w14:textFill>
            <w14:solidFill>
              <w14:schemeClr w14:val="tx1"/>
            </w14:solidFill>
          </w14:textFill>
        </w:rPr>
        <w:t xml:space="preserve"> 违反精神障碍诊断标准，将非精神障碍患者诊断为精神障碍患者的</w:t>
      </w:r>
      <w:bookmarkEnd w:id="2879"/>
      <w:bookmarkEnd w:id="2880"/>
      <w:bookmarkEnd w:id="2881"/>
      <w:bookmarkEnd w:id="2882"/>
      <w:bookmarkEnd w:id="2883"/>
      <w:bookmarkEnd w:id="2884"/>
      <w:bookmarkEnd w:id="2885"/>
      <w:bookmarkEnd w:id="2886"/>
      <w:bookmarkEnd w:id="2887"/>
      <w:bookmarkEnd w:id="2888"/>
      <w:bookmarkEnd w:id="2889"/>
    </w:p>
    <w:p w14:paraId="43BFE31B">
      <w:pPr>
        <w:widowControl w:val="0"/>
        <w:adjustRightInd/>
        <w:snapToGrid/>
        <w:spacing w:after="0" w:line="440" w:lineRule="exact"/>
        <w:ind w:firstLine="640" w:firstLineChars="200"/>
        <w:jc w:val="both"/>
        <w:rPr>
          <w:rFonts w:hint="eastAsia" w:ascii="Times New Roman" w:hAnsi="Times New Roman" w:eastAsia="仿宋_GB2312" w:cs="仿宋"/>
          <w:bCs/>
          <w:color w:val="000000" w:themeColor="text1"/>
          <w:kern w:val="2"/>
          <w:sz w:val="32"/>
          <w:szCs w:val="32"/>
          <w14:textFill>
            <w14:solidFill>
              <w14:schemeClr w14:val="tx1"/>
            </w14:solidFill>
          </w14:textFill>
        </w:rPr>
      </w:pPr>
      <w:r>
        <w:rPr>
          <w:rFonts w:hint="eastAsia" w:ascii="Times New Roman" w:hAnsi="Times New Roman" w:eastAsia="仿宋_GB2312" w:cs="仿宋"/>
          <w:bCs/>
          <w:color w:val="000000" w:themeColor="text1"/>
          <w:kern w:val="2"/>
          <w:sz w:val="32"/>
          <w:szCs w:val="32"/>
          <w14:textFill>
            <w14:solidFill>
              <w14:schemeClr w14:val="tx1"/>
            </w14:solidFill>
          </w14:textFill>
        </w:rPr>
        <w:t>法律依据：</w:t>
      </w:r>
    </w:p>
    <w:p w14:paraId="13891C4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《中华人民共和国精神卫生法》第七十五条第（五）项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医疗机构及其工作人员有下列行为之一的，由县级以上人民政府卫生行政部门责令改正，对有关医务人员，暂停六个月以上一年以下执业活动；情节严重的，并吊销有关医务人员的执业证书：</w:t>
      </w:r>
    </w:p>
    <w:p w14:paraId="46DCD33B">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（五）违反精神障碍诊</w:t>
      </w:r>
      <w:r>
        <w:rPr>
          <w:rFonts w:hint="eastAsia" w:ascii="Times New Roman" w:hAnsi="Times New Roman" w:eastAsia="仿宋_GB2312" w:cs="华文中宋"/>
          <w:color w:val="000000" w:themeColor="text1"/>
          <w:sz w:val="32"/>
          <w:szCs w:val="28"/>
          <w14:textFill>
            <w14:solidFill>
              <w14:schemeClr w14:val="tx1"/>
            </w14:solidFill>
          </w14:textFill>
        </w:rPr>
        <w:t>断标准，将非精神障碍患者诊断为精神障碍患者的。</w:t>
      </w:r>
    </w:p>
    <w:p w14:paraId="3712A4CA">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43"/>
        <w:gridCol w:w="5260"/>
        <w:gridCol w:w="6819"/>
      </w:tblGrid>
      <w:tr w14:paraId="6871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843" w:type="dxa"/>
            <w:tcMar>
              <w:top w:w="0" w:type="dxa"/>
              <w:left w:w="108" w:type="dxa"/>
              <w:bottom w:w="0" w:type="dxa"/>
              <w:right w:w="108" w:type="dxa"/>
            </w:tcMar>
            <w:vAlign w:val="center"/>
          </w:tcPr>
          <w:p w14:paraId="33AEFE8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260" w:type="dxa"/>
            <w:tcMar>
              <w:top w:w="0" w:type="dxa"/>
              <w:left w:w="108" w:type="dxa"/>
              <w:bottom w:w="0" w:type="dxa"/>
              <w:right w:w="108" w:type="dxa"/>
            </w:tcMar>
            <w:vAlign w:val="center"/>
          </w:tcPr>
          <w:p w14:paraId="0CEAA1B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819" w:type="dxa"/>
            <w:tcMar>
              <w:top w:w="0" w:type="dxa"/>
              <w:left w:w="108" w:type="dxa"/>
              <w:bottom w:w="0" w:type="dxa"/>
              <w:right w:w="108" w:type="dxa"/>
            </w:tcMar>
            <w:vAlign w:val="center"/>
          </w:tcPr>
          <w:p w14:paraId="2D088A5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D1E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843" w:type="dxa"/>
            <w:tcMar>
              <w:top w:w="0" w:type="dxa"/>
              <w:left w:w="108" w:type="dxa"/>
              <w:bottom w:w="0" w:type="dxa"/>
              <w:right w:w="108" w:type="dxa"/>
            </w:tcMar>
            <w:vAlign w:val="center"/>
          </w:tcPr>
          <w:p w14:paraId="3C38D2F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260" w:type="dxa"/>
            <w:tcMar>
              <w:top w:w="0" w:type="dxa"/>
              <w:left w:w="108" w:type="dxa"/>
              <w:bottom w:w="0" w:type="dxa"/>
              <w:right w:w="108" w:type="dxa"/>
            </w:tcMar>
            <w:vAlign w:val="center"/>
          </w:tcPr>
          <w:p w14:paraId="2801607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违反精神障碍诊断标准，将非精神障碍患者诊断为精神障碍患者的。</w:t>
            </w:r>
          </w:p>
        </w:tc>
        <w:tc>
          <w:tcPr>
            <w:tcW w:w="6819" w:type="dxa"/>
            <w:tcMar>
              <w:top w:w="0" w:type="dxa"/>
              <w:left w:w="108" w:type="dxa"/>
              <w:bottom w:w="0" w:type="dxa"/>
              <w:right w:w="108" w:type="dxa"/>
            </w:tcMar>
            <w:vAlign w:val="center"/>
          </w:tcPr>
          <w:p w14:paraId="2966F6F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由县级以上人民政府卫生行政部门责令改正；对有关医务人员，暂停六个月以上一年以下执业活动。</w:t>
            </w:r>
          </w:p>
        </w:tc>
      </w:tr>
      <w:tr w14:paraId="7D8E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1843" w:type="dxa"/>
            <w:tcMar>
              <w:top w:w="0" w:type="dxa"/>
              <w:left w:w="108" w:type="dxa"/>
              <w:bottom w:w="0" w:type="dxa"/>
              <w:right w:w="108" w:type="dxa"/>
            </w:tcMar>
            <w:vAlign w:val="center"/>
          </w:tcPr>
          <w:p w14:paraId="2EB7868A">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260" w:type="dxa"/>
            <w:tcMar>
              <w:top w:w="0" w:type="dxa"/>
              <w:left w:w="108" w:type="dxa"/>
              <w:bottom w:w="0" w:type="dxa"/>
              <w:right w:w="108" w:type="dxa"/>
            </w:tcMar>
            <w:vAlign w:val="center"/>
          </w:tcPr>
          <w:p w14:paraId="3D7F865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违反精神障碍诊断标准，将非精神障碍患者诊断为精神障碍患者，造成严重后果的。</w:t>
            </w:r>
          </w:p>
        </w:tc>
        <w:tc>
          <w:tcPr>
            <w:tcW w:w="6819" w:type="dxa"/>
            <w:tcMar>
              <w:top w:w="0" w:type="dxa"/>
              <w:left w:w="108" w:type="dxa"/>
              <w:bottom w:w="0" w:type="dxa"/>
              <w:right w:w="108" w:type="dxa"/>
            </w:tcMar>
            <w:vAlign w:val="center"/>
          </w:tcPr>
          <w:p w14:paraId="2E5AE8A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由县级以上人民政府卫生行政部门责令改正，吊销有关医务人员执业证书。</w:t>
            </w:r>
          </w:p>
        </w:tc>
      </w:tr>
    </w:tbl>
    <w:p w14:paraId="4CAC05F7">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890" w:name="_Toc31526"/>
      <w:bookmarkStart w:id="2891" w:name="_Toc11210"/>
      <w:bookmarkStart w:id="2892" w:name="_Toc27630"/>
      <w:bookmarkStart w:id="2893" w:name="_Toc20726"/>
      <w:bookmarkStart w:id="2894" w:name="_Toc29948"/>
      <w:bookmarkStart w:id="2895" w:name="_Toc9903"/>
      <w:bookmarkStart w:id="2896" w:name="_Toc19493"/>
      <w:bookmarkStart w:id="2897" w:name="_Toc11374"/>
      <w:bookmarkStart w:id="2898" w:name="_Toc26880"/>
      <w:bookmarkStart w:id="2899" w:name="_Toc15284"/>
      <w:bookmarkStart w:id="2900" w:name="_Toc9075"/>
      <w:r>
        <w:rPr>
          <w:rFonts w:hint="eastAsia" w:cs="仿宋_GB2312"/>
          <w:bCs/>
          <w:color w:val="000000" w:themeColor="text1"/>
          <w14:textFill>
            <w14:solidFill>
              <w14:schemeClr w14:val="tx1"/>
            </w14:solidFill>
          </w14:textFill>
        </w:rPr>
        <w:t>第二百三十六条</w:t>
      </w:r>
      <w:r>
        <w:rPr>
          <w:rFonts w:hint="eastAsia" w:ascii="Times New Roman" w:hAnsi="Times New Roman" w:cs="仿宋_GB2312"/>
          <w:bCs/>
          <w:color w:val="000000" w:themeColor="text1"/>
          <w:kern w:val="0"/>
          <w14:textFill>
            <w14:solidFill>
              <w14:schemeClr w14:val="tx1"/>
            </w14:solidFill>
          </w14:textFill>
        </w:rPr>
        <w:t xml:space="preserve"> 心理咨询人员从事心理治疗或者精神障碍的诊断、治疗的</w:t>
      </w:r>
      <w:bookmarkEnd w:id="2890"/>
      <w:bookmarkEnd w:id="2891"/>
      <w:bookmarkEnd w:id="2892"/>
      <w:bookmarkEnd w:id="2893"/>
      <w:bookmarkEnd w:id="2894"/>
      <w:bookmarkEnd w:id="2895"/>
      <w:bookmarkEnd w:id="2896"/>
      <w:bookmarkEnd w:id="2897"/>
      <w:bookmarkEnd w:id="2898"/>
      <w:bookmarkEnd w:id="2899"/>
      <w:bookmarkEnd w:id="2900"/>
    </w:p>
    <w:p w14:paraId="300FF11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68E404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《中华人民共和国精神卫生法》第七十六条第一款第（一）项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w:t>
      </w:r>
    </w:p>
    <w:p w14:paraId="7FB8A50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（一）心理咨询人员从事心理治疗或者精神障碍的诊断、治疗的；</w:t>
      </w:r>
    </w:p>
    <w:p w14:paraId="2F3F38C5">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0"/>
        <w:gridCol w:w="7227"/>
        <w:gridCol w:w="5273"/>
      </w:tblGrid>
      <w:tr w14:paraId="1AC5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20" w:type="dxa"/>
            <w:tcMar>
              <w:top w:w="0" w:type="dxa"/>
              <w:left w:w="108" w:type="dxa"/>
              <w:bottom w:w="0" w:type="dxa"/>
              <w:right w:w="108" w:type="dxa"/>
            </w:tcMar>
            <w:vAlign w:val="center"/>
          </w:tcPr>
          <w:p w14:paraId="49C4AE9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227" w:type="dxa"/>
            <w:tcMar>
              <w:top w:w="0" w:type="dxa"/>
              <w:left w:w="108" w:type="dxa"/>
              <w:bottom w:w="0" w:type="dxa"/>
              <w:right w:w="108" w:type="dxa"/>
            </w:tcMar>
            <w:vAlign w:val="center"/>
          </w:tcPr>
          <w:p w14:paraId="3FEE5E6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273" w:type="dxa"/>
            <w:tcMar>
              <w:top w:w="0" w:type="dxa"/>
              <w:left w:w="108" w:type="dxa"/>
              <w:bottom w:w="0" w:type="dxa"/>
              <w:right w:w="108" w:type="dxa"/>
            </w:tcMar>
            <w:vAlign w:val="center"/>
          </w:tcPr>
          <w:p w14:paraId="7B2A430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EBF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rPr>
        <w:tc>
          <w:tcPr>
            <w:tcW w:w="1420" w:type="dxa"/>
            <w:tcMar>
              <w:top w:w="0" w:type="dxa"/>
              <w:left w:w="108" w:type="dxa"/>
              <w:bottom w:w="0" w:type="dxa"/>
              <w:right w:w="108" w:type="dxa"/>
            </w:tcMar>
            <w:vAlign w:val="center"/>
          </w:tcPr>
          <w:p w14:paraId="5B632F9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227" w:type="dxa"/>
            <w:tcMar>
              <w:top w:w="0" w:type="dxa"/>
              <w:left w:w="108" w:type="dxa"/>
              <w:bottom w:w="0" w:type="dxa"/>
              <w:right w:w="108" w:type="dxa"/>
            </w:tcMar>
            <w:vAlign w:val="center"/>
          </w:tcPr>
          <w:p w14:paraId="63EE5FA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心理咨询人员从事心理治疗或者精神障碍的诊断、治疗的。</w:t>
            </w:r>
          </w:p>
        </w:tc>
        <w:tc>
          <w:tcPr>
            <w:tcW w:w="5273" w:type="dxa"/>
            <w:tcMar>
              <w:top w:w="0" w:type="dxa"/>
              <w:left w:w="108" w:type="dxa"/>
              <w:bottom w:w="0" w:type="dxa"/>
              <w:right w:w="108" w:type="dxa"/>
            </w:tcMar>
            <w:vAlign w:val="center"/>
          </w:tcPr>
          <w:p w14:paraId="79FD44D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责令改正，给予警告，并处五千元以上一万元以下罚款，没收违法所得。</w:t>
            </w:r>
          </w:p>
        </w:tc>
      </w:tr>
      <w:tr w14:paraId="5D27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1420" w:type="dxa"/>
            <w:tcMar>
              <w:top w:w="0" w:type="dxa"/>
              <w:left w:w="108" w:type="dxa"/>
              <w:bottom w:w="0" w:type="dxa"/>
              <w:right w:w="108" w:type="dxa"/>
            </w:tcMar>
            <w:vAlign w:val="center"/>
          </w:tcPr>
          <w:p w14:paraId="278E8D9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227" w:type="dxa"/>
            <w:tcMar>
              <w:top w:w="0" w:type="dxa"/>
              <w:left w:w="108" w:type="dxa"/>
              <w:bottom w:w="0" w:type="dxa"/>
              <w:right w:w="108" w:type="dxa"/>
            </w:tcMar>
            <w:vAlign w:val="center"/>
          </w:tcPr>
          <w:p w14:paraId="5C9B644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心理咨询人员从事心理治疗或者精神障碍的诊断、治疗，有下列情形之一：</w:t>
            </w:r>
          </w:p>
          <w:p w14:paraId="5E21566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A.违法所得在 5000 元以上、未造成危害后果的；</w:t>
            </w:r>
          </w:p>
          <w:p w14:paraId="5C1429F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B.造成患者延误治疗、病情加重的；</w:t>
            </w:r>
          </w:p>
          <w:p w14:paraId="331BD06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C.造成误诊误治的。</w:t>
            </w:r>
          </w:p>
        </w:tc>
        <w:tc>
          <w:tcPr>
            <w:tcW w:w="5273" w:type="dxa"/>
            <w:tcMar>
              <w:top w:w="0" w:type="dxa"/>
              <w:left w:w="108" w:type="dxa"/>
              <w:bottom w:w="0" w:type="dxa"/>
              <w:right w:w="108" w:type="dxa"/>
            </w:tcMar>
            <w:vAlign w:val="center"/>
          </w:tcPr>
          <w:p w14:paraId="25341A2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责令改正，给予警告，并处一万元罚款，没收违法所得。责令暂停六个月以上一年以下执业活动。</w:t>
            </w:r>
          </w:p>
        </w:tc>
      </w:tr>
      <w:tr w14:paraId="78A3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1420" w:type="dxa"/>
            <w:tcMar>
              <w:top w:w="0" w:type="dxa"/>
              <w:left w:w="108" w:type="dxa"/>
              <w:bottom w:w="0" w:type="dxa"/>
              <w:right w:w="108" w:type="dxa"/>
            </w:tcMar>
            <w:vAlign w:val="center"/>
          </w:tcPr>
          <w:p w14:paraId="188A7724">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7227" w:type="dxa"/>
            <w:tcMar>
              <w:top w:w="0" w:type="dxa"/>
              <w:left w:w="108" w:type="dxa"/>
              <w:bottom w:w="0" w:type="dxa"/>
              <w:right w:w="108" w:type="dxa"/>
            </w:tcMar>
            <w:vAlign w:val="center"/>
          </w:tcPr>
          <w:p w14:paraId="1425AFB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心理咨询人员从事心理治疗或者精神障碍的诊断、治疗，造成患者伤害自身、危害他人安全等严重后果或产生恶劣社会影响的。</w:t>
            </w:r>
          </w:p>
        </w:tc>
        <w:tc>
          <w:tcPr>
            <w:tcW w:w="5273" w:type="dxa"/>
            <w:tcMar>
              <w:top w:w="0" w:type="dxa"/>
              <w:left w:w="108" w:type="dxa"/>
              <w:bottom w:w="0" w:type="dxa"/>
              <w:right w:w="108" w:type="dxa"/>
            </w:tcMar>
            <w:vAlign w:val="center"/>
          </w:tcPr>
          <w:p w14:paraId="6A7B1A6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责令改正，给予警告，并处一万元罚款，没收违法所得。吊销执业证书。</w:t>
            </w:r>
          </w:p>
        </w:tc>
      </w:tr>
    </w:tbl>
    <w:p w14:paraId="730D7DF8">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901" w:name="_Toc13510"/>
      <w:bookmarkStart w:id="2902" w:name="_Toc21368"/>
      <w:bookmarkStart w:id="2903" w:name="_Toc8661"/>
      <w:bookmarkStart w:id="2904" w:name="_Toc23207"/>
      <w:bookmarkStart w:id="2905" w:name="_Toc3712"/>
      <w:bookmarkStart w:id="2906" w:name="_Toc28003"/>
      <w:bookmarkStart w:id="2907" w:name="_Toc24069"/>
      <w:bookmarkStart w:id="2908" w:name="_Toc13732"/>
      <w:bookmarkStart w:id="2909" w:name="_Toc8112"/>
      <w:bookmarkStart w:id="2910" w:name="_Toc26745"/>
      <w:bookmarkStart w:id="2911" w:name="_Toc18825"/>
      <w:r>
        <w:rPr>
          <w:rFonts w:hint="eastAsia" w:cs="仿宋_GB2312"/>
          <w:bCs/>
          <w:color w:val="000000" w:themeColor="text1"/>
          <w14:textFill>
            <w14:solidFill>
              <w14:schemeClr w14:val="tx1"/>
            </w14:solidFill>
          </w14:textFill>
        </w:rPr>
        <w:t>第二百三十七条</w:t>
      </w:r>
      <w:r>
        <w:rPr>
          <w:rFonts w:hint="eastAsia" w:ascii="Times New Roman" w:hAnsi="Times New Roman" w:cs="仿宋_GB2312"/>
          <w:bCs/>
          <w:color w:val="000000" w:themeColor="text1"/>
          <w:kern w:val="0"/>
          <w14:textFill>
            <w14:solidFill>
              <w14:schemeClr w14:val="tx1"/>
            </w14:solidFill>
          </w14:textFill>
        </w:rPr>
        <w:t xml:space="preserve"> 从事心理治疗的人员在医疗机构以外开展心理治疗活动的</w:t>
      </w:r>
      <w:bookmarkEnd w:id="2901"/>
      <w:bookmarkEnd w:id="2902"/>
      <w:bookmarkEnd w:id="2903"/>
      <w:bookmarkEnd w:id="2904"/>
      <w:bookmarkEnd w:id="2905"/>
      <w:bookmarkEnd w:id="2906"/>
      <w:bookmarkEnd w:id="2907"/>
      <w:bookmarkEnd w:id="2908"/>
      <w:bookmarkEnd w:id="2909"/>
      <w:bookmarkEnd w:id="2910"/>
      <w:bookmarkEnd w:id="2911"/>
    </w:p>
    <w:p w14:paraId="6BC5846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42A05A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《中华人民共和国精神卫生法》第七十六条第一款第（二）项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32"/>
          <w14:textFill>
            <w14:solidFill>
              <w14:schemeClr w14:val="tx1"/>
            </w14:solidFill>
          </w14:textFill>
        </w:rPr>
        <w:t>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w:t>
      </w:r>
    </w:p>
    <w:p w14:paraId="0E28D89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（二）从事心理治疗的人员在医疗机构以外开展心理治疗活动的；</w:t>
      </w:r>
    </w:p>
    <w:p w14:paraId="7A08D195">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6379"/>
        <w:gridCol w:w="6095"/>
      </w:tblGrid>
      <w:tr w14:paraId="24AB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418" w:type="dxa"/>
            <w:tcMar>
              <w:top w:w="0" w:type="dxa"/>
              <w:left w:w="108" w:type="dxa"/>
              <w:bottom w:w="0" w:type="dxa"/>
              <w:right w:w="108" w:type="dxa"/>
            </w:tcMar>
            <w:vAlign w:val="center"/>
          </w:tcPr>
          <w:p w14:paraId="7CF8BFE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79" w:type="dxa"/>
            <w:tcMar>
              <w:top w:w="0" w:type="dxa"/>
              <w:left w:w="108" w:type="dxa"/>
              <w:bottom w:w="0" w:type="dxa"/>
              <w:right w:w="108" w:type="dxa"/>
            </w:tcMar>
            <w:vAlign w:val="center"/>
          </w:tcPr>
          <w:p w14:paraId="272A17B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095" w:type="dxa"/>
            <w:tcMar>
              <w:top w:w="0" w:type="dxa"/>
              <w:left w:w="108" w:type="dxa"/>
              <w:bottom w:w="0" w:type="dxa"/>
              <w:right w:w="108" w:type="dxa"/>
            </w:tcMar>
            <w:vAlign w:val="center"/>
          </w:tcPr>
          <w:p w14:paraId="53B6F96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805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1418" w:type="dxa"/>
            <w:tcMar>
              <w:top w:w="0" w:type="dxa"/>
              <w:left w:w="108" w:type="dxa"/>
              <w:bottom w:w="0" w:type="dxa"/>
              <w:right w:w="108" w:type="dxa"/>
            </w:tcMar>
            <w:vAlign w:val="center"/>
          </w:tcPr>
          <w:p w14:paraId="6690712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379" w:type="dxa"/>
            <w:tcMar>
              <w:top w:w="0" w:type="dxa"/>
              <w:left w:w="108" w:type="dxa"/>
              <w:bottom w:w="0" w:type="dxa"/>
              <w:right w:w="108" w:type="dxa"/>
            </w:tcMar>
            <w:vAlign w:val="center"/>
          </w:tcPr>
          <w:p w14:paraId="5FB749F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从事心理治疗的人员在医疗机构以外开展心理治疗活动的。</w:t>
            </w:r>
          </w:p>
        </w:tc>
        <w:tc>
          <w:tcPr>
            <w:tcW w:w="6095" w:type="dxa"/>
            <w:tcMar>
              <w:top w:w="0" w:type="dxa"/>
              <w:left w:w="108" w:type="dxa"/>
              <w:bottom w:w="0" w:type="dxa"/>
              <w:right w:w="108" w:type="dxa"/>
            </w:tcMar>
            <w:vAlign w:val="center"/>
          </w:tcPr>
          <w:p w14:paraId="0BF6976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责令改正，给予警告，并处五千元以上一万元以下罚款，没收违法所得。</w:t>
            </w:r>
          </w:p>
        </w:tc>
      </w:tr>
      <w:tr w14:paraId="55CF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1418" w:type="dxa"/>
            <w:tcMar>
              <w:top w:w="0" w:type="dxa"/>
              <w:left w:w="108" w:type="dxa"/>
              <w:bottom w:w="0" w:type="dxa"/>
              <w:right w:w="108" w:type="dxa"/>
            </w:tcMar>
            <w:vAlign w:val="center"/>
          </w:tcPr>
          <w:p w14:paraId="6942A0C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379" w:type="dxa"/>
            <w:tcMar>
              <w:top w:w="0" w:type="dxa"/>
              <w:left w:w="108" w:type="dxa"/>
              <w:bottom w:w="0" w:type="dxa"/>
              <w:right w:w="108" w:type="dxa"/>
            </w:tcMar>
            <w:vAlign w:val="center"/>
          </w:tcPr>
          <w:p w14:paraId="4146CBD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从事心理治疗的人员在医疗机构以外开展心理治疗活动，造成严重后果的。</w:t>
            </w:r>
          </w:p>
        </w:tc>
        <w:tc>
          <w:tcPr>
            <w:tcW w:w="6095" w:type="dxa"/>
            <w:tcMar>
              <w:top w:w="0" w:type="dxa"/>
              <w:left w:w="108" w:type="dxa"/>
              <w:bottom w:w="0" w:type="dxa"/>
              <w:right w:w="108" w:type="dxa"/>
            </w:tcMar>
            <w:vAlign w:val="center"/>
          </w:tcPr>
          <w:p w14:paraId="3B3F4AC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责令改正，给予警告，并处一万元罚款，没收违法所得；暂停六个月以上一年以下执业活动。</w:t>
            </w:r>
          </w:p>
        </w:tc>
      </w:tr>
      <w:tr w14:paraId="67CF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trPr>
        <w:tc>
          <w:tcPr>
            <w:tcW w:w="1418" w:type="dxa"/>
            <w:tcMar>
              <w:top w:w="0" w:type="dxa"/>
              <w:left w:w="108" w:type="dxa"/>
              <w:bottom w:w="0" w:type="dxa"/>
              <w:right w:w="108" w:type="dxa"/>
            </w:tcMar>
            <w:vAlign w:val="center"/>
          </w:tcPr>
          <w:p w14:paraId="6F6D4EA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6379" w:type="dxa"/>
            <w:tcMar>
              <w:top w:w="0" w:type="dxa"/>
              <w:left w:w="108" w:type="dxa"/>
              <w:bottom w:w="0" w:type="dxa"/>
              <w:right w:w="108" w:type="dxa"/>
            </w:tcMar>
            <w:vAlign w:val="center"/>
          </w:tcPr>
          <w:p w14:paraId="2397D52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从事心理治疗的人员在医疗机构以外开展心理治疗活动，造成严重后果且产生恶劣社会影响的。</w:t>
            </w:r>
          </w:p>
        </w:tc>
        <w:tc>
          <w:tcPr>
            <w:tcW w:w="6095" w:type="dxa"/>
            <w:tcMar>
              <w:top w:w="0" w:type="dxa"/>
              <w:left w:w="108" w:type="dxa"/>
              <w:bottom w:w="0" w:type="dxa"/>
              <w:right w:w="108" w:type="dxa"/>
            </w:tcMar>
            <w:vAlign w:val="center"/>
          </w:tcPr>
          <w:p w14:paraId="070E1A0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责令改正，给予警告，并处一万元罚款，没收违法所得；吊销其执业证书。</w:t>
            </w:r>
          </w:p>
        </w:tc>
      </w:tr>
    </w:tbl>
    <w:p w14:paraId="42FD7E8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912" w:name="_Toc7903"/>
      <w:bookmarkStart w:id="2913" w:name="_Toc16631"/>
      <w:bookmarkStart w:id="2914" w:name="_Toc12661"/>
      <w:bookmarkStart w:id="2915" w:name="_Toc11760"/>
      <w:bookmarkStart w:id="2916" w:name="_Toc6087"/>
      <w:bookmarkStart w:id="2917" w:name="_Toc5861"/>
      <w:bookmarkStart w:id="2918" w:name="_Toc11496"/>
      <w:bookmarkStart w:id="2919" w:name="_Toc28891"/>
      <w:bookmarkStart w:id="2920" w:name="_Toc13218"/>
      <w:bookmarkStart w:id="2921" w:name="_Toc31909"/>
      <w:bookmarkStart w:id="2922" w:name="_Toc6445"/>
      <w:r>
        <w:rPr>
          <w:rFonts w:hint="eastAsia" w:cs="仿宋_GB2312"/>
          <w:bCs/>
          <w:color w:val="000000" w:themeColor="text1"/>
          <w14:textFill>
            <w14:solidFill>
              <w14:schemeClr w14:val="tx1"/>
            </w14:solidFill>
          </w14:textFill>
        </w:rPr>
        <w:t>第二百三十八条</w:t>
      </w:r>
      <w:r>
        <w:rPr>
          <w:rFonts w:hint="eastAsia" w:ascii="Times New Roman" w:hAnsi="Times New Roman" w:cs="仿宋_GB2312"/>
          <w:bCs/>
          <w:color w:val="000000" w:themeColor="text1"/>
          <w:kern w:val="0"/>
          <w14:textFill>
            <w14:solidFill>
              <w14:schemeClr w14:val="tx1"/>
            </w14:solidFill>
          </w14:textFill>
        </w:rPr>
        <w:t xml:space="preserve"> 专门从事心理治疗的人员从事精神障碍的诊断的</w:t>
      </w:r>
      <w:bookmarkEnd w:id="2912"/>
      <w:bookmarkEnd w:id="2913"/>
      <w:bookmarkEnd w:id="2914"/>
      <w:bookmarkEnd w:id="2915"/>
      <w:bookmarkEnd w:id="2916"/>
      <w:bookmarkEnd w:id="2917"/>
      <w:bookmarkEnd w:id="2918"/>
      <w:bookmarkEnd w:id="2919"/>
      <w:bookmarkEnd w:id="2920"/>
      <w:bookmarkEnd w:id="2921"/>
      <w:bookmarkEnd w:id="2922"/>
    </w:p>
    <w:p w14:paraId="6E4D878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599070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《中华人民共和国精神卫生法》第七十六条第一款第（三）项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32"/>
          <w14:textFill>
            <w14:solidFill>
              <w14:schemeClr w14:val="tx1"/>
            </w14:solidFill>
          </w14:textFill>
        </w:rPr>
        <w:t>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w:t>
      </w:r>
    </w:p>
    <w:p w14:paraId="02F0909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（三）专门从事心理治疗的人员从事精神障碍的诊断的；</w:t>
      </w:r>
    </w:p>
    <w:p w14:paraId="2BC8A9B0">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6378"/>
        <w:gridCol w:w="5954"/>
      </w:tblGrid>
      <w:tr w14:paraId="3DE3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560" w:type="dxa"/>
            <w:tcMar>
              <w:top w:w="0" w:type="dxa"/>
              <w:left w:w="108" w:type="dxa"/>
              <w:bottom w:w="0" w:type="dxa"/>
              <w:right w:w="108" w:type="dxa"/>
            </w:tcMar>
            <w:vAlign w:val="center"/>
          </w:tcPr>
          <w:p w14:paraId="211BBBE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78" w:type="dxa"/>
            <w:tcMar>
              <w:top w:w="0" w:type="dxa"/>
              <w:left w:w="108" w:type="dxa"/>
              <w:bottom w:w="0" w:type="dxa"/>
              <w:right w:w="108" w:type="dxa"/>
            </w:tcMar>
            <w:vAlign w:val="center"/>
          </w:tcPr>
          <w:p w14:paraId="2284D90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954" w:type="dxa"/>
            <w:tcMar>
              <w:top w:w="0" w:type="dxa"/>
              <w:left w:w="108" w:type="dxa"/>
              <w:bottom w:w="0" w:type="dxa"/>
              <w:right w:w="108" w:type="dxa"/>
            </w:tcMar>
            <w:vAlign w:val="center"/>
          </w:tcPr>
          <w:p w14:paraId="277FEDD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3E9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560" w:type="dxa"/>
            <w:tcMar>
              <w:top w:w="0" w:type="dxa"/>
              <w:left w:w="108" w:type="dxa"/>
              <w:bottom w:w="0" w:type="dxa"/>
              <w:right w:w="108" w:type="dxa"/>
            </w:tcMar>
            <w:vAlign w:val="center"/>
          </w:tcPr>
          <w:p w14:paraId="31272F0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378" w:type="dxa"/>
            <w:tcMar>
              <w:top w:w="0" w:type="dxa"/>
              <w:left w:w="108" w:type="dxa"/>
              <w:bottom w:w="0" w:type="dxa"/>
              <w:right w:w="108" w:type="dxa"/>
            </w:tcMar>
            <w:vAlign w:val="center"/>
          </w:tcPr>
          <w:p w14:paraId="42DE349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专门从事心理治疗的人员从事精神障碍的诊断的。</w:t>
            </w:r>
          </w:p>
        </w:tc>
        <w:tc>
          <w:tcPr>
            <w:tcW w:w="5954" w:type="dxa"/>
            <w:tcMar>
              <w:top w:w="0" w:type="dxa"/>
              <w:left w:w="108" w:type="dxa"/>
              <w:bottom w:w="0" w:type="dxa"/>
              <w:right w:w="108" w:type="dxa"/>
            </w:tcMar>
            <w:vAlign w:val="center"/>
          </w:tcPr>
          <w:p w14:paraId="0384B2E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责令改正，给予警告，并处五千元以上一万元以下罚款，没收违法所得。</w:t>
            </w:r>
          </w:p>
        </w:tc>
      </w:tr>
      <w:tr w14:paraId="435D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560" w:type="dxa"/>
            <w:tcMar>
              <w:top w:w="0" w:type="dxa"/>
              <w:left w:w="108" w:type="dxa"/>
              <w:bottom w:w="0" w:type="dxa"/>
              <w:right w:w="108" w:type="dxa"/>
            </w:tcMar>
            <w:vAlign w:val="center"/>
          </w:tcPr>
          <w:p w14:paraId="0DD9747F">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378" w:type="dxa"/>
            <w:tcMar>
              <w:top w:w="0" w:type="dxa"/>
              <w:left w:w="108" w:type="dxa"/>
              <w:bottom w:w="0" w:type="dxa"/>
              <w:right w:w="108" w:type="dxa"/>
            </w:tcMar>
            <w:vAlign w:val="center"/>
          </w:tcPr>
          <w:p w14:paraId="34D1EBA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专门从事心理治疗的人员从事精神障碍的诊断，造成严重后果的。</w:t>
            </w:r>
          </w:p>
        </w:tc>
        <w:tc>
          <w:tcPr>
            <w:tcW w:w="5954" w:type="dxa"/>
            <w:tcMar>
              <w:top w:w="0" w:type="dxa"/>
              <w:left w:w="108" w:type="dxa"/>
              <w:bottom w:w="0" w:type="dxa"/>
              <w:right w:w="108" w:type="dxa"/>
            </w:tcMar>
            <w:vAlign w:val="center"/>
          </w:tcPr>
          <w:p w14:paraId="6A28850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责令改正，给予警告，并处一万元罚款，没收违法所得；责令暂停六个月以上一年以下执业活动。</w:t>
            </w:r>
          </w:p>
        </w:tc>
      </w:tr>
      <w:tr w14:paraId="0D11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560" w:type="dxa"/>
            <w:tcMar>
              <w:top w:w="0" w:type="dxa"/>
              <w:left w:w="108" w:type="dxa"/>
              <w:bottom w:w="0" w:type="dxa"/>
              <w:right w:w="108" w:type="dxa"/>
            </w:tcMar>
            <w:vAlign w:val="center"/>
          </w:tcPr>
          <w:p w14:paraId="2087360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6378" w:type="dxa"/>
            <w:tcMar>
              <w:top w:w="0" w:type="dxa"/>
              <w:left w:w="108" w:type="dxa"/>
              <w:bottom w:w="0" w:type="dxa"/>
              <w:right w:w="108" w:type="dxa"/>
            </w:tcMar>
            <w:vAlign w:val="center"/>
          </w:tcPr>
          <w:p w14:paraId="2786031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专门从事心理治疗的人员从事精神障碍的诊断，造成严重后果且产生恶劣社会影响的。</w:t>
            </w:r>
          </w:p>
        </w:tc>
        <w:tc>
          <w:tcPr>
            <w:tcW w:w="5954" w:type="dxa"/>
            <w:tcMar>
              <w:top w:w="0" w:type="dxa"/>
              <w:left w:w="108" w:type="dxa"/>
              <w:bottom w:w="0" w:type="dxa"/>
              <w:right w:w="108" w:type="dxa"/>
            </w:tcMar>
            <w:vAlign w:val="center"/>
          </w:tcPr>
          <w:p w14:paraId="61DBAD0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责令改正，给予警告，并处一万元罚款，没收违法所得；吊销执业证书。</w:t>
            </w:r>
          </w:p>
        </w:tc>
      </w:tr>
    </w:tbl>
    <w:p w14:paraId="7828F9F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923" w:name="_Toc17747"/>
      <w:bookmarkStart w:id="2924" w:name="_Toc6565"/>
      <w:bookmarkStart w:id="2925" w:name="_Toc24012"/>
      <w:bookmarkStart w:id="2926" w:name="_Toc16436"/>
      <w:bookmarkStart w:id="2927" w:name="_Toc16090"/>
      <w:bookmarkStart w:id="2928" w:name="_Toc7115"/>
      <w:bookmarkStart w:id="2929" w:name="_Toc5329"/>
      <w:bookmarkStart w:id="2930" w:name="_Toc17681"/>
      <w:bookmarkStart w:id="2931" w:name="_Toc5796"/>
      <w:bookmarkStart w:id="2932" w:name="_Toc4948"/>
      <w:bookmarkStart w:id="2933" w:name="_Toc10071"/>
      <w:r>
        <w:rPr>
          <w:rFonts w:hint="eastAsia" w:cs="仿宋_GB2312"/>
          <w:bCs/>
          <w:color w:val="000000" w:themeColor="text1"/>
          <w14:textFill>
            <w14:solidFill>
              <w14:schemeClr w14:val="tx1"/>
            </w14:solidFill>
          </w14:textFill>
        </w:rPr>
        <w:t>第二百三十九条</w:t>
      </w:r>
      <w:r>
        <w:rPr>
          <w:rFonts w:hint="eastAsia" w:ascii="Times New Roman" w:hAnsi="Times New Roman" w:cs="仿宋_GB2312"/>
          <w:bCs/>
          <w:color w:val="000000" w:themeColor="text1"/>
          <w:kern w:val="0"/>
          <w14:textFill>
            <w14:solidFill>
              <w14:schemeClr w14:val="tx1"/>
            </w14:solidFill>
          </w14:textFill>
        </w:rPr>
        <w:t xml:space="preserve"> 专门从事心理治疗的人员为精神障碍患者开具处方或者提供外科治疗的</w:t>
      </w:r>
      <w:bookmarkEnd w:id="2923"/>
      <w:bookmarkEnd w:id="2924"/>
      <w:bookmarkEnd w:id="2925"/>
      <w:bookmarkEnd w:id="2926"/>
      <w:bookmarkEnd w:id="2927"/>
      <w:bookmarkEnd w:id="2928"/>
      <w:bookmarkEnd w:id="2929"/>
      <w:bookmarkEnd w:id="2930"/>
      <w:bookmarkEnd w:id="2931"/>
      <w:bookmarkEnd w:id="2932"/>
      <w:bookmarkEnd w:id="2933"/>
    </w:p>
    <w:p w14:paraId="6F957F6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DF06B1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《中华人民共和国精神卫生法》第七十六条第一款第（四）项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32"/>
          <w14:textFill>
            <w14:solidFill>
              <w14:schemeClr w14:val="tx1"/>
            </w14:solidFill>
          </w14:textFill>
        </w:rPr>
        <w:t>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w:t>
      </w:r>
    </w:p>
    <w:p w14:paraId="23DB8C7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（四）专门从事心理治疗的人员为精神障碍患者开具处方或者提供外科治疗的。</w:t>
      </w:r>
    </w:p>
    <w:p w14:paraId="6FAD71EF">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8"/>
        <w:gridCol w:w="6380"/>
        <w:gridCol w:w="5954"/>
      </w:tblGrid>
      <w:tr w14:paraId="45D0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558" w:type="dxa"/>
            <w:tcMar>
              <w:top w:w="0" w:type="dxa"/>
              <w:left w:w="108" w:type="dxa"/>
              <w:bottom w:w="0" w:type="dxa"/>
              <w:right w:w="108" w:type="dxa"/>
            </w:tcMar>
            <w:vAlign w:val="center"/>
          </w:tcPr>
          <w:p w14:paraId="39A8410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80" w:type="dxa"/>
            <w:tcMar>
              <w:top w:w="0" w:type="dxa"/>
              <w:left w:w="108" w:type="dxa"/>
              <w:bottom w:w="0" w:type="dxa"/>
              <w:right w:w="108" w:type="dxa"/>
            </w:tcMar>
            <w:vAlign w:val="center"/>
          </w:tcPr>
          <w:p w14:paraId="6F0CFBF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954" w:type="dxa"/>
            <w:tcMar>
              <w:top w:w="0" w:type="dxa"/>
              <w:left w:w="108" w:type="dxa"/>
              <w:bottom w:w="0" w:type="dxa"/>
              <w:right w:w="108" w:type="dxa"/>
            </w:tcMar>
            <w:vAlign w:val="center"/>
          </w:tcPr>
          <w:p w14:paraId="32E1B81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82A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558" w:type="dxa"/>
            <w:tcMar>
              <w:top w:w="0" w:type="dxa"/>
              <w:left w:w="108" w:type="dxa"/>
              <w:bottom w:w="0" w:type="dxa"/>
              <w:right w:w="108" w:type="dxa"/>
            </w:tcMar>
            <w:vAlign w:val="center"/>
          </w:tcPr>
          <w:p w14:paraId="25788AD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380" w:type="dxa"/>
            <w:tcMar>
              <w:top w:w="0" w:type="dxa"/>
              <w:left w:w="108" w:type="dxa"/>
              <w:bottom w:w="0" w:type="dxa"/>
              <w:right w:w="108" w:type="dxa"/>
            </w:tcMar>
            <w:vAlign w:val="center"/>
          </w:tcPr>
          <w:p w14:paraId="589BECB2">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专门从事心理治疗的人员为精神障碍患者开具处方或者提供外科治疗的。</w:t>
            </w:r>
          </w:p>
        </w:tc>
        <w:tc>
          <w:tcPr>
            <w:tcW w:w="5954" w:type="dxa"/>
            <w:tcMar>
              <w:top w:w="0" w:type="dxa"/>
              <w:left w:w="108" w:type="dxa"/>
              <w:bottom w:w="0" w:type="dxa"/>
              <w:right w:w="108" w:type="dxa"/>
            </w:tcMar>
            <w:vAlign w:val="center"/>
          </w:tcPr>
          <w:p w14:paraId="2A87A5C8">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责令改正，给予警告，并处五千元以上一万元以下罚款，没收违法所得。</w:t>
            </w:r>
          </w:p>
        </w:tc>
      </w:tr>
      <w:tr w14:paraId="42C9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558" w:type="dxa"/>
            <w:tcMar>
              <w:top w:w="0" w:type="dxa"/>
              <w:left w:w="108" w:type="dxa"/>
              <w:bottom w:w="0" w:type="dxa"/>
              <w:right w:w="108" w:type="dxa"/>
            </w:tcMar>
            <w:vAlign w:val="center"/>
          </w:tcPr>
          <w:p w14:paraId="770D724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380" w:type="dxa"/>
            <w:tcMar>
              <w:top w:w="0" w:type="dxa"/>
              <w:left w:w="108" w:type="dxa"/>
              <w:bottom w:w="0" w:type="dxa"/>
              <w:right w:w="108" w:type="dxa"/>
            </w:tcMar>
            <w:vAlign w:val="center"/>
          </w:tcPr>
          <w:p w14:paraId="582B145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专门从事心理治疗的人员为精神障碍患者开具处方或者提供外科治疗，造成严重后果的。</w:t>
            </w:r>
          </w:p>
        </w:tc>
        <w:tc>
          <w:tcPr>
            <w:tcW w:w="5954" w:type="dxa"/>
            <w:tcMar>
              <w:top w:w="0" w:type="dxa"/>
              <w:left w:w="108" w:type="dxa"/>
              <w:bottom w:w="0" w:type="dxa"/>
              <w:right w:w="108" w:type="dxa"/>
            </w:tcMar>
            <w:vAlign w:val="center"/>
          </w:tcPr>
          <w:p w14:paraId="38E135B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责令改正，给予警告，并处一万元罚款，没收违法所得；责令暂停六个月以上一年以下执业活动。</w:t>
            </w:r>
          </w:p>
        </w:tc>
      </w:tr>
      <w:tr w14:paraId="7875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558" w:type="dxa"/>
            <w:tcMar>
              <w:top w:w="0" w:type="dxa"/>
              <w:left w:w="108" w:type="dxa"/>
              <w:bottom w:w="0" w:type="dxa"/>
              <w:right w:w="108" w:type="dxa"/>
            </w:tcMar>
            <w:vAlign w:val="center"/>
          </w:tcPr>
          <w:p w14:paraId="5928BEE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特别严重</w:t>
            </w:r>
          </w:p>
        </w:tc>
        <w:tc>
          <w:tcPr>
            <w:tcW w:w="6380" w:type="dxa"/>
            <w:tcMar>
              <w:top w:w="0" w:type="dxa"/>
              <w:left w:w="108" w:type="dxa"/>
              <w:bottom w:w="0" w:type="dxa"/>
              <w:right w:w="108" w:type="dxa"/>
            </w:tcMar>
            <w:vAlign w:val="center"/>
          </w:tcPr>
          <w:p w14:paraId="529D3567">
            <w:pPr>
              <w:widowControl w:val="0"/>
              <w:adjustRightInd/>
              <w:snapToGrid/>
              <w:spacing w:after="0" w:line="320" w:lineRule="exac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专门从事心理治疗的人员违反规定为精神障碍患者开具处方或者提供外科治疗，造成严重后果且产生恶劣社会影响的。</w:t>
            </w:r>
          </w:p>
        </w:tc>
        <w:tc>
          <w:tcPr>
            <w:tcW w:w="5954" w:type="dxa"/>
            <w:tcMar>
              <w:top w:w="0" w:type="dxa"/>
              <w:left w:w="108" w:type="dxa"/>
              <w:bottom w:w="0" w:type="dxa"/>
              <w:right w:w="108" w:type="dxa"/>
            </w:tcMar>
            <w:vAlign w:val="center"/>
          </w:tcPr>
          <w:p w14:paraId="6F62C934">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责令改正，给予警告，并处一万元罚款，没收违法所得；并吊销执业证书。</w:t>
            </w:r>
          </w:p>
        </w:tc>
      </w:tr>
    </w:tbl>
    <w:p w14:paraId="35DECC70">
      <w:pPr>
        <w:pStyle w:val="3"/>
        <w:keepNext w:val="0"/>
        <w:keepLines w:val="0"/>
        <w:widowControl w:val="0"/>
        <w:spacing w:before="157" w:beforeLines="50" w:after="157" w:afterLines="50" w:line="240" w:lineRule="auto"/>
        <w:ind w:firstLine="643" w:firstLineChars="200"/>
        <w:rPr>
          <w:rFonts w:hint="eastAsia" w:ascii="Times New Roman" w:hAnsi="Times New Roman" w:eastAsia="方正仿宋_GB2312" w:cs="楷体"/>
          <w:bCs w:val="0"/>
          <w:color w:val="000000" w:themeColor="text1"/>
          <w:kern w:val="2"/>
          <w14:textFill>
            <w14:solidFill>
              <w14:schemeClr w14:val="tx1"/>
            </w14:solidFill>
          </w14:textFill>
        </w:rPr>
      </w:pPr>
      <w:bookmarkStart w:id="2934" w:name="_Toc15318"/>
      <w:bookmarkStart w:id="2935" w:name="_Toc1199"/>
      <w:bookmarkStart w:id="2936" w:name="_Toc11660"/>
      <w:bookmarkStart w:id="2937" w:name="_Toc15083"/>
      <w:bookmarkStart w:id="2938" w:name="_Toc32213"/>
      <w:bookmarkStart w:id="2939" w:name="_Toc21601"/>
      <w:bookmarkStart w:id="2940" w:name="_Toc32711"/>
      <w:bookmarkStart w:id="2941" w:name="_Toc29735"/>
      <w:bookmarkStart w:id="2942" w:name="_Toc26877"/>
      <w:bookmarkStart w:id="2943" w:name="_Toc5083"/>
      <w:bookmarkStart w:id="2944" w:name="_Toc21400"/>
      <w:bookmarkStart w:id="2945" w:name="_Toc28359"/>
      <w:bookmarkStart w:id="2946" w:name="_Toc19795"/>
      <w:r>
        <w:rPr>
          <w:rFonts w:hint="eastAsia" w:ascii="Times New Roman" w:hAnsi="Times New Roman" w:eastAsia="楷体_GB2312" w:cs="楷体_GB2312"/>
          <w:bCs w:val="0"/>
          <w:color w:val="000000" w:themeColor="text1"/>
          <w:kern w:val="2"/>
          <w14:textFill>
            <w14:solidFill>
              <w14:schemeClr w14:val="tx1"/>
            </w14:solidFill>
          </w14:textFill>
        </w:rPr>
        <w:t>（十）《健康体检管理暂行规定》</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143B42A8">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947" w:name="_Toc7287"/>
      <w:bookmarkStart w:id="2948" w:name="_Toc28582"/>
      <w:bookmarkStart w:id="2949" w:name="_Toc13614"/>
      <w:bookmarkStart w:id="2950" w:name="_Toc26082"/>
      <w:bookmarkStart w:id="2951" w:name="_Toc32212"/>
      <w:bookmarkStart w:id="2952" w:name="_Toc14726"/>
      <w:bookmarkStart w:id="2953" w:name="_Toc14906"/>
      <w:bookmarkStart w:id="2954" w:name="_Toc12405"/>
      <w:bookmarkStart w:id="2955" w:name="_Toc9680"/>
      <w:bookmarkStart w:id="2956" w:name="_Toc5387"/>
      <w:bookmarkStart w:id="2957" w:name="_Toc17320"/>
      <w:r>
        <w:rPr>
          <w:rFonts w:hint="eastAsia" w:cs="仿宋_GB2312"/>
          <w:bCs/>
          <w:color w:val="000000" w:themeColor="text1"/>
          <w14:textFill>
            <w14:solidFill>
              <w14:schemeClr w14:val="tx1"/>
            </w14:solidFill>
          </w14:textFill>
        </w:rPr>
        <w:t>第二百四十条</w:t>
      </w:r>
      <w:r>
        <w:rPr>
          <w:rFonts w:hint="eastAsia" w:ascii="Times New Roman" w:hAnsi="Times New Roman" w:cs="仿宋_GB2312"/>
          <w:bCs/>
          <w:color w:val="000000" w:themeColor="text1"/>
          <w:kern w:val="0"/>
          <w14:textFill>
            <w14:solidFill>
              <w14:schemeClr w14:val="tx1"/>
            </w14:solidFill>
          </w14:textFill>
        </w:rPr>
        <w:t xml:space="preserve"> 医疗机构未经许可开展健康体检的</w:t>
      </w:r>
      <w:bookmarkEnd w:id="2947"/>
      <w:bookmarkEnd w:id="2948"/>
      <w:bookmarkEnd w:id="2949"/>
      <w:bookmarkEnd w:id="2950"/>
      <w:bookmarkEnd w:id="2951"/>
      <w:bookmarkEnd w:id="2952"/>
      <w:bookmarkEnd w:id="2953"/>
      <w:bookmarkEnd w:id="2954"/>
      <w:bookmarkEnd w:id="2955"/>
      <w:bookmarkEnd w:id="2956"/>
      <w:bookmarkEnd w:id="2957"/>
    </w:p>
    <w:p w14:paraId="3D57870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6E45ADA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《健康体检管理暂行规定》第二十九条第二款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医疗机构未经许可开展健康体检的，按照《医疗机构管理条例》第四十七条处理。</w:t>
      </w:r>
    </w:p>
    <w:p w14:paraId="5AC667B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《医疗机构管理条例》第四十六条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六条规定，诊疗活动超出登记或者备案范围的，由县级以上人民政府卫生行政部门予以警告、责令其改正，没收违法所得，并可以根据情节处以1万元以上10万元以下的罚款；情节严重的，吊销其《医疗机构执业许可证》或者责令其停止执业活动。</w:t>
      </w:r>
    </w:p>
    <w:p w14:paraId="05533CD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5530"/>
        <w:gridCol w:w="6978"/>
      </w:tblGrid>
      <w:tr w14:paraId="7C09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tcPr>
          <w:p w14:paraId="6DF41B7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30" w:type="dxa"/>
          </w:tcPr>
          <w:p w14:paraId="4236498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978" w:type="dxa"/>
          </w:tcPr>
          <w:p w14:paraId="6E5DE36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3C4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14:paraId="48559F4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轻微</w:t>
            </w:r>
          </w:p>
        </w:tc>
        <w:tc>
          <w:tcPr>
            <w:tcW w:w="5530" w:type="dxa"/>
            <w:vAlign w:val="center"/>
          </w:tcPr>
          <w:p w14:paraId="3CEC795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医疗机构未经许可开展健康体检的，无违法所得的、违法所得无法认定的或诊疗活动违法所得在1万元以下的。</w:t>
            </w:r>
          </w:p>
        </w:tc>
        <w:tc>
          <w:tcPr>
            <w:tcW w:w="6978" w:type="dxa"/>
            <w:vAlign w:val="center"/>
          </w:tcPr>
          <w:p w14:paraId="535E514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由县级以上人民政府卫生行政部门予以警告、责令其改正，没收违法所得，并可以根据情节处以1万元以上3万元以下的罚款。</w:t>
            </w:r>
          </w:p>
        </w:tc>
      </w:tr>
      <w:tr w14:paraId="5CB5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14:paraId="49CD795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5530" w:type="dxa"/>
            <w:vAlign w:val="center"/>
          </w:tcPr>
          <w:p w14:paraId="29E7A98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医疗机构未经许可开展健康体检的，违法所得在1万元以上5万元以内的。</w:t>
            </w:r>
          </w:p>
        </w:tc>
        <w:tc>
          <w:tcPr>
            <w:tcW w:w="6978" w:type="dxa"/>
            <w:vAlign w:val="center"/>
          </w:tcPr>
          <w:p w14:paraId="74BFDD6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由县级以上人民政府卫生行政部门予以警告、责令其改正，没收违法所得，并可以根据情节处以3万元以上8万元以下的罚款。</w:t>
            </w:r>
          </w:p>
        </w:tc>
      </w:tr>
      <w:tr w14:paraId="106F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14:paraId="1CD7854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5530" w:type="dxa"/>
            <w:vAlign w:val="center"/>
          </w:tcPr>
          <w:p w14:paraId="1FC7172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538F543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A．医疗机构未经许可开展健康体检的，违法所得在5万元以上的；</w:t>
            </w:r>
          </w:p>
          <w:p w14:paraId="2D13E63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B．给患者造成伤害。</w:t>
            </w:r>
          </w:p>
        </w:tc>
        <w:tc>
          <w:tcPr>
            <w:tcW w:w="6978" w:type="dxa"/>
            <w:vAlign w:val="center"/>
          </w:tcPr>
          <w:p w14:paraId="3415F0B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由县级以上人民政府卫生行政部门予以警告、责令其改正，没收违法所得，并可以根据情节处以8万元以上10万元以下的罚款。</w:t>
            </w:r>
          </w:p>
        </w:tc>
      </w:tr>
      <w:tr w14:paraId="1990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14:paraId="6DBD3C8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5530" w:type="dxa"/>
            <w:vAlign w:val="center"/>
          </w:tcPr>
          <w:p w14:paraId="7BA8E4D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情节严重，造成患者死亡的。</w:t>
            </w:r>
          </w:p>
        </w:tc>
        <w:tc>
          <w:tcPr>
            <w:tcW w:w="6978" w:type="dxa"/>
            <w:vAlign w:val="center"/>
          </w:tcPr>
          <w:p w14:paraId="0484672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由县级以上人民政府卫生行政部门予以警告、责令其改正，没收违法所得，并可以根据情节处以10万元的罚款，吊销其《医疗机构执业许可证》或者责令其停止执业活动。</w:t>
            </w:r>
          </w:p>
        </w:tc>
      </w:tr>
    </w:tbl>
    <w:p w14:paraId="3F6E45DE">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2958" w:name="_Toc16877"/>
      <w:bookmarkStart w:id="2959" w:name="_Toc28276"/>
      <w:bookmarkStart w:id="2960" w:name="_Toc2075"/>
      <w:bookmarkStart w:id="2961" w:name="_Toc31537"/>
      <w:bookmarkStart w:id="2962" w:name="_Toc18040"/>
      <w:bookmarkStart w:id="2963" w:name="_Toc30870"/>
      <w:bookmarkStart w:id="2964" w:name="_Toc10539"/>
      <w:bookmarkStart w:id="2965" w:name="_Toc24486"/>
      <w:bookmarkStart w:id="2966" w:name="_Toc7281"/>
      <w:bookmarkStart w:id="2967" w:name="_Toc24997"/>
      <w:bookmarkStart w:id="2968" w:name="_Toc21452"/>
      <w:bookmarkStart w:id="2969" w:name="_Toc20333"/>
      <w:bookmarkStart w:id="2970" w:name="_Toc7836"/>
      <w:r>
        <w:rPr>
          <w:rFonts w:hint="eastAsia" w:ascii="Times New Roman" w:hAnsi="Times New Roman" w:eastAsia="楷体_GB2312" w:cs="楷体_GB2312"/>
          <w:bCs w:val="0"/>
          <w:color w:val="000000" w:themeColor="text1"/>
          <w:kern w:val="2"/>
          <w14:textFill>
            <w14:solidFill>
              <w14:schemeClr w14:val="tx1"/>
            </w14:solidFill>
          </w14:textFill>
        </w:rPr>
        <w:t>（十一）《中华人民共和国中医药法》</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4C3DB8A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971" w:name="_Toc30434"/>
      <w:bookmarkStart w:id="2972" w:name="_Toc1165"/>
      <w:bookmarkStart w:id="2973" w:name="_Toc4041"/>
      <w:bookmarkStart w:id="2974" w:name="_Toc8032"/>
      <w:bookmarkStart w:id="2975" w:name="_Toc5650"/>
      <w:bookmarkStart w:id="2976" w:name="_Toc29436"/>
      <w:bookmarkStart w:id="2977" w:name="_Toc21482"/>
      <w:bookmarkStart w:id="2978" w:name="_Toc4033"/>
      <w:bookmarkStart w:id="2979" w:name="_Toc576"/>
      <w:bookmarkStart w:id="2980" w:name="_Toc11010"/>
      <w:bookmarkStart w:id="2981" w:name="_Toc32430"/>
      <w:r>
        <w:rPr>
          <w:rFonts w:hint="eastAsia" w:cs="仿宋_GB2312"/>
          <w:bCs/>
          <w:color w:val="000000" w:themeColor="text1"/>
          <w14:textFill>
            <w14:solidFill>
              <w14:schemeClr w14:val="tx1"/>
            </w14:solidFill>
          </w14:textFill>
        </w:rPr>
        <w:t>第二百四十一条</w:t>
      </w:r>
      <w:r>
        <w:rPr>
          <w:rFonts w:hint="eastAsia" w:ascii="Times New Roman" w:hAnsi="Times New Roman" w:cs="仿宋_GB2312"/>
          <w:bCs/>
          <w:color w:val="000000" w:themeColor="text1"/>
          <w:kern w:val="0"/>
          <w14:textFill>
            <w14:solidFill>
              <w14:schemeClr w14:val="tx1"/>
            </w14:solidFill>
          </w14:textFill>
        </w:rPr>
        <w:t xml:space="preserve"> 中医诊所超出备案范围开展医疗活动的</w:t>
      </w:r>
      <w:bookmarkEnd w:id="2971"/>
      <w:bookmarkEnd w:id="2972"/>
      <w:bookmarkEnd w:id="2973"/>
      <w:bookmarkEnd w:id="2974"/>
      <w:bookmarkEnd w:id="2975"/>
      <w:bookmarkEnd w:id="2976"/>
      <w:bookmarkEnd w:id="2977"/>
      <w:bookmarkEnd w:id="2978"/>
      <w:bookmarkEnd w:id="2979"/>
      <w:bookmarkEnd w:id="2980"/>
      <w:bookmarkEnd w:id="2981"/>
    </w:p>
    <w:p w14:paraId="30C420A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111CC7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1.《中华人民共和国中医药法》第五十四条第一款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违反本法规定，中医诊所超出备案范围开展医疗活动的，由所在地县级人民政府中医药主管部门责令改正，没收违法所得，并处一万元以上三万元以下罚款；情节严重的，责令停止执业活动。</w:t>
      </w:r>
    </w:p>
    <w:p w14:paraId="0540DCC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2.《中医诊所备案管理暂行办法》第二十四条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中医诊所超出备案范围开展医疗活动的，由所在地县级中医药主管部门责令改正，没收违法所得，并处一万元以上三万元以下罚款。有下列情形之一的，应当责令其停止执业活动，注销《中医诊所备案证》，其直接负责的主管人员自处罚决定作出之日起五年内不得在医疗机构内从事管理工作；</w:t>
      </w:r>
    </w:p>
    <w:p w14:paraId="6189034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（一）因超出备案范围开展医疗活动曾受过行政处罚的；</w:t>
      </w:r>
    </w:p>
    <w:p w14:paraId="1834959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（二）超出备案范围从事医疗活动给患者造成伤害的；</w:t>
      </w:r>
    </w:p>
    <w:p w14:paraId="7B3A3537">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（三）违反本办法规定造</w:t>
      </w:r>
      <w:r>
        <w:rPr>
          <w:rFonts w:hint="eastAsia" w:ascii="Times New Roman" w:hAnsi="Times New Roman" w:eastAsia="仿宋_GB2312" w:cs="华文中宋"/>
          <w:color w:val="000000" w:themeColor="text1"/>
          <w:sz w:val="32"/>
          <w:szCs w:val="28"/>
          <w14:textFill>
            <w14:solidFill>
              <w14:schemeClr w14:val="tx1"/>
            </w14:solidFill>
          </w14:textFill>
        </w:rPr>
        <w:t>成其他严重后果的。</w:t>
      </w:r>
    </w:p>
    <w:p w14:paraId="05CC9DCF">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7215"/>
        <w:gridCol w:w="5039"/>
      </w:tblGrid>
      <w:tr w14:paraId="1295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16" w:type="dxa"/>
            <w:vAlign w:val="center"/>
          </w:tcPr>
          <w:p w14:paraId="4DC2EEF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215" w:type="dxa"/>
            <w:vAlign w:val="center"/>
          </w:tcPr>
          <w:p w14:paraId="3CF9348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039" w:type="dxa"/>
            <w:vAlign w:val="center"/>
          </w:tcPr>
          <w:p w14:paraId="4615A7D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C7E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16" w:type="dxa"/>
            <w:vAlign w:val="center"/>
          </w:tcPr>
          <w:p w14:paraId="75E4EB90">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轻微</w:t>
            </w:r>
          </w:p>
        </w:tc>
        <w:tc>
          <w:tcPr>
            <w:tcW w:w="7215" w:type="dxa"/>
            <w:vAlign w:val="center"/>
          </w:tcPr>
          <w:p w14:paraId="20CA1859">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超出备案范围开展医疗活动违法所得不足一千元的。</w:t>
            </w:r>
          </w:p>
        </w:tc>
        <w:tc>
          <w:tcPr>
            <w:tcW w:w="5039" w:type="dxa"/>
            <w:vAlign w:val="center"/>
          </w:tcPr>
          <w:p w14:paraId="3EBE518A">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由所在地县级人民政府中医药主管部门责令改正，没收违法所得，处一万元罚款。</w:t>
            </w:r>
          </w:p>
        </w:tc>
      </w:tr>
      <w:tr w14:paraId="246D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16" w:type="dxa"/>
            <w:vAlign w:val="center"/>
          </w:tcPr>
          <w:p w14:paraId="02C636D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215" w:type="dxa"/>
            <w:vAlign w:val="center"/>
          </w:tcPr>
          <w:p w14:paraId="3D414532">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10996186">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A.超出备案范围开展医疗活动违法所得一千元以上一万元以下的；</w:t>
            </w:r>
          </w:p>
          <w:p w14:paraId="1281D1A4">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B.执业时间在一个月以上三个月以下的。</w:t>
            </w:r>
          </w:p>
        </w:tc>
        <w:tc>
          <w:tcPr>
            <w:tcW w:w="5039" w:type="dxa"/>
            <w:vAlign w:val="center"/>
          </w:tcPr>
          <w:p w14:paraId="38E99F4B">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由所在地县级人民政府中医药主管部门责令改正，没收违法所得，并处以一万元以上两万元以下的罚款。</w:t>
            </w:r>
          </w:p>
        </w:tc>
      </w:tr>
      <w:tr w14:paraId="3CB6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16" w:type="dxa"/>
            <w:vAlign w:val="center"/>
          </w:tcPr>
          <w:p w14:paraId="56E8BFAC">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7215" w:type="dxa"/>
            <w:vAlign w:val="center"/>
          </w:tcPr>
          <w:p w14:paraId="0417C4F9">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3AE4D82D">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A.超出备案范围开展医疗活动违法所得在一万元以上的；</w:t>
            </w:r>
          </w:p>
          <w:p w14:paraId="7320487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B.执业时间在三个月以上的。</w:t>
            </w:r>
          </w:p>
        </w:tc>
        <w:tc>
          <w:tcPr>
            <w:tcW w:w="5039" w:type="dxa"/>
            <w:vAlign w:val="center"/>
          </w:tcPr>
          <w:p w14:paraId="3B77E7CD">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由所在地县级人民政府中医药主管部门责令改正，没收违法所得，并处以两万元以上三万元以下罚款。</w:t>
            </w:r>
          </w:p>
        </w:tc>
      </w:tr>
      <w:tr w14:paraId="5915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16" w:type="dxa"/>
            <w:vAlign w:val="center"/>
          </w:tcPr>
          <w:p w14:paraId="31BBBE7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215" w:type="dxa"/>
            <w:vAlign w:val="center"/>
          </w:tcPr>
          <w:p w14:paraId="0D680E52">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3B21D73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A.因超出备案范围开展医疗活动曾受过行政处罚的；</w:t>
            </w:r>
          </w:p>
          <w:p w14:paraId="4E4C4FB8">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B.超出备案范围从事医疗活动给患者造成伤害的；</w:t>
            </w:r>
          </w:p>
          <w:p w14:paraId="68805128">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C.违反本办法规定造成其他严重后果的。</w:t>
            </w:r>
          </w:p>
        </w:tc>
        <w:tc>
          <w:tcPr>
            <w:tcW w:w="5039" w:type="dxa"/>
            <w:vAlign w:val="center"/>
          </w:tcPr>
          <w:p w14:paraId="2778644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所在地县级人民政府中医药主管部门责令改正，没收违法所得，并处三万元罚款，责令停止执业活动，注销《中医诊所备案证》，其直接负责的主管人员自处罚决定作出之日起五年内不得在医疗机构内从事管理工作。</w:t>
            </w:r>
          </w:p>
        </w:tc>
      </w:tr>
    </w:tbl>
    <w:p w14:paraId="3AA67640">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982" w:name="_Toc26170"/>
      <w:bookmarkStart w:id="2983" w:name="_Toc26182"/>
      <w:bookmarkStart w:id="2984" w:name="_Toc18649"/>
      <w:bookmarkStart w:id="2985" w:name="_Toc24237"/>
      <w:bookmarkStart w:id="2986" w:name="_Toc10151"/>
      <w:bookmarkStart w:id="2987" w:name="_Toc23883"/>
      <w:bookmarkStart w:id="2988" w:name="_Toc13486"/>
      <w:bookmarkStart w:id="2989" w:name="_Toc31257"/>
      <w:bookmarkStart w:id="2990" w:name="_Toc9244"/>
      <w:bookmarkStart w:id="2991" w:name="_Toc7691"/>
      <w:bookmarkStart w:id="2992" w:name="_Toc24642"/>
      <w:r>
        <w:rPr>
          <w:rFonts w:hint="eastAsia" w:cs="仿宋_GB2312"/>
          <w:bCs/>
          <w:color w:val="000000" w:themeColor="text1"/>
          <w14:textFill>
            <w14:solidFill>
              <w14:schemeClr w14:val="tx1"/>
            </w14:solidFill>
          </w14:textFill>
        </w:rPr>
        <w:t>第二百四十二条</w:t>
      </w:r>
      <w:r>
        <w:rPr>
          <w:rFonts w:hint="eastAsia" w:cs="仿宋_GB2312"/>
          <w:bCs/>
          <w:color w:val="000000" w:themeColor="text1"/>
          <w:kern w:val="0"/>
          <w:lang w:eastAsia="zh-CN"/>
          <w14:textFill>
            <w14:solidFill>
              <w14:schemeClr w14:val="tx1"/>
            </w14:solidFill>
          </w14:textFill>
        </w:rPr>
        <w:t xml:space="preserve"> </w:t>
      </w:r>
      <w:r>
        <w:rPr>
          <w:rFonts w:hint="eastAsia" w:ascii="Times New Roman" w:hAnsi="Times New Roman" w:cs="仿宋_GB2312"/>
          <w:bCs/>
          <w:color w:val="000000" w:themeColor="text1"/>
          <w:kern w:val="0"/>
          <w14:textFill>
            <w14:solidFill>
              <w14:schemeClr w14:val="tx1"/>
            </w14:solidFill>
          </w14:textFill>
        </w:rPr>
        <w:t>中医诊所被责令停止执业活动的，其直接负责的主管人员自处罚决定作出之日起五年内不得在医疗机构内从事管理工作，医疗机构聘用上述不得从事管理工作的人员从事管理工作的</w:t>
      </w:r>
      <w:bookmarkEnd w:id="2982"/>
      <w:bookmarkEnd w:id="2983"/>
      <w:bookmarkEnd w:id="2984"/>
      <w:bookmarkEnd w:id="2985"/>
      <w:bookmarkEnd w:id="2986"/>
      <w:bookmarkEnd w:id="2987"/>
      <w:bookmarkEnd w:id="2988"/>
      <w:bookmarkEnd w:id="2989"/>
      <w:bookmarkEnd w:id="2990"/>
      <w:bookmarkEnd w:id="2991"/>
      <w:bookmarkEnd w:id="2992"/>
    </w:p>
    <w:p w14:paraId="7D62AED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AEAE92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《中华人民共和国中医药法》第五十四条第二款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中医诊所被责令停止执业活动的，其直接负责的主管人员自处罚决定作出之日起五年内不得在医疗机构内从事管理工作。医疗机构聘用上述不得从事管理工作的人员从事管理工作的，由原发证部门吊销执业许可证或者由原备案部门责令停止执业活动。</w:t>
      </w:r>
    </w:p>
    <w:p w14:paraId="2C5D9835">
      <w:pPr>
        <w:widowControl w:val="0"/>
        <w:adjustRightInd/>
        <w:snapToGrid/>
        <w:spacing w:after="0" w:line="440" w:lineRule="exact"/>
        <w:ind w:firstLine="0" w:firstLineChars="0"/>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8361"/>
        <w:gridCol w:w="4194"/>
      </w:tblGrid>
      <w:tr w14:paraId="5AC8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5" w:type="dxa"/>
            <w:vAlign w:val="center"/>
          </w:tcPr>
          <w:p w14:paraId="367E8DB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t>违法程度</w:t>
            </w:r>
          </w:p>
        </w:tc>
        <w:tc>
          <w:tcPr>
            <w:tcW w:w="8361" w:type="dxa"/>
            <w:vAlign w:val="center"/>
          </w:tcPr>
          <w:p w14:paraId="7029047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94" w:type="dxa"/>
            <w:vAlign w:val="center"/>
          </w:tcPr>
          <w:p w14:paraId="6861D77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4D4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45" w:type="dxa"/>
            <w:vAlign w:val="center"/>
          </w:tcPr>
          <w:p w14:paraId="5783712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8361" w:type="dxa"/>
            <w:vAlign w:val="center"/>
          </w:tcPr>
          <w:p w14:paraId="4783FAE7">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中医诊所被责令停止执业活动的，其直接负责的主管人员自处罚决定作出之日起五年内不得在医疗机构内从事管理工作。但医疗机构聘用上述人员从事管理工作的。</w:t>
            </w:r>
          </w:p>
        </w:tc>
        <w:tc>
          <w:tcPr>
            <w:tcW w:w="4194" w:type="dxa"/>
            <w:vAlign w:val="center"/>
          </w:tcPr>
          <w:p w14:paraId="05284C66">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由原发证部门吊销执业许可证或者由原备案部门责令停止执业活动。</w:t>
            </w:r>
          </w:p>
        </w:tc>
      </w:tr>
    </w:tbl>
    <w:p w14:paraId="6CF8E3ED">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2993" w:name="_Toc3685"/>
      <w:bookmarkStart w:id="2994" w:name="_Toc11695"/>
      <w:bookmarkStart w:id="2995" w:name="_Toc29834"/>
      <w:bookmarkStart w:id="2996" w:name="_Toc18052"/>
      <w:bookmarkStart w:id="2997" w:name="_Toc6788"/>
      <w:bookmarkStart w:id="2998" w:name="_Toc1560"/>
      <w:bookmarkStart w:id="2999" w:name="_Toc32717"/>
      <w:bookmarkStart w:id="3000" w:name="_Toc1337"/>
      <w:bookmarkStart w:id="3001" w:name="_Toc32741"/>
      <w:bookmarkStart w:id="3002" w:name="_Toc24416"/>
      <w:bookmarkStart w:id="3003" w:name="_Toc28385"/>
      <w:r>
        <w:rPr>
          <w:rFonts w:hint="eastAsia" w:cs="仿宋_GB2312"/>
          <w:bCs/>
          <w:color w:val="000000" w:themeColor="text1"/>
          <w14:textFill>
            <w14:solidFill>
              <w14:schemeClr w14:val="tx1"/>
            </w14:solidFill>
          </w14:textFill>
        </w:rPr>
        <w:t>第二百四十三条</w:t>
      </w:r>
      <w:r>
        <w:rPr>
          <w:rFonts w:hint="eastAsia" w:ascii="Times New Roman" w:hAnsi="Times New Roman" w:cs="仿宋_GB2312"/>
          <w:bCs/>
          <w:color w:val="000000" w:themeColor="text1"/>
          <w:kern w:val="0"/>
          <w14:textFill>
            <w14:solidFill>
              <w14:schemeClr w14:val="tx1"/>
            </w14:solidFill>
          </w14:textFill>
        </w:rPr>
        <w:t xml:space="preserve"> 中医（专长）医师在执业中超出注册的执业范围从事医疗活动的</w:t>
      </w:r>
      <w:bookmarkEnd w:id="2993"/>
      <w:bookmarkEnd w:id="2994"/>
      <w:bookmarkEnd w:id="2995"/>
      <w:bookmarkEnd w:id="2996"/>
      <w:bookmarkEnd w:id="2997"/>
      <w:bookmarkEnd w:id="2998"/>
      <w:bookmarkEnd w:id="2999"/>
      <w:bookmarkEnd w:id="3000"/>
      <w:bookmarkEnd w:id="3001"/>
      <w:bookmarkEnd w:id="3002"/>
      <w:bookmarkEnd w:id="3003"/>
    </w:p>
    <w:p w14:paraId="3B182EC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738593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w:t>
      </w:r>
      <w:r>
        <w:rPr>
          <w:rFonts w:ascii="Times New Roman" w:hAnsi="Times New Roman" w:eastAsia="仿宋_GB2312" w:cs="仿宋_GB2312"/>
          <w:color w:val="000000" w:themeColor="text1"/>
          <w:kern w:val="2"/>
          <w:sz w:val="32"/>
          <w:szCs w:val="32"/>
          <w14:textFill>
            <w14:solidFill>
              <w14:schemeClr w14:val="tx1"/>
            </w14:solidFill>
          </w14:textFill>
        </w:rPr>
        <w:t>《中华人民共和国中医药法》第五十五条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32"/>
          <w14:textFill>
            <w14:solidFill>
              <w14:schemeClr w14:val="tx1"/>
            </w14:solidFill>
          </w14:textFill>
        </w:rPr>
        <w:t>违反本法规定，经考核取得医师资格的中医医师超出注册的执业范围从事医疗活动的，由县级以上人民政府中医药主管部门责令暂停六个月以上一年以下执业活动，并处一万元以上三万元以下罚款；情节严重的，吊销执业证书。</w:t>
      </w:r>
    </w:p>
    <w:p w14:paraId="6277061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w:t>
      </w:r>
      <w:r>
        <w:rPr>
          <w:rFonts w:ascii="Times New Roman" w:hAnsi="Times New Roman" w:eastAsia="仿宋_GB2312" w:cs="仿宋_GB2312"/>
          <w:color w:val="000000" w:themeColor="text1"/>
          <w:kern w:val="2"/>
          <w:sz w:val="32"/>
          <w:szCs w:val="32"/>
          <w14:textFill>
            <w14:solidFill>
              <w14:schemeClr w14:val="tx1"/>
            </w14:solidFill>
          </w14:textFill>
        </w:rPr>
        <w:t>《中医医术确有专长人员医师资格考核注册管理暂行办法》第三十七条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32"/>
          <w14:textFill>
            <w14:solidFill>
              <w14:schemeClr w14:val="tx1"/>
            </w14:solidFill>
          </w14:textFill>
        </w:rPr>
        <w:t>中医（专长）医师在执业中超出注册的执业范围从事医疗活动的，由县级以上中医药主管部门责令暂停六个月以上一年以下执业活动，并处一万元以上三万元以下罚款；情节严重的，吊销其执业证书。造成患者人身、财产损害的，依法承担民事责任；构成犯罪的，依法追究刑事责任。</w:t>
      </w:r>
    </w:p>
    <w:p w14:paraId="796AA7F0">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7640"/>
        <w:gridCol w:w="4614"/>
      </w:tblGrid>
      <w:tr w14:paraId="1844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16" w:type="dxa"/>
            <w:vAlign w:val="center"/>
          </w:tcPr>
          <w:p w14:paraId="6780E11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40" w:type="dxa"/>
            <w:vAlign w:val="center"/>
          </w:tcPr>
          <w:p w14:paraId="679A1C9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14" w:type="dxa"/>
            <w:vAlign w:val="center"/>
          </w:tcPr>
          <w:p w14:paraId="375D727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B8F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16" w:type="dxa"/>
            <w:vAlign w:val="center"/>
          </w:tcPr>
          <w:p w14:paraId="0F612E27">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7640" w:type="dxa"/>
            <w:vAlign w:val="center"/>
          </w:tcPr>
          <w:p w14:paraId="634E630C">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中医（专长）医师在执业中超出注册的执业范围从事医疗活动</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一个月以下的。</w:t>
            </w:r>
          </w:p>
        </w:tc>
        <w:tc>
          <w:tcPr>
            <w:tcW w:w="4614" w:type="dxa"/>
            <w:vAlign w:val="center"/>
          </w:tcPr>
          <w:p w14:paraId="74831966">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责令暂停六个月以上九个月以下执业活动，并处一万元以上两万元以下罚款。</w:t>
            </w:r>
          </w:p>
        </w:tc>
      </w:tr>
      <w:tr w14:paraId="6389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16" w:type="dxa"/>
            <w:vAlign w:val="center"/>
          </w:tcPr>
          <w:p w14:paraId="74A1305D">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7640" w:type="dxa"/>
            <w:vAlign w:val="center"/>
          </w:tcPr>
          <w:p w14:paraId="04FF4774">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中医（专长）医师曾因在执业中超出注册的执业范围从事医疗活动一个月以上六个月以下的。</w:t>
            </w:r>
          </w:p>
        </w:tc>
        <w:tc>
          <w:tcPr>
            <w:tcW w:w="4614" w:type="dxa"/>
            <w:vAlign w:val="center"/>
          </w:tcPr>
          <w:p w14:paraId="535FF5A0">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责令暂停九个月以上一年以下执业活动，并处两万元以上三万元以下罚款。</w:t>
            </w:r>
          </w:p>
        </w:tc>
      </w:tr>
      <w:tr w14:paraId="4332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16" w:type="dxa"/>
            <w:vAlign w:val="center"/>
          </w:tcPr>
          <w:p w14:paraId="4465CB49">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7640" w:type="dxa"/>
            <w:vAlign w:val="center"/>
          </w:tcPr>
          <w:p w14:paraId="346BD6CB">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中医（专长）医师曾因在执业中超出注册的执业范围从事医疗活动六个月以上一年以下或者造成其他严重后果的。</w:t>
            </w:r>
          </w:p>
        </w:tc>
        <w:tc>
          <w:tcPr>
            <w:tcW w:w="4614" w:type="dxa"/>
            <w:vAlign w:val="center"/>
          </w:tcPr>
          <w:p w14:paraId="69D09E6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处三万元罚款，并吊销其执业证书。</w:t>
            </w:r>
          </w:p>
        </w:tc>
      </w:tr>
    </w:tbl>
    <w:p w14:paraId="1928FF65">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004" w:name="_Toc2221"/>
      <w:bookmarkStart w:id="3005" w:name="_Toc11967"/>
      <w:bookmarkStart w:id="3006" w:name="_Toc3361"/>
      <w:bookmarkStart w:id="3007" w:name="_Toc30021"/>
      <w:bookmarkStart w:id="3008" w:name="_Toc30607"/>
      <w:bookmarkStart w:id="3009" w:name="_Toc30077"/>
      <w:bookmarkStart w:id="3010" w:name="_Toc16044"/>
      <w:bookmarkStart w:id="3011" w:name="_Toc20322"/>
      <w:bookmarkStart w:id="3012" w:name="_Toc22807"/>
      <w:bookmarkStart w:id="3013" w:name="_Toc2090"/>
      <w:bookmarkStart w:id="3014" w:name="_Toc13157"/>
      <w:r>
        <w:rPr>
          <w:rFonts w:hint="eastAsia" w:cs="仿宋_GB2312"/>
          <w:bCs/>
          <w:color w:val="000000" w:themeColor="text1"/>
          <w14:textFill>
            <w14:solidFill>
              <w14:schemeClr w14:val="tx1"/>
            </w14:solidFill>
          </w14:textFill>
        </w:rPr>
        <w:t>第二百四十四条</w:t>
      </w:r>
      <w:r>
        <w:rPr>
          <w:rFonts w:hint="eastAsia" w:ascii="Times New Roman" w:hAnsi="Times New Roman" w:cs="仿宋_GB2312"/>
          <w:bCs/>
          <w:color w:val="000000" w:themeColor="text1"/>
          <w:kern w:val="0"/>
          <w14:textFill>
            <w14:solidFill>
              <w14:schemeClr w14:val="tx1"/>
            </w14:solidFill>
          </w14:textFill>
        </w:rPr>
        <w:t xml:space="preserve"> 举办中医诊所应当备案而未备案</w:t>
      </w:r>
      <w:bookmarkEnd w:id="3004"/>
      <w:bookmarkEnd w:id="3005"/>
      <w:bookmarkEnd w:id="3006"/>
      <w:bookmarkEnd w:id="3007"/>
      <w:bookmarkEnd w:id="3008"/>
      <w:bookmarkEnd w:id="3009"/>
      <w:bookmarkEnd w:id="3010"/>
      <w:bookmarkEnd w:id="3011"/>
      <w:bookmarkEnd w:id="3012"/>
      <w:bookmarkEnd w:id="3013"/>
      <w:bookmarkEnd w:id="3014"/>
    </w:p>
    <w:p w14:paraId="21E46BE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D865D2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1.《中华人民共和国中医药法》第五十六条第一款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14:paraId="6E2D3EE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2.《中医诊所备案管理暂行办法》第二十条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办法规定，未经县级中医药主管部门备案擅自执业的，由县级中医药主管部门责令改正，没收违法所得，并处三万元以下罚款，向社会公告相关信息;拒不改正的，责令其停止执业活动，其直接责任人员自处罚决定作出之日起五年内不得从事中医药相关活动。</w:t>
      </w:r>
    </w:p>
    <w:p w14:paraId="2E72070E">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465"/>
        <w:gridCol w:w="6269"/>
      </w:tblGrid>
      <w:tr w14:paraId="3B7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6522E6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465" w:type="dxa"/>
          </w:tcPr>
          <w:p w14:paraId="55AA7BD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269" w:type="dxa"/>
          </w:tcPr>
          <w:p w14:paraId="1281491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7A2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E1B2773">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465" w:type="dxa"/>
            <w:vAlign w:val="center"/>
          </w:tcPr>
          <w:p w14:paraId="62D93EC2">
            <w:pPr>
              <w:widowControl w:val="0"/>
              <w:adjustRightInd/>
              <w:snapToGrid/>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举办中医诊所、炮制中药饮片、委托配制中药制剂应当备案而未备案或者备案时提供虚假材料。</w:t>
            </w:r>
          </w:p>
        </w:tc>
        <w:tc>
          <w:tcPr>
            <w:tcW w:w="6269" w:type="dxa"/>
            <w:vAlign w:val="center"/>
          </w:tcPr>
          <w:p w14:paraId="52265A3E">
            <w:pPr>
              <w:widowControl w:val="0"/>
              <w:adjustRightInd/>
              <w:snapToGrid/>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由县级中医药主管部门责令改正，没收违法所得，并处三万元以下的罚款，向社会公告相关信息。</w:t>
            </w:r>
          </w:p>
        </w:tc>
      </w:tr>
      <w:tr w14:paraId="397F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D20C164">
            <w:pPr>
              <w:widowControl w:val="0"/>
              <w:adjustRightInd/>
              <w:snapToGrid/>
              <w:spacing w:after="0" w:line="280" w:lineRule="exact"/>
              <w:jc w:val="center"/>
              <w:rPr>
                <w:rFonts w:hint="eastAsia" w:ascii="Times New Roman" w:hAnsi="Times New Roman" w:eastAsia="仿宋_GB2312" w:cs="Times New Roman"/>
                <w:b/>
                <w:bCs/>
                <w:color w:val="000000" w:themeColor="text1"/>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465" w:type="dxa"/>
            <w:vAlign w:val="center"/>
          </w:tcPr>
          <w:p w14:paraId="50E84385">
            <w:pPr>
              <w:widowControl w:val="0"/>
              <w:adjustRightInd/>
              <w:snapToGrid/>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举办中医诊所、炮制中药饮片、委托配制中药制剂应当备案而未备案或者备案时提供虚假材料，</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经责令改正拒不改正的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tc>
        <w:tc>
          <w:tcPr>
            <w:tcW w:w="6269" w:type="dxa"/>
            <w:vAlign w:val="center"/>
          </w:tcPr>
          <w:p w14:paraId="5FD2F297">
            <w:pPr>
              <w:widowControl w:val="0"/>
              <w:adjustRightInd/>
              <w:snapToGrid/>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没收违法所得，并处以三万元罚款，责令停止执业活动或者责令停止炮制中药饮片、委托配制中药制剂活动，其直接责任人员五年内不得从事中医药相关活动，向社会公告相关信息。</w:t>
            </w:r>
          </w:p>
        </w:tc>
      </w:tr>
    </w:tbl>
    <w:p w14:paraId="12CBD300">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015" w:name="_Toc1744"/>
      <w:bookmarkStart w:id="3016" w:name="_Toc17838"/>
      <w:bookmarkStart w:id="3017" w:name="_Toc21654"/>
      <w:bookmarkStart w:id="3018" w:name="_Toc16907"/>
      <w:bookmarkStart w:id="3019" w:name="_Toc6177"/>
      <w:bookmarkStart w:id="3020" w:name="_Toc19561"/>
      <w:bookmarkStart w:id="3021" w:name="_Toc20114"/>
      <w:bookmarkStart w:id="3022" w:name="_Toc24531"/>
      <w:bookmarkStart w:id="3023" w:name="_Toc26333"/>
      <w:bookmarkStart w:id="3024" w:name="_Toc30301"/>
      <w:bookmarkStart w:id="3025" w:name="_Toc2856"/>
      <w:r>
        <w:rPr>
          <w:rFonts w:hint="eastAsia" w:cs="仿宋_GB2312"/>
          <w:bCs/>
          <w:color w:val="000000" w:themeColor="text1"/>
          <w14:textFill>
            <w14:solidFill>
              <w14:schemeClr w14:val="tx1"/>
            </w14:solidFill>
          </w14:textFill>
        </w:rPr>
        <w:t>第二百四十五条</w:t>
      </w:r>
      <w:r>
        <w:rPr>
          <w:rFonts w:hint="eastAsia" w:ascii="Times New Roman" w:hAnsi="Times New Roman" w:cs="仿宋_GB2312"/>
          <w:bCs/>
          <w:color w:val="000000" w:themeColor="text1"/>
          <w:kern w:val="0"/>
          <w14:textFill>
            <w14:solidFill>
              <w14:schemeClr w14:val="tx1"/>
            </w14:solidFill>
          </w14:textFill>
        </w:rPr>
        <w:t xml:space="preserve"> 提交虚假备案材料取得《中医诊所备案证》的</w:t>
      </w:r>
      <w:bookmarkEnd w:id="3015"/>
      <w:bookmarkEnd w:id="3016"/>
      <w:bookmarkEnd w:id="3017"/>
      <w:bookmarkEnd w:id="3018"/>
      <w:bookmarkEnd w:id="3019"/>
      <w:bookmarkEnd w:id="3020"/>
      <w:bookmarkEnd w:id="3021"/>
      <w:bookmarkEnd w:id="3022"/>
      <w:bookmarkEnd w:id="3023"/>
      <w:bookmarkEnd w:id="3024"/>
      <w:bookmarkEnd w:id="3025"/>
    </w:p>
    <w:p w14:paraId="5C0B4DD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6AD6204">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1.《中华人民共和国中医药法》第五十六条第一款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14:paraId="71D80E5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2.《中医诊所备案管理暂行办法》第二十一条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提交虚假备案材料取得《中医诊所备案证》的，由县级中医药主管部门责令改正，没收违法所得，并处三万元以下罚款，向社会公告相关信息;拒不改正的，责令其停止执业活动并注销《中医诊所备案证》，其直接责任人员自处罚决定作出之日起五年内不得从事中医药相关活动。</w:t>
      </w:r>
    </w:p>
    <w:p w14:paraId="0F7E82E9">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6514"/>
        <w:gridCol w:w="6041"/>
      </w:tblGrid>
      <w:tr w14:paraId="0C7A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5" w:type="dxa"/>
            <w:vAlign w:val="center"/>
          </w:tcPr>
          <w:p w14:paraId="6C195E0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514" w:type="dxa"/>
            <w:vAlign w:val="center"/>
          </w:tcPr>
          <w:p w14:paraId="43F15D5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041" w:type="dxa"/>
            <w:vAlign w:val="center"/>
          </w:tcPr>
          <w:p w14:paraId="343B26A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74A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45" w:type="dxa"/>
            <w:vAlign w:val="center"/>
          </w:tcPr>
          <w:p w14:paraId="7DD5A8C8">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轻微</w:t>
            </w:r>
          </w:p>
        </w:tc>
        <w:tc>
          <w:tcPr>
            <w:tcW w:w="6514" w:type="dxa"/>
            <w:vAlign w:val="center"/>
          </w:tcPr>
          <w:p w14:paraId="23A794C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中医诊所备案时提供虚假材料，提供的虚假材料涉及《中医诊所备案管理暂行办法》第六条其中一项的。</w:t>
            </w:r>
          </w:p>
        </w:tc>
        <w:tc>
          <w:tcPr>
            <w:tcW w:w="6041" w:type="dxa"/>
            <w:vAlign w:val="center"/>
          </w:tcPr>
          <w:p w14:paraId="5EDC9699">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由县级中医药主管部门责令改正，没收违法所得，并处以一万元以下的罚款。</w:t>
            </w:r>
          </w:p>
        </w:tc>
      </w:tr>
      <w:tr w14:paraId="4470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5" w:type="dxa"/>
            <w:vAlign w:val="center"/>
          </w:tcPr>
          <w:p w14:paraId="11BE16D1">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一般</w:t>
            </w:r>
          </w:p>
        </w:tc>
        <w:tc>
          <w:tcPr>
            <w:tcW w:w="6514" w:type="dxa"/>
            <w:vAlign w:val="center"/>
          </w:tcPr>
          <w:p w14:paraId="0158B87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中医诊所备案时提供虚假材料，提供的虚假材料涉及《中医诊所备案管理暂行办法》第六条其中两项的。</w:t>
            </w:r>
          </w:p>
        </w:tc>
        <w:tc>
          <w:tcPr>
            <w:tcW w:w="6041" w:type="dxa"/>
            <w:vAlign w:val="center"/>
          </w:tcPr>
          <w:p w14:paraId="0095C6F7">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由县级中医药主管部门责令改正，没收违法所得，并处以一万元以上两万元以下的罚款。</w:t>
            </w:r>
          </w:p>
        </w:tc>
      </w:tr>
      <w:tr w14:paraId="47C1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45" w:type="dxa"/>
            <w:vAlign w:val="center"/>
          </w:tcPr>
          <w:p w14:paraId="06A40175">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较重</w:t>
            </w:r>
          </w:p>
        </w:tc>
        <w:tc>
          <w:tcPr>
            <w:tcW w:w="6514" w:type="dxa"/>
            <w:vAlign w:val="center"/>
          </w:tcPr>
          <w:p w14:paraId="7416633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中医诊所备案时提供虚假材料，提供的虚假材料涉及《中医诊所备案管理暂行办法》第六条其中三项及以上的。</w:t>
            </w:r>
          </w:p>
        </w:tc>
        <w:tc>
          <w:tcPr>
            <w:tcW w:w="6041" w:type="dxa"/>
            <w:vAlign w:val="center"/>
          </w:tcPr>
          <w:p w14:paraId="76862A6C">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由县级中医药主管部门责令改正，没收违法所得，并处以两万元以上三万元以下的罚款。</w:t>
            </w:r>
          </w:p>
        </w:tc>
      </w:tr>
      <w:tr w14:paraId="5BD6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45" w:type="dxa"/>
            <w:vAlign w:val="center"/>
          </w:tcPr>
          <w:p w14:paraId="52692363">
            <w:pPr>
              <w:widowControl w:val="0"/>
              <w:adjustRightInd/>
              <w:snapToGrid/>
              <w:spacing w:after="0" w:line="280" w:lineRule="exact"/>
              <w:jc w:val="cente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严重</w:t>
            </w:r>
          </w:p>
        </w:tc>
        <w:tc>
          <w:tcPr>
            <w:tcW w:w="6514" w:type="dxa"/>
            <w:vAlign w:val="center"/>
          </w:tcPr>
          <w:p w14:paraId="6540FBC5">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因提交虚假备案材料取得《中医诊所备案证》受到行政处罚经责令改正后拒不改正的。</w:t>
            </w:r>
          </w:p>
        </w:tc>
        <w:tc>
          <w:tcPr>
            <w:tcW w:w="6041" w:type="dxa"/>
            <w:vAlign w:val="center"/>
          </w:tcPr>
          <w:p w14:paraId="0C764429">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由县级中医药主管部门责令改正，没收违法所得，并处以三万元罚款；责令停止执业活动并注销《中医诊所备案证》，直接责任人员自处罚决定作出之日起五年内不得从事中医药相关活动。</w:t>
            </w:r>
          </w:p>
        </w:tc>
      </w:tr>
    </w:tbl>
    <w:p w14:paraId="474F0DF8">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026" w:name="_Toc30733"/>
      <w:bookmarkStart w:id="3027" w:name="_Toc21450"/>
      <w:bookmarkStart w:id="3028" w:name="_Toc27548"/>
      <w:bookmarkStart w:id="3029" w:name="_Toc21442"/>
      <w:bookmarkStart w:id="3030" w:name="_Toc11231"/>
      <w:bookmarkStart w:id="3031" w:name="_Toc4057"/>
      <w:bookmarkStart w:id="3032" w:name="_Toc15317"/>
      <w:bookmarkStart w:id="3033" w:name="_Toc22774"/>
      <w:bookmarkStart w:id="3034" w:name="_Toc27787"/>
      <w:bookmarkStart w:id="3035" w:name="_Toc18418"/>
      <w:bookmarkStart w:id="3036" w:name="_Toc5087"/>
      <w:bookmarkStart w:id="3037" w:name="_Toc31182"/>
      <w:bookmarkStart w:id="3038" w:name="_Toc26790"/>
      <w:r>
        <w:rPr>
          <w:rFonts w:hint="eastAsia" w:ascii="Times New Roman" w:hAnsi="Times New Roman" w:eastAsia="楷体_GB2312" w:cs="楷体_GB2312"/>
          <w:bCs w:val="0"/>
          <w:color w:val="000000" w:themeColor="text1"/>
          <w:kern w:val="2"/>
          <w14:textFill>
            <w14:solidFill>
              <w14:schemeClr w14:val="tx1"/>
            </w14:solidFill>
          </w14:textFill>
        </w:rPr>
        <w:t>（十二）《中医诊所备案管理暂行办法》</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14:paraId="009D27BA">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039" w:name="_Toc14053"/>
      <w:bookmarkStart w:id="3040" w:name="_Toc26984"/>
      <w:bookmarkStart w:id="3041" w:name="_Toc4376"/>
      <w:bookmarkStart w:id="3042" w:name="_Toc11162"/>
      <w:bookmarkStart w:id="3043" w:name="_Toc2623"/>
      <w:bookmarkStart w:id="3044" w:name="_Toc32331"/>
      <w:bookmarkStart w:id="3045" w:name="_Toc12130"/>
      <w:bookmarkStart w:id="3046" w:name="_Toc9814"/>
      <w:bookmarkStart w:id="3047" w:name="_Toc21127"/>
      <w:bookmarkStart w:id="3048" w:name="_Toc27955"/>
      <w:bookmarkStart w:id="3049" w:name="_Toc171"/>
      <w:r>
        <w:rPr>
          <w:rFonts w:hint="eastAsia" w:cs="仿宋_GB2312"/>
          <w:bCs/>
          <w:color w:val="000000" w:themeColor="text1"/>
          <w14:textFill>
            <w14:solidFill>
              <w14:schemeClr w14:val="tx1"/>
            </w14:solidFill>
          </w14:textFill>
        </w:rPr>
        <w:t>第二百四十六条</w:t>
      </w:r>
      <w:r>
        <w:rPr>
          <w:rFonts w:hint="eastAsia" w:ascii="Times New Roman" w:hAnsi="Times New Roman" w:cs="仿宋_GB2312"/>
          <w:bCs/>
          <w:color w:val="000000" w:themeColor="text1"/>
          <w:kern w:val="0"/>
          <w14:textFill>
            <w14:solidFill>
              <w14:schemeClr w14:val="tx1"/>
            </w14:solidFill>
          </w14:textFill>
        </w:rPr>
        <w:t xml:space="preserve"> 中医诊所擅自更改设置未经备案或者实际设置与取得的《中医诊所备案证》记载事项不一致的</w:t>
      </w:r>
      <w:bookmarkEnd w:id="3039"/>
      <w:bookmarkEnd w:id="3040"/>
      <w:bookmarkEnd w:id="3041"/>
      <w:bookmarkEnd w:id="3042"/>
      <w:bookmarkEnd w:id="3043"/>
      <w:bookmarkEnd w:id="3044"/>
      <w:bookmarkEnd w:id="3045"/>
      <w:bookmarkEnd w:id="3046"/>
      <w:bookmarkEnd w:id="3047"/>
      <w:bookmarkEnd w:id="3048"/>
      <w:bookmarkEnd w:id="3049"/>
    </w:p>
    <w:p w14:paraId="5347CBE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3E573B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《中医诊所备案管理暂行办法》第二十二条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办法第十条规定，中医诊所擅自更改设置未经备案或者实际设置与取得的《中医诊所备案证》记载事项不一致的，不得开展诊疗活动。擅自开展诊疗活动的，由县级中医药主管部门责令改正，给予警告，并处一万元以上三万元以下罚款;情节严重的，应当责令其停止执业活动，注销《中医诊所备案证》。</w:t>
      </w:r>
    </w:p>
    <w:p w14:paraId="40E2D3F8">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7923"/>
        <w:gridCol w:w="4331"/>
      </w:tblGrid>
      <w:tr w14:paraId="4C1C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16" w:type="dxa"/>
            <w:vAlign w:val="center"/>
          </w:tcPr>
          <w:p w14:paraId="239D362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23" w:type="dxa"/>
            <w:vAlign w:val="center"/>
          </w:tcPr>
          <w:p w14:paraId="385E2D3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331" w:type="dxa"/>
            <w:vAlign w:val="center"/>
          </w:tcPr>
          <w:p w14:paraId="23FB87A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D50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16" w:type="dxa"/>
            <w:vAlign w:val="center"/>
          </w:tcPr>
          <w:p w14:paraId="481EBB71">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923" w:type="dxa"/>
            <w:vAlign w:val="center"/>
          </w:tcPr>
          <w:p w14:paraId="6E772D9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中医诊所人员、名称、地址、主要负责人、诊疗科目、技术等事项与取得的《中医诊所备案证》记载事项中一项不一致的。</w:t>
            </w:r>
          </w:p>
        </w:tc>
        <w:tc>
          <w:tcPr>
            <w:tcW w:w="4331" w:type="dxa"/>
            <w:vAlign w:val="center"/>
          </w:tcPr>
          <w:p w14:paraId="467128E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由县级中医药主管部门责令改正，给予警告，并处以一万元以上两万元以下的罚款。</w:t>
            </w:r>
          </w:p>
        </w:tc>
      </w:tr>
      <w:tr w14:paraId="1CEC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16" w:type="dxa"/>
            <w:vAlign w:val="center"/>
          </w:tcPr>
          <w:p w14:paraId="5E61879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923" w:type="dxa"/>
            <w:vAlign w:val="center"/>
          </w:tcPr>
          <w:p w14:paraId="2E5B6E9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中医诊所人员、名称、地址、主要负责人、诊疗科目、技术等事项与取得的《中医诊所备案证》记载事项中两项不一致的。</w:t>
            </w:r>
          </w:p>
        </w:tc>
        <w:tc>
          <w:tcPr>
            <w:tcW w:w="4331" w:type="dxa"/>
            <w:vAlign w:val="center"/>
          </w:tcPr>
          <w:p w14:paraId="3CF83B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由县级中医药主管部门责令改正，给予警告，并处以两万元以上三万元以下的罚款。</w:t>
            </w:r>
          </w:p>
        </w:tc>
      </w:tr>
      <w:tr w14:paraId="066C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16" w:type="dxa"/>
            <w:vAlign w:val="center"/>
          </w:tcPr>
          <w:p w14:paraId="249C06D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923" w:type="dxa"/>
            <w:vAlign w:val="center"/>
          </w:tcPr>
          <w:p w14:paraId="256146A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中医诊所人员、名称、地址、主要负责人、诊疗科目、技术等事项与取得的《中医诊所备案证》不一致，</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造成患者伤害或者恶劣社会影响的。</w:t>
            </w:r>
          </w:p>
        </w:tc>
        <w:tc>
          <w:tcPr>
            <w:tcW w:w="4331" w:type="dxa"/>
            <w:vAlign w:val="center"/>
          </w:tcPr>
          <w:p w14:paraId="0857B9B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由县级中医药主管部门责令改正，给予警告，并处三万元罚款；责令停止执业活动，注销《中医诊所备案证》。</w:t>
            </w:r>
          </w:p>
        </w:tc>
      </w:tr>
    </w:tbl>
    <w:p w14:paraId="1F61667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050" w:name="_Toc468"/>
      <w:bookmarkStart w:id="3051" w:name="_Toc28135"/>
      <w:bookmarkStart w:id="3052" w:name="_Toc25081"/>
      <w:bookmarkStart w:id="3053" w:name="_Toc2682"/>
      <w:bookmarkStart w:id="3054" w:name="_Toc10235"/>
      <w:bookmarkStart w:id="3055" w:name="_Toc14725"/>
      <w:bookmarkStart w:id="3056" w:name="_Toc8469"/>
      <w:bookmarkStart w:id="3057" w:name="_Toc20784"/>
      <w:bookmarkStart w:id="3058" w:name="_Toc381"/>
      <w:bookmarkStart w:id="3059" w:name="_Toc21404"/>
      <w:bookmarkStart w:id="3060" w:name="_Toc6554"/>
      <w:r>
        <w:rPr>
          <w:rFonts w:hint="eastAsia" w:cs="仿宋_GB2312"/>
          <w:bCs/>
          <w:color w:val="000000" w:themeColor="text1"/>
          <w14:textFill>
            <w14:solidFill>
              <w14:schemeClr w14:val="tx1"/>
            </w14:solidFill>
          </w14:textFill>
        </w:rPr>
        <w:t>第二百四十七条</w:t>
      </w:r>
      <w:r>
        <w:rPr>
          <w:rFonts w:hint="eastAsia" w:ascii="Times New Roman" w:hAnsi="Times New Roman" w:cs="仿宋_GB2312"/>
          <w:bCs/>
          <w:color w:val="000000" w:themeColor="text1"/>
          <w:kern w:val="0"/>
          <w14:textFill>
            <w14:solidFill>
              <w14:schemeClr w14:val="tx1"/>
            </w14:solidFill>
          </w14:textFill>
        </w:rPr>
        <w:t xml:space="preserve"> 出卖、转让、出借《中医诊所备案证》的</w:t>
      </w:r>
      <w:bookmarkEnd w:id="3050"/>
      <w:bookmarkEnd w:id="3051"/>
      <w:bookmarkEnd w:id="3052"/>
      <w:bookmarkEnd w:id="3053"/>
      <w:bookmarkEnd w:id="3054"/>
      <w:bookmarkEnd w:id="3055"/>
      <w:bookmarkEnd w:id="3056"/>
      <w:bookmarkEnd w:id="3057"/>
      <w:bookmarkEnd w:id="3058"/>
      <w:bookmarkEnd w:id="3059"/>
      <w:bookmarkEnd w:id="3060"/>
    </w:p>
    <w:p w14:paraId="377CAB1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583A93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《中医诊所备案管理暂行办法》第二十三条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办法第十一条规定，出卖、转让、出借《中医诊所备案证》的，由县级中医药主管部门责令改正，给予警告，可以并处一万元以上三万元以下罚款；情节严重的，应当责令其停止执业活动，注销《中医诊所备案证》。</w:t>
      </w:r>
    </w:p>
    <w:p w14:paraId="436AC6C1">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7215"/>
        <w:gridCol w:w="5039"/>
      </w:tblGrid>
      <w:tr w14:paraId="679F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16" w:type="dxa"/>
            <w:vAlign w:val="center"/>
          </w:tcPr>
          <w:p w14:paraId="5672DFD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215" w:type="dxa"/>
            <w:vAlign w:val="center"/>
          </w:tcPr>
          <w:p w14:paraId="2D87CB7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039" w:type="dxa"/>
            <w:vAlign w:val="center"/>
          </w:tcPr>
          <w:p w14:paraId="3A47C1B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581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16" w:type="dxa"/>
            <w:vAlign w:val="center"/>
          </w:tcPr>
          <w:p w14:paraId="09E1AAE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7215" w:type="dxa"/>
            <w:vAlign w:val="center"/>
          </w:tcPr>
          <w:p w14:paraId="77E4E67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出卖、转让、出借《中医诊所备案证》的。</w:t>
            </w:r>
          </w:p>
        </w:tc>
        <w:tc>
          <w:tcPr>
            <w:tcW w:w="5039" w:type="dxa"/>
            <w:vAlign w:val="center"/>
          </w:tcPr>
          <w:p w14:paraId="64FCBF2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由县级中医药主管部门责令改正，给予警告，并处一万元以上二万元以下罚款。</w:t>
            </w:r>
          </w:p>
        </w:tc>
      </w:tr>
      <w:tr w14:paraId="7333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16" w:type="dxa"/>
            <w:vAlign w:val="center"/>
          </w:tcPr>
          <w:p w14:paraId="7DF99044">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215" w:type="dxa"/>
            <w:vAlign w:val="center"/>
          </w:tcPr>
          <w:p w14:paraId="40BF97E7">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有下列情形之一者：</w:t>
            </w:r>
          </w:p>
          <w:p w14:paraId="6F9AD642">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A.出卖、转让、出借《中医诊所备案证》是以营利为目的；</w:t>
            </w:r>
          </w:p>
          <w:p w14:paraId="2DD4E335">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B.出卖、转让、出借《中医诊所备案证》给不符合开办中医诊所条件人员的；</w:t>
            </w:r>
          </w:p>
          <w:p w14:paraId="1C352F1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C.出卖、转让、出借《中医诊所备案证》时间在一个月以上的。</w:t>
            </w:r>
          </w:p>
        </w:tc>
        <w:tc>
          <w:tcPr>
            <w:tcW w:w="5039" w:type="dxa"/>
            <w:vAlign w:val="center"/>
          </w:tcPr>
          <w:p w14:paraId="66E091A8">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由县级中医药主管部门责令改正，给予警告，并处二万元以上三万元以下的罚款。</w:t>
            </w:r>
          </w:p>
        </w:tc>
      </w:tr>
      <w:tr w14:paraId="6235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16" w:type="dxa"/>
            <w:vAlign w:val="center"/>
          </w:tcPr>
          <w:p w14:paraId="3218562D">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215" w:type="dxa"/>
            <w:vAlign w:val="center"/>
          </w:tcPr>
          <w:p w14:paraId="3F8F702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有上述两种及以上情形的。</w:t>
            </w:r>
          </w:p>
        </w:tc>
        <w:tc>
          <w:tcPr>
            <w:tcW w:w="5039" w:type="dxa"/>
            <w:vAlign w:val="center"/>
          </w:tcPr>
          <w:p w14:paraId="123DF76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由县级中医药主管部门责令改正，给予警告，并处三万元罚款。</w:t>
            </w:r>
          </w:p>
        </w:tc>
      </w:tr>
      <w:tr w14:paraId="6098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16" w:type="dxa"/>
            <w:vAlign w:val="center"/>
          </w:tcPr>
          <w:p w14:paraId="7F62EBB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215" w:type="dxa"/>
            <w:vAlign w:val="center"/>
          </w:tcPr>
          <w:p w14:paraId="31995E3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造成其他严重后果或产生恶劣社会影响的。</w:t>
            </w:r>
          </w:p>
        </w:tc>
        <w:tc>
          <w:tcPr>
            <w:tcW w:w="5039" w:type="dxa"/>
            <w:vAlign w:val="center"/>
          </w:tcPr>
          <w:p w14:paraId="5766137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由县级中医药主管部门责令改正，给予警告，并处三万元罚款；责令其停止执业活动，注销《中医诊所备案证》。</w:t>
            </w:r>
          </w:p>
        </w:tc>
      </w:tr>
    </w:tbl>
    <w:p w14:paraId="799B9474">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061" w:name="_Toc1405"/>
      <w:bookmarkStart w:id="3062" w:name="_Toc9093"/>
      <w:bookmarkStart w:id="3063" w:name="_Toc20020"/>
      <w:bookmarkStart w:id="3064" w:name="_Toc6889"/>
      <w:bookmarkStart w:id="3065" w:name="_Toc31644"/>
      <w:bookmarkStart w:id="3066" w:name="_Toc32085"/>
      <w:bookmarkStart w:id="3067" w:name="_Toc4275"/>
      <w:bookmarkStart w:id="3068" w:name="_Toc11297"/>
      <w:bookmarkStart w:id="3069" w:name="_Toc11300"/>
      <w:bookmarkStart w:id="3070" w:name="_Toc10993"/>
      <w:bookmarkStart w:id="3071" w:name="_Toc4947"/>
      <w:bookmarkStart w:id="3072" w:name="_Toc12947"/>
      <w:bookmarkStart w:id="3073" w:name="_Toc20962"/>
      <w:r>
        <w:rPr>
          <w:rFonts w:hint="eastAsia" w:ascii="Times New Roman" w:hAnsi="Times New Roman" w:eastAsia="楷体_GB2312" w:cs="楷体_GB2312"/>
          <w:bCs w:val="0"/>
          <w:color w:val="000000" w:themeColor="text1"/>
          <w:kern w:val="2"/>
          <w14:textFill>
            <w14:solidFill>
              <w14:schemeClr w14:val="tx1"/>
            </w14:solidFill>
          </w14:textFill>
        </w:rPr>
        <w:t>（十三）《中医医术确有专长人员医师资格考核注册管理暂行办法》</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14:paraId="26686F28">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074" w:name="_Toc9174"/>
      <w:bookmarkStart w:id="3075" w:name="_Toc13866"/>
      <w:bookmarkStart w:id="3076" w:name="_Toc11889"/>
      <w:bookmarkStart w:id="3077" w:name="_Toc29731"/>
      <w:bookmarkStart w:id="3078" w:name="_Toc18535"/>
      <w:bookmarkStart w:id="3079" w:name="_Toc21367"/>
      <w:bookmarkStart w:id="3080" w:name="_Toc31091"/>
      <w:bookmarkStart w:id="3081" w:name="_Toc25406"/>
      <w:bookmarkStart w:id="3082" w:name="_Toc26159"/>
      <w:bookmarkStart w:id="3083" w:name="_Toc6663"/>
      <w:bookmarkStart w:id="3084" w:name="_Toc17434"/>
      <w:r>
        <w:rPr>
          <w:rFonts w:hint="eastAsia" w:cs="仿宋_GB2312"/>
          <w:bCs/>
          <w:color w:val="000000" w:themeColor="text1"/>
          <w14:textFill>
            <w14:solidFill>
              <w14:schemeClr w14:val="tx1"/>
            </w14:solidFill>
          </w14:textFill>
        </w:rPr>
        <w:t>第二百四十八条</w:t>
      </w:r>
      <w:r>
        <w:rPr>
          <w:rFonts w:hint="eastAsia" w:ascii="Times New Roman" w:hAnsi="Times New Roman" w:cs="仿宋_GB2312"/>
          <w:bCs/>
          <w:color w:val="000000" w:themeColor="text1"/>
          <w:kern w:val="0"/>
          <w14:textFill>
            <w14:solidFill>
              <w14:schemeClr w14:val="tx1"/>
            </w14:solidFill>
          </w14:textFill>
        </w:rPr>
        <w:t xml:space="preserve"> 推荐中医医术确有专长人员的中医医师、以师承方式学习中医的医术确有专长人员的指导老师，违反本办法有关规定，在推荐中弄虚作假、徇私舞弊的</w:t>
      </w:r>
      <w:bookmarkEnd w:id="3074"/>
      <w:bookmarkEnd w:id="3075"/>
      <w:bookmarkEnd w:id="3076"/>
      <w:bookmarkEnd w:id="3077"/>
      <w:bookmarkEnd w:id="3078"/>
      <w:bookmarkEnd w:id="3079"/>
      <w:bookmarkEnd w:id="3080"/>
      <w:bookmarkEnd w:id="3081"/>
      <w:bookmarkEnd w:id="3082"/>
      <w:bookmarkEnd w:id="3083"/>
      <w:bookmarkEnd w:id="3084"/>
    </w:p>
    <w:p w14:paraId="6368A41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196B372">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《中医医术确有专长人员医师资格考核注册管理暂行办法》第三十六条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推荐中医医术确有专长人员的中医医师、以师承方式学习中医的医术确有专长人员的指导老师，违反本办法有关规定，在推荐中弄虚作假、徇私舞弊的，由县级以上中医药主管部门依法责令暂停六个月以上一年以下执业活动；情节严重的，吊销</w:t>
      </w:r>
      <w:r>
        <w:rPr>
          <w:rFonts w:hint="eastAsia" w:ascii="Times New Roman" w:hAnsi="Times New Roman" w:eastAsia="仿宋_GB2312" w:cs="华文中宋"/>
          <w:color w:val="000000" w:themeColor="text1"/>
          <w:sz w:val="32"/>
          <w:szCs w:val="28"/>
          <w14:textFill>
            <w14:solidFill>
              <w14:schemeClr w14:val="tx1"/>
            </w14:solidFill>
          </w14:textFill>
        </w:rPr>
        <w:t>其医师执业证书；构成犯罪的，依法追究刑事责任。</w:t>
      </w:r>
    </w:p>
    <w:p w14:paraId="5798CF5F">
      <w:pPr>
        <w:widowControl w:val="0"/>
        <w:adjustRightInd/>
        <w:snapToGrid/>
        <w:spacing w:after="0" w:line="440" w:lineRule="exact"/>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8065"/>
        <w:gridCol w:w="4189"/>
      </w:tblGrid>
      <w:tr w14:paraId="6CE3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16" w:type="dxa"/>
            <w:vAlign w:val="center"/>
          </w:tcPr>
          <w:p w14:paraId="136A82B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65" w:type="dxa"/>
            <w:vAlign w:val="center"/>
          </w:tcPr>
          <w:p w14:paraId="7E31D44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89" w:type="dxa"/>
            <w:vAlign w:val="center"/>
          </w:tcPr>
          <w:p w14:paraId="1D6D79C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CC2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716" w:type="dxa"/>
            <w:vAlign w:val="center"/>
          </w:tcPr>
          <w:p w14:paraId="10CDE3D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065" w:type="dxa"/>
            <w:vAlign w:val="center"/>
          </w:tcPr>
          <w:p w14:paraId="514BC5F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推荐中医医术确有专长人员的中医医师、以师承方式学习中医的医术确有专长人员的指导老师，在推荐中弄虚作假、徇私舞弊推荐人数 1-2 人的。</w:t>
            </w:r>
          </w:p>
        </w:tc>
        <w:tc>
          <w:tcPr>
            <w:tcW w:w="4189" w:type="dxa"/>
            <w:vAlign w:val="center"/>
          </w:tcPr>
          <w:p w14:paraId="32D2621C">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由县级以上中医药主管部门责令暂停六个月以上九个月以下执业活动。</w:t>
            </w:r>
          </w:p>
        </w:tc>
      </w:tr>
      <w:tr w14:paraId="0E9B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16" w:type="dxa"/>
            <w:vAlign w:val="center"/>
          </w:tcPr>
          <w:p w14:paraId="0BDFA4E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065" w:type="dxa"/>
            <w:vAlign w:val="center"/>
          </w:tcPr>
          <w:p w14:paraId="3A9E8CA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推荐中医医术确有专长人员的中医医师、以师承方式学习中医的医术确有专长人员的指导老师，在推荐中弄虚作假、徇私舞弊推荐人数 3 人以上的。</w:t>
            </w:r>
          </w:p>
        </w:tc>
        <w:tc>
          <w:tcPr>
            <w:tcW w:w="4189" w:type="dxa"/>
            <w:vAlign w:val="center"/>
          </w:tcPr>
          <w:p w14:paraId="1DD16FB8">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由县级以上中医药主管部门责令暂停九个月以上一年以下执业活动。</w:t>
            </w:r>
          </w:p>
        </w:tc>
      </w:tr>
      <w:tr w14:paraId="691D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16" w:type="dxa"/>
            <w:vAlign w:val="center"/>
          </w:tcPr>
          <w:p w14:paraId="58BAB50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065" w:type="dxa"/>
            <w:vAlign w:val="center"/>
          </w:tcPr>
          <w:p w14:paraId="2724AA2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推荐中医医术确有专长人员的中医医师、以师承方式学习中医的医术确有专长人员的指导老师，在推荐中弄虚作假、徇私舞弊，情节严重，造成恶劣社会影响的。</w:t>
            </w:r>
          </w:p>
        </w:tc>
        <w:tc>
          <w:tcPr>
            <w:tcW w:w="4189" w:type="dxa"/>
            <w:vAlign w:val="center"/>
          </w:tcPr>
          <w:p w14:paraId="7B9D7A86">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由县级以上中医药主管部门吊销其医师执业证书。</w:t>
            </w:r>
          </w:p>
        </w:tc>
      </w:tr>
    </w:tbl>
    <w:p w14:paraId="081E661B">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085" w:name="_Toc31397"/>
      <w:bookmarkStart w:id="3086" w:name="_Toc16758"/>
      <w:bookmarkStart w:id="3087" w:name="_Toc19458"/>
      <w:bookmarkStart w:id="3088" w:name="_Toc23314"/>
      <w:bookmarkStart w:id="3089" w:name="_Toc7860"/>
      <w:bookmarkStart w:id="3090" w:name="_Toc20979"/>
      <w:bookmarkStart w:id="3091" w:name="_Toc1030"/>
      <w:bookmarkStart w:id="3092" w:name="_Toc24915"/>
      <w:bookmarkStart w:id="3093" w:name="_Toc30947"/>
      <w:bookmarkStart w:id="3094" w:name="_Toc17607"/>
      <w:bookmarkStart w:id="3095" w:name="_Toc2397"/>
      <w:bookmarkStart w:id="3096" w:name="_Toc31950"/>
      <w:bookmarkStart w:id="3097" w:name="_Toc31969"/>
      <w:r>
        <w:rPr>
          <w:rFonts w:hint="eastAsia" w:ascii="Times New Roman" w:hAnsi="Times New Roman" w:eastAsia="楷体_GB2312" w:cs="楷体_GB2312"/>
          <w:bCs w:val="0"/>
          <w:color w:val="000000" w:themeColor="text1"/>
          <w:kern w:val="2"/>
          <w14:textFill>
            <w14:solidFill>
              <w14:schemeClr w14:val="tx1"/>
            </w14:solidFill>
          </w14:textFill>
        </w:rPr>
        <w:t>（十四）《院前医疗急救管理办法》</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77B21570">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098" w:name="_Toc14635"/>
      <w:bookmarkStart w:id="3099" w:name="_Toc30882"/>
      <w:bookmarkStart w:id="3100" w:name="_Toc31801"/>
      <w:bookmarkStart w:id="3101" w:name="_Toc9358"/>
      <w:bookmarkStart w:id="3102" w:name="_Toc27129"/>
      <w:bookmarkStart w:id="3103" w:name="_Toc5056"/>
      <w:bookmarkStart w:id="3104" w:name="_Toc14569"/>
      <w:bookmarkStart w:id="3105" w:name="_Toc29132"/>
      <w:bookmarkStart w:id="3106" w:name="_Toc4610"/>
      <w:bookmarkStart w:id="3107" w:name="_Toc21468"/>
      <w:bookmarkStart w:id="3108" w:name="_Toc7503"/>
      <w:r>
        <w:rPr>
          <w:rFonts w:hint="eastAsia" w:cs="仿宋_GB2312"/>
          <w:bCs/>
          <w:color w:val="000000" w:themeColor="text1"/>
          <w14:textFill>
            <w14:solidFill>
              <w14:schemeClr w14:val="tx1"/>
            </w14:solidFill>
          </w14:textFill>
        </w:rPr>
        <w:t>第二百四十九条</w:t>
      </w:r>
      <w:r>
        <w:rPr>
          <w:rFonts w:hint="eastAsia" w:ascii="Times New Roman" w:hAnsi="Times New Roman" w:cs="仿宋_GB2312"/>
          <w:bCs/>
          <w:color w:val="000000" w:themeColor="text1"/>
          <w:kern w:val="0"/>
          <w14:textFill>
            <w14:solidFill>
              <w14:schemeClr w14:val="tx1"/>
            </w14:solidFill>
          </w14:textFill>
        </w:rPr>
        <w:t xml:space="preserve"> 未经批准擅自开展院前医疗急救服务的</w:t>
      </w:r>
      <w:bookmarkEnd w:id="3098"/>
      <w:bookmarkEnd w:id="3099"/>
      <w:bookmarkEnd w:id="3100"/>
      <w:bookmarkEnd w:id="3101"/>
      <w:bookmarkEnd w:id="3102"/>
      <w:bookmarkEnd w:id="3103"/>
      <w:bookmarkEnd w:id="3104"/>
      <w:bookmarkEnd w:id="3105"/>
      <w:bookmarkEnd w:id="3106"/>
      <w:bookmarkEnd w:id="3107"/>
      <w:bookmarkEnd w:id="3108"/>
    </w:p>
    <w:p w14:paraId="2D334BF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48BBA0F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1.《院前医疗急救管理办法》第三十五条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任何单位或者个人未经卫生计生行政部门批准擅自开展院前医疗急救服务的，由县级以上地方卫生计生行政部门按照《医疗机构管理条例》等有关规定予以处理。</w:t>
      </w:r>
    </w:p>
    <w:p w14:paraId="7B46E30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2.《医疗机构管理条例》第四十六条 违反本条例第二十六条规定，诊疗活动超出登记或者备案范围的，由县级以上人民政府卫生行政部门予以警告、责令其改正，没收违法所得，并可以根据情节处以1万元以上10万元以下的罚款；情节严重的，吊销其《医疗机构执业许可证》或者责令其停止执业活动。</w:t>
      </w:r>
    </w:p>
    <w:p w14:paraId="454C7C91">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665"/>
        <w:gridCol w:w="7069"/>
      </w:tblGrid>
      <w:tr w14:paraId="7EE0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64FC230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665" w:type="dxa"/>
          </w:tcPr>
          <w:p w14:paraId="741A064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069" w:type="dxa"/>
          </w:tcPr>
          <w:p w14:paraId="7805F72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2DB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F7A7A2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5665" w:type="dxa"/>
            <w:vAlign w:val="center"/>
          </w:tcPr>
          <w:p w14:paraId="7B3BFF6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医疗机构诊疗活动超出登记或者备案范围的，无违法所得的、违法所得无法认定的或诊疗活动违法所得在1万元以下的。</w:t>
            </w:r>
          </w:p>
        </w:tc>
        <w:tc>
          <w:tcPr>
            <w:tcW w:w="7069" w:type="dxa"/>
            <w:vAlign w:val="center"/>
          </w:tcPr>
          <w:p w14:paraId="47844E9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由县级以上人民政府卫生行政部门予以警告、责令其改正，没收违法所得，并可以根据情节处以1万元以上3万元以下的罚款。</w:t>
            </w:r>
          </w:p>
        </w:tc>
      </w:tr>
      <w:tr w14:paraId="5047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2BD353D">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665" w:type="dxa"/>
            <w:vAlign w:val="center"/>
          </w:tcPr>
          <w:p w14:paraId="595EEE7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医疗机构诊疗活动超出登记或者备案范围的诊疗活动违法所得在1万元以上5万元以内的。</w:t>
            </w:r>
          </w:p>
        </w:tc>
        <w:tc>
          <w:tcPr>
            <w:tcW w:w="7069" w:type="dxa"/>
            <w:vAlign w:val="center"/>
          </w:tcPr>
          <w:p w14:paraId="02E2D42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由县级以上人民政府卫生行政部门予以警告、责令其改正，没收违法所得，并可以根据情节处以3万元以上8万元以下的罚款。</w:t>
            </w:r>
          </w:p>
        </w:tc>
      </w:tr>
      <w:tr w14:paraId="6FBC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79E616B">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665" w:type="dxa"/>
            <w:vAlign w:val="center"/>
          </w:tcPr>
          <w:p w14:paraId="6F903F8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有下列情形之一的: </w:t>
            </w:r>
          </w:p>
          <w:p w14:paraId="37F2244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A．超出登记的诊疗科目范围的诊疗活动违法所得在5万元以上的；</w:t>
            </w:r>
          </w:p>
          <w:p w14:paraId="5D5F4C0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B．给患者造成伤害。</w:t>
            </w:r>
          </w:p>
        </w:tc>
        <w:tc>
          <w:tcPr>
            <w:tcW w:w="7069" w:type="dxa"/>
            <w:vAlign w:val="center"/>
          </w:tcPr>
          <w:p w14:paraId="1FD31E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由县级以上人民政府卫生行政部门予以警告、责令其改正，没收违法所得，并可以根据情节处以8万元以上10万元以下的罚款。</w:t>
            </w:r>
          </w:p>
        </w:tc>
      </w:tr>
      <w:tr w14:paraId="4A83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2F505DF">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665" w:type="dxa"/>
            <w:vAlign w:val="center"/>
          </w:tcPr>
          <w:p w14:paraId="2F284E5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情节严重，造成患者死亡的。</w:t>
            </w:r>
          </w:p>
        </w:tc>
        <w:tc>
          <w:tcPr>
            <w:tcW w:w="7069" w:type="dxa"/>
            <w:vAlign w:val="center"/>
          </w:tcPr>
          <w:p w14:paraId="79BAC2A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由县级以上人民政府卫生行政部门予以警告、责令其改正，没收违法所得，并可以根据情节处以10万元的罚款，吊销其《医疗机构执业许可证》或者责令其停止执业活动。</w:t>
            </w:r>
          </w:p>
        </w:tc>
      </w:tr>
    </w:tbl>
    <w:p w14:paraId="1D15E099">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109" w:name="_Toc2782"/>
      <w:bookmarkStart w:id="3110" w:name="_Toc55"/>
      <w:bookmarkStart w:id="3111" w:name="_Toc13489"/>
      <w:bookmarkStart w:id="3112" w:name="_Toc14917"/>
      <w:bookmarkStart w:id="3113" w:name="_Toc9222"/>
      <w:bookmarkStart w:id="3114" w:name="_Toc29987"/>
      <w:bookmarkStart w:id="3115" w:name="_Toc29468"/>
      <w:bookmarkStart w:id="3116" w:name="_Toc14347"/>
      <w:bookmarkStart w:id="3117" w:name="_Toc31295"/>
      <w:bookmarkStart w:id="3118" w:name="_Toc26516"/>
      <w:bookmarkStart w:id="3119" w:name="_Toc4479"/>
      <w:r>
        <w:rPr>
          <w:rFonts w:hint="eastAsia" w:cs="仿宋_GB2312"/>
          <w:bCs/>
          <w:color w:val="000000" w:themeColor="text1"/>
          <w14:textFill>
            <w14:solidFill>
              <w14:schemeClr w14:val="tx1"/>
            </w14:solidFill>
          </w14:textFill>
        </w:rPr>
        <w:t>第二百五十条</w:t>
      </w:r>
      <w:r>
        <w:rPr>
          <w:rFonts w:hint="eastAsia" w:ascii="Times New Roman" w:hAnsi="Times New Roman" w:cs="仿宋_GB2312"/>
          <w:bCs/>
          <w:color w:val="000000" w:themeColor="text1"/>
          <w:kern w:val="0"/>
          <w14:textFill>
            <w14:solidFill>
              <w14:schemeClr w14:val="tx1"/>
            </w14:solidFill>
          </w14:textFill>
        </w:rPr>
        <w:t xml:space="preserve"> 急救中心（站）和急救网络医院使用非卫生专业技术人员的</w:t>
      </w:r>
      <w:bookmarkEnd w:id="3109"/>
      <w:bookmarkEnd w:id="3110"/>
      <w:bookmarkEnd w:id="3111"/>
      <w:bookmarkEnd w:id="3112"/>
      <w:bookmarkEnd w:id="3113"/>
      <w:bookmarkEnd w:id="3114"/>
      <w:bookmarkEnd w:id="3115"/>
      <w:bookmarkEnd w:id="3116"/>
      <w:bookmarkEnd w:id="3117"/>
      <w:bookmarkEnd w:id="3118"/>
      <w:bookmarkEnd w:id="3119"/>
    </w:p>
    <w:p w14:paraId="132CE02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1F8DF62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1.《院前医疗急救管理办法》第三十六条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急救中心（站）和急救网络医院使用非卫生专业技术人员从事院前医疗急救服务的，由县级以上地方卫生计生行政部门按照《中华人民共和国医师法》、《医疗机构管理条例》和《护士条例》等有关法律法规的规定予以处理。</w:t>
      </w:r>
    </w:p>
    <w:p w14:paraId="48535A3F">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2.《医疗机构管理条例》第四十七条　违反本条例第二十七条规定，使用非卫生技术人员从事医疗卫生技术工作的，由县级以上人民政府卫生行政部门责令其限期改正，并可以处以1万元以上10万元以下的罚款；情</w:t>
      </w:r>
      <w:r>
        <w:rPr>
          <w:rFonts w:hint="eastAsia" w:ascii="Times New Roman" w:hAnsi="Times New Roman" w:eastAsia="仿宋_GB2312" w:cs="华文中宋"/>
          <w:color w:val="000000" w:themeColor="text1"/>
          <w:sz w:val="32"/>
          <w:szCs w:val="28"/>
          <w14:textFill>
            <w14:solidFill>
              <w14:schemeClr w14:val="tx1"/>
            </w14:solidFill>
          </w14:textFill>
        </w:rPr>
        <w:t>节严重的，吊销其《医疗机构执业许可证》或者责令其停止执业活动。</w:t>
      </w:r>
    </w:p>
    <w:p w14:paraId="747D8B29">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2E76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A56D48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3590766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26A00B0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1C7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1727FC6">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5595" w:type="dxa"/>
            <w:vAlign w:val="center"/>
          </w:tcPr>
          <w:p w14:paraId="71FDCFB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使用1名非卫生技术人员从事医疗卫生技术工作的。</w:t>
            </w:r>
          </w:p>
        </w:tc>
        <w:tc>
          <w:tcPr>
            <w:tcW w:w="7139" w:type="dxa"/>
            <w:vAlign w:val="center"/>
          </w:tcPr>
          <w:p w14:paraId="0E37810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由县级以上人民政府卫生行政部门责令其立即改正，可以处以1万元以上2万元以下罚款。</w:t>
            </w:r>
          </w:p>
        </w:tc>
      </w:tr>
      <w:tr w14:paraId="3FFC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0" w:type="dxa"/>
            <w:vAlign w:val="center"/>
          </w:tcPr>
          <w:p w14:paraId="613E1F0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2FC65B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使用2名或2名以上非卫生技术人员从事医疗卫生技术工作的。</w:t>
            </w:r>
          </w:p>
        </w:tc>
        <w:tc>
          <w:tcPr>
            <w:tcW w:w="7139" w:type="dxa"/>
            <w:vAlign w:val="center"/>
          </w:tcPr>
          <w:p w14:paraId="63EF457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由县级以上人民政府卫生行政部门责令其立即改正，可以处以2万元以上8万元以下罚款。</w:t>
            </w:r>
          </w:p>
        </w:tc>
      </w:tr>
      <w:tr w14:paraId="4798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8F3EAB2">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595" w:type="dxa"/>
            <w:vAlign w:val="center"/>
          </w:tcPr>
          <w:p w14:paraId="4918242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使用的非卫生技术人员从事医疗卫生技术工作给患者造成伤害的。</w:t>
            </w:r>
          </w:p>
        </w:tc>
        <w:tc>
          <w:tcPr>
            <w:tcW w:w="7139" w:type="dxa"/>
            <w:vAlign w:val="center"/>
          </w:tcPr>
          <w:p w14:paraId="11012DC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由县级以上人民政府卫生行政部门责令其立即改正，可以处以8万元以上10万元以下罚款 。</w:t>
            </w:r>
          </w:p>
        </w:tc>
      </w:tr>
      <w:tr w14:paraId="5D62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4582148">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595" w:type="dxa"/>
            <w:vAlign w:val="center"/>
          </w:tcPr>
          <w:p w14:paraId="48D7617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使用非卫生技术人员从事医疗卫生技术工作的，造成患者死亡的。</w:t>
            </w:r>
          </w:p>
        </w:tc>
        <w:tc>
          <w:tcPr>
            <w:tcW w:w="7139" w:type="dxa"/>
            <w:vAlign w:val="center"/>
          </w:tcPr>
          <w:p w14:paraId="5072A4C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由县级以上人民政府卫生行政部门责令其立即改正，可以处以10万元罚款，情节严重的，吊销其《医疗机构执业许可证》或者责令其停止执业活动。</w:t>
            </w:r>
          </w:p>
        </w:tc>
      </w:tr>
    </w:tbl>
    <w:p w14:paraId="7F219EBA">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120" w:name="_Toc31023"/>
      <w:bookmarkStart w:id="3121" w:name="_Toc9181"/>
      <w:bookmarkStart w:id="3122" w:name="_Toc20978"/>
      <w:bookmarkStart w:id="3123" w:name="_Toc26914"/>
      <w:bookmarkStart w:id="3124" w:name="_Toc29673"/>
      <w:bookmarkStart w:id="3125" w:name="_Toc2975"/>
      <w:bookmarkStart w:id="3126" w:name="_Toc22764"/>
      <w:bookmarkStart w:id="3127" w:name="_Toc7668"/>
      <w:bookmarkStart w:id="3128" w:name="_Toc12545"/>
      <w:bookmarkStart w:id="3129" w:name="_Toc21047"/>
      <w:bookmarkStart w:id="3130" w:name="_Toc20116"/>
      <w:r>
        <w:rPr>
          <w:rFonts w:hint="eastAsia" w:cs="仿宋_GB2312"/>
          <w:bCs/>
          <w:color w:val="000000" w:themeColor="text1"/>
          <w14:textFill>
            <w14:solidFill>
              <w14:schemeClr w14:val="tx1"/>
            </w14:solidFill>
          </w14:textFill>
        </w:rPr>
        <w:t>第二百五十一条</w:t>
      </w:r>
      <w:r>
        <w:rPr>
          <w:rFonts w:hint="eastAsia" w:ascii="Times New Roman" w:hAnsi="Times New Roman" w:cs="仿宋_GB2312"/>
          <w:bCs/>
          <w:color w:val="000000" w:themeColor="text1"/>
          <w:kern w:val="0"/>
          <w14:textFill>
            <w14:solidFill>
              <w14:schemeClr w14:val="tx1"/>
            </w14:solidFill>
          </w14:textFill>
        </w:rPr>
        <w:t xml:space="preserve"> 未经批准擅自使用“120”院前医疗急救呼叫号码或者其他带有院前医疗急救呼叫性质号码的</w:t>
      </w:r>
      <w:bookmarkEnd w:id="3120"/>
      <w:bookmarkEnd w:id="3121"/>
      <w:bookmarkEnd w:id="3122"/>
      <w:bookmarkEnd w:id="3123"/>
      <w:bookmarkEnd w:id="3124"/>
      <w:bookmarkEnd w:id="3125"/>
      <w:bookmarkEnd w:id="3126"/>
      <w:bookmarkEnd w:id="3127"/>
      <w:bookmarkEnd w:id="3128"/>
      <w:bookmarkEnd w:id="3129"/>
      <w:bookmarkEnd w:id="3130"/>
    </w:p>
    <w:p w14:paraId="05A9750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53BAB29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《院前医疗急救管理办法》第三十七条第（一）项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地方卫生计生行政部门责令改正、通报批评、给予警告；对直接负责的主管人员和其他直接责任人员，根据情节轻重，依法给予警告、记过、降低岗位等级、撤职、开除等处分：</w:t>
      </w:r>
    </w:p>
    <w:p w14:paraId="385417D2">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（一）未经批准擅自使</w:t>
      </w:r>
      <w:r>
        <w:rPr>
          <w:rFonts w:hint="eastAsia" w:ascii="Times New Roman" w:hAnsi="Times New Roman" w:eastAsia="仿宋_GB2312" w:cs="华文中宋"/>
          <w:color w:val="000000" w:themeColor="text1"/>
          <w:sz w:val="32"/>
          <w:szCs w:val="28"/>
          <w14:textFill>
            <w14:solidFill>
              <w14:schemeClr w14:val="tx1"/>
            </w14:solidFill>
          </w14:textFill>
        </w:rPr>
        <w:t>用“120”院前医疗急救呼叫号码或者其他带有院前医疗急救呼叫性质号码的。</w:t>
      </w:r>
    </w:p>
    <w:p w14:paraId="60E01D44">
      <w:pPr>
        <w:widowControl w:val="0"/>
        <w:adjustRightInd/>
        <w:snapToGrid/>
        <w:spacing w:after="0" w:line="440" w:lineRule="exact"/>
        <w:jc w:val="center"/>
        <w:rPr>
          <w:rFonts w:hint="eastAsia"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4036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6C0A2AB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0342CB0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2D4FBCF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976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870BF38">
            <w:pPr>
              <w:widowControl w:val="0"/>
              <w:adjustRightInd/>
              <w:snapToGrid/>
              <w:spacing w:after="0" w:line="440" w:lineRule="exact"/>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tcPr>
          <w:p w14:paraId="7DF016E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未经批准擅自使用“120”院前医疗急救呼叫号码或者其他带有院前医疗急救呼叫性质号码的。</w:t>
            </w:r>
          </w:p>
        </w:tc>
        <w:tc>
          <w:tcPr>
            <w:tcW w:w="7139" w:type="dxa"/>
          </w:tcPr>
          <w:p w14:paraId="4798214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由县级以上地方卫生计生行政部门责令改正、通报批评、给予警告。</w:t>
            </w:r>
          </w:p>
        </w:tc>
      </w:tr>
    </w:tbl>
    <w:p w14:paraId="3ECCBBF3">
      <w:pPr>
        <w:widowControl w:val="0"/>
        <w:adjustRightInd/>
        <w:snapToGrid/>
        <w:spacing w:after="0" w:line="440" w:lineRule="exact"/>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37B11ED2">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131" w:name="_Toc2227"/>
      <w:bookmarkStart w:id="3132" w:name="_Toc19470"/>
      <w:bookmarkStart w:id="3133" w:name="_Toc11974"/>
      <w:bookmarkStart w:id="3134" w:name="_Toc8878"/>
      <w:bookmarkStart w:id="3135" w:name="_Toc20906"/>
      <w:bookmarkStart w:id="3136" w:name="_Toc22865"/>
      <w:bookmarkStart w:id="3137" w:name="_Toc24552"/>
      <w:bookmarkStart w:id="3138" w:name="_Toc23586"/>
      <w:bookmarkStart w:id="3139" w:name="_Toc12546"/>
      <w:bookmarkStart w:id="3140" w:name="_Toc21830"/>
      <w:bookmarkStart w:id="3141" w:name="_Toc1198"/>
      <w:r>
        <w:rPr>
          <w:rFonts w:hint="eastAsia" w:cs="仿宋_GB2312"/>
          <w:bCs/>
          <w:color w:val="000000" w:themeColor="text1"/>
          <w14:textFill>
            <w14:solidFill>
              <w14:schemeClr w14:val="tx1"/>
            </w14:solidFill>
          </w14:textFill>
        </w:rPr>
        <w:t>第二百五十二条</w:t>
      </w:r>
      <w:r>
        <w:rPr>
          <w:rFonts w:hint="eastAsia" w:ascii="Times New Roman" w:hAnsi="Times New Roman" w:cs="仿宋_GB2312"/>
          <w:bCs/>
          <w:color w:val="000000" w:themeColor="text1"/>
          <w:kern w:val="0"/>
          <w14:textFill>
            <w14:solidFill>
              <w14:schemeClr w14:val="tx1"/>
            </w14:solidFill>
          </w14:textFill>
        </w:rPr>
        <w:t xml:space="preserve"> 未经批准擅自使用救护车开展院前医疗急救服务的</w:t>
      </w:r>
      <w:bookmarkEnd w:id="3131"/>
      <w:bookmarkEnd w:id="3132"/>
      <w:bookmarkEnd w:id="3133"/>
      <w:bookmarkEnd w:id="3134"/>
      <w:bookmarkEnd w:id="3135"/>
      <w:bookmarkEnd w:id="3136"/>
      <w:bookmarkEnd w:id="3137"/>
      <w:bookmarkEnd w:id="3138"/>
      <w:bookmarkEnd w:id="3139"/>
      <w:bookmarkEnd w:id="3140"/>
      <w:bookmarkEnd w:id="3141"/>
    </w:p>
    <w:p w14:paraId="07550B1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7911818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《院前医疗急救管理办法》第三十七条第（二）项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地方卫生计生行政部门责令改正、通报批评、给予警告；对直接负责的主管人员和其他直接责任人员，根据情节轻重，依法给予警告、记过、降低岗位等级、撤职、开除等处分：</w:t>
      </w:r>
    </w:p>
    <w:p w14:paraId="0119CA0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（二）未经批准擅自使用救护车开展院前医疗急救服务的。</w:t>
      </w:r>
    </w:p>
    <w:p w14:paraId="7BFE2705">
      <w:pPr>
        <w:widowControl w:val="0"/>
        <w:adjustRightInd/>
        <w:snapToGrid/>
        <w:spacing w:after="0" w:line="440" w:lineRule="exact"/>
        <w:jc w:val="center"/>
        <w:rPr>
          <w:rFonts w:hint="eastAsia"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4571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24EE638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67D2894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7CF6960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29A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440" w:type="dxa"/>
            <w:vAlign w:val="center"/>
          </w:tcPr>
          <w:p w14:paraId="5475D6D9">
            <w:pPr>
              <w:widowControl w:val="0"/>
              <w:adjustRightInd/>
              <w:snapToGrid/>
              <w:spacing w:after="0" w:line="440" w:lineRule="exact"/>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5E14D5B8">
            <w:pPr>
              <w:widowControl w:val="0"/>
              <w:adjustRightInd/>
              <w:snapToGrid/>
              <w:spacing w:after="0" w:line="32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 xml:space="preserve">未经批准擅自使用救护车开展院前医疗急救服务的。 </w:t>
            </w:r>
          </w:p>
        </w:tc>
        <w:tc>
          <w:tcPr>
            <w:tcW w:w="7139" w:type="dxa"/>
            <w:vAlign w:val="center"/>
          </w:tcPr>
          <w:p w14:paraId="735D83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由县级以上地方卫生计生行政部门责令改正、通报批评、给予警告。</w:t>
            </w:r>
          </w:p>
        </w:tc>
      </w:tr>
    </w:tbl>
    <w:p w14:paraId="6248052A">
      <w:pPr>
        <w:pStyle w:val="4"/>
        <w:widowControl w:val="0"/>
        <w:spacing w:line="460" w:lineRule="exact"/>
        <w:ind w:firstLine="640"/>
        <w:jc w:val="both"/>
        <w:rPr>
          <w:rFonts w:hint="eastAsia" w:ascii="Times New Roman" w:hAnsi="Times New Roman" w:cs="仿宋_GB2312"/>
          <w:bCs/>
          <w:color w:val="000000" w:themeColor="text1"/>
          <w:kern w:val="0"/>
          <w14:textFill>
            <w14:solidFill>
              <w14:schemeClr w14:val="tx1"/>
            </w14:solidFill>
          </w14:textFill>
        </w:rPr>
      </w:pPr>
      <w:bookmarkStart w:id="3142" w:name="_Toc32542"/>
      <w:bookmarkStart w:id="3143" w:name="_Toc31825"/>
      <w:bookmarkStart w:id="3144" w:name="_Toc20063"/>
      <w:bookmarkStart w:id="3145" w:name="_Toc17881"/>
      <w:bookmarkStart w:id="3146" w:name="_Toc11101"/>
      <w:bookmarkStart w:id="3147" w:name="_Toc11781"/>
      <w:bookmarkStart w:id="3148" w:name="_Toc7557"/>
      <w:bookmarkStart w:id="3149" w:name="_Toc12838"/>
      <w:bookmarkStart w:id="3150" w:name="_Toc23317"/>
      <w:bookmarkStart w:id="3151" w:name="_Toc10429"/>
      <w:bookmarkStart w:id="3152" w:name="_Toc10941"/>
      <w:r>
        <w:rPr>
          <w:rFonts w:hint="eastAsia" w:cs="仿宋_GB2312"/>
          <w:bCs/>
          <w:color w:val="000000" w:themeColor="text1"/>
          <w14:textFill>
            <w14:solidFill>
              <w14:schemeClr w14:val="tx1"/>
            </w14:solidFill>
          </w14:textFill>
        </w:rPr>
        <w:t>第二百五十三条</w:t>
      </w:r>
      <w:r>
        <w:rPr>
          <w:rFonts w:hint="eastAsia" w:ascii="Times New Roman" w:hAnsi="Times New Roman" w:cs="仿宋_GB2312"/>
          <w:bCs/>
          <w:color w:val="000000" w:themeColor="text1"/>
          <w:kern w:val="0"/>
          <w14:textFill>
            <w14:solidFill>
              <w14:schemeClr w14:val="tx1"/>
            </w14:solidFill>
          </w14:textFill>
        </w:rPr>
        <w:t xml:space="preserve"> 急救中心（站）因指挥调度或者费用等因素拒绝、推诿或者延误院前医疗急救服务的</w:t>
      </w:r>
      <w:bookmarkEnd w:id="3142"/>
      <w:bookmarkEnd w:id="3143"/>
      <w:bookmarkEnd w:id="3144"/>
      <w:bookmarkEnd w:id="3145"/>
      <w:bookmarkEnd w:id="3146"/>
      <w:bookmarkEnd w:id="3147"/>
      <w:bookmarkEnd w:id="3148"/>
      <w:bookmarkEnd w:id="3149"/>
      <w:bookmarkEnd w:id="3150"/>
      <w:bookmarkEnd w:id="3151"/>
      <w:bookmarkEnd w:id="3152"/>
    </w:p>
    <w:p w14:paraId="0E101997">
      <w:pPr>
        <w:widowControl w:val="0"/>
        <w:adjustRightInd/>
        <w:snapToGrid/>
        <w:spacing w:after="0" w:line="46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4466F003">
      <w:pPr>
        <w:widowControl w:val="0"/>
        <w:adjustRightInd/>
        <w:snapToGrid/>
        <w:spacing w:after="0" w:line="46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《院前医疗急救管理办法》第三十七条第（三）项 医疗机构有下列情形之一的，由县级以上地方卫生计生行政部门责令改正、通报批评、给予警告；对直接负责的主管人员和其他直接责任人员，根据情节轻重，依法给予警告、记过、降低岗位等级、撤职、开除等处分：</w:t>
      </w:r>
    </w:p>
    <w:p w14:paraId="055CAE30">
      <w:pPr>
        <w:widowControl w:val="0"/>
        <w:adjustRightInd/>
        <w:snapToGrid/>
        <w:spacing w:after="0" w:line="46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（三）急救中心（站）因指挥调度或者费用等因素拒绝、推诿或者延误院前医疗急救服务的。</w:t>
      </w:r>
    </w:p>
    <w:p w14:paraId="7F3933DD">
      <w:pPr>
        <w:widowControl w:val="0"/>
        <w:adjustRightInd/>
        <w:snapToGrid/>
        <w:spacing w:after="0" w:line="440" w:lineRule="exact"/>
        <w:jc w:val="center"/>
        <w:rPr>
          <w:rFonts w:hint="eastAsia"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1FB5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tcPr>
          <w:p w14:paraId="7658F7D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1F3BD68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53DE441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700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489A40A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6EDD693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急救中心（站）因指挥调度或者费用等因素拒绝、推诿或者延误院前医疗急救服务的。 </w:t>
            </w:r>
          </w:p>
        </w:tc>
        <w:tc>
          <w:tcPr>
            <w:tcW w:w="7139" w:type="dxa"/>
            <w:vAlign w:val="center"/>
          </w:tcPr>
          <w:p w14:paraId="6235650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由县级以上地方卫生计生行政部门责令改正、通报批评、给予警告。</w:t>
            </w:r>
          </w:p>
        </w:tc>
      </w:tr>
    </w:tbl>
    <w:p w14:paraId="1AC75459">
      <w:pPr>
        <w:pStyle w:val="4"/>
        <w:widowControl w:val="0"/>
        <w:spacing w:line="460" w:lineRule="exact"/>
        <w:ind w:firstLine="640"/>
        <w:jc w:val="both"/>
        <w:rPr>
          <w:rFonts w:hint="eastAsia" w:ascii="Times New Roman" w:hAnsi="Times New Roman" w:cs="仿宋_GB2312"/>
          <w:bCs/>
          <w:color w:val="000000" w:themeColor="text1"/>
          <w:kern w:val="0"/>
          <w14:textFill>
            <w14:solidFill>
              <w14:schemeClr w14:val="tx1"/>
            </w14:solidFill>
          </w14:textFill>
        </w:rPr>
      </w:pPr>
      <w:bookmarkStart w:id="3153" w:name="_Toc15030"/>
      <w:bookmarkStart w:id="3154" w:name="_Toc17333"/>
      <w:bookmarkStart w:id="3155" w:name="_Toc31808"/>
      <w:bookmarkStart w:id="3156" w:name="_Toc4660"/>
      <w:bookmarkStart w:id="3157" w:name="_Toc25170"/>
      <w:bookmarkStart w:id="3158" w:name="_Toc11983"/>
      <w:bookmarkStart w:id="3159" w:name="_Toc270"/>
      <w:bookmarkStart w:id="3160" w:name="_Toc14419"/>
      <w:bookmarkStart w:id="3161" w:name="_Toc23342"/>
      <w:bookmarkStart w:id="3162" w:name="_Toc28522"/>
      <w:bookmarkStart w:id="3163" w:name="_Toc8289"/>
      <w:r>
        <w:rPr>
          <w:rFonts w:hint="eastAsia" w:cs="仿宋_GB2312"/>
          <w:bCs/>
          <w:color w:val="000000" w:themeColor="text1"/>
          <w14:textFill>
            <w14:solidFill>
              <w14:schemeClr w14:val="tx1"/>
            </w14:solidFill>
          </w14:textFill>
        </w:rPr>
        <w:t>第二百五十四条</w:t>
      </w:r>
      <w:r>
        <w:rPr>
          <w:rFonts w:hint="eastAsia" w:ascii="Times New Roman" w:hAnsi="Times New Roman" w:cs="仿宋_GB2312"/>
          <w:bCs/>
          <w:color w:val="000000" w:themeColor="text1"/>
          <w:kern w:val="0"/>
          <w14:textFill>
            <w14:solidFill>
              <w14:schemeClr w14:val="tx1"/>
            </w14:solidFill>
          </w14:textFill>
        </w:rPr>
        <w:t xml:space="preserve"> 违反《院前医疗急救管理办法》其他规定的</w:t>
      </w:r>
      <w:bookmarkEnd w:id="3153"/>
      <w:bookmarkEnd w:id="3154"/>
      <w:bookmarkEnd w:id="3155"/>
      <w:bookmarkEnd w:id="3156"/>
      <w:bookmarkEnd w:id="3157"/>
      <w:bookmarkEnd w:id="3158"/>
      <w:bookmarkEnd w:id="3159"/>
      <w:bookmarkEnd w:id="3160"/>
      <w:bookmarkEnd w:id="3161"/>
      <w:bookmarkEnd w:id="3162"/>
      <w:bookmarkEnd w:id="3163"/>
    </w:p>
    <w:p w14:paraId="02D13D7A">
      <w:pPr>
        <w:widowControl w:val="0"/>
        <w:adjustRightInd/>
        <w:snapToGrid/>
        <w:spacing w:after="0" w:line="46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070B7063">
      <w:pPr>
        <w:widowControl w:val="0"/>
        <w:adjustRightInd/>
        <w:snapToGrid/>
        <w:spacing w:after="0" w:line="46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《院前医疗急救管理办法》第三十七条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地方卫生计生行政部门责令改正、通报批评、给予警告；对直接负责的主管人员和其他直接责任人员，根据情节轻重，依法给予警告、记过、降低岗位等级、撤职、开除等处分：</w:t>
      </w:r>
    </w:p>
    <w:p w14:paraId="5F65BABC">
      <w:pPr>
        <w:widowControl w:val="0"/>
        <w:adjustRightInd/>
        <w:snapToGrid/>
        <w:spacing w:after="0" w:line="46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（四）违反本办法其他规定的。</w:t>
      </w:r>
    </w:p>
    <w:p w14:paraId="0D8AD674">
      <w:pPr>
        <w:widowControl w:val="0"/>
        <w:adjustRightInd/>
        <w:snapToGrid/>
        <w:spacing w:after="0" w:line="440" w:lineRule="exact"/>
        <w:jc w:val="center"/>
        <w:rPr>
          <w:rFonts w:hint="eastAsia"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4F64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69BF792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4FCEC0B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6703E7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59A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40" w:type="dxa"/>
            <w:vAlign w:val="center"/>
          </w:tcPr>
          <w:p w14:paraId="34C6D94C">
            <w:pPr>
              <w:widowControl w:val="0"/>
              <w:adjustRightInd/>
              <w:snapToGrid/>
              <w:spacing w:after="0" w:line="440" w:lineRule="exact"/>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0075563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违反本办法其他规定的。</w:t>
            </w:r>
          </w:p>
        </w:tc>
        <w:tc>
          <w:tcPr>
            <w:tcW w:w="7139" w:type="dxa"/>
            <w:vAlign w:val="center"/>
          </w:tcPr>
          <w:p w14:paraId="1FC64C7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由县级以上地方卫生计生行政部门责令改正、通报批评、给予警告。</w:t>
            </w:r>
          </w:p>
        </w:tc>
      </w:tr>
    </w:tbl>
    <w:p w14:paraId="18055ECB">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164" w:name="_Toc11087"/>
      <w:bookmarkStart w:id="3165" w:name="_Toc3010"/>
      <w:bookmarkStart w:id="3166" w:name="_Toc6525"/>
      <w:bookmarkStart w:id="3167" w:name="_Toc14198"/>
      <w:bookmarkStart w:id="3168" w:name="_Toc438"/>
      <w:bookmarkStart w:id="3169" w:name="_Toc26007"/>
      <w:bookmarkStart w:id="3170" w:name="_Toc20285"/>
      <w:bookmarkStart w:id="3171" w:name="_Toc31889"/>
      <w:bookmarkStart w:id="3172" w:name="_Toc28575"/>
      <w:bookmarkStart w:id="3173" w:name="_Toc27079"/>
      <w:bookmarkStart w:id="3174" w:name="_Toc26502"/>
      <w:bookmarkStart w:id="3175" w:name="_Toc10557"/>
      <w:bookmarkStart w:id="3176" w:name="_Toc4134"/>
      <w:r>
        <w:rPr>
          <w:rFonts w:hint="eastAsia" w:ascii="Times New Roman" w:hAnsi="Times New Roman" w:eastAsia="楷体_GB2312" w:cs="楷体_GB2312"/>
          <w:bCs w:val="0"/>
          <w:color w:val="000000" w:themeColor="text1"/>
          <w:kern w:val="2"/>
          <w14:textFill>
            <w14:solidFill>
              <w14:schemeClr w14:val="tx1"/>
            </w14:solidFill>
          </w14:textFill>
        </w:rPr>
        <w:t>（十五）《中华人民共和国广告法》</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2C0E79C0">
      <w:pPr>
        <w:pStyle w:val="4"/>
        <w:widowControl w:val="0"/>
        <w:spacing w:line="420" w:lineRule="exact"/>
        <w:ind w:firstLine="640"/>
        <w:rPr>
          <w:rFonts w:hint="eastAsia" w:ascii="Times New Roman" w:hAnsi="Times New Roman" w:cs="仿宋"/>
          <w:bCs/>
          <w:color w:val="000000" w:themeColor="text1"/>
          <w:kern w:val="2"/>
          <w14:textFill>
            <w14:solidFill>
              <w14:schemeClr w14:val="tx1"/>
            </w14:solidFill>
          </w14:textFill>
        </w:rPr>
      </w:pPr>
      <w:bookmarkStart w:id="3177" w:name="_Toc28723"/>
      <w:bookmarkStart w:id="3178" w:name="_Toc1510"/>
      <w:bookmarkStart w:id="3179" w:name="_Toc6034"/>
      <w:bookmarkStart w:id="3180" w:name="_Toc5910"/>
      <w:bookmarkStart w:id="3181" w:name="_Toc29548"/>
      <w:bookmarkStart w:id="3182" w:name="_Toc19137"/>
      <w:bookmarkStart w:id="3183" w:name="_Toc24385"/>
      <w:bookmarkStart w:id="3184" w:name="_Toc13047"/>
      <w:bookmarkStart w:id="3185" w:name="_Toc30691"/>
      <w:bookmarkStart w:id="3186" w:name="_Toc4473"/>
      <w:bookmarkStart w:id="3187" w:name="_Toc10611"/>
      <w:r>
        <w:rPr>
          <w:rFonts w:hint="eastAsia"/>
          <w:color w:val="000000" w:themeColor="text1"/>
          <w14:textFill>
            <w14:solidFill>
              <w14:schemeClr w14:val="tx1"/>
            </w14:solidFill>
          </w14:textFill>
        </w:rPr>
        <w:t>第二百五十五条</w:t>
      </w:r>
      <w:r>
        <w:rPr>
          <w:rFonts w:hint="eastAsia" w:ascii="Times New Roman" w:hAnsi="Times New Roman" w:cs="仿宋"/>
          <w:bCs/>
          <w:color w:val="000000" w:themeColor="text1"/>
          <w:kern w:val="2"/>
          <w14:textFill>
            <w14:solidFill>
              <w14:schemeClr w14:val="tx1"/>
            </w14:solidFill>
          </w14:textFill>
        </w:rPr>
        <w:t xml:space="preserve"> 医疗机构发布虚假医疗广告的</w:t>
      </w:r>
      <w:bookmarkEnd w:id="3177"/>
      <w:bookmarkEnd w:id="3178"/>
      <w:bookmarkEnd w:id="3179"/>
      <w:bookmarkEnd w:id="3180"/>
      <w:bookmarkEnd w:id="3181"/>
      <w:bookmarkEnd w:id="3182"/>
      <w:bookmarkEnd w:id="3183"/>
      <w:bookmarkEnd w:id="3184"/>
      <w:bookmarkEnd w:id="3185"/>
      <w:bookmarkEnd w:id="3186"/>
      <w:bookmarkEnd w:id="3187"/>
    </w:p>
    <w:p w14:paraId="1275414B">
      <w:pPr>
        <w:widowControl w:val="0"/>
        <w:adjustRightInd/>
        <w:snapToGrid/>
        <w:spacing w:after="0" w:line="42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05B50EB">
      <w:pPr>
        <w:widowControl w:val="0"/>
        <w:adjustRightInd/>
        <w:snapToGrid/>
        <w:spacing w:after="0" w:line="42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《中华人民共和国广告法》第五十五条第一款、第二款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医疗机构有前款规定违法行为，情节严重的，除由市场监督管理部依照本法处罚外，卫生行政部门可以吊销诊疗科目或者吊销医疗机构执业许可证。</w:t>
      </w:r>
    </w:p>
    <w:p w14:paraId="5017A74B">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7523"/>
        <w:gridCol w:w="4962"/>
      </w:tblGrid>
      <w:tr w14:paraId="6D41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49" w:type="dxa"/>
            <w:vAlign w:val="center"/>
          </w:tcPr>
          <w:p w14:paraId="1C1A090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23" w:type="dxa"/>
            <w:vAlign w:val="center"/>
          </w:tcPr>
          <w:p w14:paraId="5BDDE0B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962" w:type="dxa"/>
            <w:vAlign w:val="center"/>
          </w:tcPr>
          <w:p w14:paraId="1C87E9F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F76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49" w:type="dxa"/>
            <w:vAlign w:val="center"/>
          </w:tcPr>
          <w:p w14:paraId="412A431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23" w:type="dxa"/>
            <w:vAlign w:val="center"/>
          </w:tcPr>
          <w:p w14:paraId="5F952C0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两年内有三次以上违法行为或者造成人身伤害等严重后果的。</w:t>
            </w:r>
          </w:p>
        </w:tc>
        <w:tc>
          <w:tcPr>
            <w:tcW w:w="4962" w:type="dxa"/>
            <w:vAlign w:val="center"/>
          </w:tcPr>
          <w:p w14:paraId="3D337F70">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卫生行政部门可以吊销诊疗科目或者医疗机构执业许可证。</w:t>
            </w:r>
          </w:p>
        </w:tc>
      </w:tr>
    </w:tbl>
    <w:p w14:paraId="6BFAC5A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188" w:name="_Toc5586"/>
      <w:bookmarkStart w:id="3189" w:name="_Toc16463"/>
      <w:bookmarkStart w:id="3190" w:name="_Toc1302"/>
      <w:bookmarkStart w:id="3191" w:name="_Toc15088"/>
      <w:bookmarkStart w:id="3192" w:name="_Toc1921"/>
      <w:bookmarkStart w:id="3193" w:name="_Toc3885"/>
      <w:bookmarkStart w:id="3194" w:name="_Toc20893"/>
      <w:bookmarkStart w:id="3195" w:name="_Toc13223"/>
      <w:bookmarkStart w:id="3196" w:name="_Toc30534"/>
      <w:bookmarkStart w:id="3197" w:name="_Toc27416"/>
      <w:bookmarkStart w:id="3198" w:name="_Toc27226"/>
      <w:r>
        <w:rPr>
          <w:rFonts w:hint="eastAsia" w:cs="仿宋_GB2312"/>
          <w:bCs/>
          <w:color w:val="000000" w:themeColor="text1"/>
          <w14:textFill>
            <w14:solidFill>
              <w14:schemeClr w14:val="tx1"/>
            </w14:solidFill>
          </w14:textFill>
        </w:rPr>
        <w:t>第二百五十六条</w:t>
      </w:r>
      <w:r>
        <w:rPr>
          <w:rFonts w:hint="eastAsia" w:ascii="Times New Roman" w:hAnsi="Times New Roman" w:cs="仿宋_GB2312"/>
          <w:bCs/>
          <w:color w:val="000000" w:themeColor="text1"/>
          <w:kern w:val="0"/>
          <w14:textFill>
            <w14:solidFill>
              <w14:schemeClr w14:val="tx1"/>
            </w14:solidFill>
          </w14:textFill>
        </w:rPr>
        <w:t xml:space="preserve"> 医疗机构发布违反《中华人民共和国广告法》第十六条规定的医疗广告的</w:t>
      </w:r>
      <w:bookmarkEnd w:id="3188"/>
      <w:bookmarkEnd w:id="3189"/>
      <w:bookmarkEnd w:id="3190"/>
      <w:bookmarkEnd w:id="3191"/>
      <w:bookmarkEnd w:id="3192"/>
      <w:bookmarkEnd w:id="3193"/>
      <w:bookmarkEnd w:id="3194"/>
      <w:bookmarkEnd w:id="3195"/>
      <w:bookmarkEnd w:id="3196"/>
      <w:bookmarkEnd w:id="3197"/>
      <w:bookmarkEnd w:id="3198"/>
    </w:p>
    <w:p w14:paraId="546D890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E5287C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1.《中华人民共和国广告法》第五十八条第一款第（一）项 第（十四）项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C28E01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 违反本法第十六条规定发布医疗、药品、医疗器械广告的；……（十四）违反本法第四十六条规定，未经审查发布广告的</w:t>
      </w:r>
    </w:p>
    <w:p w14:paraId="4568FA6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医疗机构有前款规定违法行为，情节严重的，除由市场监督管理部门依照本法处罚外，卫生行政部门可以吊销诊疗科目或者吊销医疗机构执业许可证。</w:t>
      </w:r>
    </w:p>
    <w:p w14:paraId="406A624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2.《中华人民共和国广告法》第十六条第一款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医疗、药品、医疗器械广告不得含有下列内容：（一） 表示功效、安全性的断言或者保证；（二）说明治愈率或者有效率；（三） 与其他药品、医疗器械的功效和安全性或者其他医疗机构比较；（四） 利用广告代言人作推荐、证明；（五） 法律、行政法规规定禁止的其他内容。</w:t>
      </w:r>
    </w:p>
    <w:p w14:paraId="7A051CEE">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4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513"/>
        <w:gridCol w:w="5528"/>
      </w:tblGrid>
      <w:tr w14:paraId="36EA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418" w:type="dxa"/>
            <w:vAlign w:val="center"/>
          </w:tcPr>
          <w:p w14:paraId="523E1D3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13" w:type="dxa"/>
            <w:vAlign w:val="center"/>
          </w:tcPr>
          <w:p w14:paraId="17B6BEB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528" w:type="dxa"/>
            <w:vAlign w:val="center"/>
          </w:tcPr>
          <w:p w14:paraId="73A83A7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F09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8" w:type="dxa"/>
            <w:vAlign w:val="center"/>
          </w:tcPr>
          <w:p w14:paraId="24FD59E4">
            <w:pPr>
              <w:widowControl w:val="0"/>
              <w:adjustRightInd/>
              <w:snapToGrid/>
              <w:spacing w:after="0" w:line="440" w:lineRule="exact"/>
              <w:jc w:val="center"/>
              <w:rPr>
                <w:rFonts w:hint="eastAsia" w:ascii="Times New Roman" w:hAnsi="Times New Roman" w:eastAsia="仿宋" w:cs="仿宋"/>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13" w:type="dxa"/>
            <w:vAlign w:val="center"/>
          </w:tcPr>
          <w:p w14:paraId="6702DB79">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医疗机构发布违反《中华人民共和国广告法》第十六条第一款规定的医疗广告的，市场监督管理部门认定情节严重的。</w:t>
            </w:r>
          </w:p>
        </w:tc>
        <w:tc>
          <w:tcPr>
            <w:tcW w:w="5528" w:type="dxa"/>
            <w:vAlign w:val="center"/>
          </w:tcPr>
          <w:p w14:paraId="13239E6D">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卫生行政部门可以吊销诊疗科目或者医疗机构执业许可证。</w:t>
            </w:r>
          </w:p>
        </w:tc>
      </w:tr>
    </w:tbl>
    <w:p w14:paraId="4B7A31E3">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199" w:name="_Toc30536"/>
      <w:bookmarkStart w:id="3200" w:name="_Toc5271"/>
      <w:bookmarkStart w:id="3201" w:name="_Toc6636"/>
      <w:bookmarkStart w:id="3202" w:name="_Toc13148"/>
      <w:bookmarkStart w:id="3203" w:name="_Toc4061"/>
      <w:bookmarkStart w:id="3204" w:name="_Toc17250"/>
      <w:bookmarkStart w:id="3205" w:name="_Toc5843"/>
      <w:bookmarkStart w:id="3206" w:name="_Toc29878"/>
      <w:bookmarkStart w:id="3207" w:name="_Toc19916"/>
      <w:bookmarkStart w:id="3208" w:name="_Toc1950"/>
      <w:bookmarkStart w:id="3209" w:name="_Toc903"/>
      <w:bookmarkStart w:id="3210" w:name="_Toc19240"/>
      <w:bookmarkStart w:id="3211" w:name="_Toc32253"/>
      <w:r>
        <w:rPr>
          <w:rFonts w:hint="eastAsia" w:ascii="Times New Roman" w:hAnsi="Times New Roman" w:eastAsia="楷体_GB2312" w:cs="楷体_GB2312"/>
          <w:bCs w:val="0"/>
          <w:color w:val="000000" w:themeColor="text1"/>
          <w:kern w:val="2"/>
          <w14:textFill>
            <w14:solidFill>
              <w14:schemeClr w14:val="tx1"/>
            </w14:solidFill>
          </w14:textFill>
        </w:rPr>
        <w:t>（十六）《性病防治管理办法》</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14:paraId="6C4FD04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212" w:name="_Toc4123"/>
      <w:bookmarkStart w:id="3213" w:name="_Toc31353"/>
      <w:bookmarkStart w:id="3214" w:name="_Toc28771"/>
      <w:bookmarkStart w:id="3215" w:name="_Toc4625"/>
      <w:bookmarkStart w:id="3216" w:name="_Toc11059"/>
      <w:bookmarkStart w:id="3217" w:name="_Toc16541"/>
      <w:bookmarkStart w:id="3218" w:name="_Toc27047"/>
      <w:bookmarkStart w:id="3219" w:name="_Toc16461"/>
      <w:bookmarkStart w:id="3220" w:name="_Toc5575"/>
      <w:bookmarkStart w:id="3221" w:name="_Toc28221"/>
      <w:bookmarkStart w:id="3222" w:name="_Toc30946"/>
      <w:r>
        <w:rPr>
          <w:rFonts w:hint="eastAsia" w:cs="仿宋_GB2312"/>
          <w:bCs/>
          <w:color w:val="000000" w:themeColor="text1"/>
          <w14:textFill>
            <w14:solidFill>
              <w14:schemeClr w14:val="tx1"/>
            </w14:solidFill>
          </w14:textFill>
        </w:rPr>
        <w:t>第二百五十七条</w:t>
      </w:r>
      <w:r>
        <w:rPr>
          <w:rFonts w:hint="eastAsia" w:ascii="Times New Roman" w:hAnsi="Times New Roman" w:cs="仿宋_GB2312"/>
          <w:bCs/>
          <w:color w:val="000000" w:themeColor="text1"/>
          <w:kern w:val="0"/>
          <w14:textFill>
            <w14:solidFill>
              <w14:schemeClr w14:val="tx1"/>
            </w14:solidFill>
          </w14:textFill>
        </w:rPr>
        <w:t xml:space="preserve"> 医疗机构提供性病诊疗服务时违反诊疗规范的</w:t>
      </w:r>
      <w:bookmarkEnd w:id="3212"/>
      <w:bookmarkEnd w:id="3213"/>
      <w:bookmarkEnd w:id="3214"/>
      <w:bookmarkEnd w:id="3215"/>
      <w:bookmarkEnd w:id="3216"/>
      <w:bookmarkEnd w:id="3217"/>
      <w:bookmarkEnd w:id="3218"/>
      <w:bookmarkEnd w:id="3219"/>
      <w:bookmarkEnd w:id="3220"/>
      <w:bookmarkEnd w:id="3221"/>
      <w:bookmarkEnd w:id="3222"/>
    </w:p>
    <w:p w14:paraId="451186E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75A975F7">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《性病防治管理办法》第四十九条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医疗机构提供性病诊疗服务时违反诊疗规范的，由县级以上卫生行政部门责令限期改正，给予警告；逾期</w:t>
      </w:r>
      <w:r>
        <w:rPr>
          <w:rFonts w:hint="eastAsia" w:ascii="Times New Roman" w:hAnsi="Times New Roman" w:eastAsia="仿宋_GB2312" w:cs="仿宋"/>
          <w:color w:val="000000" w:themeColor="text1"/>
          <w:sz w:val="32"/>
          <w:szCs w:val="28"/>
          <w14:textFill>
            <w14:solidFill>
              <w14:schemeClr w14:val="tx1"/>
            </w14:solidFill>
          </w14:textFill>
        </w:rPr>
        <w:t>不改的，可以根据情节轻重处以三万元以下罚款。</w:t>
      </w:r>
    </w:p>
    <w:p w14:paraId="10ECC8C7">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024"/>
        <w:gridCol w:w="4710"/>
      </w:tblGrid>
      <w:tr w14:paraId="0D6B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787EAA1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24" w:type="dxa"/>
          </w:tcPr>
          <w:p w14:paraId="178AFEC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710" w:type="dxa"/>
          </w:tcPr>
          <w:p w14:paraId="165BA6C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8D6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5EAC0BE">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8024" w:type="dxa"/>
            <w:vAlign w:val="center"/>
          </w:tcPr>
          <w:p w14:paraId="6AFA244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医疗机构提供性病诊疗服务时违反诊疗规范的。</w:t>
            </w:r>
          </w:p>
        </w:tc>
        <w:tc>
          <w:tcPr>
            <w:tcW w:w="4710" w:type="dxa"/>
            <w:vAlign w:val="center"/>
          </w:tcPr>
          <w:p w14:paraId="5325A10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w:t>
            </w:r>
          </w:p>
        </w:tc>
      </w:tr>
      <w:tr w14:paraId="2A6D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AEF6EBE">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8024" w:type="dxa"/>
            <w:vAlign w:val="center"/>
          </w:tcPr>
          <w:p w14:paraId="173B021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医疗机构提供性病诊疗服务时违反诊疗规范，经责令限期改正，逾期不改的。</w:t>
            </w:r>
          </w:p>
        </w:tc>
        <w:tc>
          <w:tcPr>
            <w:tcW w:w="4710" w:type="dxa"/>
            <w:vAlign w:val="center"/>
          </w:tcPr>
          <w:p w14:paraId="39DE340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由县级以上卫生行政部门责令限期改正，给予警告，处以二万元以下罚款。</w:t>
            </w:r>
          </w:p>
        </w:tc>
      </w:tr>
      <w:tr w14:paraId="61E0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B49B4BB">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特别严重</w:t>
            </w:r>
          </w:p>
        </w:tc>
        <w:tc>
          <w:tcPr>
            <w:tcW w:w="8024" w:type="dxa"/>
            <w:vAlign w:val="center"/>
          </w:tcPr>
          <w:p w14:paraId="03DADCB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医疗机构提供性病诊疗服务时违反诊疗规范，经责令限期改正，逾期不改的，造成严重后果。</w:t>
            </w:r>
          </w:p>
        </w:tc>
        <w:tc>
          <w:tcPr>
            <w:tcW w:w="4710" w:type="dxa"/>
            <w:vAlign w:val="center"/>
          </w:tcPr>
          <w:p w14:paraId="4AE4595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由县级以上卫生行政部门责令限期改正，给予警告，处以二万元以上三万元以下罚款。</w:t>
            </w:r>
          </w:p>
        </w:tc>
      </w:tr>
    </w:tbl>
    <w:p w14:paraId="70CEEE4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223" w:name="_Toc2514"/>
      <w:bookmarkStart w:id="3224" w:name="_Toc14253"/>
      <w:bookmarkStart w:id="3225" w:name="_Toc28328"/>
      <w:bookmarkStart w:id="3226" w:name="_Toc27714"/>
      <w:bookmarkStart w:id="3227" w:name="_Toc9631"/>
      <w:bookmarkStart w:id="3228" w:name="_Toc20247"/>
      <w:bookmarkStart w:id="3229" w:name="_Toc8028"/>
      <w:bookmarkStart w:id="3230" w:name="_Toc708"/>
      <w:bookmarkStart w:id="3231" w:name="_Toc32699"/>
      <w:bookmarkStart w:id="3232" w:name="_Toc24577"/>
      <w:bookmarkStart w:id="3233" w:name="_Toc25747"/>
      <w:r>
        <w:rPr>
          <w:rFonts w:hint="eastAsia" w:cs="仿宋_GB2312"/>
          <w:bCs/>
          <w:color w:val="000000" w:themeColor="text1"/>
          <w14:textFill>
            <w14:solidFill>
              <w14:schemeClr w14:val="tx1"/>
            </w14:solidFill>
          </w14:textFill>
        </w:rPr>
        <w:t>第二百五十八条</w:t>
      </w:r>
      <w:r>
        <w:rPr>
          <w:rFonts w:hint="eastAsia" w:ascii="Times New Roman" w:hAnsi="Times New Roman" w:cs="仿宋_GB2312"/>
          <w:bCs/>
          <w:color w:val="000000" w:themeColor="text1"/>
          <w:kern w:val="0"/>
          <w14:textFill>
            <w14:solidFill>
              <w14:schemeClr w14:val="tx1"/>
            </w14:solidFill>
          </w14:textFill>
        </w:rPr>
        <w:t xml:space="preserve"> 未取得医疗机构执业许可证擅自开展性病诊疗活动</w:t>
      </w:r>
      <w:bookmarkEnd w:id="3223"/>
      <w:bookmarkEnd w:id="3224"/>
      <w:bookmarkEnd w:id="3225"/>
      <w:bookmarkEnd w:id="3226"/>
      <w:bookmarkEnd w:id="3227"/>
      <w:bookmarkEnd w:id="3228"/>
      <w:bookmarkEnd w:id="3229"/>
      <w:bookmarkEnd w:id="3230"/>
      <w:bookmarkEnd w:id="3231"/>
      <w:bookmarkEnd w:id="3232"/>
      <w:bookmarkEnd w:id="3233"/>
    </w:p>
    <w:p w14:paraId="46A58CA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0C0062E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1.《性病防治管理办法》第四十七条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未取得《医疗机构执业许可证》擅自开展性病诊疗活动的，按照《医疗机构管理条例》的有关规定进行处理。</w:t>
      </w:r>
    </w:p>
    <w:p w14:paraId="73C7E25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2.《医疗机构管理条例》第四十三条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违反本条例第二十三条规定，未取得《医疗机构执业许可证》擅自执业的，依照《中华人民共和国基本医疗卫生与健康促进法》的规定予以处罚。</w:t>
      </w:r>
    </w:p>
    <w:p w14:paraId="06C369F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3.《中华人民共和国基本医疗卫生与健康促进法》第九十九条第一款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未取得医疗机构执业许可证擅自执业的，由县级以上人民政府卫生健康主管部门责令停止执业活动，没收违法所得和药品、医疗器械，并处违法所得五倍以上二十倍以下的罚款，违法所得不足一万元的，按一万元计算。</w:t>
      </w:r>
    </w:p>
    <w:p w14:paraId="1E8195F5">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0C08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6AB7534">
            <w:pPr>
              <w:widowControl/>
              <w:adjustRightInd/>
              <w:snapToGrid/>
              <w:spacing w:after="0" w:line="240" w:lineRule="auto"/>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7AEC744C">
            <w:pPr>
              <w:widowControl/>
              <w:adjustRightInd/>
              <w:snapToGrid/>
              <w:spacing w:after="0" w:line="240" w:lineRule="auto"/>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2C4A4D50">
            <w:pPr>
              <w:widowControl/>
              <w:adjustRightInd/>
              <w:snapToGrid/>
              <w:spacing w:after="0" w:line="240" w:lineRule="auto"/>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7F2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A3DA5E1">
            <w:pPr>
              <w:widowControl w:val="0"/>
              <w:adjustRightInd/>
              <w:snapToGrid/>
              <w:spacing w:after="0" w:line="440" w:lineRule="exact"/>
              <w:jc w:val="center"/>
              <w:rPr>
                <w:rFonts w:hint="eastAsia" w:ascii="Times New Roman" w:hAnsi="Times New Roman" w:eastAsia="仿宋_GB2312" w:cs="华文中宋"/>
                <w:color w:val="000000" w:themeColor="text1"/>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1FD98CB5">
            <w:pPr>
              <w:widowControl w:val="0"/>
              <w:adjustRightInd/>
              <w:snapToGrid/>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未取得医疗机构执业许可证擅自开展性病诊疗活动，首次发现且情节较轻的。</w:t>
            </w:r>
          </w:p>
        </w:tc>
        <w:tc>
          <w:tcPr>
            <w:tcW w:w="7139" w:type="dxa"/>
            <w:vAlign w:val="center"/>
          </w:tcPr>
          <w:p w14:paraId="6FDA14C3">
            <w:pPr>
              <w:widowControl w:val="0"/>
              <w:adjustRightInd/>
              <w:snapToGrid/>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由县级以上人民政府卫生健康主管部门责令停止执业活动，没收违法所得和药品、医疗器械，并处违法所得五倍的罚款，违法所得不足一万元 的，按一万元计算</w:t>
            </w:r>
          </w:p>
        </w:tc>
      </w:tr>
      <w:tr w14:paraId="12AF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9A93DAB">
            <w:pPr>
              <w:widowControl w:val="0"/>
              <w:adjustRightInd/>
              <w:snapToGrid/>
              <w:spacing w:after="0" w:line="440" w:lineRule="exact"/>
              <w:jc w:val="center"/>
              <w:rPr>
                <w:rFonts w:hint="eastAsia" w:ascii="Times New Roman" w:hAnsi="Times New Roman" w:eastAsia="仿宋_GB2312" w:cs="华文中宋"/>
                <w:color w:val="000000" w:themeColor="text1"/>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595" w:type="dxa"/>
            <w:vAlign w:val="center"/>
          </w:tcPr>
          <w:p w14:paraId="5C5A6FB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未取得医疗机构执业许可证擅自开展性病诊疗活动，有下列情形之一的： </w:t>
            </w:r>
          </w:p>
          <w:p w14:paraId="304BD49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A、擅自执业的人员为非卫生技术专业人员 ；</w:t>
            </w:r>
          </w:p>
          <w:p w14:paraId="561ED9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B、擅自执业时间在三个月以上； </w:t>
            </w:r>
          </w:p>
          <w:p w14:paraId="70CAB8DF">
            <w:pPr>
              <w:widowControl w:val="0"/>
              <w:adjustRightInd/>
              <w:snapToGrid/>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C、以行医为名骗取患者钱物。</w:t>
            </w:r>
          </w:p>
        </w:tc>
        <w:tc>
          <w:tcPr>
            <w:tcW w:w="7139" w:type="dxa"/>
            <w:vAlign w:val="center"/>
          </w:tcPr>
          <w:p w14:paraId="49BF903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由县级以上人民政府卫生健康主管部门责令停止执业活动，没收违法所得和药品、医疗器械，并处违法所得五倍以上十倍以下的罚款，违法所得不足一万元的，按一万元计算。</w:t>
            </w:r>
          </w:p>
        </w:tc>
      </w:tr>
      <w:tr w14:paraId="05BC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387D275">
            <w:pPr>
              <w:widowControl w:val="0"/>
              <w:adjustRightInd/>
              <w:snapToGrid/>
              <w:spacing w:after="0" w:line="440" w:lineRule="exact"/>
              <w:jc w:val="center"/>
              <w:rPr>
                <w:rFonts w:hint="eastAsia" w:ascii="Times New Roman" w:hAnsi="Times New Roman" w:eastAsia="仿宋_GB2312" w:cs="华文中宋"/>
                <w:color w:val="000000" w:themeColor="text1"/>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595" w:type="dxa"/>
            <w:vAlign w:val="center"/>
          </w:tcPr>
          <w:p w14:paraId="7A160CB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未取得医疗机构执业许可证擅自开展性病诊疗活动，有较重违法情形两项或因擅自开展性病诊疗活动曾受过卫生健康主管部门处罚的。</w:t>
            </w:r>
          </w:p>
        </w:tc>
        <w:tc>
          <w:tcPr>
            <w:tcW w:w="7139" w:type="dxa"/>
            <w:vAlign w:val="center"/>
          </w:tcPr>
          <w:p w14:paraId="162A2B4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由县级以上人民政府卫生健康主管部门责令停止执业活动，没收违法所得和药品、医疗器械，并处违法所得十倍以上十五倍以下的罚款，违法所得不足一万元的，按一万元计算。</w:t>
            </w:r>
          </w:p>
        </w:tc>
      </w:tr>
      <w:tr w14:paraId="6388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7E365AB">
            <w:pPr>
              <w:widowControl w:val="0"/>
              <w:adjustRightInd/>
              <w:snapToGrid/>
              <w:spacing w:after="0" w:line="440" w:lineRule="exact"/>
              <w:jc w:val="center"/>
              <w:rPr>
                <w:rFonts w:hint="eastAsia" w:ascii="Times New Roman" w:hAnsi="Times New Roman" w:eastAsia="仿宋_GB2312" w:cs="华文中宋"/>
                <w:color w:val="000000" w:themeColor="text1"/>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5595" w:type="dxa"/>
            <w:vAlign w:val="center"/>
          </w:tcPr>
          <w:p w14:paraId="67611F58">
            <w:pPr>
              <w:widowControl w:val="0"/>
              <w:adjustRightInd/>
              <w:snapToGrid/>
              <w:spacing w:after="0" w:line="320" w:lineRule="exact"/>
              <w:jc w:val="left"/>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未取得医疗机构执业许可证擅自开展性病诊疗活动，有较重违法情形三项及以上或造成严重后果的。</w:t>
            </w:r>
          </w:p>
        </w:tc>
        <w:tc>
          <w:tcPr>
            <w:tcW w:w="7139" w:type="dxa"/>
            <w:vAlign w:val="center"/>
          </w:tcPr>
          <w:p w14:paraId="0202F67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由县级以上人民政府卫生健康主管部门责令停止执业活动，没收违法 所得和药品、医疗器械，并处违法所得十五倍以上二十倍以下的罚款，违法所得不足一万元的，按一万元计算。</w:t>
            </w:r>
          </w:p>
        </w:tc>
      </w:tr>
    </w:tbl>
    <w:p w14:paraId="1532D54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234" w:name="_Toc24295"/>
      <w:bookmarkStart w:id="3235" w:name="_Toc21206"/>
      <w:bookmarkStart w:id="3236" w:name="_Toc22831"/>
      <w:bookmarkStart w:id="3237" w:name="_Toc27682"/>
      <w:bookmarkStart w:id="3238" w:name="_Toc25157"/>
      <w:bookmarkStart w:id="3239" w:name="_Toc4216"/>
      <w:bookmarkStart w:id="3240" w:name="_Toc28621"/>
      <w:bookmarkStart w:id="3241" w:name="_Toc24724"/>
      <w:bookmarkStart w:id="3242" w:name="_Toc24670"/>
      <w:bookmarkStart w:id="3243" w:name="_Toc16616"/>
      <w:bookmarkStart w:id="3244" w:name="_Toc11207"/>
      <w:r>
        <w:rPr>
          <w:rFonts w:hint="eastAsia" w:cs="仿宋_GB2312"/>
          <w:bCs/>
          <w:color w:val="000000" w:themeColor="text1"/>
          <w14:textFill>
            <w14:solidFill>
              <w14:schemeClr w14:val="tx1"/>
            </w14:solidFill>
          </w14:textFill>
        </w:rPr>
        <w:t>第二百五十九条</w:t>
      </w:r>
      <w:r>
        <w:rPr>
          <w:rFonts w:hint="eastAsia" w:ascii="Times New Roman" w:hAnsi="Times New Roman" w:cs="仿宋_GB2312"/>
          <w:bCs/>
          <w:color w:val="000000" w:themeColor="text1"/>
          <w:kern w:val="0"/>
          <w14:textFill>
            <w14:solidFill>
              <w14:schemeClr w14:val="tx1"/>
            </w14:solidFill>
          </w14:textFill>
        </w:rPr>
        <w:t xml:space="preserve"> 医疗机构诊疗活动超出诊疗科目登记范围开展性病诊疗活动</w:t>
      </w:r>
      <w:bookmarkEnd w:id="3234"/>
      <w:bookmarkEnd w:id="3235"/>
      <w:bookmarkEnd w:id="3236"/>
      <w:bookmarkEnd w:id="3237"/>
      <w:bookmarkEnd w:id="3238"/>
      <w:bookmarkEnd w:id="3239"/>
      <w:bookmarkEnd w:id="3240"/>
      <w:bookmarkEnd w:id="3241"/>
      <w:bookmarkEnd w:id="3242"/>
      <w:bookmarkEnd w:id="3243"/>
      <w:bookmarkEnd w:id="3244"/>
    </w:p>
    <w:p w14:paraId="120D543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7852B4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《性病防治管理办法》第四十八条第一款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医疗机构违反本办法规定，超出诊疗科目登记范围开展性病诊疗活动的，按照《医疗机构管理条例》及其实施细则的有关规定进行处理。</w:t>
      </w:r>
    </w:p>
    <w:p w14:paraId="017D1C86">
      <w:pPr>
        <w:widowControl w:val="0"/>
        <w:adjustRightInd/>
        <w:snapToGrid/>
        <w:spacing w:after="0" w:line="440" w:lineRule="exact"/>
        <w:ind w:firstLine="640"/>
        <w:jc w:val="both"/>
        <w:rPr>
          <w:rFonts w:hint="eastAsia" w:ascii="Times New Roman" w:hAnsi="Times New Roman" w:eastAsia="仿宋" w:cs="仿宋"/>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《医疗机构管理条例》第四十六条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六条规定，诊疗活动超出登记或者备案范围的，由县级以上人民政府卫生行政部门予以警告、责令其改正，没收违法所得，并可以根据情节处以1万元以上10万元以下的罚款；情节严重的，吊销其《医疗机构执业许可证》或者责令其停止执业活</w:t>
      </w:r>
      <w:r>
        <w:rPr>
          <w:rFonts w:hint="eastAsia" w:ascii="Times New Roman" w:hAnsi="Times New Roman" w:eastAsia="仿宋" w:cs="仿宋"/>
          <w:color w:val="000000" w:themeColor="text1"/>
          <w:kern w:val="2"/>
          <w:sz w:val="32"/>
          <w:szCs w:val="32"/>
          <w14:textFill>
            <w14:solidFill>
              <w14:schemeClr w14:val="tx1"/>
            </w14:solidFill>
          </w14:textFill>
        </w:rPr>
        <w:t>动。</w:t>
      </w:r>
    </w:p>
    <w:p w14:paraId="05D29757">
      <w:pPr>
        <w:widowControl w:val="0"/>
        <w:adjustRightInd/>
        <w:snapToGrid/>
        <w:spacing w:after="0" w:line="440" w:lineRule="exact"/>
        <w:jc w:val="center"/>
        <w:rPr>
          <w:rFonts w:ascii="Times New Roman" w:hAnsi="Times New Roman" w:cs="Times New Roman"/>
          <w:b/>
          <w:color w:val="000000" w:themeColor="text1"/>
          <w:kern w:val="2"/>
          <w:sz w:val="28"/>
          <w:szCs w:val="28"/>
          <w14:textFill>
            <w14:solidFill>
              <w14:schemeClr w14:val="tx1"/>
            </w14:solidFill>
          </w14:textFill>
        </w:rPr>
      </w:pPr>
      <w:r>
        <w:rPr>
          <w:rFonts w:hint="eastAsia" w:ascii="Times New Roman" w:hAnsi="Times New Roman" w:cs="Times New Roman"/>
          <w:b/>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0E4A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3152946B">
            <w:pPr>
              <w:widowControl/>
              <w:adjustRightInd/>
              <w:snapToGrid/>
              <w:spacing w:after="0" w:line="240" w:lineRule="auto"/>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504474ED">
            <w:pPr>
              <w:widowControl/>
              <w:adjustRightInd/>
              <w:snapToGrid/>
              <w:spacing w:after="0" w:line="240" w:lineRule="auto"/>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36B50EE0">
            <w:pPr>
              <w:widowControl/>
              <w:adjustRightInd/>
              <w:snapToGrid/>
              <w:spacing w:after="0" w:line="240" w:lineRule="auto"/>
              <w:jc w:val="center"/>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590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51CA602">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5595" w:type="dxa"/>
            <w:vAlign w:val="center"/>
          </w:tcPr>
          <w:p w14:paraId="3123E6BF">
            <w:pPr>
              <w:widowControl w:val="0"/>
              <w:adjustRightInd/>
              <w:snapToGrid/>
              <w:spacing w:after="0" w:line="28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医疗机构诊疗活动超出登记或者备案范围开展性病诊疗活动，无违法所得的、违法所得无法认定的或诊疗活动违法所得在1万元以下的。</w:t>
            </w:r>
          </w:p>
        </w:tc>
        <w:tc>
          <w:tcPr>
            <w:tcW w:w="7139" w:type="dxa"/>
            <w:vAlign w:val="center"/>
          </w:tcPr>
          <w:p w14:paraId="05F8DEF5">
            <w:pPr>
              <w:widowControl w:val="0"/>
              <w:adjustRightInd/>
              <w:snapToGrid/>
              <w:spacing w:after="0" w:line="32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由县级以上人民政府卫生行政部门予以警告、责令其改正，没收违法所得，并可以根据情节处以1万元以上3万元以下的罚款</w:t>
            </w:r>
          </w:p>
        </w:tc>
      </w:tr>
      <w:tr w14:paraId="412F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D68E75D">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2D71FA80">
            <w:pPr>
              <w:widowControl w:val="0"/>
              <w:adjustRightInd/>
              <w:snapToGrid/>
              <w:spacing w:after="0" w:line="32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医疗机构诊疗活动超出登记或者备案范围开展性病诊疗活动违法所得在1万元以上5万元以内的。</w:t>
            </w:r>
          </w:p>
        </w:tc>
        <w:tc>
          <w:tcPr>
            <w:tcW w:w="7139" w:type="dxa"/>
            <w:vAlign w:val="center"/>
          </w:tcPr>
          <w:p w14:paraId="268E9844">
            <w:pPr>
              <w:widowControl w:val="0"/>
              <w:adjustRightInd/>
              <w:snapToGrid/>
              <w:spacing w:after="0" w:line="32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由县级以上人民政府卫生行政部门予以警告、责令其改正，没收违法所得，并可以根据情节处以3万元以上8万元以下的罚款</w:t>
            </w:r>
          </w:p>
        </w:tc>
      </w:tr>
      <w:tr w14:paraId="4AC4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28A96AC">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595" w:type="dxa"/>
            <w:vAlign w:val="center"/>
          </w:tcPr>
          <w:p w14:paraId="343CF4B7">
            <w:pPr>
              <w:widowControl w:val="0"/>
              <w:adjustRightInd/>
              <w:snapToGrid/>
              <w:spacing w:after="0" w:line="28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 xml:space="preserve">有下列情形之一的: </w:t>
            </w:r>
          </w:p>
          <w:p w14:paraId="5C81B797">
            <w:pPr>
              <w:widowControl w:val="0"/>
              <w:adjustRightInd/>
              <w:snapToGrid/>
              <w:spacing w:after="0" w:line="28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A．超出登记的诊疗科目范围开展性病诊疗活动违法所得在5万元以上的；</w:t>
            </w:r>
          </w:p>
          <w:p w14:paraId="31267CE6">
            <w:pPr>
              <w:widowControl w:val="0"/>
              <w:adjustRightInd/>
              <w:snapToGrid/>
              <w:spacing w:after="0" w:line="28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B．给患者造成伤害。</w:t>
            </w:r>
          </w:p>
        </w:tc>
        <w:tc>
          <w:tcPr>
            <w:tcW w:w="7139" w:type="dxa"/>
            <w:vAlign w:val="center"/>
          </w:tcPr>
          <w:p w14:paraId="0C9D0B29">
            <w:pPr>
              <w:widowControl w:val="0"/>
              <w:adjustRightInd/>
              <w:snapToGrid/>
              <w:spacing w:after="0" w:line="32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由县级以上人民政府卫生行政部门予以警告、责令其改正，没收违法所得，并可以根据情节处以8万元以上10万元以下的罚款。</w:t>
            </w:r>
          </w:p>
        </w:tc>
      </w:tr>
      <w:tr w14:paraId="67E2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052F84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595" w:type="dxa"/>
            <w:vAlign w:val="center"/>
          </w:tcPr>
          <w:p w14:paraId="71F1DD92">
            <w:pPr>
              <w:widowControl w:val="0"/>
              <w:adjustRightInd/>
              <w:snapToGrid/>
              <w:spacing w:after="0" w:line="32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情节严重，造成患者死亡或其他严重后果的。</w:t>
            </w:r>
          </w:p>
        </w:tc>
        <w:tc>
          <w:tcPr>
            <w:tcW w:w="7139" w:type="dxa"/>
            <w:vAlign w:val="center"/>
          </w:tcPr>
          <w:p w14:paraId="182FD921">
            <w:pPr>
              <w:widowControl w:val="0"/>
              <w:adjustRightInd/>
              <w:snapToGrid/>
              <w:spacing w:after="0" w:line="320" w:lineRule="exact"/>
              <w:jc w:val="left"/>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由县级以上人民政府卫生行政部门予以警告、责令其改正，没收违法所得，并可以根据情节处以10万元的罚款，吊销其《医疗机构执业许可证》或者责令其停止执业活动。</w:t>
            </w:r>
          </w:p>
        </w:tc>
      </w:tr>
    </w:tbl>
    <w:p w14:paraId="4E792707">
      <w:pPr>
        <w:pStyle w:val="3"/>
        <w:keepNext w:val="0"/>
        <w:keepLines w:val="0"/>
        <w:widowControl w:val="0"/>
        <w:spacing w:before="157" w:beforeLines="50" w:after="157" w:afterLines="50" w:line="480" w:lineRule="exact"/>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245" w:name="_Toc32563"/>
      <w:bookmarkStart w:id="3246" w:name="_Toc12462"/>
      <w:bookmarkStart w:id="3247" w:name="_Toc24187"/>
      <w:bookmarkStart w:id="3248" w:name="_Toc6027"/>
      <w:bookmarkStart w:id="3249" w:name="_Toc23942"/>
      <w:bookmarkStart w:id="3250" w:name="_Toc21069"/>
      <w:bookmarkStart w:id="3251" w:name="_Toc2440"/>
      <w:bookmarkStart w:id="3252" w:name="_Toc29130"/>
      <w:bookmarkStart w:id="3253" w:name="_Toc11512"/>
      <w:bookmarkStart w:id="3254" w:name="_Toc396"/>
      <w:bookmarkStart w:id="3255" w:name="_Toc5078"/>
      <w:bookmarkStart w:id="3256" w:name="_Toc7532"/>
      <w:bookmarkStart w:id="3257" w:name="_Toc17402"/>
      <w:r>
        <w:rPr>
          <w:rFonts w:hint="eastAsia" w:ascii="Times New Roman" w:hAnsi="Times New Roman" w:eastAsia="楷体_GB2312" w:cs="楷体_GB2312"/>
          <w:bCs w:val="0"/>
          <w:color w:val="000000" w:themeColor="text1"/>
          <w:kern w:val="2"/>
          <w14:textFill>
            <w14:solidFill>
              <w14:schemeClr w14:val="tx1"/>
            </w14:solidFill>
          </w14:textFill>
        </w:rPr>
        <w:t>（十七）《人体器官捐献和移植条例》</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14:paraId="7664B02E">
      <w:pPr>
        <w:pStyle w:val="4"/>
        <w:widowControl w:val="0"/>
        <w:spacing w:line="480" w:lineRule="exact"/>
        <w:ind w:firstLine="640"/>
        <w:jc w:val="both"/>
        <w:rPr>
          <w:rFonts w:hint="eastAsia" w:ascii="Times New Roman" w:hAnsi="Times New Roman" w:cs="仿宋_GB2312"/>
          <w:bCs/>
          <w:color w:val="000000" w:themeColor="text1"/>
          <w:kern w:val="0"/>
          <w14:textFill>
            <w14:solidFill>
              <w14:schemeClr w14:val="tx1"/>
            </w14:solidFill>
          </w14:textFill>
        </w:rPr>
      </w:pPr>
      <w:bookmarkStart w:id="3258" w:name="_Toc11385"/>
      <w:bookmarkStart w:id="3259" w:name="_Toc13725"/>
      <w:bookmarkStart w:id="3260" w:name="_Toc14949"/>
      <w:bookmarkStart w:id="3261" w:name="_Toc16399"/>
      <w:bookmarkStart w:id="3262" w:name="_Toc15355"/>
      <w:bookmarkStart w:id="3263" w:name="_Toc17374"/>
      <w:bookmarkStart w:id="3264" w:name="_Toc24305"/>
      <w:bookmarkStart w:id="3265" w:name="_Toc18237"/>
      <w:bookmarkStart w:id="3266" w:name="_Toc9322"/>
      <w:bookmarkStart w:id="3267" w:name="_Toc22666"/>
      <w:bookmarkStart w:id="3268" w:name="_Toc16449"/>
      <w:r>
        <w:rPr>
          <w:rFonts w:hint="eastAsia" w:cs="仿宋_GB2312"/>
          <w:bCs/>
          <w:color w:val="000000" w:themeColor="text1"/>
          <w14:textFill>
            <w14:solidFill>
              <w14:schemeClr w14:val="tx1"/>
            </w14:solidFill>
          </w14:textFill>
        </w:rPr>
        <w:t>第二百六十条</w:t>
      </w:r>
      <w:r>
        <w:rPr>
          <w:rFonts w:hint="eastAsia" w:ascii="Times New Roman" w:hAnsi="Times New Roman" w:cs="仿宋_GB2312"/>
          <w:bCs/>
          <w:color w:val="000000" w:themeColor="text1"/>
          <w:kern w:val="0"/>
          <w14:textFill>
            <w14:solidFill>
              <w14:schemeClr w14:val="tx1"/>
            </w14:solidFill>
          </w14:textFill>
        </w:rPr>
        <w:t xml:space="preserve"> 买卖人体器官或者从事与买卖人体器官有关活动的</w:t>
      </w:r>
      <w:bookmarkEnd w:id="3258"/>
      <w:bookmarkEnd w:id="3259"/>
      <w:bookmarkEnd w:id="3260"/>
      <w:bookmarkEnd w:id="3261"/>
      <w:bookmarkEnd w:id="3262"/>
      <w:bookmarkEnd w:id="3263"/>
      <w:bookmarkEnd w:id="3264"/>
      <w:bookmarkEnd w:id="3265"/>
      <w:bookmarkEnd w:id="3266"/>
      <w:bookmarkEnd w:id="3267"/>
      <w:bookmarkEnd w:id="3268"/>
    </w:p>
    <w:p w14:paraId="082E942D">
      <w:pPr>
        <w:widowControl w:val="0"/>
        <w:adjustRightInd/>
        <w:snapToGrid/>
        <w:spacing w:after="0" w:line="48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4D3C866A">
      <w:pPr>
        <w:widowControl w:val="0"/>
        <w:adjustRightInd/>
        <w:snapToGrid/>
        <w:spacing w:after="0" w:line="48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《人体器官捐献和移植条例》第三十七条第一款　违反本条例规定，买卖人体器官或者从事与买卖人体器官有关活动的，由县级以上地方人民政府卫生健康部门没收违法所得，并处交易额10倍以上20倍以下的罚款；医疗机构参与上述活动的，还应当由原登记部门吊销该医疗机构的人体器官移植诊疗科目，禁止其10年内从事人体器官获取或者申请从事人体器官移植，并对负有责任的领导人员和直接责任人员依法给予处分，情节严重的，由原执业登记部门吊销该医疗机构的执业许可证或者由原备案部门责令其停止执业活动；医务人员参与上述活动的，还应当由原执业注册部门吊销其执业证书，终身禁止其从事医疗卫生服务；构成犯罪的，依法追究刑事责任。</w:t>
      </w:r>
    </w:p>
    <w:p w14:paraId="2A850F3E">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5846"/>
        <w:gridCol w:w="6700"/>
      </w:tblGrid>
      <w:tr w14:paraId="6EC2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25" w:type="dxa"/>
            <w:vAlign w:val="center"/>
          </w:tcPr>
          <w:p w14:paraId="1AA9DB2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846" w:type="dxa"/>
            <w:vAlign w:val="center"/>
          </w:tcPr>
          <w:p w14:paraId="6A97A78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700" w:type="dxa"/>
            <w:vAlign w:val="center"/>
          </w:tcPr>
          <w:p w14:paraId="41C2F09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D39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25" w:type="dxa"/>
            <w:vAlign w:val="center"/>
          </w:tcPr>
          <w:p w14:paraId="58CFAE40">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5846" w:type="dxa"/>
            <w:vAlign w:val="center"/>
          </w:tcPr>
          <w:p w14:paraId="47BC46D7">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买卖人体器官或者从事与买卖人体器官有关活动，违法所得不足 5000元的。</w:t>
            </w:r>
          </w:p>
        </w:tc>
        <w:tc>
          <w:tcPr>
            <w:tcW w:w="6700" w:type="dxa"/>
            <w:vAlign w:val="center"/>
          </w:tcPr>
          <w:p w14:paraId="6D0F6E46">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由县级以上地方人民政府卫生健康部门没收违法所得，并处交易额 10 倍以上15倍以下的罚款；医疗机构参与上述活动的，还应当由原登记部门吊销该医疗机构的人体器官移植诊疗科目，禁止其10年内从事人体器官获取或者申请从事人体器官移植；医务人员参与上述活动的，还应当由原执业注册部门吊销其执业证书，终身禁止其从事医疗卫生服务。</w:t>
            </w:r>
          </w:p>
        </w:tc>
      </w:tr>
      <w:tr w14:paraId="5B33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25" w:type="dxa"/>
            <w:vAlign w:val="center"/>
          </w:tcPr>
          <w:p w14:paraId="14CB6D4A">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846" w:type="dxa"/>
            <w:vAlign w:val="center"/>
          </w:tcPr>
          <w:p w14:paraId="4AB46A1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买卖人体器官或者从事与买卖人体器官有关活动，违法所得超过 5000元的。</w:t>
            </w:r>
          </w:p>
        </w:tc>
        <w:tc>
          <w:tcPr>
            <w:tcW w:w="6700" w:type="dxa"/>
            <w:vAlign w:val="center"/>
          </w:tcPr>
          <w:p w14:paraId="041DE2F7">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由县级以上地方人民政府卫生健康部门没收违法所得，并处交易额 15以上20倍以下的罚款；医疗机构参与上述活动的，还应当由原登记部门吊销该医疗机构的人体器官移植诊疗科目，禁止其10年内从事人体器官获取或者申请从事人体器官移植；医务人员参与上述活动的，还应当由原执业注册部门吊销其执业证书，终身禁止其从事医疗卫生服务。</w:t>
            </w:r>
          </w:p>
        </w:tc>
      </w:tr>
      <w:tr w14:paraId="2AEC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25" w:type="dxa"/>
            <w:vAlign w:val="center"/>
          </w:tcPr>
          <w:p w14:paraId="1C9B34F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846" w:type="dxa"/>
            <w:vAlign w:val="center"/>
          </w:tcPr>
          <w:p w14:paraId="6AA3672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买卖人体器官或者从事与买卖人体器官有关活动，造成严重后果或者恶劣社会影响的。</w:t>
            </w:r>
          </w:p>
        </w:tc>
        <w:tc>
          <w:tcPr>
            <w:tcW w:w="6700" w:type="dxa"/>
            <w:vAlign w:val="center"/>
          </w:tcPr>
          <w:p w14:paraId="72D06B04">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由县级以上地方人民政府卫生健康部门没收违法所得，并处交易额 20倍的罚款；医疗机构参与上述活动的，由原执业登记部门吊销该医疗机构的执业许可证或者由原备案部门责令其停止执业活动；医务人员参与上述活动的，还应当由原执业注册部门吊销其执业证书，终身禁止其从事医疗卫生服务。</w:t>
            </w:r>
          </w:p>
        </w:tc>
      </w:tr>
    </w:tbl>
    <w:p w14:paraId="6713B58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269" w:name="_Toc2640"/>
      <w:bookmarkStart w:id="3270" w:name="_Toc12493"/>
      <w:bookmarkStart w:id="3271" w:name="_Toc8816"/>
      <w:bookmarkStart w:id="3272" w:name="_Toc28032"/>
      <w:bookmarkStart w:id="3273" w:name="_Toc2714"/>
      <w:bookmarkStart w:id="3274" w:name="_Toc14588"/>
      <w:bookmarkStart w:id="3275" w:name="_Toc27070"/>
      <w:bookmarkStart w:id="3276" w:name="_Toc27168"/>
      <w:bookmarkStart w:id="3277" w:name="_Toc2937"/>
      <w:bookmarkStart w:id="3278" w:name="_Toc21618"/>
      <w:bookmarkStart w:id="3279" w:name="_Toc4995"/>
      <w:r>
        <w:rPr>
          <w:rFonts w:hint="eastAsia" w:cs="仿宋_GB2312"/>
          <w:bCs/>
          <w:color w:val="000000" w:themeColor="text1"/>
          <w14:textFill>
            <w14:solidFill>
              <w14:schemeClr w14:val="tx1"/>
            </w14:solidFill>
          </w14:textFill>
        </w:rPr>
        <w:t>第二百六十一条</w:t>
      </w:r>
      <w:r>
        <w:rPr>
          <w:rFonts w:hint="eastAsia" w:ascii="Times New Roman" w:hAnsi="Times New Roman" w:cs="仿宋_GB2312"/>
          <w:bCs/>
          <w:color w:val="000000" w:themeColor="text1"/>
          <w:kern w:val="0"/>
          <w14:textFill>
            <w14:solidFill>
              <w14:schemeClr w14:val="tx1"/>
            </w14:solidFill>
          </w14:textFill>
        </w:rPr>
        <w:t xml:space="preserve"> 医疗机构未办理人体器官移植诊疗科目登记，擅自从事人体器官移植的</w:t>
      </w:r>
      <w:bookmarkEnd w:id="3269"/>
      <w:bookmarkEnd w:id="3270"/>
      <w:bookmarkEnd w:id="3271"/>
      <w:bookmarkEnd w:id="3272"/>
      <w:bookmarkEnd w:id="3273"/>
      <w:bookmarkEnd w:id="3274"/>
      <w:bookmarkEnd w:id="3275"/>
      <w:bookmarkEnd w:id="3276"/>
      <w:bookmarkEnd w:id="3277"/>
      <w:bookmarkEnd w:id="3278"/>
      <w:bookmarkEnd w:id="3279"/>
    </w:p>
    <w:p w14:paraId="2A3B189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7C0A8A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《人体器官捐献和移植条例》第三十八条第一款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未办理人体器官移植诊疗科目登记，擅自从事人体器官移植的，由县级以上地方人民政府卫生健康部门没收违法所得，并处违法所得10倍以上20倍以下的罚款，禁止其5年内从事人体器官获取或者申请从事人体器官移植，并对负有责任的领导人员和直接责任人员依法给予处分，对有关医务人员责令暂停1年执业活动；情节严重的，还应当由原执业登记部门吊销该医疗机构的执业许可证或者由原备案部门责令其停止执业活动，并由原执业注册部门吊销有关医务人员的执业证书。</w:t>
      </w:r>
    </w:p>
    <w:p w14:paraId="1A2073BD">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57"/>
        <w:gridCol w:w="5277"/>
      </w:tblGrid>
      <w:tr w14:paraId="2668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E60F7A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57" w:type="dxa"/>
          </w:tcPr>
          <w:p w14:paraId="22F6F60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277" w:type="dxa"/>
          </w:tcPr>
          <w:p w14:paraId="7D1EB14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412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440" w:type="dxa"/>
            <w:vAlign w:val="center"/>
          </w:tcPr>
          <w:p w14:paraId="49D7C30B">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轻微</w:t>
            </w:r>
          </w:p>
        </w:tc>
        <w:tc>
          <w:tcPr>
            <w:tcW w:w="7457" w:type="dxa"/>
            <w:vAlign w:val="center"/>
          </w:tcPr>
          <w:p w14:paraId="17F6C9E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医疗机构诊疗活动超出登记的诊疗科目范围，情节轻微且无违法所得的。</w:t>
            </w:r>
          </w:p>
        </w:tc>
        <w:tc>
          <w:tcPr>
            <w:tcW w:w="5277" w:type="dxa"/>
            <w:vAlign w:val="center"/>
          </w:tcPr>
          <w:p w14:paraId="1F7271F0">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由县级以上地方人民政府卫生健康部门没收违法所得，并处违法所得10倍以上15倍以下的罚款，禁止其5年内从事人体器官获取或者申请从事人体器官移植，对有关医务人员责令暂停1年执业活动。</w:t>
            </w:r>
          </w:p>
        </w:tc>
      </w:tr>
      <w:tr w14:paraId="1A53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74A1959">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7457" w:type="dxa"/>
            <w:vAlign w:val="center"/>
          </w:tcPr>
          <w:p w14:paraId="25A246B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医疗机构未办理人体器官移植诊疗科目登记，擅自从事人体器官移植的，有下列情形之一的:</w:t>
            </w:r>
          </w:p>
          <w:p w14:paraId="402A13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A．超出登记的诊疗科目范围的诊疗活动累计收入不足1万元的；</w:t>
            </w:r>
          </w:p>
          <w:p w14:paraId="0AD5FA9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B．给患者造成伤害。</w:t>
            </w:r>
          </w:p>
        </w:tc>
        <w:tc>
          <w:tcPr>
            <w:tcW w:w="5277" w:type="dxa"/>
            <w:vAlign w:val="center"/>
          </w:tcPr>
          <w:p w14:paraId="23DA04D5">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由县级以上地方人民政府卫生健康部门没收违法所得，并处违法所得15倍以上20倍以下的罚款，禁止其5年内从事人体器官获取或者申请从事人体器官移植，对有关医务人员责令暂停1年执业活动。</w:t>
            </w:r>
          </w:p>
        </w:tc>
      </w:tr>
      <w:tr w14:paraId="3D5A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783944F">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7457" w:type="dxa"/>
            <w:vAlign w:val="center"/>
          </w:tcPr>
          <w:p w14:paraId="346B4C6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医疗机构未办理人体器官移植诊疗科目登记，擅自从事人体器官移植的，有下列情形之一的:</w:t>
            </w:r>
          </w:p>
          <w:p w14:paraId="0A0F5B2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A．超出登记的诊疗科目范围的诊疗活动累计收入在1万元以上；</w:t>
            </w:r>
          </w:p>
          <w:p w14:paraId="6548654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B．造成患者死亡。</w:t>
            </w:r>
          </w:p>
        </w:tc>
        <w:tc>
          <w:tcPr>
            <w:tcW w:w="5277" w:type="dxa"/>
            <w:vAlign w:val="center"/>
          </w:tcPr>
          <w:p w14:paraId="32A1569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健康部门没收违法所得，并处违法所得20倍的罚款，还应当由原执业登记部门吊销该医疗机构的执业许可证或者由原备案部门责令其停止执业活动，并由原执业注册部门吊销有关医务人员的执业证书。</w:t>
            </w:r>
          </w:p>
        </w:tc>
      </w:tr>
    </w:tbl>
    <w:p w14:paraId="54B50292">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280" w:name="_Toc30776"/>
      <w:bookmarkStart w:id="3281" w:name="_Toc30034"/>
      <w:bookmarkStart w:id="3282" w:name="_Toc11547"/>
      <w:bookmarkStart w:id="3283" w:name="_Toc14027"/>
      <w:bookmarkStart w:id="3284" w:name="_Toc16870"/>
      <w:bookmarkStart w:id="3285" w:name="_Toc1563"/>
      <w:bookmarkStart w:id="3286" w:name="_Toc21311"/>
      <w:bookmarkStart w:id="3287" w:name="_Toc10236"/>
      <w:bookmarkStart w:id="3288" w:name="_Toc23518"/>
      <w:bookmarkStart w:id="3289" w:name="_Toc2028"/>
      <w:bookmarkStart w:id="3290" w:name="_Toc13989"/>
      <w:r>
        <w:rPr>
          <w:rFonts w:hint="eastAsia" w:cs="仿宋_GB2312"/>
          <w:bCs/>
          <w:color w:val="000000" w:themeColor="text1"/>
          <w14:textFill>
            <w14:solidFill>
              <w14:schemeClr w14:val="tx1"/>
            </w14:solidFill>
          </w14:textFill>
        </w:rPr>
        <w:t>第二百六十二条</w:t>
      </w:r>
      <w:r>
        <w:rPr>
          <w:rFonts w:hint="eastAsia" w:ascii="Times New Roman" w:hAnsi="Times New Roman" w:cs="仿宋_GB2312"/>
          <w:bCs/>
          <w:color w:val="000000" w:themeColor="text1"/>
          <w:kern w:val="0"/>
          <w14:textFill>
            <w14:solidFill>
              <w14:schemeClr w14:val="tx1"/>
            </w14:solidFill>
          </w14:textFill>
        </w:rPr>
        <w:t xml:space="preserve"> 从事人体器官移植的医师、医疗机构泄露人体器官捐献人、接受人或者申请人体器官移植手术患者个人资料的</w:t>
      </w:r>
      <w:bookmarkEnd w:id="3280"/>
      <w:bookmarkEnd w:id="3281"/>
      <w:bookmarkEnd w:id="3282"/>
      <w:bookmarkEnd w:id="3283"/>
      <w:bookmarkEnd w:id="3284"/>
      <w:bookmarkEnd w:id="3285"/>
      <w:bookmarkEnd w:id="3286"/>
      <w:bookmarkEnd w:id="3287"/>
      <w:bookmarkEnd w:id="3288"/>
      <w:bookmarkEnd w:id="3289"/>
      <w:bookmarkEnd w:id="3290"/>
    </w:p>
    <w:p w14:paraId="3B5DA54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14AE857">
      <w:pPr>
        <w:widowControl w:val="0"/>
        <w:numPr>
          <w:ilvl w:val="0"/>
          <w:numId w:val="9"/>
        </w:numPr>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《人体器官捐献和移植条例》第四十五条　人体器官捐献协调员、医疗机构及其工作人员违反本条例规定，泄露人体器官捐献人、接受人或者申请人体器官移植手术患者个人信息的，依照法律、行政法规关于个人信息保护的规定予以处罚；构成犯罪的，依法追究刑事责任。</w:t>
      </w:r>
    </w:p>
    <w:p w14:paraId="39568031">
      <w:pPr>
        <w:widowControl w:val="0"/>
        <w:numPr>
          <w:ilvl w:val="0"/>
          <w:numId w:val="9"/>
        </w:numPr>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《中华人民共和国医师法》第五十六条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法规定，医师在执业活动中有下列行为之一的，由县级以上人民政府卫生健康主管部门责令改正，给予警告，没收违法所得，并处一万元以上三万元以下的罚款；情节严重的，责令暂停六个月以上一年以下执业活动直至吊销医师执业证书：（一）泄露患者隐私或者个人信息；</w:t>
      </w:r>
    </w:p>
    <w:p w14:paraId="790D50A4">
      <w:pPr>
        <w:widowControl w:val="0"/>
        <w:numPr>
          <w:ilvl w:val="0"/>
          <w:numId w:val="9"/>
        </w:numPr>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《中华人民共和国基本医疗卫生与健康促进法》第一百零一条　违反本法规定，医疗卫生机构等的医疗信息安全制度、保障措施不健全，导致医疗信息泄露，或者医疗质量管理和医疗技术管理制度、安全措施不健全的，由县级以上人民政府卫生健康等主管部门责令改正，给予警告，并处一万元以上五万元以下的罚款；情节严重的，可以责令停止相应执业活动，对直接负责的主管人员和其他直接责任人员依法追究法律责任。</w:t>
      </w:r>
    </w:p>
    <w:p w14:paraId="6761E25E">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032"/>
        <w:gridCol w:w="5702"/>
      </w:tblGrid>
      <w:tr w14:paraId="0D5E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354D7DE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032" w:type="dxa"/>
          </w:tcPr>
          <w:p w14:paraId="6CDCBB2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702" w:type="dxa"/>
          </w:tcPr>
          <w:p w14:paraId="19E6FFE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FDD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9955E19">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7032" w:type="dxa"/>
            <w:vAlign w:val="center"/>
          </w:tcPr>
          <w:p w14:paraId="78F123C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从事人体器官移植的医师、医疗机构泄露人体器官捐献人、接受人或者申请人体器官移植手术患者个人资料的，未谋取利益的。</w:t>
            </w:r>
          </w:p>
        </w:tc>
        <w:tc>
          <w:tcPr>
            <w:tcW w:w="5702" w:type="dxa"/>
            <w:vAlign w:val="center"/>
          </w:tcPr>
          <w:p w14:paraId="7E2B317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医师在执业活动中泄露患者隐私或者个人信息的，由县级以上人民政府卫生健康主管部门责令改正，给予警告，没收违法所得，并处一万元以上二万元以下的罚款；</w:t>
            </w:r>
          </w:p>
          <w:p w14:paraId="627F454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等的医疗信息安全制度、保障措施不健全，导致医疗信息泄露，或者医疗质量管理和医疗技术管理制度、安全措施不健全的，由县级以上人民政府卫生健康等主管部门责令改正，给予警告，并处一万元以上三万元以下的罚款。</w:t>
            </w:r>
          </w:p>
        </w:tc>
      </w:tr>
      <w:tr w14:paraId="09F7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7AB28ED">
            <w:pPr>
              <w:widowControl w:val="0"/>
              <w:adjustRightInd/>
              <w:snapToGrid/>
              <w:spacing w:after="0" w:line="440" w:lineRule="exact"/>
              <w:jc w:val="center"/>
              <w:rPr>
                <w:rFonts w:hint="eastAsia" w:ascii="Times New Roman" w:hAnsi="Times New Roman" w:eastAsia="仿宋_GB2312"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较重</w:t>
            </w:r>
          </w:p>
        </w:tc>
        <w:tc>
          <w:tcPr>
            <w:tcW w:w="7032" w:type="dxa"/>
            <w:vAlign w:val="center"/>
          </w:tcPr>
          <w:p w14:paraId="68FE109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从事人体器官移植的医师、医疗机构泄露人体器官捐献人、接受人或者申请人体器官移植手术患者个人资料的，谋取利益的。</w:t>
            </w:r>
          </w:p>
        </w:tc>
        <w:tc>
          <w:tcPr>
            <w:tcW w:w="5702" w:type="dxa"/>
            <w:vAlign w:val="center"/>
          </w:tcPr>
          <w:p w14:paraId="7775B52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医师在执业活动中泄露患者隐私或者个人信息的，由县级以上人民政府卫生健康主管部门责令改正，给予警告，没收违法所得，并处二万元以上三万元以下的罚款；</w:t>
            </w:r>
          </w:p>
          <w:p w14:paraId="0C22A19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等的医疗信息安全制度、保障措施不健全，导致医疗信息泄露，或者医疗质量管理和医疗技术管理制度、安全措施不健全的，由县级以上人民政府卫生健康等主管部门责令改正，给予警告，并处三万元以上五万元以下的罚款。</w:t>
            </w:r>
          </w:p>
        </w:tc>
      </w:tr>
      <w:tr w14:paraId="5BE6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3EE330E">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7032" w:type="dxa"/>
            <w:vAlign w:val="center"/>
          </w:tcPr>
          <w:p w14:paraId="17AF668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从事人体器官移植的医师、医疗机构泄露人体器官捐献人、接受人或者申请人体器官移植手术患者个人资料的，谋取利益、造成严重后果的。</w:t>
            </w:r>
          </w:p>
        </w:tc>
        <w:tc>
          <w:tcPr>
            <w:tcW w:w="5702" w:type="dxa"/>
            <w:vAlign w:val="center"/>
          </w:tcPr>
          <w:p w14:paraId="0D6EA62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医师在执业活动中泄露患者隐私或者个人信息的，由县级以上人民政府卫生健康主管部门责令改正，给予警告，没收违法所得，并处三万元的罚款，情节严重的，责令暂停六个月以上一年以下执业活动：</w:t>
            </w:r>
          </w:p>
          <w:p w14:paraId="753E4FC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医疗卫生机构等的医疗信息安全制度、保障措施不健全，导致医疗信息泄露，或者医疗质量管理和医疗技术管理制度、安全措施不健全的，由县级以上人民政府卫生健康等主管部门责令改正，给予警告，并处五万元的罚款，情节严重的，可以责令停止相应执业活动。</w:t>
            </w:r>
          </w:p>
        </w:tc>
      </w:tr>
      <w:tr w14:paraId="1E99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D3E6F8E">
            <w:pPr>
              <w:widowControl w:val="0"/>
              <w:adjustRightInd/>
              <w:snapToGrid/>
              <w:spacing w:after="0" w:line="440" w:lineRule="exact"/>
              <w:jc w:val="center"/>
              <w:rPr>
                <w:rFonts w:hint="eastAsia" w:ascii="Times New Roman" w:hAnsi="Times New Roman" w:eastAsia="仿宋_GB2312"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特别严重</w:t>
            </w:r>
          </w:p>
        </w:tc>
        <w:tc>
          <w:tcPr>
            <w:tcW w:w="7032" w:type="dxa"/>
            <w:vAlign w:val="center"/>
          </w:tcPr>
          <w:p w14:paraId="48FC6A4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从事人体器官移植的医师、医疗机构泄露人体器官捐献人、接受人或者申请人体器官移植手术患者个人资料的，谋取利益、造成特别严重后果或恶劣社会影响的。</w:t>
            </w:r>
          </w:p>
        </w:tc>
        <w:tc>
          <w:tcPr>
            <w:tcW w:w="5702" w:type="dxa"/>
            <w:vAlign w:val="center"/>
          </w:tcPr>
          <w:p w14:paraId="7314669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医师在执业活动中泄露患者隐私或者个人信息的，由县级以上人民政府卫生健康主管部门责令改正，给予警告，没收违法所得，并处三万元的罚款，吊销医师执业证书：</w:t>
            </w:r>
          </w:p>
          <w:p w14:paraId="3CF8FD8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医疗卫生机构等的医疗信息安全制度、保障措施不健全，导致医疗信息泄露，或者医疗质量管理和医疗技术管理制度、安全措施不健全的，由县级以上人民政府卫生健康等主管部门责令改正，给予警告，并处五万元的罚款，情节严重的，可以责令停止相应执业活动</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tc>
      </w:tr>
    </w:tbl>
    <w:p w14:paraId="7CB79C00">
      <w:pPr>
        <w:widowControl w:val="0"/>
        <w:adjustRightInd/>
        <w:snapToGrid/>
        <w:spacing w:after="0" w:line="440" w:lineRule="exact"/>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723FB8A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291" w:name="_Toc9700"/>
      <w:bookmarkStart w:id="3292" w:name="_Toc28534"/>
      <w:bookmarkStart w:id="3293" w:name="_Toc22958"/>
      <w:bookmarkStart w:id="3294" w:name="_Toc29258"/>
      <w:bookmarkStart w:id="3295" w:name="_Toc27688"/>
      <w:bookmarkStart w:id="3296" w:name="_Toc14427"/>
      <w:bookmarkStart w:id="3297" w:name="_Toc16892"/>
      <w:bookmarkStart w:id="3298" w:name="_Toc12637"/>
      <w:bookmarkStart w:id="3299" w:name="_Toc12593"/>
      <w:bookmarkStart w:id="3300" w:name="_Toc3640"/>
      <w:bookmarkStart w:id="3301" w:name="_Toc9802"/>
      <w:r>
        <w:rPr>
          <w:rFonts w:hint="eastAsia" w:cs="仿宋_GB2312"/>
          <w:bCs/>
          <w:color w:val="000000" w:themeColor="text1"/>
          <w14:textFill>
            <w14:solidFill>
              <w14:schemeClr w14:val="tx1"/>
            </w14:solidFill>
          </w14:textFill>
        </w:rPr>
        <w:t>第二百六十三条</w:t>
      </w:r>
      <w:r>
        <w:rPr>
          <w:rFonts w:hint="eastAsia" w:ascii="Times New Roman" w:hAnsi="Times New Roman" w:cs="仿宋_GB2312"/>
          <w:bCs/>
          <w:color w:val="000000" w:themeColor="text1"/>
          <w:kern w:val="0"/>
          <w14:textFill>
            <w14:solidFill>
              <w14:schemeClr w14:val="tx1"/>
            </w14:solidFill>
          </w14:textFill>
        </w:rPr>
        <w:t xml:space="preserve"> 从事人体器官移植的护士泄露人体器官捐献人、接受人或者申请人体器官移植手术患者个人资料的</w:t>
      </w:r>
      <w:bookmarkEnd w:id="3291"/>
      <w:bookmarkEnd w:id="3292"/>
      <w:bookmarkEnd w:id="3293"/>
      <w:bookmarkEnd w:id="3294"/>
      <w:bookmarkEnd w:id="3295"/>
      <w:bookmarkEnd w:id="3296"/>
      <w:bookmarkEnd w:id="3297"/>
      <w:bookmarkEnd w:id="3298"/>
      <w:bookmarkEnd w:id="3299"/>
      <w:bookmarkEnd w:id="3300"/>
      <w:bookmarkEnd w:id="3301"/>
    </w:p>
    <w:p w14:paraId="39EE89E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5B5BC52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1.《人体器官捐献和移植条例》第四十五条　人体器官捐献协调员、医疗机构及其工作人员违反本条例规定，泄露人体器官捐献人、接受人或者申请人体器官移植手术患者个人信息的，依照法律、行政法规关于个人信息保护的规定予以处罚；构成犯罪的，依法追究刑事责任。</w:t>
      </w:r>
    </w:p>
    <w:p w14:paraId="396CA6D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2.《护士条例》第三十一条　护士在执业活动中有下列情形之一的，由县级以上地方人民政府卫生主管部门依据职责分工责令改正，给予警告；情节严重的，暂停其6个月以上1年以下执业活动，直至由原发证部门吊销其护士执业证书：(三)泄露患者隐私的；</w:t>
      </w:r>
    </w:p>
    <w:p w14:paraId="12322EA1">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032"/>
        <w:gridCol w:w="5702"/>
      </w:tblGrid>
      <w:tr w14:paraId="11E2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DF824D6">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7032" w:type="dxa"/>
            <w:vAlign w:val="center"/>
          </w:tcPr>
          <w:p w14:paraId="1E74C70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从事人体器官移植的护士泄露人体器官捐献人、接受人或者申请人体器官移植手术患者个人资料的，未谋取利益的。</w:t>
            </w:r>
          </w:p>
        </w:tc>
        <w:tc>
          <w:tcPr>
            <w:tcW w:w="5702" w:type="dxa"/>
            <w:vAlign w:val="center"/>
          </w:tcPr>
          <w:p w14:paraId="673A4E2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护士在执业活动中泄露患者隐私的，由县级以上地方人民政府卫生主管部门依据职责分工责令改正，给予警告。</w:t>
            </w:r>
          </w:p>
        </w:tc>
      </w:tr>
      <w:tr w14:paraId="6F79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249AC61">
            <w:pPr>
              <w:widowControl w:val="0"/>
              <w:adjustRightInd/>
              <w:snapToGrid/>
              <w:spacing w:after="0" w:line="440" w:lineRule="exact"/>
              <w:jc w:val="center"/>
              <w:rPr>
                <w:rFonts w:hint="eastAsia" w:ascii="Times New Roman" w:hAnsi="Times New Roman" w:eastAsia="仿宋_GB2312"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较严重</w:t>
            </w:r>
          </w:p>
        </w:tc>
        <w:tc>
          <w:tcPr>
            <w:tcW w:w="7032" w:type="dxa"/>
            <w:vAlign w:val="center"/>
          </w:tcPr>
          <w:p w14:paraId="6DD0361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从事人体器官移植护士泄露人体器官捐献人、接受人或者申请人体器官移植手术患者个人资料的，谋取利益的。</w:t>
            </w:r>
          </w:p>
        </w:tc>
        <w:tc>
          <w:tcPr>
            <w:tcW w:w="5702" w:type="dxa"/>
            <w:vAlign w:val="center"/>
          </w:tcPr>
          <w:p w14:paraId="0D76821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护士在执业活动中泄露患者隐私的，由县级以上地方人民政府卫生主管部门依据职责分工责令改正，给予警告，暂停其6个月以上9个月以下执业活动。</w:t>
            </w:r>
          </w:p>
        </w:tc>
      </w:tr>
      <w:tr w14:paraId="792F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8594174">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7032" w:type="dxa"/>
            <w:vAlign w:val="center"/>
          </w:tcPr>
          <w:p w14:paraId="6F3C439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从事人体器官移植的护士泄露人体器官捐献人、接受人或者申请人体器官移植手术患者个人资料的，谋取利益、造成严重后果的。</w:t>
            </w:r>
          </w:p>
        </w:tc>
        <w:tc>
          <w:tcPr>
            <w:tcW w:w="5702" w:type="dxa"/>
            <w:vAlign w:val="center"/>
          </w:tcPr>
          <w:p w14:paraId="651B39C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护士在执业活动中泄露患者隐私的，由县级以上地方人民政府卫生主管部门依据职责分工责令改正，给予警告，暂停其9个月以上1年以下执业活动。</w:t>
            </w:r>
          </w:p>
        </w:tc>
      </w:tr>
      <w:tr w14:paraId="6B5A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842D8B0">
            <w:pPr>
              <w:widowControl w:val="0"/>
              <w:adjustRightInd/>
              <w:snapToGrid/>
              <w:spacing w:after="0" w:line="440" w:lineRule="exact"/>
              <w:jc w:val="center"/>
              <w:rPr>
                <w:rFonts w:hint="eastAsia" w:ascii="Times New Roman" w:hAnsi="Times New Roman" w:eastAsia="仿宋_GB2312"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特别严重</w:t>
            </w:r>
          </w:p>
        </w:tc>
        <w:tc>
          <w:tcPr>
            <w:tcW w:w="7032" w:type="dxa"/>
            <w:vAlign w:val="center"/>
          </w:tcPr>
          <w:p w14:paraId="20E17A3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从事人体器官移植的护士泄露人体器官捐献人、接受人或者申请人体器官移植手术患者个人资料的，谋取利益、造成特别严重后果或恶劣社会影响的。</w:t>
            </w:r>
          </w:p>
        </w:tc>
        <w:tc>
          <w:tcPr>
            <w:tcW w:w="5702" w:type="dxa"/>
            <w:vAlign w:val="center"/>
          </w:tcPr>
          <w:p w14:paraId="08DBA7C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护士在执业活动中泄露患者隐私的，由县级以上地方人民政府卫生主管部门依据职责分工责令改正，给予警告，由原发证部门吊销其护士执业证书。</w:t>
            </w:r>
          </w:p>
        </w:tc>
      </w:tr>
    </w:tbl>
    <w:p w14:paraId="40A392E6">
      <w:pPr>
        <w:pStyle w:val="4"/>
        <w:widowControl w:val="0"/>
        <w:ind w:firstLine="640" w:firstLineChars="0"/>
        <w:jc w:val="both"/>
        <w:rPr>
          <w:rFonts w:hint="eastAsia" w:ascii="Times New Roman" w:hAnsi="Times New Roman" w:cs="仿宋_GB2312"/>
          <w:bCs/>
          <w:color w:val="000000" w:themeColor="text1"/>
          <w:kern w:val="0"/>
          <w14:textFill>
            <w14:solidFill>
              <w14:schemeClr w14:val="tx1"/>
            </w14:solidFill>
          </w14:textFill>
        </w:rPr>
      </w:pPr>
      <w:bookmarkStart w:id="3302" w:name="_Toc9558"/>
      <w:bookmarkStart w:id="3303" w:name="_Toc32172"/>
      <w:bookmarkStart w:id="3304" w:name="_Toc31269"/>
      <w:bookmarkStart w:id="3305" w:name="_Toc7473"/>
      <w:bookmarkStart w:id="3306" w:name="_Toc62"/>
      <w:bookmarkStart w:id="3307" w:name="_Toc32313"/>
      <w:bookmarkStart w:id="3308" w:name="_Toc12953"/>
      <w:bookmarkStart w:id="3309" w:name="_Toc12272"/>
      <w:bookmarkStart w:id="3310" w:name="_Toc9179"/>
      <w:bookmarkStart w:id="3311" w:name="_Toc32501"/>
      <w:bookmarkStart w:id="3312" w:name="_Toc63"/>
      <w:r>
        <w:rPr>
          <w:rFonts w:hint="eastAsia" w:cs="仿宋_GB2312"/>
          <w:bCs/>
          <w:color w:val="000000" w:themeColor="text1"/>
          <w14:textFill>
            <w14:solidFill>
              <w14:schemeClr w14:val="tx1"/>
            </w14:solidFill>
          </w14:textFill>
        </w:rPr>
        <w:t>第二百六十四条</w:t>
      </w:r>
      <w:r>
        <w:rPr>
          <w:rFonts w:hint="eastAsia" w:ascii="Times New Roman" w:hAnsi="Times New Roman" w:cs="仿宋_GB2312"/>
          <w:bCs/>
          <w:color w:val="000000" w:themeColor="text1"/>
          <w:kern w:val="0"/>
          <w14:textFill>
            <w14:solidFill>
              <w14:schemeClr w14:val="tx1"/>
            </w14:solidFill>
          </w14:textFill>
        </w:rPr>
        <w:t xml:space="preserve"> 医疗机构未经人体器官移植伦理委员会审查同意获取人体器官的</w:t>
      </w:r>
      <w:bookmarkEnd w:id="3302"/>
      <w:bookmarkEnd w:id="3303"/>
      <w:bookmarkEnd w:id="3304"/>
      <w:bookmarkEnd w:id="3305"/>
      <w:bookmarkEnd w:id="3306"/>
      <w:bookmarkEnd w:id="3307"/>
      <w:bookmarkEnd w:id="3308"/>
      <w:bookmarkEnd w:id="3309"/>
      <w:bookmarkEnd w:id="3310"/>
      <w:bookmarkEnd w:id="3311"/>
      <w:bookmarkEnd w:id="3312"/>
    </w:p>
    <w:p w14:paraId="2108565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3CADC1B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《人体器官捐献和移植条例》第四十二条第一款　医疗机构未经人体器官移植伦理委员会审查同意获取人体器官的，由县级以上地方人民政府卫生健康部门处20万元以上50万元以下的罚款，由原登记部门吊销该医疗机构的人体器官移植诊疗科目，禁止其3年内从事人体器官获取或者申请从事人体器官移植，并对负有责任的领导人员和直接责任人员依法给予处分；情节严重的，还应当由原执业登记部门吊销该医疗机构的执业许可证，并由原执业注册部门吊销有关医务人员的执业证书。</w:t>
      </w:r>
    </w:p>
    <w:p w14:paraId="2F95C06B">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882"/>
        <w:gridCol w:w="4852"/>
      </w:tblGrid>
      <w:tr w14:paraId="57ED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17EEE9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882" w:type="dxa"/>
          </w:tcPr>
          <w:p w14:paraId="4571CC3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852" w:type="dxa"/>
          </w:tcPr>
          <w:p w14:paraId="160AD48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603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15CF7B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882" w:type="dxa"/>
            <w:vAlign w:val="center"/>
          </w:tcPr>
          <w:p w14:paraId="2E06C056">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未经人体器官移植伦理委员会审查同意获取人体器官，例数在 2 例以下的。</w:t>
            </w:r>
          </w:p>
        </w:tc>
        <w:tc>
          <w:tcPr>
            <w:tcW w:w="4852" w:type="dxa"/>
            <w:vAlign w:val="center"/>
          </w:tcPr>
          <w:p w14:paraId="7A3A71E0">
            <w:pPr>
              <w:widowControl w:val="0"/>
              <w:adjustRightInd/>
              <w:snapToGrid/>
              <w:spacing w:after="0" w:line="29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由县级以上地方人民政府卫生健康部门处20万元以上35万元以下的罚款，由原登记部门吊销该医疗机构的人体器官移植诊疗科目，禁止其3年内从事人体器官获取或者申请从事人体器官移植。</w:t>
            </w:r>
          </w:p>
        </w:tc>
      </w:tr>
      <w:tr w14:paraId="0AE0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CB4C861">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882" w:type="dxa"/>
            <w:vAlign w:val="center"/>
          </w:tcPr>
          <w:p w14:paraId="1B2A7B92">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未经人体器官移植伦理委员会审查同意获取人体器官，例数在 3 例以上的。</w:t>
            </w:r>
          </w:p>
        </w:tc>
        <w:tc>
          <w:tcPr>
            <w:tcW w:w="4852" w:type="dxa"/>
            <w:vAlign w:val="center"/>
          </w:tcPr>
          <w:p w14:paraId="4981E7CE">
            <w:pPr>
              <w:widowControl w:val="0"/>
              <w:adjustRightInd/>
              <w:snapToGrid/>
              <w:spacing w:after="0" w:line="29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由县级以上地方人民政府卫生健康部门处35万元以上50万元以下的罚款，由原登记部门吊销该医疗机构的人体器官移植诊疗科目，禁止其3年内从事人体器官获取或者申请从事人体器官移植。</w:t>
            </w:r>
          </w:p>
        </w:tc>
      </w:tr>
      <w:tr w14:paraId="6B08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7D34D6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882" w:type="dxa"/>
            <w:vAlign w:val="center"/>
          </w:tcPr>
          <w:p w14:paraId="5859DB0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未经人体器官移植伦理委员会审查同意获取人体器官，对提供器官的人体造成伤害或者造成其他严重后果的。</w:t>
            </w:r>
          </w:p>
        </w:tc>
        <w:tc>
          <w:tcPr>
            <w:tcW w:w="4852" w:type="dxa"/>
            <w:vAlign w:val="center"/>
          </w:tcPr>
          <w:p w14:paraId="564079C0">
            <w:pPr>
              <w:widowControl w:val="0"/>
              <w:adjustRightInd/>
              <w:snapToGrid/>
              <w:spacing w:after="0" w:line="29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由县级以上地方人民政府卫生健康部门处50万元的罚款，由原执业登记部门吊销该医疗机构的执业许可证，并由原执业注册部门吊销有关医务人员的执业证书。</w:t>
            </w:r>
          </w:p>
        </w:tc>
      </w:tr>
    </w:tbl>
    <w:p w14:paraId="16DF7AD5">
      <w:pPr>
        <w:pStyle w:val="4"/>
        <w:widowControl w:val="0"/>
        <w:spacing w:line="470" w:lineRule="exact"/>
        <w:ind w:firstLine="640"/>
        <w:jc w:val="both"/>
        <w:rPr>
          <w:rFonts w:hint="eastAsia" w:ascii="Times New Roman" w:hAnsi="Times New Roman" w:cs="仿宋_GB2312"/>
          <w:bCs/>
          <w:color w:val="000000" w:themeColor="text1"/>
          <w:kern w:val="0"/>
          <w14:textFill>
            <w14:solidFill>
              <w14:schemeClr w14:val="tx1"/>
            </w14:solidFill>
          </w14:textFill>
        </w:rPr>
      </w:pPr>
      <w:bookmarkStart w:id="3313" w:name="_Toc28812"/>
      <w:bookmarkStart w:id="3314" w:name="_Toc29660"/>
      <w:bookmarkStart w:id="3315" w:name="_Toc23871"/>
      <w:bookmarkStart w:id="3316" w:name="_Toc14657"/>
      <w:bookmarkStart w:id="3317" w:name="_Toc26386"/>
      <w:bookmarkStart w:id="3318" w:name="_Toc10197"/>
      <w:bookmarkStart w:id="3319" w:name="_Toc26911"/>
      <w:bookmarkStart w:id="3320" w:name="_Toc24182"/>
      <w:bookmarkStart w:id="3321" w:name="_Toc15095"/>
      <w:bookmarkStart w:id="3322" w:name="_Toc22357"/>
      <w:bookmarkStart w:id="3323" w:name="_Toc22949"/>
      <w:r>
        <w:rPr>
          <w:rFonts w:hint="eastAsia" w:cs="仿宋_GB2312"/>
          <w:bCs/>
          <w:color w:val="000000" w:themeColor="text1"/>
          <w14:textFill>
            <w14:solidFill>
              <w14:schemeClr w14:val="tx1"/>
            </w14:solidFill>
          </w14:textFill>
        </w:rPr>
        <w:t>第二百六十五条</w:t>
      </w:r>
      <w:r>
        <w:rPr>
          <w:rFonts w:hint="eastAsia" w:ascii="Times New Roman" w:hAnsi="Times New Roman" w:cs="仿宋_GB2312"/>
          <w:bCs/>
          <w:color w:val="000000" w:themeColor="text1"/>
          <w:kern w:val="0"/>
          <w14:textFill>
            <w14:solidFill>
              <w14:schemeClr w14:val="tx1"/>
            </w14:solidFill>
          </w14:textFill>
        </w:rPr>
        <w:t xml:space="preserve"> 获取活体器官前未依照本条例第二十九条第一款的规定履行说明、查验、确认义务</w:t>
      </w:r>
      <w:bookmarkEnd w:id="3313"/>
      <w:bookmarkEnd w:id="3314"/>
      <w:bookmarkEnd w:id="3315"/>
      <w:bookmarkEnd w:id="3316"/>
      <w:bookmarkEnd w:id="3317"/>
      <w:bookmarkEnd w:id="3318"/>
      <w:bookmarkEnd w:id="3319"/>
      <w:bookmarkEnd w:id="3320"/>
      <w:bookmarkEnd w:id="3321"/>
      <w:bookmarkEnd w:id="3322"/>
      <w:bookmarkEnd w:id="3323"/>
    </w:p>
    <w:p w14:paraId="436E0D9E">
      <w:pPr>
        <w:widowControl w:val="0"/>
        <w:adjustRightInd/>
        <w:snapToGrid/>
        <w:spacing w:after="0" w:line="46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5FBA347C">
      <w:pPr>
        <w:widowControl w:val="0"/>
        <w:adjustRightInd/>
        <w:snapToGrid/>
        <w:spacing w:after="0" w:line="46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1.《人体器官捐献和移植条例》第四十条　医疗机构违反本条例规定，有下列情形之一的，由县级以上地方人民政府卫生健康部门没收违法所得，并处10万元以上50万元以下的罚款，对负有责任的领导人员和直接责任人员依法给予处分，对有关医务人员责令暂停6个月以上1年以下执业活动，并可以由原登记部门吊销该医疗机构的人体器官移植诊疗科目，禁止其3年内从事人体器官获取或者申请从事人体器官移植；情节严重的，还应当由原执业登记部门吊销该医疗机构的执业许可证或者由原备案部门责令其停止执业活动，并可以由原执业注册部门吊销有关医务人员的执业证书：（六）获取活体器官前未依照本条例第二十九条第一款的规定履行说明、查验、确认义务；</w:t>
      </w:r>
    </w:p>
    <w:p w14:paraId="3E63E8F7">
      <w:pPr>
        <w:widowControl w:val="0"/>
        <w:adjustRightInd/>
        <w:snapToGrid/>
        <w:spacing w:after="0" w:line="46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2.《人体器官捐献和移植条例》第二十九条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从事人体器官移植的医疗机构及其医务人员获取活体器官前，应当履行下列义务：</w:t>
      </w:r>
    </w:p>
    <w:p w14:paraId="5DC751EB">
      <w:pPr>
        <w:widowControl w:val="0"/>
        <w:adjustRightInd/>
        <w:snapToGrid/>
        <w:spacing w:after="0" w:line="46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向活体器官捐献人说明器官获取手术的风险、术后注意事项、可能发生的并发症及其预防措施等，并与活体器官捐献人签署知情同意书；（二）查验活体器官捐献人同意捐献其器官的书面意愿、活体器官捐献人与接受人存在本条例第十一条规定关系的证明材料；（三）确认除获取器官产生的直接后果外不会损害活体器官捐献人其他正常的生理功能。从事人体器官移植的医疗机构应当保存活体器官捐献人的医学资料，并进行随访。</w:t>
      </w:r>
    </w:p>
    <w:p w14:paraId="5CD56EFB">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315"/>
        <w:gridCol w:w="5419"/>
      </w:tblGrid>
      <w:tr w14:paraId="6602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C6F2C9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315" w:type="dxa"/>
          </w:tcPr>
          <w:p w14:paraId="7851F50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419" w:type="dxa"/>
          </w:tcPr>
          <w:p w14:paraId="799B7A6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028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9633C4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315" w:type="dxa"/>
            <w:vAlign w:val="center"/>
          </w:tcPr>
          <w:p w14:paraId="41BF833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获取活体器官前未依照本条例第二十九条第一款的规定履行说明、查验、确认义务，例数在 2 例以下的。</w:t>
            </w:r>
          </w:p>
        </w:tc>
        <w:tc>
          <w:tcPr>
            <w:tcW w:w="5419" w:type="dxa"/>
            <w:vAlign w:val="center"/>
          </w:tcPr>
          <w:p w14:paraId="2BB14AF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没收违法所得，并处10万元以上30万元以下的罚款，对有关医务人员责令暂停6个月以上9个月以下执业活动，并可以由原登记部门吊销该医疗机构的人体器官移植诊疗科目，禁止其3年内从事人体器官获取或者申请从事人体器官移植。</w:t>
            </w:r>
          </w:p>
        </w:tc>
      </w:tr>
      <w:tr w14:paraId="18F2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1FC5D1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315" w:type="dxa"/>
            <w:vAlign w:val="center"/>
          </w:tcPr>
          <w:p w14:paraId="2FAE989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获取活体器官前未依照本条例第二十九条第一款的规定履行说明、查验、确认义务，例数在 3 例以上的。</w:t>
            </w:r>
          </w:p>
        </w:tc>
        <w:tc>
          <w:tcPr>
            <w:tcW w:w="5419" w:type="dxa"/>
            <w:vAlign w:val="center"/>
          </w:tcPr>
          <w:p w14:paraId="223BF0B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没收违法所得，并处30万元以上50万元以下的罚款，对有关医务人员责令暂停9个月以上1年以下执业活动，并可以由原登记部门吊销该医疗机构的人体器官移植诊疗科目，禁止其3年内从事人体器官获取或者申请从事人体器官移植。</w:t>
            </w:r>
          </w:p>
        </w:tc>
      </w:tr>
      <w:tr w14:paraId="2776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F17A2FA">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315" w:type="dxa"/>
            <w:vAlign w:val="center"/>
          </w:tcPr>
          <w:p w14:paraId="61678F0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获取活体器官前未依照本条例第二十九条第一款的规定履行说明、查验、确认义务，对人体造成伤害或者造成其他严重后果的。</w:t>
            </w:r>
          </w:p>
        </w:tc>
        <w:tc>
          <w:tcPr>
            <w:tcW w:w="5419" w:type="dxa"/>
            <w:vAlign w:val="center"/>
          </w:tcPr>
          <w:p w14:paraId="2215181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没收违法所得，并处50万元的罚款，由原执业登记部门吊销该医疗机构的执业许可证或者由原备案部门责令其停止执业活动；对有关医务人员由原执业注册部门吊销有关医务人员的执业证书。</w:t>
            </w:r>
          </w:p>
        </w:tc>
      </w:tr>
    </w:tbl>
    <w:p w14:paraId="484C91AD">
      <w:pPr>
        <w:pStyle w:val="4"/>
        <w:widowControl w:val="0"/>
        <w:ind w:firstLine="640"/>
        <w:rPr>
          <w:rFonts w:hint="eastAsia" w:ascii="Times New Roman" w:hAnsi="Times New Roman" w:cs="仿宋"/>
          <w:bCs/>
          <w:color w:val="000000" w:themeColor="text1"/>
          <w:kern w:val="2"/>
          <w14:textFill>
            <w14:solidFill>
              <w14:schemeClr w14:val="tx1"/>
            </w14:solidFill>
          </w14:textFill>
        </w:rPr>
      </w:pPr>
      <w:bookmarkStart w:id="3324" w:name="_Toc28055"/>
      <w:bookmarkStart w:id="3325" w:name="_Toc15787"/>
      <w:bookmarkStart w:id="3326" w:name="_Toc23902"/>
      <w:bookmarkStart w:id="3327" w:name="_Toc12452"/>
      <w:bookmarkStart w:id="3328" w:name="_Toc27417"/>
      <w:bookmarkStart w:id="3329" w:name="_Toc24218"/>
      <w:bookmarkStart w:id="3330" w:name="_Toc19739"/>
      <w:bookmarkStart w:id="3331" w:name="_Toc15218"/>
      <w:bookmarkStart w:id="3332" w:name="_Toc8654"/>
      <w:bookmarkStart w:id="3333" w:name="_Toc16453"/>
      <w:bookmarkStart w:id="3334" w:name="_Toc16055"/>
      <w:r>
        <w:rPr>
          <w:rFonts w:hint="eastAsia" w:cs="仿宋_GB2312"/>
          <w:bCs/>
          <w:color w:val="000000" w:themeColor="text1"/>
          <w14:textFill>
            <w14:solidFill>
              <w14:schemeClr w14:val="tx1"/>
            </w14:solidFill>
          </w14:textFill>
        </w:rPr>
        <w:t>第二百六十六条</w:t>
      </w:r>
      <w:r>
        <w:rPr>
          <w:rFonts w:hint="eastAsia" w:ascii="Times New Roman" w:hAnsi="Times New Roman" w:cs="仿宋_GB2312"/>
          <w:bCs/>
          <w:color w:val="000000" w:themeColor="text1"/>
          <w:kern w:val="0"/>
          <w14:textFill>
            <w14:solidFill>
              <w14:schemeClr w14:val="tx1"/>
            </w14:solidFill>
          </w14:textFill>
        </w:rPr>
        <w:t xml:space="preserve"> 对摘取器官完毕的尸体未进行符合伦理原则的医学处理，恢复尸体原貌的</w:t>
      </w:r>
      <w:bookmarkEnd w:id="3324"/>
      <w:bookmarkEnd w:id="3325"/>
      <w:bookmarkEnd w:id="3326"/>
      <w:bookmarkEnd w:id="3327"/>
      <w:bookmarkEnd w:id="3328"/>
      <w:bookmarkEnd w:id="3329"/>
      <w:bookmarkEnd w:id="3330"/>
      <w:bookmarkEnd w:id="3331"/>
      <w:bookmarkEnd w:id="3332"/>
      <w:bookmarkEnd w:id="3333"/>
      <w:bookmarkEnd w:id="3334"/>
    </w:p>
    <w:p w14:paraId="645D211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4AAC84A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《人体器官捐献和移植条例》第四十三条　医疗机构违反本条例规定，有下列情形之一的，由县级以上地方人民政府卫生健康部门处5万元以上20万元以下的罚款，对负有责任的领导人员和直接责任人员依法给予处分；情节严重的，还应当由原登记部门吊销该医疗机构的人体器官移植诊疗科目，禁止其1年内从事人体器官获取或者申请从事人体器官移植，对有关医务人员责令暂停6个月以上1年以下执业活动：（三）获取器官后，未依照本条例第十九条第三款的规定对遗体进行符合伦理原则的医学处理，恢复遗体外观；</w:t>
      </w:r>
    </w:p>
    <w:p w14:paraId="2FB220B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《人体器官捐献和移植条例》第十九条第三款　从事遗体器官获取的医疗机构及其医务人员应当维护遗体器官捐献人的尊严；获取器官后，应当对遗体进行符合伦理原则的医学处理，除用于移植的器官以外，应当恢复遗体外观。</w:t>
      </w:r>
    </w:p>
    <w:p w14:paraId="1C88E193">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740"/>
        <w:gridCol w:w="4994"/>
      </w:tblGrid>
      <w:tr w14:paraId="675B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09A979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40" w:type="dxa"/>
          </w:tcPr>
          <w:p w14:paraId="7DD4361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994" w:type="dxa"/>
          </w:tcPr>
          <w:p w14:paraId="36AD3EC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CAC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12B2520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740" w:type="dxa"/>
            <w:vAlign w:val="center"/>
          </w:tcPr>
          <w:p w14:paraId="335D908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对摘取器官完毕的尸体未进行符合伦理原则的医学处理，恢复尸体原貌，例数在 2 例以下的。</w:t>
            </w:r>
          </w:p>
        </w:tc>
        <w:tc>
          <w:tcPr>
            <w:tcW w:w="4994" w:type="dxa"/>
            <w:vAlign w:val="center"/>
          </w:tcPr>
          <w:p w14:paraId="658D2E3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医疗机构由县级以上地方人民政府卫生健康部门处5万元以上12.5万元以下的罚款。</w:t>
            </w:r>
          </w:p>
        </w:tc>
      </w:tr>
      <w:tr w14:paraId="22B3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537EF2E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740" w:type="dxa"/>
            <w:vAlign w:val="center"/>
          </w:tcPr>
          <w:p w14:paraId="52179BE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对摘取器官完毕的尸体未进行符合伦理原则的医学处理，恢复尸体原貌，例数在 3 例以上的。</w:t>
            </w:r>
          </w:p>
        </w:tc>
        <w:tc>
          <w:tcPr>
            <w:tcW w:w="4994" w:type="dxa"/>
            <w:vAlign w:val="center"/>
          </w:tcPr>
          <w:p w14:paraId="3277AF6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医疗机构由县级以上地方人民政府卫生健康部门处12.5万元以上20万元以下的罚款。</w:t>
            </w:r>
          </w:p>
        </w:tc>
      </w:tr>
      <w:tr w14:paraId="673D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9BB5B2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740" w:type="dxa"/>
            <w:vAlign w:val="center"/>
          </w:tcPr>
          <w:p w14:paraId="7783DC1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对摘取器官完毕的尸体未进行符合伦理原则的医学处理，恢复尸体原貌，对人体造成伤害或者造成其他严重后果的。</w:t>
            </w:r>
          </w:p>
        </w:tc>
        <w:tc>
          <w:tcPr>
            <w:tcW w:w="4994" w:type="dxa"/>
            <w:vAlign w:val="center"/>
          </w:tcPr>
          <w:p w14:paraId="7E6249E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处20万元的罚款，由原登记部门吊销该医疗机构的人体器官移植诊疗科目，禁止其1年内从事人体器官获取或者申请从事人体器官移植，对有关医务人员责令暂停6个月以上1年以下执业活动。</w:t>
            </w:r>
          </w:p>
        </w:tc>
      </w:tr>
    </w:tbl>
    <w:p w14:paraId="1AB256E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335" w:name="_Toc12127"/>
      <w:bookmarkStart w:id="3336" w:name="_Toc12679"/>
      <w:bookmarkStart w:id="3337" w:name="_Toc10103"/>
      <w:bookmarkStart w:id="3338" w:name="_Toc11968"/>
      <w:bookmarkStart w:id="3339" w:name="_Toc28262"/>
      <w:bookmarkStart w:id="3340" w:name="_Toc17433"/>
      <w:bookmarkStart w:id="3341" w:name="_Toc1603"/>
      <w:bookmarkStart w:id="3342" w:name="_Toc30914"/>
      <w:bookmarkStart w:id="3343" w:name="_Toc22187"/>
      <w:bookmarkStart w:id="3344" w:name="_Toc1048"/>
      <w:bookmarkStart w:id="3345" w:name="_Toc6037"/>
      <w:r>
        <w:rPr>
          <w:rFonts w:hint="eastAsia" w:cs="仿宋_GB2312"/>
          <w:bCs/>
          <w:color w:val="000000" w:themeColor="text1"/>
          <w14:textFill>
            <w14:solidFill>
              <w14:schemeClr w14:val="tx1"/>
            </w14:solidFill>
          </w14:textFill>
        </w:rPr>
        <w:t>第二百六十七条</w:t>
      </w:r>
      <w:r>
        <w:rPr>
          <w:rFonts w:hint="eastAsia" w:ascii="Times New Roman" w:hAnsi="Times New Roman" w:cs="仿宋_GB2312"/>
          <w:bCs/>
          <w:color w:val="000000" w:themeColor="text1"/>
          <w:kern w:val="0"/>
          <w14:textFill>
            <w14:solidFill>
              <w14:schemeClr w14:val="tx1"/>
            </w14:solidFill>
          </w14:textFill>
        </w:rPr>
        <w:t xml:space="preserve"> 从事人体器官获取、移植的医务人员参与尸体器官捐献人的死亡判定的</w:t>
      </w:r>
      <w:bookmarkEnd w:id="3335"/>
      <w:bookmarkEnd w:id="3336"/>
      <w:bookmarkEnd w:id="3337"/>
      <w:bookmarkEnd w:id="3338"/>
      <w:bookmarkEnd w:id="3339"/>
      <w:bookmarkEnd w:id="3340"/>
      <w:bookmarkEnd w:id="3341"/>
      <w:bookmarkEnd w:id="3342"/>
      <w:bookmarkEnd w:id="3343"/>
      <w:bookmarkEnd w:id="3344"/>
      <w:bookmarkEnd w:id="3345"/>
    </w:p>
    <w:p w14:paraId="4CF253B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6FDBA47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《人体器官捐献和移植条例》第四十条　医疗机构违反本条例规定，有下列情形之一的，由县级以上地方人民政府卫生健康部门没收违法所得，并处10万元以上50万元以下的罚款，对负有责任的领导人员和直接责任人员依法给予处分，对有关医务人员责令暂停6个月以上1年以下执业活动，并可以由原登记部门吊销该医疗机构的人体器官移植诊疗科目，禁止其3年内从事人体器官获取或者申请从事人体器官移植；情节严重的，还应当由原执业登记部门吊销该医疗机构的执业许可证或者由原备案部门责令其停止执业活动，并可以由原执业注册部门吊销有关医务人员的执业证书：（三）从事人体器官获取、移植的医务人员参与遗体器官捐献人的死亡判定；</w:t>
      </w:r>
    </w:p>
    <w:p w14:paraId="437D83DF">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315"/>
        <w:gridCol w:w="5419"/>
      </w:tblGrid>
      <w:tr w14:paraId="36A5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1616A41B">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315" w:type="dxa"/>
          </w:tcPr>
          <w:p w14:paraId="58ED1DA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419" w:type="dxa"/>
          </w:tcPr>
          <w:p w14:paraId="20A133A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1D3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083BCF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315" w:type="dxa"/>
            <w:vAlign w:val="center"/>
          </w:tcPr>
          <w:p w14:paraId="302EB26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从事人体器官获取、移植的医务人员参与尸体器官捐献人的死亡判定的，未造成危害后果的义务，例数在 2 例以下的。</w:t>
            </w:r>
          </w:p>
        </w:tc>
        <w:tc>
          <w:tcPr>
            <w:tcW w:w="5419" w:type="dxa"/>
            <w:vAlign w:val="center"/>
          </w:tcPr>
          <w:p w14:paraId="1212E89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没收违法所得，并处10万元以上30万元以下的罚款，对有关医务人员责令暂停6个月以上9个月以下执业活动，并可以由原登记部门吊销该医疗机构的人体器官移植诊疗科目，禁止其3年内从事人体器官获取或者申请从事人体器官移植。</w:t>
            </w:r>
          </w:p>
        </w:tc>
      </w:tr>
      <w:tr w14:paraId="79AA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DB94B7A">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315" w:type="dxa"/>
            <w:vAlign w:val="center"/>
          </w:tcPr>
          <w:p w14:paraId="0F42B8A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从事人体器官获取、移植的医务人员参与尸体器官捐献人的死亡判定的，曾因此受到过行政处罚的或者造成危害后果的。</w:t>
            </w:r>
          </w:p>
        </w:tc>
        <w:tc>
          <w:tcPr>
            <w:tcW w:w="5419" w:type="dxa"/>
            <w:vAlign w:val="center"/>
          </w:tcPr>
          <w:p w14:paraId="5E5BF5E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没收违法所得，并处30万元以上50万元以下的罚款，对有关医务人员责令暂停9个月以上1年以下执业活动，并可以由原登记部门吊销该医疗机构的人体器官移植诊疗科目，禁止其3年内从事人体器官获取或者申请从事人体器官移植。</w:t>
            </w:r>
          </w:p>
        </w:tc>
      </w:tr>
      <w:tr w14:paraId="182B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2B9120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315" w:type="dxa"/>
            <w:vAlign w:val="center"/>
          </w:tcPr>
          <w:p w14:paraId="25A1267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从事人体器官获取、移植的医务人员参与尸体器官捐献人的死亡判定的，曾因此受到过三次以上行政处罚的或者造成严重危害后果的。</w:t>
            </w:r>
          </w:p>
        </w:tc>
        <w:tc>
          <w:tcPr>
            <w:tcW w:w="5419" w:type="dxa"/>
            <w:vAlign w:val="center"/>
          </w:tcPr>
          <w:p w14:paraId="1341316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由县级以上地方人民政府卫生健康部门没收违法所得，并处50万元的罚款，由原执业登记部门吊销该医疗机构的执业许可证或者由原备案部门责令其停止执业活动；对有关医务人员由原执业注册部门吊销有关医务人员的执业证书。</w:t>
            </w:r>
          </w:p>
        </w:tc>
      </w:tr>
    </w:tbl>
    <w:p w14:paraId="56FFEF52">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346" w:name="_Toc22573"/>
      <w:bookmarkStart w:id="3347" w:name="_Toc4607"/>
      <w:bookmarkStart w:id="3348" w:name="_Toc1585"/>
      <w:bookmarkStart w:id="3349" w:name="_Toc9941"/>
      <w:bookmarkStart w:id="3350" w:name="_Toc20093"/>
      <w:bookmarkStart w:id="3351" w:name="_Toc18770"/>
      <w:bookmarkStart w:id="3352" w:name="_Toc793"/>
      <w:bookmarkStart w:id="3353" w:name="_Toc24228"/>
      <w:bookmarkStart w:id="3354" w:name="_Toc12417"/>
      <w:bookmarkStart w:id="3355" w:name="_Toc134"/>
      <w:bookmarkStart w:id="3356" w:name="_Toc4153"/>
      <w:bookmarkStart w:id="3357" w:name="_Toc6980"/>
      <w:bookmarkStart w:id="3358" w:name="_Toc32328"/>
      <w:r>
        <w:rPr>
          <w:rFonts w:hint="eastAsia" w:ascii="Times New Roman" w:hAnsi="Times New Roman" w:eastAsia="楷体_GB2312" w:cs="楷体_GB2312"/>
          <w:bCs w:val="0"/>
          <w:color w:val="000000" w:themeColor="text1"/>
          <w:kern w:val="2"/>
          <w14:textFill>
            <w14:solidFill>
              <w14:schemeClr w14:val="tx1"/>
            </w14:solidFill>
          </w14:textFill>
        </w:rPr>
        <w:t>（十八）《医疗事故处理条例》</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14:paraId="543DAA9D">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359" w:name="_Toc2318"/>
      <w:bookmarkStart w:id="3360" w:name="_Toc31562"/>
      <w:bookmarkStart w:id="3361" w:name="_Toc28585"/>
      <w:bookmarkStart w:id="3362" w:name="_Toc2814"/>
      <w:bookmarkStart w:id="3363" w:name="_Toc23136"/>
      <w:bookmarkStart w:id="3364" w:name="_Toc11298"/>
      <w:bookmarkStart w:id="3365" w:name="_Toc30353"/>
      <w:bookmarkStart w:id="3366" w:name="_Toc2224"/>
      <w:bookmarkStart w:id="3367" w:name="_Toc21807"/>
      <w:bookmarkStart w:id="3368" w:name="_Toc2266"/>
      <w:bookmarkStart w:id="3369" w:name="_Toc7103"/>
      <w:r>
        <w:rPr>
          <w:rFonts w:hint="eastAsia" w:cs="仿宋_GB2312"/>
          <w:bCs/>
          <w:color w:val="000000" w:themeColor="text1"/>
          <w14:textFill>
            <w14:solidFill>
              <w14:schemeClr w14:val="tx1"/>
            </w14:solidFill>
          </w14:textFill>
        </w:rPr>
        <w:t>第二百六十八条</w:t>
      </w:r>
      <w:r>
        <w:rPr>
          <w:rFonts w:hint="eastAsia" w:ascii="Times New Roman" w:hAnsi="Times New Roman" w:cs="仿宋_GB2312"/>
          <w:bCs/>
          <w:color w:val="000000" w:themeColor="text1"/>
          <w:kern w:val="0"/>
          <w14:textFill>
            <w14:solidFill>
              <w14:schemeClr w14:val="tx1"/>
            </w14:solidFill>
          </w14:textFill>
        </w:rPr>
        <w:t xml:space="preserve"> 医疗机构发生医疗事故的</w:t>
      </w:r>
      <w:bookmarkEnd w:id="3359"/>
      <w:bookmarkEnd w:id="3360"/>
      <w:bookmarkEnd w:id="3361"/>
      <w:bookmarkEnd w:id="3362"/>
      <w:bookmarkEnd w:id="3363"/>
      <w:bookmarkEnd w:id="3364"/>
      <w:bookmarkEnd w:id="3365"/>
      <w:bookmarkEnd w:id="3366"/>
      <w:bookmarkEnd w:id="3367"/>
      <w:bookmarkEnd w:id="3368"/>
      <w:bookmarkEnd w:id="3369"/>
    </w:p>
    <w:p w14:paraId="34C403E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DA8481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《医疗事故处理条例》第五十五条第一款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发生医疗事故的，由卫生行政部门根据医疗事故等级和情节，给予警告；情节严重的，责令限期停业整顿直至由原发证部门吊销执业许可证，对负有责任的医务人员依照刑法关于医疗事故罪的规定，依法追究刑事责任；尚不够刑事处罚的，依法给予行政处分或者纪律处分。</w:t>
      </w:r>
    </w:p>
    <w:p w14:paraId="0C8F87D4">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221"/>
        <w:gridCol w:w="4401"/>
      </w:tblGrid>
      <w:tr w14:paraId="4607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418" w:type="dxa"/>
            <w:vAlign w:val="center"/>
          </w:tcPr>
          <w:p w14:paraId="6F64F3A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221" w:type="dxa"/>
            <w:vAlign w:val="center"/>
          </w:tcPr>
          <w:p w14:paraId="20645E7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401" w:type="dxa"/>
            <w:vAlign w:val="center"/>
          </w:tcPr>
          <w:p w14:paraId="5DF1B86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DF9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18" w:type="dxa"/>
            <w:vAlign w:val="center"/>
          </w:tcPr>
          <w:p w14:paraId="709EBE35">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8221" w:type="dxa"/>
            <w:vAlign w:val="center"/>
          </w:tcPr>
          <w:p w14:paraId="22E87656">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三级以上医疗事故且负次要以上责任的。</w:t>
            </w:r>
          </w:p>
        </w:tc>
        <w:tc>
          <w:tcPr>
            <w:tcW w:w="4401" w:type="dxa"/>
            <w:vAlign w:val="center"/>
          </w:tcPr>
          <w:p w14:paraId="5FAA9D0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1D75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418" w:type="dxa"/>
            <w:vAlign w:val="center"/>
          </w:tcPr>
          <w:p w14:paraId="11D8B20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221" w:type="dxa"/>
            <w:vAlign w:val="center"/>
          </w:tcPr>
          <w:p w14:paraId="08CFE47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有下列情形之一的：经警告处罚，仍未采取有效防范措施的；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一年内发生三起以上医疗事故，并均负主要责任以上的；</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造成不良社会影响的。</w:t>
            </w:r>
          </w:p>
        </w:tc>
        <w:tc>
          <w:tcPr>
            <w:tcW w:w="4401" w:type="dxa"/>
            <w:vAlign w:val="center"/>
          </w:tcPr>
          <w:p w14:paraId="204D26A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责令限期停业整顿。</w:t>
            </w:r>
          </w:p>
        </w:tc>
      </w:tr>
      <w:tr w14:paraId="5EEB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418" w:type="dxa"/>
            <w:vAlign w:val="center"/>
          </w:tcPr>
          <w:p w14:paraId="618873D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8221" w:type="dxa"/>
            <w:vAlign w:val="center"/>
          </w:tcPr>
          <w:p w14:paraId="1DDB0EE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一年内发生三起以上医疗事故，并均负完全责任的，或由此</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造成恶劣社会影响的。</w:t>
            </w:r>
          </w:p>
        </w:tc>
        <w:tc>
          <w:tcPr>
            <w:tcW w:w="4401" w:type="dxa"/>
            <w:vAlign w:val="center"/>
          </w:tcPr>
          <w:p w14:paraId="4C6A17E3">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吊销执业许可证。</w:t>
            </w:r>
          </w:p>
        </w:tc>
      </w:tr>
    </w:tbl>
    <w:p w14:paraId="2A05943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370" w:name="_Toc26186"/>
      <w:bookmarkStart w:id="3371" w:name="_Toc5688"/>
      <w:bookmarkStart w:id="3372" w:name="_Toc2235"/>
      <w:bookmarkStart w:id="3373" w:name="_Toc16946"/>
      <w:bookmarkStart w:id="3374" w:name="_Toc6389"/>
      <w:bookmarkStart w:id="3375" w:name="_Toc13861"/>
      <w:bookmarkStart w:id="3376" w:name="_Toc21557"/>
      <w:bookmarkStart w:id="3377" w:name="_Toc7768"/>
      <w:bookmarkStart w:id="3378" w:name="_Toc3153"/>
      <w:bookmarkStart w:id="3379" w:name="_Toc6512"/>
      <w:bookmarkStart w:id="3380" w:name="_Toc2242"/>
      <w:r>
        <w:rPr>
          <w:rFonts w:hint="eastAsia" w:cs="仿宋_GB2312"/>
          <w:bCs/>
          <w:color w:val="000000" w:themeColor="text1"/>
          <w14:textFill>
            <w14:solidFill>
              <w14:schemeClr w14:val="tx1"/>
            </w14:solidFill>
          </w14:textFill>
        </w:rPr>
        <w:t>第二百六十九条</w:t>
      </w:r>
      <w:r>
        <w:rPr>
          <w:rFonts w:hint="eastAsia" w:ascii="Times New Roman" w:hAnsi="Times New Roman" w:cs="仿宋_GB2312"/>
          <w:bCs/>
          <w:color w:val="000000" w:themeColor="text1"/>
          <w:kern w:val="0"/>
          <w14:textFill>
            <w14:solidFill>
              <w14:schemeClr w14:val="tx1"/>
            </w14:solidFill>
          </w14:textFill>
        </w:rPr>
        <w:t xml:space="preserve"> 有关医务人员发生医疗事故的</w:t>
      </w:r>
      <w:bookmarkEnd w:id="3370"/>
      <w:bookmarkEnd w:id="3371"/>
      <w:bookmarkEnd w:id="3372"/>
      <w:bookmarkEnd w:id="3373"/>
      <w:bookmarkEnd w:id="3374"/>
      <w:bookmarkEnd w:id="3375"/>
      <w:bookmarkEnd w:id="3376"/>
      <w:bookmarkEnd w:id="3377"/>
      <w:bookmarkEnd w:id="3378"/>
      <w:bookmarkEnd w:id="3379"/>
      <w:bookmarkEnd w:id="3380"/>
    </w:p>
    <w:p w14:paraId="69E9BA0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CE0231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《医疗事故处理条例》第五十五条第二款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对发生医疗事故的有关医务人员，除依照前款处罚外，卫生行政部门并可以责令暂停 6 个月以上 1年以下执业活动；情节严重的，吊销其执业证书。</w:t>
      </w:r>
    </w:p>
    <w:p w14:paraId="4B960206">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57"/>
        <w:gridCol w:w="5277"/>
      </w:tblGrid>
      <w:tr w14:paraId="6B04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5F7699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57" w:type="dxa"/>
          </w:tcPr>
          <w:p w14:paraId="0901102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277" w:type="dxa"/>
          </w:tcPr>
          <w:p w14:paraId="4FA56DD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507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D9DEFC8">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7457" w:type="dxa"/>
            <w:vAlign w:val="center"/>
          </w:tcPr>
          <w:p w14:paraId="59230E5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459D2F8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1.造成三、四级医疗事故由医疗机构负主要责任的有关医务人员；</w:t>
            </w:r>
          </w:p>
          <w:p w14:paraId="484106C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2.造成一、二级医疗事故由医疗机构负次要责任的有关医务人员。</w:t>
            </w:r>
          </w:p>
        </w:tc>
        <w:tc>
          <w:tcPr>
            <w:tcW w:w="5277" w:type="dxa"/>
            <w:vAlign w:val="center"/>
          </w:tcPr>
          <w:p w14:paraId="2DA11BA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32A7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440" w:type="dxa"/>
            <w:vAlign w:val="center"/>
          </w:tcPr>
          <w:p w14:paraId="200E94B4">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较重</w:t>
            </w:r>
          </w:p>
        </w:tc>
        <w:tc>
          <w:tcPr>
            <w:tcW w:w="7457" w:type="dxa"/>
            <w:vAlign w:val="center"/>
          </w:tcPr>
          <w:p w14:paraId="1F40A46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64F971B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1.造成三、四级医疗事故由医疗机构负完全责任的有关医务人员；</w:t>
            </w:r>
          </w:p>
          <w:p w14:paraId="040B5DC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2.造成一、二级医疗事故由医疗机构负主要责任的有关医务人员。</w:t>
            </w:r>
          </w:p>
        </w:tc>
        <w:tc>
          <w:tcPr>
            <w:tcW w:w="5277" w:type="dxa"/>
            <w:vAlign w:val="center"/>
          </w:tcPr>
          <w:p w14:paraId="203FF73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可以责令暂停执业 6-9 个月。</w:t>
            </w:r>
          </w:p>
        </w:tc>
      </w:tr>
      <w:tr w14:paraId="2627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440" w:type="dxa"/>
            <w:vAlign w:val="center"/>
          </w:tcPr>
          <w:p w14:paraId="3136663C">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7457" w:type="dxa"/>
            <w:vAlign w:val="center"/>
          </w:tcPr>
          <w:p w14:paraId="0A83739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造成一、二级医疗事故由医疗机构负完全责任的有关医务人员。</w:t>
            </w:r>
          </w:p>
        </w:tc>
        <w:tc>
          <w:tcPr>
            <w:tcW w:w="5277" w:type="dxa"/>
            <w:vAlign w:val="center"/>
          </w:tcPr>
          <w:p w14:paraId="5FC3800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可以责令暂停执业 10 个月以上 12 个月以下。</w:t>
            </w:r>
          </w:p>
        </w:tc>
      </w:tr>
      <w:tr w14:paraId="65FA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40" w:type="dxa"/>
            <w:vAlign w:val="center"/>
          </w:tcPr>
          <w:p w14:paraId="4DDEC3E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7457" w:type="dxa"/>
            <w:vAlign w:val="center"/>
          </w:tcPr>
          <w:p w14:paraId="149A71B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 年内连续 2 次造成一、二级医疗事故并负完全责任的有关医务人员。</w:t>
            </w:r>
          </w:p>
        </w:tc>
        <w:tc>
          <w:tcPr>
            <w:tcW w:w="5277" w:type="dxa"/>
            <w:vAlign w:val="center"/>
          </w:tcPr>
          <w:p w14:paraId="7E7953F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吊销其执业证书。</w:t>
            </w:r>
          </w:p>
        </w:tc>
      </w:tr>
    </w:tbl>
    <w:p w14:paraId="2156D06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381" w:name="_Toc6158"/>
      <w:bookmarkStart w:id="3382" w:name="_Toc20627"/>
      <w:bookmarkStart w:id="3383" w:name="_Toc24620"/>
      <w:bookmarkStart w:id="3384" w:name="_Toc16516"/>
      <w:bookmarkStart w:id="3385" w:name="_Toc27819"/>
      <w:bookmarkStart w:id="3386" w:name="_Toc10286"/>
      <w:bookmarkStart w:id="3387" w:name="_Toc11789"/>
      <w:bookmarkStart w:id="3388" w:name="_Toc23886"/>
      <w:bookmarkStart w:id="3389" w:name="_Toc15209"/>
      <w:bookmarkStart w:id="3390" w:name="_Toc17829"/>
      <w:bookmarkStart w:id="3391" w:name="_Toc29056"/>
      <w:r>
        <w:rPr>
          <w:rFonts w:hint="eastAsia" w:cs="仿宋_GB2312"/>
          <w:bCs/>
          <w:color w:val="000000" w:themeColor="text1"/>
          <w14:textFill>
            <w14:solidFill>
              <w14:schemeClr w14:val="tx1"/>
            </w14:solidFill>
          </w14:textFill>
        </w:rPr>
        <w:t>第二百七十条</w:t>
      </w:r>
      <w:r>
        <w:rPr>
          <w:rFonts w:hint="eastAsia" w:ascii="Times New Roman" w:hAnsi="Times New Roman" w:cs="仿宋_GB2312"/>
          <w:bCs/>
          <w:color w:val="000000" w:themeColor="text1"/>
          <w:kern w:val="0"/>
          <w14:textFill>
            <w14:solidFill>
              <w14:schemeClr w14:val="tx1"/>
            </w14:solidFill>
          </w14:textFill>
        </w:rPr>
        <w:t xml:space="preserve"> 违反《医疗事故处理条例》的规定，承担尸检任务的机构没有正当理由，拒绝进行尸检的</w:t>
      </w:r>
      <w:bookmarkEnd w:id="3381"/>
      <w:bookmarkEnd w:id="3382"/>
      <w:bookmarkEnd w:id="3383"/>
      <w:bookmarkEnd w:id="3384"/>
      <w:bookmarkEnd w:id="3385"/>
      <w:bookmarkEnd w:id="3386"/>
      <w:bookmarkEnd w:id="3387"/>
      <w:bookmarkEnd w:id="3388"/>
      <w:bookmarkEnd w:id="3389"/>
      <w:bookmarkEnd w:id="3390"/>
      <w:bookmarkEnd w:id="3391"/>
    </w:p>
    <w:p w14:paraId="6292B2A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0B66BC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《医疗事故处理条例》第五十八条第（一）项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或者其他有关机构违反本条例的规定，有下列情形之一的，由卫生行政部门责令改正，给予警告；对负有责任的主管人员和其他直接责任人员依法给予行政处分和纪律处分；情节严重的，由原发证部门吊销其执业证书或者资格证书：</w:t>
      </w:r>
    </w:p>
    <w:p w14:paraId="74F310B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（一）承担尸检任务的机构没有正当理由，拒绝进行尸检的；</w:t>
      </w:r>
    </w:p>
    <w:p w14:paraId="09320952">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315"/>
        <w:gridCol w:w="5419"/>
      </w:tblGrid>
      <w:tr w14:paraId="4747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6A12E07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315" w:type="dxa"/>
          </w:tcPr>
          <w:p w14:paraId="25FDBE3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419" w:type="dxa"/>
          </w:tcPr>
          <w:p w14:paraId="2AA8DD1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431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655EA5DE">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7315" w:type="dxa"/>
            <w:vAlign w:val="center"/>
          </w:tcPr>
          <w:p w14:paraId="765DFC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违反《医疗事故处理条例》的规定，承担尸检任务的机构没有正当理由，拒绝进行尸检的。</w:t>
            </w:r>
          </w:p>
        </w:tc>
        <w:tc>
          <w:tcPr>
            <w:tcW w:w="5419" w:type="dxa"/>
            <w:vAlign w:val="center"/>
          </w:tcPr>
          <w:p w14:paraId="4E71076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由卫生行政部门给予警告。</w:t>
            </w:r>
          </w:p>
        </w:tc>
      </w:tr>
      <w:tr w14:paraId="44FF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72EA0695">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7315" w:type="dxa"/>
            <w:vAlign w:val="center"/>
          </w:tcPr>
          <w:p w14:paraId="183E8C6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违反《医疗事故处理条例》的规定，承担尸检任务的机构没有正当理由，拒绝进行尸检造成严重后果的。</w:t>
            </w:r>
          </w:p>
        </w:tc>
        <w:tc>
          <w:tcPr>
            <w:tcW w:w="5419" w:type="dxa"/>
            <w:vAlign w:val="center"/>
          </w:tcPr>
          <w:p w14:paraId="17A8440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由原发证部门吊销其执业证书或者资格证书。</w:t>
            </w:r>
          </w:p>
        </w:tc>
      </w:tr>
    </w:tbl>
    <w:p w14:paraId="3441D554">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392" w:name="_Toc1799"/>
      <w:bookmarkStart w:id="3393" w:name="_Toc24004"/>
      <w:bookmarkStart w:id="3394" w:name="_Toc27835"/>
      <w:bookmarkStart w:id="3395" w:name="_Toc22248"/>
      <w:bookmarkStart w:id="3396" w:name="_Toc13769"/>
      <w:bookmarkStart w:id="3397" w:name="_Toc10908"/>
      <w:bookmarkStart w:id="3398" w:name="_Toc22160"/>
      <w:bookmarkStart w:id="3399" w:name="_Toc14316"/>
      <w:bookmarkStart w:id="3400" w:name="_Toc4934"/>
      <w:bookmarkStart w:id="3401" w:name="_Toc23677"/>
      <w:bookmarkStart w:id="3402" w:name="_Toc30250"/>
      <w:r>
        <w:rPr>
          <w:rFonts w:hint="eastAsia" w:cs="仿宋_GB2312"/>
          <w:bCs/>
          <w:color w:val="000000" w:themeColor="text1"/>
          <w14:textFill>
            <w14:solidFill>
              <w14:schemeClr w14:val="tx1"/>
            </w14:solidFill>
          </w14:textFill>
        </w:rPr>
        <w:t>第二百七十一条</w:t>
      </w:r>
      <w:r>
        <w:rPr>
          <w:rFonts w:hint="eastAsia" w:ascii="Times New Roman" w:hAnsi="Times New Roman" w:cs="仿宋_GB2312"/>
          <w:bCs/>
          <w:color w:val="000000" w:themeColor="text1"/>
          <w:kern w:val="0"/>
          <w14:textFill>
            <w14:solidFill>
              <w14:schemeClr w14:val="tx1"/>
            </w14:solidFill>
          </w14:textFill>
        </w:rPr>
        <w:t xml:space="preserve"> 医疗机构或者其他有关机构违反《医疗事故处理条例》的规定，涂改、伪造、隐匿、销毁病历资料的</w:t>
      </w:r>
      <w:bookmarkEnd w:id="3392"/>
      <w:bookmarkEnd w:id="3393"/>
      <w:bookmarkEnd w:id="3394"/>
      <w:bookmarkEnd w:id="3395"/>
      <w:bookmarkEnd w:id="3396"/>
      <w:bookmarkEnd w:id="3397"/>
      <w:bookmarkEnd w:id="3398"/>
      <w:bookmarkEnd w:id="3399"/>
      <w:bookmarkEnd w:id="3400"/>
      <w:bookmarkEnd w:id="3401"/>
      <w:bookmarkEnd w:id="3402"/>
    </w:p>
    <w:p w14:paraId="279C403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AA04D9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《医疗事故处理条例》第五十八条第（二）项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或者其他有关机构违反本条例的规定，有下列情形之一的，由卫生行政部门责令改正，给予警告；对负有责任的主管人员和其他直接责任人员依法给予行政处分和纪律处分；情节严重的，由原发证部门吊销其执业证书或者资格证书：</w:t>
      </w:r>
    </w:p>
    <w:p w14:paraId="54AE3EE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（二）涂改、伪造、隐匿、销毁病历资料的。</w:t>
      </w:r>
    </w:p>
    <w:p w14:paraId="526C89C3">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7FC0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tcPr>
          <w:p w14:paraId="5C214B7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6DB25E2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68EE451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FDA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40" w:type="dxa"/>
            <w:vAlign w:val="center"/>
          </w:tcPr>
          <w:p w14:paraId="40359FE4">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5595" w:type="dxa"/>
            <w:vAlign w:val="center"/>
          </w:tcPr>
          <w:p w14:paraId="51A6DCA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医疗机构或者其他有关机构违反本条例的规定，涂改、伪造、隐匿、销毁病历资料的。</w:t>
            </w:r>
          </w:p>
        </w:tc>
        <w:tc>
          <w:tcPr>
            <w:tcW w:w="7139" w:type="dxa"/>
            <w:vAlign w:val="center"/>
          </w:tcPr>
          <w:p w14:paraId="770C8EF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由卫生行政部门给予警告。</w:t>
            </w:r>
          </w:p>
        </w:tc>
      </w:tr>
      <w:tr w14:paraId="117B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40" w:type="dxa"/>
            <w:vAlign w:val="center"/>
          </w:tcPr>
          <w:p w14:paraId="43A8AD02">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5595" w:type="dxa"/>
            <w:vAlign w:val="center"/>
          </w:tcPr>
          <w:p w14:paraId="1887DA8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医疗机构或者其他有关机构违反本条例的规定，涂改、伪造、隐匿、销毁病历资料造成严重后果的。</w:t>
            </w:r>
          </w:p>
        </w:tc>
        <w:tc>
          <w:tcPr>
            <w:tcW w:w="7139" w:type="dxa"/>
            <w:vAlign w:val="center"/>
          </w:tcPr>
          <w:p w14:paraId="26B2A1F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由原发证部门吊销其执业证书或者资格证书。</w:t>
            </w:r>
          </w:p>
        </w:tc>
      </w:tr>
    </w:tbl>
    <w:p w14:paraId="6683CCDE">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403" w:name="_Toc22598"/>
      <w:bookmarkStart w:id="3404" w:name="_Toc9934"/>
      <w:bookmarkStart w:id="3405" w:name="_Toc11631"/>
      <w:bookmarkStart w:id="3406" w:name="_Toc10654"/>
      <w:bookmarkStart w:id="3407" w:name="_Toc4168"/>
      <w:bookmarkStart w:id="3408" w:name="_Toc13954"/>
      <w:bookmarkStart w:id="3409" w:name="_Toc8464"/>
      <w:bookmarkStart w:id="3410" w:name="_Toc31171"/>
      <w:bookmarkStart w:id="3411" w:name="_Toc13493"/>
      <w:bookmarkStart w:id="3412" w:name="_Toc24584"/>
      <w:bookmarkStart w:id="3413" w:name="_Toc18171"/>
      <w:bookmarkStart w:id="3414" w:name="_Toc20288"/>
      <w:bookmarkStart w:id="3415" w:name="_Toc21163"/>
      <w:r>
        <w:rPr>
          <w:rFonts w:hint="eastAsia" w:ascii="Times New Roman" w:hAnsi="Times New Roman" w:eastAsia="楷体_GB2312" w:cs="楷体_GB2312"/>
          <w:bCs w:val="0"/>
          <w:color w:val="000000" w:themeColor="text1"/>
          <w:kern w:val="2"/>
          <w14:textFill>
            <w14:solidFill>
              <w14:schemeClr w14:val="tx1"/>
            </w14:solidFill>
          </w14:textFill>
        </w:rPr>
        <w:t>（十九）《麻醉药品和精神药品管理条例》</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p>
    <w:p w14:paraId="3C34A1A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416" w:name="_Toc10393"/>
      <w:bookmarkStart w:id="3417" w:name="_Toc22626"/>
      <w:bookmarkStart w:id="3418" w:name="_Toc17054"/>
      <w:bookmarkStart w:id="3419" w:name="_Toc5585"/>
      <w:bookmarkStart w:id="3420" w:name="_Toc25675"/>
      <w:bookmarkStart w:id="3421" w:name="_Toc29600"/>
      <w:bookmarkStart w:id="3422" w:name="_Toc23973"/>
      <w:bookmarkStart w:id="3423" w:name="_Toc25231"/>
      <w:bookmarkStart w:id="3424" w:name="_Toc11040"/>
      <w:bookmarkStart w:id="3425" w:name="_Toc30170"/>
      <w:bookmarkStart w:id="3426" w:name="_Toc26571"/>
      <w:r>
        <w:rPr>
          <w:rFonts w:hint="eastAsia" w:cs="仿宋_GB2312"/>
          <w:bCs/>
          <w:color w:val="000000" w:themeColor="text1"/>
          <w14:textFill>
            <w14:solidFill>
              <w14:schemeClr w14:val="tx1"/>
            </w14:solidFill>
          </w14:textFill>
        </w:rPr>
        <w:t>第二百七十二条</w:t>
      </w:r>
      <w:r>
        <w:rPr>
          <w:rFonts w:hint="eastAsia" w:ascii="Times New Roman" w:hAnsi="Times New Roman" w:cs="仿宋_GB2312"/>
          <w:bCs/>
          <w:color w:val="000000" w:themeColor="text1"/>
          <w:kern w:val="0"/>
          <w14:textFill>
            <w14:solidFill>
              <w14:schemeClr w14:val="tx1"/>
            </w14:solidFill>
          </w14:textFill>
        </w:rPr>
        <w:t xml:space="preserve"> 取得印鉴卡的医疗机构未依照规定购买、储存麻醉药品和第一类精神药品的</w:t>
      </w:r>
      <w:bookmarkEnd w:id="3416"/>
      <w:bookmarkEnd w:id="3417"/>
      <w:bookmarkEnd w:id="3418"/>
      <w:bookmarkEnd w:id="3419"/>
      <w:bookmarkEnd w:id="3420"/>
      <w:bookmarkEnd w:id="3421"/>
      <w:bookmarkEnd w:id="3422"/>
      <w:bookmarkEnd w:id="3423"/>
      <w:bookmarkEnd w:id="3424"/>
      <w:bookmarkEnd w:id="3425"/>
      <w:bookmarkEnd w:id="3426"/>
    </w:p>
    <w:p w14:paraId="4EA3B0C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C56669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《麻醉药品和精神药品管理条例》第七十二条第（一）项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取得印鉴卡的医疗机构违反本条例的规定，有下列情形之一的，由设区的市级人民政府卫生主管部门责令限期改正，给予警告；逾期不改正的，处5000元以上1万元以下的罚款；情节严重的，吊销其印鉴卡；对直接负责的主管人员和其他直接责任人员，依法给予降级、撤职、开除的处分：</w:t>
      </w:r>
    </w:p>
    <w:p w14:paraId="3FC4741A">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（一）未依照规定购买、</w:t>
      </w:r>
      <w:r>
        <w:rPr>
          <w:rFonts w:hint="eastAsia" w:ascii="Times New Roman" w:hAnsi="Times New Roman" w:eastAsia="仿宋_GB2312" w:cs="华文中宋"/>
          <w:color w:val="000000" w:themeColor="text1"/>
          <w:sz w:val="32"/>
          <w:szCs w:val="28"/>
          <w14:textFill>
            <w14:solidFill>
              <w14:schemeClr w14:val="tx1"/>
            </w14:solidFill>
          </w14:textFill>
        </w:rPr>
        <w:t>储存麻醉药品和第一类精神药品的；</w:t>
      </w:r>
    </w:p>
    <w:p w14:paraId="023398D4">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514"/>
        <w:gridCol w:w="3752"/>
      </w:tblGrid>
      <w:tr w14:paraId="0D33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0" w:type="dxa"/>
          </w:tcPr>
          <w:p w14:paraId="3647A03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514" w:type="dxa"/>
          </w:tcPr>
          <w:p w14:paraId="5077D36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3752" w:type="dxa"/>
          </w:tcPr>
          <w:p w14:paraId="2D456B4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2A3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40" w:type="dxa"/>
            <w:vAlign w:val="center"/>
          </w:tcPr>
          <w:p w14:paraId="166998D1">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514" w:type="dxa"/>
            <w:vAlign w:val="center"/>
          </w:tcPr>
          <w:p w14:paraId="5D34192B">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取得印鉴卡的医疗机构未依照规定购买、储存麻醉药品和第一类精神药品的。</w:t>
            </w:r>
          </w:p>
        </w:tc>
        <w:tc>
          <w:tcPr>
            <w:tcW w:w="3752" w:type="dxa"/>
            <w:vAlign w:val="center"/>
          </w:tcPr>
          <w:p w14:paraId="7866BE27">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w:t>
            </w:r>
          </w:p>
        </w:tc>
      </w:tr>
      <w:tr w14:paraId="0B08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440" w:type="dxa"/>
            <w:vAlign w:val="center"/>
          </w:tcPr>
          <w:p w14:paraId="706EAD9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514" w:type="dxa"/>
            <w:vAlign w:val="center"/>
          </w:tcPr>
          <w:p w14:paraId="1BF6650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取得印鉴卡的医疗机构未依照规定购买、储存麻醉药品和第一类精神药品的，经责令限期改正，逾期不改正的。</w:t>
            </w:r>
          </w:p>
        </w:tc>
        <w:tc>
          <w:tcPr>
            <w:tcW w:w="3752" w:type="dxa"/>
            <w:vAlign w:val="center"/>
          </w:tcPr>
          <w:p w14:paraId="756A6FF1">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由设区的市级人民政府卫生主管部门责令限期改正，给予警告，处5000元以上1万元以下的罚款。</w:t>
            </w:r>
          </w:p>
        </w:tc>
      </w:tr>
      <w:tr w14:paraId="7C64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440" w:type="dxa"/>
            <w:vAlign w:val="center"/>
          </w:tcPr>
          <w:p w14:paraId="392FDBD7">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514" w:type="dxa"/>
            <w:vAlign w:val="center"/>
          </w:tcPr>
          <w:p w14:paraId="51C22D74">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取得印鉴卡的医疗机构未依照规定购买、储存麻醉药品和第一类精神药品的，情节严重或造成严重后果的。</w:t>
            </w:r>
          </w:p>
        </w:tc>
        <w:tc>
          <w:tcPr>
            <w:tcW w:w="3752" w:type="dxa"/>
            <w:vAlign w:val="center"/>
          </w:tcPr>
          <w:p w14:paraId="12AB4DCB">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由设区的市级人民政府卫生主管部门责令限期改正，给予警告，处1万元罚款，吊销其印鉴卡。</w:t>
            </w:r>
          </w:p>
        </w:tc>
      </w:tr>
    </w:tbl>
    <w:p w14:paraId="64C28297">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427" w:name="_Toc28219"/>
      <w:bookmarkStart w:id="3428" w:name="_Toc15182"/>
      <w:bookmarkStart w:id="3429" w:name="_Toc24912"/>
      <w:bookmarkStart w:id="3430" w:name="_Toc2727"/>
      <w:bookmarkStart w:id="3431" w:name="_Toc18775"/>
      <w:bookmarkStart w:id="3432" w:name="_Toc10430"/>
      <w:bookmarkStart w:id="3433" w:name="_Toc23667"/>
      <w:bookmarkStart w:id="3434" w:name="_Toc9207"/>
      <w:bookmarkStart w:id="3435" w:name="_Toc29704"/>
      <w:bookmarkStart w:id="3436" w:name="_Toc19737"/>
      <w:bookmarkStart w:id="3437" w:name="_Toc14739"/>
      <w:r>
        <w:rPr>
          <w:rFonts w:hint="eastAsia" w:cs="仿宋_GB2312"/>
          <w:bCs/>
          <w:color w:val="000000" w:themeColor="text1"/>
          <w14:textFill>
            <w14:solidFill>
              <w14:schemeClr w14:val="tx1"/>
            </w14:solidFill>
          </w14:textFill>
        </w:rPr>
        <w:t>第二百七十三条</w:t>
      </w:r>
      <w:r>
        <w:rPr>
          <w:rFonts w:hint="eastAsia" w:ascii="Times New Roman" w:hAnsi="Times New Roman" w:cs="仿宋_GB2312"/>
          <w:bCs/>
          <w:color w:val="000000" w:themeColor="text1"/>
          <w:kern w:val="0"/>
          <w14:textFill>
            <w14:solidFill>
              <w14:schemeClr w14:val="tx1"/>
            </w14:solidFill>
          </w14:textFill>
        </w:rPr>
        <w:t xml:space="preserve"> 取得印鉴卡的医疗机构未依照规定保存麻醉药品和精神药品专用处方，或者未依照规定进行处方专册登记的</w:t>
      </w:r>
      <w:bookmarkEnd w:id="3427"/>
      <w:bookmarkEnd w:id="3428"/>
      <w:bookmarkEnd w:id="3429"/>
      <w:bookmarkEnd w:id="3430"/>
      <w:bookmarkEnd w:id="3431"/>
      <w:bookmarkEnd w:id="3432"/>
      <w:bookmarkEnd w:id="3433"/>
      <w:bookmarkEnd w:id="3434"/>
      <w:bookmarkEnd w:id="3435"/>
      <w:bookmarkEnd w:id="3436"/>
      <w:bookmarkEnd w:id="3437"/>
    </w:p>
    <w:p w14:paraId="51E5C57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D5D5A9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《麻醉药品和精神药品管理条例》第七十二条第（二）项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取得印鉴卡的医疗机构违反本条例的规定，有下列情形之一的，由设区的市级人民政府卫生主管部门责令限期改正，给予警告；逾期不改正的，处5000元以上1万元以下的罚款；情节严重的，吊销其印鉴卡；对直接负责的主管人员和其他直接责任人员，依法给予降级、撤职、开除的处分：</w:t>
      </w:r>
    </w:p>
    <w:p w14:paraId="4E3C7942">
      <w:pPr>
        <w:widowControl w:val="0"/>
        <w:adjustRightInd/>
        <w:snapToGrid/>
        <w:spacing w:after="0" w:line="440" w:lineRule="exact"/>
        <w:ind w:firstLine="640"/>
        <w:jc w:val="both"/>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（二）未依照规定保存麻醉</w:t>
      </w:r>
      <w:r>
        <w:rPr>
          <w:rFonts w:hint="eastAsia" w:ascii="Times New Roman" w:hAnsi="Times New Roman" w:eastAsia="仿宋_GB2312" w:cs="华文中宋"/>
          <w:color w:val="000000" w:themeColor="text1"/>
          <w:sz w:val="32"/>
          <w:szCs w:val="28"/>
          <w14:textFill>
            <w14:solidFill>
              <w14:schemeClr w14:val="tx1"/>
            </w14:solidFill>
          </w14:textFill>
        </w:rPr>
        <w:t>药品和精神药品专用处方，或者未依照规定进行处方专册登记的；</w:t>
      </w:r>
    </w:p>
    <w:p w14:paraId="428E9F8E">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8379"/>
        <w:gridCol w:w="3954"/>
      </w:tblGrid>
      <w:tr w14:paraId="6B1A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448" w:type="dxa"/>
            <w:vAlign w:val="center"/>
          </w:tcPr>
          <w:p w14:paraId="09556A2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9" w:type="dxa"/>
            <w:vAlign w:val="center"/>
          </w:tcPr>
          <w:p w14:paraId="47E121F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3954" w:type="dxa"/>
            <w:vAlign w:val="center"/>
          </w:tcPr>
          <w:p w14:paraId="01CF95F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435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48" w:type="dxa"/>
            <w:vAlign w:val="center"/>
          </w:tcPr>
          <w:p w14:paraId="2FB0832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79" w:type="dxa"/>
            <w:vAlign w:val="center"/>
          </w:tcPr>
          <w:p w14:paraId="13FAB384">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取得印鉴卡的医疗机构未依照规定保存麻醉药品和精神药品专用处方，或者未依照规定进行处方专册登记的。</w:t>
            </w:r>
          </w:p>
        </w:tc>
        <w:tc>
          <w:tcPr>
            <w:tcW w:w="3954" w:type="dxa"/>
            <w:vAlign w:val="center"/>
          </w:tcPr>
          <w:p w14:paraId="365FFC5C">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w:t>
            </w:r>
          </w:p>
        </w:tc>
      </w:tr>
      <w:tr w14:paraId="6AE6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448" w:type="dxa"/>
            <w:vAlign w:val="center"/>
          </w:tcPr>
          <w:p w14:paraId="64D4EBA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9" w:type="dxa"/>
            <w:vAlign w:val="center"/>
          </w:tcPr>
          <w:p w14:paraId="3EF632A9">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取得印鉴卡的医疗机构未依照规定保存麻醉药品和精神药品专用处方，或者未依照规定进行处方专册登记，经责令限期改正，逾期不改正的。</w:t>
            </w:r>
          </w:p>
        </w:tc>
        <w:tc>
          <w:tcPr>
            <w:tcW w:w="3954" w:type="dxa"/>
            <w:vAlign w:val="center"/>
          </w:tcPr>
          <w:p w14:paraId="68AACB2B">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由设区的市级人民政府卫生主管部门责令限期改正，给予警告，处5000元以上10000元以下的罚款。</w:t>
            </w:r>
          </w:p>
        </w:tc>
      </w:tr>
      <w:tr w14:paraId="5B3F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48" w:type="dxa"/>
            <w:vAlign w:val="center"/>
          </w:tcPr>
          <w:p w14:paraId="55ED494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79" w:type="dxa"/>
            <w:vAlign w:val="center"/>
          </w:tcPr>
          <w:p w14:paraId="1EC24B6D">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取得印鉴卡的医疗机构未依照规定保存麻醉药品和精神药品专用处方，或者未依照规定进行处方专册登记，情节严重或造成严重后果的。</w:t>
            </w:r>
          </w:p>
        </w:tc>
        <w:tc>
          <w:tcPr>
            <w:tcW w:w="3954" w:type="dxa"/>
            <w:vAlign w:val="center"/>
          </w:tcPr>
          <w:p w14:paraId="63419185">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由设区的市级人民政府卫生主管部门责令限期改正，给予警告，处1万元罚款，吊销其印鉴卡。</w:t>
            </w:r>
          </w:p>
        </w:tc>
      </w:tr>
    </w:tbl>
    <w:p w14:paraId="07B3A80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438" w:name="_Toc25685"/>
      <w:bookmarkStart w:id="3439" w:name="_Toc3548"/>
      <w:bookmarkStart w:id="3440" w:name="_Toc5062"/>
      <w:bookmarkStart w:id="3441" w:name="_Toc8120"/>
      <w:bookmarkStart w:id="3442" w:name="_Toc19850"/>
      <w:bookmarkStart w:id="3443" w:name="_Toc31832"/>
      <w:bookmarkStart w:id="3444" w:name="_Toc6402"/>
      <w:bookmarkStart w:id="3445" w:name="_Toc411"/>
      <w:bookmarkStart w:id="3446" w:name="_Toc22984"/>
      <w:bookmarkStart w:id="3447" w:name="_Toc27371"/>
      <w:bookmarkStart w:id="3448" w:name="_Toc27305"/>
      <w:r>
        <w:rPr>
          <w:rFonts w:hint="eastAsia" w:cs="仿宋_GB2312"/>
          <w:bCs/>
          <w:color w:val="000000" w:themeColor="text1"/>
          <w14:textFill>
            <w14:solidFill>
              <w14:schemeClr w14:val="tx1"/>
            </w14:solidFill>
          </w14:textFill>
        </w:rPr>
        <w:t>第二百七十四条</w:t>
      </w:r>
      <w:r>
        <w:rPr>
          <w:rFonts w:hint="eastAsia" w:ascii="Times New Roman" w:hAnsi="Times New Roman" w:cs="仿宋_GB2312"/>
          <w:bCs/>
          <w:color w:val="000000" w:themeColor="text1"/>
          <w:kern w:val="0"/>
          <w14:textFill>
            <w14:solidFill>
              <w14:schemeClr w14:val="tx1"/>
            </w14:solidFill>
          </w14:textFill>
        </w:rPr>
        <w:t xml:space="preserve"> 未依照规定报告麻醉药品和精神药品的进货、库存、使用数量的</w:t>
      </w:r>
      <w:bookmarkEnd w:id="3438"/>
      <w:bookmarkEnd w:id="3439"/>
      <w:bookmarkEnd w:id="3440"/>
      <w:bookmarkEnd w:id="3441"/>
      <w:bookmarkEnd w:id="3442"/>
      <w:bookmarkEnd w:id="3443"/>
      <w:bookmarkEnd w:id="3444"/>
      <w:bookmarkEnd w:id="3445"/>
      <w:bookmarkEnd w:id="3446"/>
      <w:bookmarkEnd w:id="3447"/>
      <w:bookmarkEnd w:id="3448"/>
    </w:p>
    <w:p w14:paraId="5CCA717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6C2DF8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《麻醉药品和精神药品管理条例》第七十二条第（三）项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取得印鉴卡的医疗机构违反本条例的规定，有下列情形之一的，由设区的市级人民政府卫生主管部门责令限期改正，给予警告；逾期不改正的，处5000元以上1万元以下的罚款；情节严重的，吊销其印鉴卡；对直接负责的主管人员和其他直接责任人员，依法给予降级、撤职、开除的处分：</w:t>
      </w:r>
    </w:p>
    <w:p w14:paraId="254CA8E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（三）取得印鉴卡的医疗机构未依照规定报告麻醉药品和精神药品的进货、库存、使用数量的；</w:t>
      </w:r>
    </w:p>
    <w:p w14:paraId="60BC8592">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8386"/>
        <w:gridCol w:w="4070"/>
      </w:tblGrid>
      <w:tr w14:paraId="697B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88" w:type="dxa"/>
          </w:tcPr>
          <w:p w14:paraId="742927B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86" w:type="dxa"/>
          </w:tcPr>
          <w:p w14:paraId="482DA1F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070" w:type="dxa"/>
          </w:tcPr>
          <w:p w14:paraId="278B371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514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88" w:type="dxa"/>
            <w:vAlign w:val="center"/>
          </w:tcPr>
          <w:p w14:paraId="0EEBD103">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86" w:type="dxa"/>
            <w:vAlign w:val="center"/>
          </w:tcPr>
          <w:p w14:paraId="41E92E22">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取得印鉴卡的医疗机构未依照规定报告麻醉药品和精神药品的进货、库存、使用数量的。</w:t>
            </w:r>
          </w:p>
        </w:tc>
        <w:tc>
          <w:tcPr>
            <w:tcW w:w="4070" w:type="dxa"/>
            <w:vAlign w:val="center"/>
          </w:tcPr>
          <w:p w14:paraId="14230997">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w:t>
            </w:r>
          </w:p>
        </w:tc>
      </w:tr>
      <w:tr w14:paraId="10AA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388" w:type="dxa"/>
            <w:vAlign w:val="center"/>
          </w:tcPr>
          <w:p w14:paraId="659583BE">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86" w:type="dxa"/>
            <w:vAlign w:val="center"/>
          </w:tcPr>
          <w:p w14:paraId="3C965B52">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取得印鉴卡的医疗机构未依照规定报告麻醉药品和精神药品的进货、库存、使用数量，责令限期改正，逾期不改正的。</w:t>
            </w:r>
          </w:p>
        </w:tc>
        <w:tc>
          <w:tcPr>
            <w:tcW w:w="4070" w:type="dxa"/>
            <w:vAlign w:val="center"/>
          </w:tcPr>
          <w:p w14:paraId="1A31E00B">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由设区的市级人民政府卫生主管部门责令限期改正，给予警告，处5000元以上10000元以下的罚款。</w:t>
            </w:r>
          </w:p>
        </w:tc>
      </w:tr>
      <w:tr w14:paraId="57FE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388" w:type="dxa"/>
            <w:vAlign w:val="center"/>
          </w:tcPr>
          <w:p w14:paraId="58C740F8">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86" w:type="dxa"/>
            <w:vAlign w:val="center"/>
          </w:tcPr>
          <w:p w14:paraId="234B200D">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取得印鉴卡的医疗机构未依照规定报告麻醉药品和精神药品的进货、库存、使用数量，情节严重或造成严重后果的。</w:t>
            </w:r>
          </w:p>
        </w:tc>
        <w:tc>
          <w:tcPr>
            <w:tcW w:w="4070" w:type="dxa"/>
            <w:vAlign w:val="center"/>
          </w:tcPr>
          <w:p w14:paraId="2932BAC9">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由设区的市级人民政府卫生主管部门责令限期改正，给予警告，处1万元罚款，吊销其印鉴卡。</w:t>
            </w:r>
          </w:p>
        </w:tc>
      </w:tr>
    </w:tbl>
    <w:p w14:paraId="2BFD4E4E">
      <w:pPr>
        <w:widowControl w:val="0"/>
        <w:adjustRightInd/>
        <w:snapToGrid/>
        <w:spacing w:after="0" w:line="440" w:lineRule="exact"/>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4BA4AA3B">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449" w:name="_Toc5653"/>
      <w:bookmarkStart w:id="3450" w:name="_Toc24860"/>
      <w:bookmarkStart w:id="3451" w:name="_Toc9498"/>
      <w:bookmarkStart w:id="3452" w:name="_Toc15138"/>
      <w:bookmarkStart w:id="3453" w:name="_Toc30715"/>
      <w:bookmarkStart w:id="3454" w:name="_Toc14344"/>
      <w:bookmarkStart w:id="3455" w:name="_Toc5437"/>
      <w:bookmarkStart w:id="3456" w:name="_Toc25936"/>
      <w:bookmarkStart w:id="3457" w:name="_Toc5860"/>
      <w:bookmarkStart w:id="3458" w:name="_Toc13126"/>
      <w:bookmarkStart w:id="3459" w:name="_Toc3164"/>
      <w:r>
        <w:rPr>
          <w:rFonts w:hint="eastAsia" w:cs="仿宋_GB2312"/>
          <w:bCs/>
          <w:color w:val="000000" w:themeColor="text1"/>
          <w14:textFill>
            <w14:solidFill>
              <w14:schemeClr w14:val="tx1"/>
            </w14:solidFill>
          </w14:textFill>
        </w:rPr>
        <w:t>第二百七十五条</w:t>
      </w:r>
      <w:r>
        <w:rPr>
          <w:rFonts w:hint="eastAsia" w:ascii="Times New Roman" w:hAnsi="Times New Roman" w:cs="仿宋_GB2312"/>
          <w:bCs/>
          <w:color w:val="000000" w:themeColor="text1"/>
          <w:kern w:val="0"/>
          <w14:textFill>
            <w14:solidFill>
              <w14:schemeClr w14:val="tx1"/>
            </w14:solidFill>
          </w14:textFill>
        </w:rPr>
        <w:t xml:space="preserve"> 取得印鉴卡的医疗机构紧急借用麻醉药品和第一类精神药品后未备案的</w:t>
      </w:r>
      <w:bookmarkEnd w:id="3449"/>
      <w:bookmarkEnd w:id="3450"/>
      <w:bookmarkEnd w:id="3451"/>
      <w:bookmarkEnd w:id="3452"/>
      <w:bookmarkEnd w:id="3453"/>
      <w:bookmarkEnd w:id="3454"/>
      <w:bookmarkEnd w:id="3455"/>
      <w:bookmarkEnd w:id="3456"/>
      <w:bookmarkEnd w:id="3457"/>
      <w:bookmarkEnd w:id="3458"/>
      <w:bookmarkEnd w:id="3459"/>
    </w:p>
    <w:p w14:paraId="5B92A01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法律依据：</w:t>
      </w:r>
    </w:p>
    <w:p w14:paraId="7FAC3C0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《麻醉药品和精神药品管理条例》第七十二条第（四）项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32"/>
          <w14:textFill>
            <w14:solidFill>
              <w14:schemeClr w14:val="tx1"/>
            </w14:solidFill>
          </w14:textFill>
        </w:rPr>
        <w:t>取得印鉴卡的医疗机构违反本条例的规定，有下列情形之一的，由设区的市级人民政府卫生主管部门责令限期改正，给予警告；逾期不改正的，处5000元以上1万元以下的罚款；情节严重的，吊销其印鉴卡；对直接负责的主管人员和其他直接责任人员，依法给予降级、撤职、开除的处分：</w:t>
      </w:r>
    </w:p>
    <w:p w14:paraId="1ACCAC28">
      <w:pPr>
        <w:widowControl w:val="0"/>
        <w:adjustRightInd/>
        <w:snapToGrid/>
        <w:spacing w:after="0" w:line="440" w:lineRule="exact"/>
        <w:ind w:firstLine="640"/>
        <w:jc w:val="both"/>
        <w:rPr>
          <w:rFonts w:hint="eastAsia" w:ascii="Times New Roman" w:hAnsi="Times New Roman" w:eastAsia="仿宋_GB2312" w:cs="仿宋"/>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（四）紧急借用麻醉药品和第</w:t>
      </w:r>
      <w:r>
        <w:rPr>
          <w:rFonts w:ascii="Times New Roman" w:hAnsi="Times New Roman" w:eastAsia="仿宋_GB2312" w:cs="仿宋"/>
          <w:color w:val="000000" w:themeColor="text1"/>
          <w:kern w:val="2"/>
          <w:sz w:val="32"/>
          <w:szCs w:val="32"/>
          <w14:textFill>
            <w14:solidFill>
              <w14:schemeClr w14:val="tx1"/>
            </w14:solidFill>
          </w14:textFill>
        </w:rPr>
        <w:t>一类精神药品后未备案的；</w:t>
      </w:r>
    </w:p>
    <w:p w14:paraId="6E424C67">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34"/>
        <w:gridCol w:w="4134"/>
      </w:tblGrid>
      <w:tr w14:paraId="1B83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vAlign w:val="center"/>
          </w:tcPr>
          <w:p w14:paraId="300175FB">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34" w:type="dxa"/>
            <w:vAlign w:val="center"/>
          </w:tcPr>
          <w:p w14:paraId="056DD38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134" w:type="dxa"/>
            <w:vAlign w:val="center"/>
          </w:tcPr>
          <w:p w14:paraId="23E43AC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9BC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40" w:type="dxa"/>
            <w:vAlign w:val="center"/>
          </w:tcPr>
          <w:p w14:paraId="009B9FB9">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34" w:type="dxa"/>
            <w:vAlign w:val="center"/>
          </w:tcPr>
          <w:p w14:paraId="0D1DD47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取得印鉴卡的医疗机构紧急借用麻醉药品和第一类精神药品后未备案的。</w:t>
            </w:r>
          </w:p>
        </w:tc>
        <w:tc>
          <w:tcPr>
            <w:tcW w:w="4134" w:type="dxa"/>
            <w:vAlign w:val="center"/>
          </w:tcPr>
          <w:p w14:paraId="1995A08F">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w:t>
            </w:r>
          </w:p>
        </w:tc>
      </w:tr>
      <w:tr w14:paraId="7DCD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40" w:type="dxa"/>
            <w:vAlign w:val="center"/>
          </w:tcPr>
          <w:p w14:paraId="1E7E2A91">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34" w:type="dxa"/>
            <w:vAlign w:val="center"/>
          </w:tcPr>
          <w:p w14:paraId="7556E2C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取得印鉴卡的医疗机构紧急借用麻醉药品和第一类精神药品后未备案的，责令限期改正，逾期不改正的。</w:t>
            </w:r>
          </w:p>
        </w:tc>
        <w:tc>
          <w:tcPr>
            <w:tcW w:w="4134" w:type="dxa"/>
            <w:vAlign w:val="center"/>
          </w:tcPr>
          <w:p w14:paraId="045A0DA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由设区的市级人民政府卫生主管部门责令限期改正，给予警告，处5000元以上10000元以下的罚款。</w:t>
            </w:r>
          </w:p>
        </w:tc>
      </w:tr>
      <w:tr w14:paraId="4C83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440" w:type="dxa"/>
            <w:vAlign w:val="center"/>
          </w:tcPr>
          <w:p w14:paraId="1214109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34" w:type="dxa"/>
            <w:vAlign w:val="center"/>
          </w:tcPr>
          <w:p w14:paraId="095134F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取得印鉴卡的医疗机构紧急借用麻醉药品和第一类精神药品后未备案的，情节严重或造成严重后果的。</w:t>
            </w:r>
          </w:p>
        </w:tc>
        <w:tc>
          <w:tcPr>
            <w:tcW w:w="4134" w:type="dxa"/>
            <w:vAlign w:val="center"/>
          </w:tcPr>
          <w:p w14:paraId="041F2ED2">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由设区的市级人民政府卫生主管部门责令限期改正，给予警告，处1万元罚款，吊销其印鉴卡。</w:t>
            </w:r>
          </w:p>
        </w:tc>
      </w:tr>
    </w:tbl>
    <w:p w14:paraId="4D52B5F7">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460" w:name="_Toc1958"/>
      <w:bookmarkStart w:id="3461" w:name="_Toc4420"/>
      <w:bookmarkStart w:id="3462" w:name="_Toc16164"/>
      <w:bookmarkStart w:id="3463" w:name="_Toc19907"/>
      <w:bookmarkStart w:id="3464" w:name="_Toc2496"/>
      <w:bookmarkStart w:id="3465" w:name="_Toc30557"/>
      <w:bookmarkStart w:id="3466" w:name="_Toc17430"/>
      <w:bookmarkStart w:id="3467" w:name="_Toc18054"/>
      <w:bookmarkStart w:id="3468" w:name="_Toc2902"/>
      <w:bookmarkStart w:id="3469" w:name="_Toc26441"/>
      <w:bookmarkStart w:id="3470" w:name="_Toc20058"/>
      <w:r>
        <w:rPr>
          <w:rFonts w:hint="eastAsia" w:cs="仿宋_GB2312"/>
          <w:bCs/>
          <w:color w:val="000000" w:themeColor="text1"/>
          <w14:textFill>
            <w14:solidFill>
              <w14:schemeClr w14:val="tx1"/>
            </w14:solidFill>
          </w14:textFill>
        </w:rPr>
        <w:t>第二百七十六条</w:t>
      </w:r>
      <w:r>
        <w:rPr>
          <w:rFonts w:hint="eastAsia" w:ascii="Times New Roman" w:hAnsi="Times New Roman" w:cs="仿宋_GB2312"/>
          <w:bCs/>
          <w:color w:val="000000" w:themeColor="text1"/>
          <w:kern w:val="0"/>
          <w14:textFill>
            <w14:solidFill>
              <w14:schemeClr w14:val="tx1"/>
            </w14:solidFill>
          </w14:textFill>
        </w:rPr>
        <w:t xml:space="preserve"> 取得印鉴卡的医疗机构未依照规定销毁麻醉药品和精神药品的</w:t>
      </w:r>
      <w:bookmarkEnd w:id="3460"/>
      <w:bookmarkEnd w:id="3461"/>
      <w:bookmarkEnd w:id="3462"/>
      <w:bookmarkEnd w:id="3463"/>
      <w:bookmarkEnd w:id="3464"/>
      <w:bookmarkEnd w:id="3465"/>
      <w:bookmarkEnd w:id="3466"/>
      <w:bookmarkEnd w:id="3467"/>
      <w:bookmarkEnd w:id="3468"/>
      <w:bookmarkEnd w:id="3469"/>
      <w:bookmarkEnd w:id="3470"/>
    </w:p>
    <w:p w14:paraId="0396B65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法律依据：</w:t>
      </w:r>
    </w:p>
    <w:p w14:paraId="4A3B605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《麻醉药品和精神药品管理条例》第七十二条第（五）项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32"/>
          <w14:textFill>
            <w14:solidFill>
              <w14:schemeClr w14:val="tx1"/>
            </w14:solidFill>
          </w14:textFill>
        </w:rPr>
        <w:t>取得印鉴卡的医疗机构违反本条例的规定，有下列情形之一的，由设区的市级人民政府卫生主管部门责令限期改正，给予警告；逾期不改正的，处5000元以上1万元以下的罚款；情节严重的，吊销其印鉴卡；对直接负责的主管人员和其他直接责任人员，依法给予降级、撤职、开除的处分：</w:t>
      </w:r>
    </w:p>
    <w:p w14:paraId="3C61239C">
      <w:pPr>
        <w:widowControl w:val="0"/>
        <w:adjustRightInd/>
        <w:snapToGrid/>
        <w:spacing w:after="0" w:line="440" w:lineRule="exact"/>
        <w:ind w:firstLine="640"/>
        <w:jc w:val="both"/>
        <w:rPr>
          <w:rFonts w:hint="eastAsia" w:ascii="Times New Roman" w:hAnsi="Times New Roman" w:eastAsia="仿宋_GB2312" w:cs="仿宋"/>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（五）未依照规定销毁麻醉药品</w:t>
      </w:r>
      <w:r>
        <w:rPr>
          <w:rFonts w:ascii="Times New Roman" w:hAnsi="Times New Roman" w:eastAsia="仿宋_GB2312" w:cs="仿宋"/>
          <w:color w:val="000000" w:themeColor="text1"/>
          <w:kern w:val="2"/>
          <w:sz w:val="32"/>
          <w:szCs w:val="32"/>
          <w14:textFill>
            <w14:solidFill>
              <w14:schemeClr w14:val="tx1"/>
            </w14:solidFill>
          </w14:textFill>
        </w:rPr>
        <w:t>和精神药品的。</w:t>
      </w:r>
    </w:p>
    <w:p w14:paraId="67A45E06">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34"/>
        <w:gridCol w:w="4134"/>
      </w:tblGrid>
      <w:tr w14:paraId="28F8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tcPr>
          <w:p w14:paraId="7DCB27EB">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34" w:type="dxa"/>
          </w:tcPr>
          <w:p w14:paraId="472C68F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134" w:type="dxa"/>
          </w:tcPr>
          <w:p w14:paraId="5CD3955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F62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440" w:type="dxa"/>
            <w:vAlign w:val="center"/>
          </w:tcPr>
          <w:p w14:paraId="5893517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34" w:type="dxa"/>
            <w:vAlign w:val="center"/>
          </w:tcPr>
          <w:p w14:paraId="27EE69D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取得印鉴卡的医疗机构未依照规定销毁麻醉药品和精神药品的。</w:t>
            </w:r>
          </w:p>
        </w:tc>
        <w:tc>
          <w:tcPr>
            <w:tcW w:w="4134" w:type="dxa"/>
            <w:vAlign w:val="center"/>
          </w:tcPr>
          <w:p w14:paraId="1A02FEE0">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w:t>
            </w:r>
          </w:p>
        </w:tc>
      </w:tr>
      <w:tr w14:paraId="3B68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40" w:type="dxa"/>
            <w:vAlign w:val="center"/>
          </w:tcPr>
          <w:p w14:paraId="4F788EAD">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34" w:type="dxa"/>
            <w:vAlign w:val="center"/>
          </w:tcPr>
          <w:p w14:paraId="6D8A94C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取得印鉴卡的医疗机构未依照规定销毁麻醉药品和精神药品的，责令限期改正，逾期不改正的。</w:t>
            </w:r>
          </w:p>
        </w:tc>
        <w:tc>
          <w:tcPr>
            <w:tcW w:w="4134" w:type="dxa"/>
            <w:vAlign w:val="center"/>
          </w:tcPr>
          <w:p w14:paraId="090FE63E">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由设区的市级人民政府卫生主管部门责令限期改正，给予警告，处5000元以上10000元以下的罚款。</w:t>
            </w:r>
          </w:p>
        </w:tc>
      </w:tr>
      <w:tr w14:paraId="27EF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40" w:type="dxa"/>
            <w:vAlign w:val="center"/>
          </w:tcPr>
          <w:p w14:paraId="660C9B3E">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34" w:type="dxa"/>
            <w:vAlign w:val="center"/>
          </w:tcPr>
          <w:p w14:paraId="1A7F4DC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取得印鉴卡的医疗机构未依照规定销毁麻醉药品和精神药品的，情节严重或造成严重后果的。</w:t>
            </w:r>
          </w:p>
        </w:tc>
        <w:tc>
          <w:tcPr>
            <w:tcW w:w="4134" w:type="dxa"/>
            <w:vAlign w:val="center"/>
          </w:tcPr>
          <w:p w14:paraId="4F6AB035">
            <w:pPr>
              <w:widowControl w:val="0"/>
              <w:adjustRightInd/>
              <w:snapToGrid/>
              <w:spacing w:after="0" w:line="320" w:lineRule="exac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由设区的市级人民政府卫生主管部门责令限期改正，给予警告，处1万元罚款，吊销其印鉴卡。</w:t>
            </w:r>
          </w:p>
        </w:tc>
      </w:tr>
    </w:tbl>
    <w:p w14:paraId="47DF484A">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471" w:name="_Toc28242"/>
      <w:bookmarkStart w:id="3472" w:name="_Toc27941"/>
      <w:bookmarkStart w:id="3473" w:name="_Toc11523"/>
      <w:bookmarkStart w:id="3474" w:name="_Toc13271"/>
      <w:bookmarkStart w:id="3475" w:name="_Toc32164"/>
      <w:bookmarkStart w:id="3476" w:name="_Toc21700"/>
      <w:bookmarkStart w:id="3477" w:name="_Toc31729"/>
      <w:bookmarkStart w:id="3478" w:name="_Toc12837"/>
      <w:bookmarkStart w:id="3479" w:name="_Toc930"/>
      <w:bookmarkStart w:id="3480" w:name="_Toc13353"/>
      <w:bookmarkStart w:id="3481" w:name="_Toc18590"/>
      <w:r>
        <w:rPr>
          <w:rFonts w:hint="eastAsia" w:cs="仿宋_GB2312"/>
          <w:bCs/>
          <w:color w:val="000000" w:themeColor="text1"/>
          <w14:textFill>
            <w14:solidFill>
              <w14:schemeClr w14:val="tx1"/>
            </w14:solidFill>
          </w14:textFill>
        </w:rPr>
        <w:t>第二百七十七条</w:t>
      </w:r>
      <w:r>
        <w:rPr>
          <w:rFonts w:hint="eastAsia" w:ascii="Times New Roman" w:hAnsi="Times New Roman" w:cs="仿宋_GB2312"/>
          <w:bCs/>
          <w:color w:val="000000" w:themeColor="text1"/>
          <w:kern w:val="0"/>
          <w14:textFill>
            <w14:solidFill>
              <w14:schemeClr w14:val="tx1"/>
            </w14:solidFill>
          </w14:textFill>
        </w:rPr>
        <w:t xml:space="preserve"> 提供虚假材料、隐瞒有关情况，或者采取其他欺骗手段取得麻醉药品和精神药品的使用资格的</w:t>
      </w:r>
      <w:bookmarkEnd w:id="3471"/>
      <w:bookmarkEnd w:id="3472"/>
      <w:bookmarkEnd w:id="3473"/>
      <w:bookmarkEnd w:id="3474"/>
      <w:bookmarkEnd w:id="3475"/>
      <w:bookmarkEnd w:id="3476"/>
      <w:bookmarkEnd w:id="3477"/>
      <w:bookmarkEnd w:id="3478"/>
      <w:bookmarkEnd w:id="3479"/>
      <w:bookmarkEnd w:id="3480"/>
      <w:bookmarkEnd w:id="3481"/>
    </w:p>
    <w:p w14:paraId="5CD0796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DBD97E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《麻醉药品和精神药品管理条例》第七十五条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提供虚假材料、隐瞒有关情况，或者采取其他欺骗手段取得麻醉药品和精神药品的实验研究、生产、经营、使用资格的，由原审批部门撤销其已取得的资格，</w:t>
      </w:r>
      <w:r>
        <w:rPr>
          <w:rFonts w:ascii="Times New Roman" w:hAnsi="Times New Roman" w:eastAsia="仿宋_GB2312" w:cs="仿宋_GB2312"/>
          <w:color w:val="000000" w:themeColor="text1"/>
          <w:kern w:val="2"/>
          <w:sz w:val="32"/>
          <w:szCs w:val="32"/>
          <w14:textFill>
            <w14:solidFill>
              <w14:schemeClr w14:val="tx1"/>
            </w14:solidFill>
          </w14:textFill>
        </w:rPr>
        <w:t>5</w:t>
      </w:r>
      <w:r>
        <w:rPr>
          <w:rFonts w:hint="eastAsia" w:ascii="Times New Roman" w:hAnsi="Times New Roman" w:eastAsia="仿宋_GB2312" w:cs="仿宋_GB2312"/>
          <w:color w:val="000000" w:themeColor="text1"/>
          <w:kern w:val="2"/>
          <w:sz w:val="32"/>
          <w:szCs w:val="32"/>
          <w14:textFill>
            <w14:solidFill>
              <w14:schemeClr w14:val="tx1"/>
            </w14:solidFill>
          </w14:textFill>
        </w:rPr>
        <w:t>年内不得提出有关麻醉药品和精神药品的申请；情节严重的，处</w:t>
      </w:r>
      <w:r>
        <w:rPr>
          <w:rFonts w:ascii="Times New Roman" w:hAnsi="Times New Roman" w:eastAsia="仿宋_GB2312" w:cs="仿宋_GB2312"/>
          <w:color w:val="000000" w:themeColor="text1"/>
          <w:kern w:val="2"/>
          <w:sz w:val="32"/>
          <w:szCs w:val="32"/>
          <w14:textFill>
            <w14:solidFill>
              <w14:schemeClr w14:val="tx1"/>
            </w14:solidFill>
          </w14:textFill>
        </w:rPr>
        <w:t>1</w:t>
      </w:r>
      <w:r>
        <w:rPr>
          <w:rFonts w:hint="eastAsia" w:ascii="Times New Roman" w:hAnsi="Times New Roman" w:eastAsia="仿宋_GB2312" w:cs="仿宋_GB2312"/>
          <w:color w:val="000000" w:themeColor="text1"/>
          <w:kern w:val="2"/>
          <w:sz w:val="32"/>
          <w:szCs w:val="32"/>
          <w14:textFill>
            <w14:solidFill>
              <w14:schemeClr w14:val="tx1"/>
            </w14:solidFill>
          </w14:textFill>
        </w:rPr>
        <w:t>万元以上</w:t>
      </w:r>
      <w:r>
        <w:rPr>
          <w:rFonts w:ascii="Times New Roman" w:hAnsi="Times New Roman" w:eastAsia="仿宋_GB2312" w:cs="仿宋_GB2312"/>
          <w:color w:val="000000" w:themeColor="text1"/>
          <w:kern w:val="2"/>
          <w:sz w:val="32"/>
          <w:szCs w:val="32"/>
          <w14:textFill>
            <w14:solidFill>
              <w14:schemeClr w14:val="tx1"/>
            </w14:solidFill>
          </w14:textFill>
        </w:rPr>
        <w:t>3</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万元以下的罚款，有药品生产许可证、药品经营许可证、医疗机构执业许可证的，依法吊销其许可证明文件。 </w:t>
      </w:r>
    </w:p>
    <w:p w14:paraId="506B965F">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607"/>
        <w:gridCol w:w="4861"/>
      </w:tblGrid>
      <w:tr w14:paraId="145E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1440" w:type="dxa"/>
            <w:vAlign w:val="center"/>
          </w:tcPr>
          <w:p w14:paraId="036676D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07" w:type="dxa"/>
            <w:vAlign w:val="center"/>
          </w:tcPr>
          <w:p w14:paraId="3389B6B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861" w:type="dxa"/>
            <w:vAlign w:val="center"/>
          </w:tcPr>
          <w:p w14:paraId="26BE0C7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AD8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40" w:type="dxa"/>
            <w:vAlign w:val="center"/>
          </w:tcPr>
          <w:p w14:paraId="0A72E69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607" w:type="dxa"/>
            <w:vAlign w:val="center"/>
          </w:tcPr>
          <w:p w14:paraId="1D2105F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提供虚假材料、隐瞒有关情况，或者采取其他欺骗手段取得麻醉药品和精神药品的使用资格，未造成危害后果的。</w:t>
            </w:r>
          </w:p>
        </w:tc>
        <w:tc>
          <w:tcPr>
            <w:tcW w:w="4861" w:type="dxa"/>
            <w:vAlign w:val="center"/>
          </w:tcPr>
          <w:p w14:paraId="3D7D6C2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由原审批部门撤销其已取得的资格，5年内不得提出有关麻醉药品和精神药品的申请。</w:t>
            </w:r>
          </w:p>
        </w:tc>
      </w:tr>
      <w:tr w14:paraId="4A19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440" w:type="dxa"/>
            <w:vAlign w:val="center"/>
          </w:tcPr>
          <w:p w14:paraId="6B13BC3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607" w:type="dxa"/>
            <w:vAlign w:val="center"/>
          </w:tcPr>
          <w:p w14:paraId="37A2137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提供虚假材料、隐瞒有关情况，或者采取其他欺骗手段取得麻醉药品和精神药品的使用资格，造成危害后果的。</w:t>
            </w:r>
          </w:p>
        </w:tc>
        <w:tc>
          <w:tcPr>
            <w:tcW w:w="4861" w:type="dxa"/>
            <w:vAlign w:val="center"/>
          </w:tcPr>
          <w:p w14:paraId="1B8CB05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由原审批部门撤销其已取得的资格，5年内不得提出有关麻醉药品和精神药品的申请，处1万元以上3万元以下的罚款，有药品生产许可证、药品经营许可证、医疗机构执业许可证的，依法吊销其许可证明文件。</w:t>
            </w:r>
          </w:p>
        </w:tc>
      </w:tr>
    </w:tbl>
    <w:p w14:paraId="624D150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482" w:name="_Toc29480"/>
      <w:bookmarkStart w:id="3483" w:name="_Toc13613"/>
      <w:bookmarkStart w:id="3484" w:name="_Toc22759"/>
      <w:bookmarkStart w:id="3485" w:name="_Toc3816"/>
      <w:bookmarkStart w:id="3486" w:name="_Toc32630"/>
      <w:bookmarkStart w:id="3487" w:name="_Toc3869"/>
      <w:bookmarkStart w:id="3488" w:name="_Toc20497"/>
      <w:bookmarkStart w:id="3489" w:name="_Toc31572"/>
      <w:bookmarkStart w:id="3490" w:name="_Toc16070"/>
      <w:bookmarkStart w:id="3491" w:name="_Toc13030"/>
      <w:bookmarkStart w:id="3492" w:name="_Toc30334"/>
      <w:r>
        <w:rPr>
          <w:rFonts w:hint="eastAsia" w:cs="仿宋_GB2312"/>
          <w:bCs/>
          <w:color w:val="000000" w:themeColor="text1"/>
          <w14:textFill>
            <w14:solidFill>
              <w14:schemeClr w14:val="tx1"/>
            </w14:solidFill>
          </w14:textFill>
        </w:rPr>
        <w:t>第二百七十八条</w:t>
      </w:r>
      <w:r>
        <w:rPr>
          <w:rFonts w:hint="eastAsia" w:ascii="Times New Roman" w:hAnsi="Times New Roman" w:cs="仿宋_GB2312"/>
          <w:bCs/>
          <w:color w:val="000000" w:themeColor="text1"/>
          <w:kern w:val="0"/>
          <w14:textFill>
            <w14:solidFill>
              <w14:schemeClr w14:val="tx1"/>
            </w14:solidFill>
          </w14:textFill>
        </w:rPr>
        <w:t xml:space="preserve"> 发生麻醉药品和精神药品被盗、被抢、丢失案件的单位，未采取必要的控制措施或者未依照规定报告的</w:t>
      </w:r>
      <w:bookmarkEnd w:id="3482"/>
      <w:bookmarkEnd w:id="3483"/>
      <w:bookmarkEnd w:id="3484"/>
      <w:bookmarkEnd w:id="3485"/>
      <w:bookmarkEnd w:id="3486"/>
      <w:bookmarkEnd w:id="3487"/>
      <w:bookmarkEnd w:id="3488"/>
      <w:bookmarkEnd w:id="3489"/>
      <w:bookmarkEnd w:id="3490"/>
      <w:bookmarkEnd w:id="3491"/>
      <w:bookmarkEnd w:id="3492"/>
    </w:p>
    <w:p w14:paraId="36506C5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25E38B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《麻醉药品和精神药品管理条例》第八十条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发生麻醉药品和精神药品被盗、被抢、丢失案件的单位，违反本条例的规定未采取必要的控制措施或者未依照本条例的规定报告的，由药品监督管理部门和卫生主管部门依照各自职责，责令改正，给予警告；情节严重的，处</w:t>
      </w:r>
      <w:r>
        <w:rPr>
          <w:rFonts w:ascii="Times New Roman" w:hAnsi="Times New Roman" w:eastAsia="仿宋_GB2312" w:cs="仿宋_GB2312"/>
          <w:color w:val="000000" w:themeColor="text1"/>
          <w:kern w:val="2"/>
          <w:sz w:val="32"/>
          <w:szCs w:val="32"/>
          <w14:textFill>
            <w14:solidFill>
              <w14:schemeClr w14:val="tx1"/>
            </w14:solidFill>
          </w14:textFill>
        </w:rPr>
        <w:t>5000</w:t>
      </w:r>
      <w:r>
        <w:rPr>
          <w:rFonts w:hint="eastAsia" w:ascii="Times New Roman" w:hAnsi="Times New Roman" w:eastAsia="仿宋_GB2312" w:cs="仿宋_GB2312"/>
          <w:color w:val="000000" w:themeColor="text1"/>
          <w:kern w:val="2"/>
          <w:sz w:val="32"/>
          <w:szCs w:val="32"/>
          <w14:textFill>
            <w14:solidFill>
              <w14:schemeClr w14:val="tx1"/>
            </w14:solidFill>
          </w14:textFill>
        </w:rPr>
        <w:t>元以上</w:t>
      </w:r>
      <w:r>
        <w:rPr>
          <w:rFonts w:ascii="Times New Roman" w:hAnsi="Times New Roman" w:eastAsia="仿宋_GB2312" w:cs="仿宋_GB2312"/>
          <w:color w:val="000000" w:themeColor="text1"/>
          <w:kern w:val="2"/>
          <w:sz w:val="32"/>
          <w:szCs w:val="32"/>
          <w14:textFill>
            <w14:solidFill>
              <w14:schemeClr w14:val="tx1"/>
            </w14:solidFill>
          </w14:textFill>
        </w:rPr>
        <w:t>1</w:t>
      </w:r>
      <w:r>
        <w:rPr>
          <w:rFonts w:hint="eastAsia" w:ascii="Times New Roman" w:hAnsi="Times New Roman" w:eastAsia="仿宋_GB2312" w:cs="仿宋_GB2312"/>
          <w:color w:val="000000" w:themeColor="text1"/>
          <w:kern w:val="2"/>
          <w:sz w:val="32"/>
          <w:szCs w:val="32"/>
          <w14:textFill>
            <w14:solidFill>
              <w14:schemeClr w14:val="tx1"/>
            </w14:solidFill>
          </w14:textFill>
        </w:rPr>
        <w:t>万元以下的罚款；有上级主管部门的，由其上级主管部门对直接负责的主管人员和其他直接责任人员，依法给予降级、撤职的处分。</w:t>
      </w:r>
    </w:p>
    <w:p w14:paraId="5979ED87">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9167"/>
        <w:gridCol w:w="3301"/>
      </w:tblGrid>
      <w:tr w14:paraId="1786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tcPr>
          <w:p w14:paraId="3174DE6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167" w:type="dxa"/>
          </w:tcPr>
          <w:p w14:paraId="1E8FC4F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3301" w:type="dxa"/>
          </w:tcPr>
          <w:p w14:paraId="1A42A17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F4E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440" w:type="dxa"/>
            <w:vAlign w:val="center"/>
          </w:tcPr>
          <w:p w14:paraId="54C95F9A">
            <w:pPr>
              <w:widowControl w:val="0"/>
              <w:adjustRightInd/>
              <w:snapToGrid/>
              <w:spacing w:after="0" w:line="440" w:lineRule="exact"/>
              <w:jc w:val="center"/>
              <w:rPr>
                <w:rFonts w:hint="eastAsia" w:ascii="Times New Roman" w:hAnsi="Times New Roman" w:eastAsia="仿宋" w:cs="仿宋"/>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9167" w:type="dxa"/>
            <w:vAlign w:val="center"/>
          </w:tcPr>
          <w:p w14:paraId="1FE2901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麻醉药品和精神药品被盗、被抢、丢失案件的单位，违反《麻醉药品和精神药品管理条例》的规定未采取必要的控制措施或者未依照《麻醉药品和精神药品管理条例》的规定报告，麻醉药品和精神药品被盗、被抢、丢失数量较少且未造成社会危害后果。</w:t>
            </w:r>
          </w:p>
        </w:tc>
        <w:tc>
          <w:tcPr>
            <w:tcW w:w="3301" w:type="dxa"/>
            <w:vAlign w:val="center"/>
          </w:tcPr>
          <w:p w14:paraId="65121CF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w:t>
            </w:r>
          </w:p>
        </w:tc>
      </w:tr>
      <w:tr w14:paraId="4EB8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40" w:type="dxa"/>
            <w:vAlign w:val="center"/>
          </w:tcPr>
          <w:p w14:paraId="608E48A5">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9167" w:type="dxa"/>
            <w:vAlign w:val="center"/>
          </w:tcPr>
          <w:p w14:paraId="23FC4D1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发生麻醉药品和精神药品被盗、被抢、丢失案件的单位，违反《麻醉药品和精神药品管理条例》的规定未采取必要的控制措施或者未依照《麻醉药品和精神药品管理条例》的规定报告，有下列情形之一的：</w:t>
            </w:r>
          </w:p>
          <w:p w14:paraId="6B3C3DF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A.麻醉药品和精神药品被盗、被抢、丢失数量较多；</w:t>
            </w:r>
          </w:p>
          <w:p w14:paraId="2609AC0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B.曾因此受到过行政处罚的；</w:t>
            </w:r>
          </w:p>
          <w:p w14:paraId="4EA3E79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C.造成一定社会危害后果或者其他危害后果。</w:t>
            </w:r>
          </w:p>
        </w:tc>
        <w:tc>
          <w:tcPr>
            <w:tcW w:w="3301" w:type="dxa"/>
            <w:vAlign w:val="center"/>
          </w:tcPr>
          <w:p w14:paraId="537A9F5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责令改正，给予警告，处5000元以上8000元以下罚款。</w:t>
            </w:r>
          </w:p>
        </w:tc>
      </w:tr>
      <w:tr w14:paraId="0271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40" w:type="dxa"/>
            <w:vAlign w:val="center"/>
          </w:tcPr>
          <w:p w14:paraId="60EECA8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9167" w:type="dxa"/>
            <w:vAlign w:val="center"/>
          </w:tcPr>
          <w:p w14:paraId="7A057B9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发生麻醉药品和精神药品被盗、被抢、丢失案件的单位，违反《麻醉药品和精神药品管理条例》的规定未采取必要的控制措施或者未依照《麻醉药品和精神药品管理条例》的规定报告，有下列情形之一的：</w:t>
            </w:r>
          </w:p>
          <w:p w14:paraId="22A89CA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A．麻醉药品和精神药品被盗、被抢、丢失数量巨大；</w:t>
            </w:r>
          </w:p>
          <w:p w14:paraId="6601A4F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 曾因此受到过三次以上行政处罚的；</w:t>
            </w:r>
          </w:p>
          <w:p w14:paraId="53D1F07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C.造成重大社会危害后果或者其他危害后果。</w:t>
            </w:r>
          </w:p>
        </w:tc>
        <w:tc>
          <w:tcPr>
            <w:tcW w:w="3301" w:type="dxa"/>
            <w:vAlign w:val="center"/>
          </w:tcPr>
          <w:p w14:paraId="1AFF19D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责令改正，给予警告，处8000元以上10000元以下罚款。</w:t>
            </w:r>
          </w:p>
        </w:tc>
      </w:tr>
    </w:tbl>
    <w:p w14:paraId="350F8BD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493" w:name="_Toc15487"/>
      <w:bookmarkStart w:id="3494" w:name="_Toc29693"/>
      <w:bookmarkStart w:id="3495" w:name="_Toc1447"/>
      <w:bookmarkStart w:id="3496" w:name="_Toc29064"/>
      <w:bookmarkStart w:id="3497" w:name="_Toc27225"/>
      <w:bookmarkStart w:id="3498" w:name="_Toc32419"/>
      <w:bookmarkStart w:id="3499" w:name="_Toc11659"/>
      <w:bookmarkStart w:id="3500" w:name="_Toc17410"/>
      <w:bookmarkStart w:id="3501" w:name="_Toc11811"/>
      <w:bookmarkStart w:id="3502" w:name="_Toc9069"/>
      <w:bookmarkStart w:id="3503" w:name="_Toc24407"/>
      <w:r>
        <w:rPr>
          <w:rFonts w:hint="eastAsia" w:cs="仿宋_GB2312"/>
          <w:bCs/>
          <w:color w:val="000000" w:themeColor="text1"/>
          <w14:textFill>
            <w14:solidFill>
              <w14:schemeClr w14:val="tx1"/>
            </w14:solidFill>
          </w14:textFill>
        </w:rPr>
        <w:t>第二百七十九条</w:t>
      </w:r>
      <w:r>
        <w:rPr>
          <w:rFonts w:hint="eastAsia" w:ascii="Times New Roman" w:hAnsi="Times New Roman" w:cs="仿宋_GB2312"/>
          <w:bCs/>
          <w:color w:val="000000" w:themeColor="text1"/>
          <w:kern w:val="0"/>
          <w14:textFill>
            <w14:solidFill>
              <w14:schemeClr w14:val="tx1"/>
            </w14:solidFill>
          </w14:textFill>
        </w:rPr>
        <w:t xml:space="preserve"> 依法取得麻醉药品药用原植物种植或者麻醉药品和精神药品使用等资格的单位，倒卖、转让、出租、出借、涂改其麻醉药品和精神药品许可证明文件的</w:t>
      </w:r>
      <w:bookmarkEnd w:id="3493"/>
      <w:bookmarkEnd w:id="3494"/>
      <w:bookmarkEnd w:id="3495"/>
      <w:bookmarkEnd w:id="3496"/>
      <w:bookmarkEnd w:id="3497"/>
      <w:bookmarkEnd w:id="3498"/>
      <w:bookmarkEnd w:id="3499"/>
      <w:bookmarkEnd w:id="3500"/>
      <w:bookmarkEnd w:id="3501"/>
      <w:bookmarkEnd w:id="3502"/>
      <w:bookmarkEnd w:id="3503"/>
    </w:p>
    <w:p w14:paraId="7780642D">
      <w:pPr>
        <w:widowControl w:val="0"/>
        <w:adjustRightInd/>
        <w:snapToGrid/>
        <w:spacing w:after="0" w:line="44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50F2262">
      <w:pPr>
        <w:widowControl w:val="0"/>
        <w:adjustRightInd/>
        <w:snapToGrid/>
        <w:spacing w:after="0" w:line="440" w:lineRule="exact"/>
        <w:ind w:firstLine="641"/>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《麻醉药品和精神药品管理条例》第八十一条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w:t>
      </w:r>
      <w:r>
        <w:rPr>
          <w:rFonts w:ascii="Times New Roman" w:hAnsi="Times New Roman" w:eastAsia="仿宋_GB2312" w:cs="仿宋_GB2312"/>
          <w:color w:val="000000" w:themeColor="text1"/>
          <w:kern w:val="2"/>
          <w:sz w:val="32"/>
          <w:szCs w:val="32"/>
          <w14:textFill>
            <w14:solidFill>
              <w14:schemeClr w14:val="tx1"/>
            </w14:solidFill>
          </w14:textFill>
        </w:rPr>
        <w:t>2</w:t>
      </w:r>
      <w:r>
        <w:rPr>
          <w:rFonts w:hint="eastAsia" w:ascii="Times New Roman" w:hAnsi="Times New Roman" w:eastAsia="仿宋_GB2312" w:cs="仿宋_GB2312"/>
          <w:color w:val="000000" w:themeColor="text1"/>
          <w:kern w:val="2"/>
          <w:sz w:val="32"/>
          <w:szCs w:val="32"/>
          <w14:textFill>
            <w14:solidFill>
              <w14:schemeClr w14:val="tx1"/>
            </w14:solidFill>
          </w14:textFill>
        </w:rPr>
        <w:t>倍以上</w:t>
      </w:r>
      <w:r>
        <w:rPr>
          <w:rFonts w:ascii="Times New Roman" w:hAnsi="Times New Roman" w:eastAsia="仿宋_GB2312" w:cs="仿宋_GB2312"/>
          <w:color w:val="000000" w:themeColor="text1"/>
          <w:kern w:val="2"/>
          <w:sz w:val="32"/>
          <w:szCs w:val="32"/>
          <w14:textFill>
            <w14:solidFill>
              <w14:schemeClr w14:val="tx1"/>
            </w14:solidFill>
          </w14:textFill>
        </w:rPr>
        <w:t>5</w:t>
      </w:r>
      <w:r>
        <w:rPr>
          <w:rFonts w:hint="eastAsia" w:ascii="Times New Roman" w:hAnsi="Times New Roman" w:eastAsia="仿宋_GB2312" w:cs="仿宋_GB2312"/>
          <w:color w:val="000000" w:themeColor="text1"/>
          <w:kern w:val="2"/>
          <w:sz w:val="32"/>
          <w:szCs w:val="32"/>
          <w14:textFill>
            <w14:solidFill>
              <w14:schemeClr w14:val="tx1"/>
            </w14:solidFill>
          </w14:textFill>
        </w:rPr>
        <w:t>倍以下的罚款；没有违法所得的，处</w:t>
      </w:r>
      <w:r>
        <w:rPr>
          <w:rFonts w:ascii="Times New Roman" w:hAnsi="Times New Roman" w:eastAsia="仿宋_GB2312" w:cs="仿宋_GB2312"/>
          <w:color w:val="000000" w:themeColor="text1"/>
          <w:kern w:val="2"/>
          <w:sz w:val="32"/>
          <w:szCs w:val="32"/>
          <w14:textFill>
            <w14:solidFill>
              <w14:schemeClr w14:val="tx1"/>
            </w14:solidFill>
          </w14:textFill>
        </w:rPr>
        <w:t>2</w:t>
      </w:r>
      <w:r>
        <w:rPr>
          <w:rFonts w:hint="eastAsia" w:ascii="Times New Roman" w:hAnsi="Times New Roman" w:eastAsia="仿宋_GB2312" w:cs="仿宋_GB2312"/>
          <w:color w:val="000000" w:themeColor="text1"/>
          <w:kern w:val="2"/>
          <w:sz w:val="32"/>
          <w:szCs w:val="32"/>
          <w14:textFill>
            <w14:solidFill>
              <w14:schemeClr w14:val="tx1"/>
            </w14:solidFill>
          </w14:textFill>
        </w:rPr>
        <w:t>万元以上</w:t>
      </w:r>
      <w:r>
        <w:rPr>
          <w:rFonts w:ascii="Times New Roman" w:hAnsi="Times New Roman" w:eastAsia="仿宋_GB2312" w:cs="仿宋_GB2312"/>
          <w:color w:val="000000" w:themeColor="text1"/>
          <w:kern w:val="2"/>
          <w:sz w:val="32"/>
          <w:szCs w:val="32"/>
          <w14:textFill>
            <w14:solidFill>
              <w14:schemeClr w14:val="tx1"/>
            </w14:solidFill>
          </w14:textFill>
        </w:rPr>
        <w:t>5</w:t>
      </w:r>
      <w:r>
        <w:rPr>
          <w:rFonts w:hint="eastAsia" w:ascii="Times New Roman" w:hAnsi="Times New Roman" w:eastAsia="仿宋_GB2312" w:cs="仿宋_GB2312"/>
          <w:color w:val="000000" w:themeColor="text1"/>
          <w:kern w:val="2"/>
          <w:sz w:val="32"/>
          <w:szCs w:val="32"/>
          <w14:textFill>
            <w14:solidFill>
              <w14:schemeClr w14:val="tx1"/>
            </w14:solidFill>
          </w14:textFill>
        </w:rPr>
        <w:t>万元以下的罚款；构成犯罪的，依法追究刑事责任。</w:t>
      </w:r>
    </w:p>
    <w:p w14:paraId="21EB7105">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332"/>
        <w:gridCol w:w="6136"/>
      </w:tblGrid>
      <w:tr w14:paraId="2FDE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vAlign w:val="center"/>
          </w:tcPr>
          <w:p w14:paraId="3269652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32" w:type="dxa"/>
            <w:vAlign w:val="center"/>
          </w:tcPr>
          <w:p w14:paraId="1FA57B2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136" w:type="dxa"/>
            <w:vAlign w:val="center"/>
          </w:tcPr>
          <w:p w14:paraId="4741523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B1A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440" w:type="dxa"/>
            <w:vAlign w:val="center"/>
          </w:tcPr>
          <w:p w14:paraId="6D59987D">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332" w:type="dxa"/>
            <w:vAlign w:val="center"/>
          </w:tcPr>
          <w:p w14:paraId="28C0BACB">
            <w:pPr>
              <w:widowControl w:val="0"/>
              <w:adjustRightInd/>
              <w:snapToGrid/>
              <w:spacing w:after="0" w:line="28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依法取得麻醉药品药用原植物种植或者麻醉药品和精神药品使用资格的单位，倒卖、转让、出租、出借、涂改其麻醉药品和精神药品许可证明文件，未造成危害后果的。</w:t>
            </w:r>
          </w:p>
        </w:tc>
        <w:tc>
          <w:tcPr>
            <w:tcW w:w="6136" w:type="dxa"/>
            <w:vAlign w:val="center"/>
          </w:tcPr>
          <w:p w14:paraId="7680A097">
            <w:pPr>
              <w:widowControl w:val="0"/>
              <w:adjustRightInd/>
              <w:snapToGrid/>
              <w:spacing w:after="0" w:line="28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由原审批部门吊销相应许可证明文件，没收违法所得。</w:t>
            </w:r>
          </w:p>
        </w:tc>
      </w:tr>
      <w:tr w14:paraId="5090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440" w:type="dxa"/>
            <w:vAlign w:val="center"/>
          </w:tcPr>
          <w:p w14:paraId="751DB80D">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332" w:type="dxa"/>
            <w:vAlign w:val="center"/>
          </w:tcPr>
          <w:p w14:paraId="0CA0C33B">
            <w:pPr>
              <w:widowControl w:val="0"/>
              <w:adjustRightInd/>
              <w:snapToGrid/>
              <w:spacing w:after="0" w:line="28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依法取得麻醉药品药用原植物种植或者麻醉药品和精神药品使用资格的单位，倒卖、转让、出租、出借、涂改其麻醉药品和精神药品许可证明文件，造成危害后果的。</w:t>
            </w:r>
          </w:p>
        </w:tc>
        <w:tc>
          <w:tcPr>
            <w:tcW w:w="6136" w:type="dxa"/>
            <w:vAlign w:val="center"/>
          </w:tcPr>
          <w:p w14:paraId="44A4A3C4">
            <w:pPr>
              <w:widowControl w:val="0"/>
              <w:adjustRightInd/>
              <w:snapToGrid/>
              <w:spacing w:after="0" w:line="28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由原审批部门吊销相应许可证明文件；有违法所得的，没收违法所得，并处违法所得2倍以上4倍以下的罚款；没有违法所得的，处2万元以上4万元以下的罚款。</w:t>
            </w:r>
          </w:p>
        </w:tc>
      </w:tr>
      <w:tr w14:paraId="7465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40" w:type="dxa"/>
            <w:vAlign w:val="center"/>
          </w:tcPr>
          <w:p w14:paraId="04A0F2F5">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6332" w:type="dxa"/>
            <w:vAlign w:val="center"/>
          </w:tcPr>
          <w:p w14:paraId="43F6B768">
            <w:pPr>
              <w:widowControl w:val="0"/>
              <w:adjustRightInd/>
              <w:snapToGrid/>
              <w:spacing w:after="0" w:line="28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依法取得麻醉药品药用原植物种植或者麻醉药品和精神药品使用资格的单位，倒卖、转让、出租、出借、涂改其麻醉药品和精神药品许可证明文件，造成重大危害后果的。</w:t>
            </w:r>
          </w:p>
        </w:tc>
        <w:tc>
          <w:tcPr>
            <w:tcW w:w="6136" w:type="dxa"/>
            <w:vAlign w:val="center"/>
          </w:tcPr>
          <w:p w14:paraId="5AED45B3">
            <w:pPr>
              <w:widowControl w:val="0"/>
              <w:adjustRightInd/>
              <w:snapToGrid/>
              <w:spacing w:after="0" w:line="28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由原审批部门吊销相应许可证明文件；有违法所得的，没收违法所得，并处违法所得4倍以上5倍以下的罚款；没有违法所得的，处4万元以上5万元以下的罚款。</w:t>
            </w:r>
          </w:p>
        </w:tc>
      </w:tr>
    </w:tbl>
    <w:p w14:paraId="376708D0">
      <w:pPr>
        <w:pStyle w:val="3"/>
        <w:keepNext w:val="0"/>
        <w:keepLines w:val="0"/>
        <w:widowControl w:val="0"/>
        <w:spacing w:before="157" w:beforeLines="50" w:after="157" w:afterLines="50" w:line="440" w:lineRule="exact"/>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504" w:name="_Toc20472"/>
      <w:bookmarkStart w:id="3505" w:name="_Toc5140"/>
      <w:bookmarkStart w:id="3506" w:name="_Toc15478"/>
      <w:bookmarkStart w:id="3507" w:name="_Toc20905"/>
      <w:bookmarkStart w:id="3508" w:name="_Toc10536"/>
      <w:bookmarkStart w:id="3509" w:name="_Toc25456"/>
      <w:bookmarkStart w:id="3510" w:name="_Toc16509"/>
      <w:bookmarkStart w:id="3511" w:name="_Toc19108"/>
      <w:bookmarkStart w:id="3512" w:name="_Toc3377"/>
      <w:bookmarkStart w:id="3513" w:name="_Toc23014"/>
      <w:bookmarkStart w:id="3514" w:name="_Toc3100"/>
      <w:bookmarkStart w:id="3515" w:name="_Toc27286"/>
      <w:bookmarkStart w:id="3516" w:name="_Toc19017"/>
      <w:r>
        <w:rPr>
          <w:rFonts w:hint="eastAsia" w:ascii="Times New Roman" w:hAnsi="Times New Roman" w:eastAsia="楷体_GB2312" w:cs="楷体_GB2312"/>
          <w:bCs w:val="0"/>
          <w:color w:val="000000" w:themeColor="text1"/>
          <w:kern w:val="2"/>
          <w14:textFill>
            <w14:solidFill>
              <w14:schemeClr w14:val="tx1"/>
            </w14:solidFill>
          </w14:textFill>
        </w:rPr>
        <w:t>（二十）《处方管理办法》</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14:paraId="0039585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517" w:name="_Toc11717"/>
      <w:bookmarkStart w:id="3518" w:name="_Toc8167"/>
      <w:bookmarkStart w:id="3519" w:name="_Toc11639"/>
      <w:bookmarkStart w:id="3520" w:name="_Toc7861"/>
      <w:bookmarkStart w:id="3521" w:name="_Toc20456"/>
      <w:bookmarkStart w:id="3522" w:name="_Toc31364"/>
      <w:bookmarkStart w:id="3523" w:name="_Toc15765"/>
      <w:bookmarkStart w:id="3524" w:name="_Toc27505"/>
      <w:bookmarkStart w:id="3525" w:name="_Toc21741"/>
      <w:bookmarkStart w:id="3526" w:name="_Toc13594"/>
      <w:bookmarkStart w:id="3527" w:name="_Toc7091"/>
      <w:r>
        <w:rPr>
          <w:rFonts w:hint="eastAsia" w:cs="仿宋_GB2312"/>
          <w:bCs/>
          <w:color w:val="000000" w:themeColor="text1"/>
          <w14:textFill>
            <w14:solidFill>
              <w14:schemeClr w14:val="tx1"/>
            </w14:solidFill>
          </w14:textFill>
        </w:rPr>
        <w:t>第二百八十条</w:t>
      </w:r>
      <w:r>
        <w:rPr>
          <w:rFonts w:hint="eastAsia" w:ascii="Times New Roman" w:hAnsi="Times New Roman" w:cs="仿宋_GB2312"/>
          <w:bCs/>
          <w:color w:val="000000" w:themeColor="text1"/>
          <w:kern w:val="0"/>
          <w14:textFill>
            <w14:solidFill>
              <w14:schemeClr w14:val="tx1"/>
            </w14:solidFill>
          </w14:textFill>
        </w:rPr>
        <w:t xml:space="preserve"> 医疗机构未按照规定保管麻醉药品和精神药品处方，或者未依照规定进行专册登记的</w:t>
      </w:r>
      <w:bookmarkEnd w:id="3517"/>
      <w:bookmarkEnd w:id="3518"/>
      <w:bookmarkEnd w:id="3519"/>
      <w:bookmarkEnd w:id="3520"/>
      <w:bookmarkEnd w:id="3521"/>
      <w:bookmarkEnd w:id="3522"/>
      <w:bookmarkEnd w:id="3523"/>
      <w:bookmarkEnd w:id="3524"/>
      <w:bookmarkEnd w:id="3525"/>
      <w:bookmarkEnd w:id="3526"/>
      <w:bookmarkEnd w:id="3527"/>
    </w:p>
    <w:p w14:paraId="0EC6932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C7A9F0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1.《处方管理办法》第五十五条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未按照规定保管麻醉药品和精神药品处方，或者未依照规定进行专册登记的，按照《麻醉药品和精神药品管理条例》第七十二条的规定，由设区的市级卫生行政部门责令限期改正，给予警告；逾期不改正的，处</w:t>
      </w:r>
      <w:r>
        <w:rPr>
          <w:rFonts w:ascii="Times New Roman" w:hAnsi="Times New Roman" w:eastAsia="仿宋_GB2312" w:cs="仿宋_GB2312"/>
          <w:color w:val="000000" w:themeColor="text1"/>
          <w:kern w:val="2"/>
          <w:sz w:val="32"/>
          <w:szCs w:val="32"/>
          <w14:textFill>
            <w14:solidFill>
              <w14:schemeClr w14:val="tx1"/>
            </w14:solidFill>
          </w14:textFill>
        </w:rPr>
        <w:t>5000</w:t>
      </w:r>
      <w:r>
        <w:rPr>
          <w:rFonts w:hint="eastAsia" w:ascii="Times New Roman" w:hAnsi="Times New Roman" w:eastAsia="仿宋_GB2312" w:cs="仿宋_GB2312"/>
          <w:color w:val="000000" w:themeColor="text1"/>
          <w:kern w:val="2"/>
          <w:sz w:val="32"/>
          <w:szCs w:val="32"/>
          <w14:textFill>
            <w14:solidFill>
              <w14:schemeClr w14:val="tx1"/>
            </w14:solidFill>
          </w14:textFill>
        </w:rPr>
        <w:t>元以上</w:t>
      </w:r>
      <w:r>
        <w:rPr>
          <w:rFonts w:ascii="Times New Roman" w:hAnsi="Times New Roman" w:eastAsia="仿宋_GB2312" w:cs="仿宋_GB2312"/>
          <w:color w:val="000000" w:themeColor="text1"/>
          <w:kern w:val="2"/>
          <w:sz w:val="32"/>
          <w:szCs w:val="32"/>
          <w14:textFill>
            <w14:solidFill>
              <w14:schemeClr w14:val="tx1"/>
            </w14:solidFill>
          </w14:textFill>
        </w:rPr>
        <w:t>1</w:t>
      </w:r>
      <w:r>
        <w:rPr>
          <w:rFonts w:hint="eastAsia" w:ascii="Times New Roman" w:hAnsi="Times New Roman" w:eastAsia="仿宋_GB2312" w:cs="仿宋_GB2312"/>
          <w:color w:val="000000" w:themeColor="text1"/>
          <w:kern w:val="2"/>
          <w:sz w:val="32"/>
          <w:szCs w:val="32"/>
          <w14:textFill>
            <w14:solidFill>
              <w14:schemeClr w14:val="tx1"/>
            </w14:solidFill>
          </w14:textFill>
        </w:rPr>
        <w:t>万元以下的罚款；情节严重的，吊销其印鉴卡；对直接负责的主管人员和其他直接责任人员，依法给予降级、撤职、开除的处分。</w:t>
      </w:r>
    </w:p>
    <w:p w14:paraId="36E62254">
      <w:pPr>
        <w:widowControl w:val="0"/>
        <w:adjustRightInd/>
        <w:snapToGrid/>
        <w:spacing w:after="0" w:line="440" w:lineRule="exact"/>
        <w:ind w:firstLine="640"/>
        <w:jc w:val="both"/>
        <w:rPr>
          <w:rFonts w:hint="eastAsia" w:ascii="Times New Roman" w:hAnsi="Times New Roman" w:eastAsia="仿宋_GB2312" w:cs="仿宋"/>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2.《麻醉药品和精神药品管理条例》第七十二条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取得印鉴卡的医疗机构违反本条例的规定，有下列情形之一的，由设区的市级人民政府卫生主管部门责令限期改正，给予警告；逾期不改正的，处</w:t>
      </w:r>
      <w:r>
        <w:rPr>
          <w:rFonts w:ascii="Times New Roman" w:hAnsi="Times New Roman" w:eastAsia="仿宋_GB2312" w:cs="仿宋_GB2312"/>
          <w:color w:val="000000" w:themeColor="text1"/>
          <w:kern w:val="2"/>
          <w:sz w:val="32"/>
          <w:szCs w:val="32"/>
          <w14:textFill>
            <w14:solidFill>
              <w14:schemeClr w14:val="tx1"/>
            </w14:solidFill>
          </w14:textFill>
        </w:rPr>
        <w:t>5000</w:t>
      </w:r>
      <w:r>
        <w:rPr>
          <w:rFonts w:hint="eastAsia" w:ascii="Times New Roman" w:hAnsi="Times New Roman" w:eastAsia="仿宋_GB2312" w:cs="仿宋_GB2312"/>
          <w:color w:val="000000" w:themeColor="text1"/>
          <w:kern w:val="2"/>
          <w:sz w:val="32"/>
          <w:szCs w:val="32"/>
          <w14:textFill>
            <w14:solidFill>
              <w14:schemeClr w14:val="tx1"/>
            </w14:solidFill>
          </w14:textFill>
        </w:rPr>
        <w:t>元以上</w:t>
      </w:r>
      <w:r>
        <w:rPr>
          <w:rFonts w:ascii="Times New Roman" w:hAnsi="Times New Roman" w:eastAsia="仿宋_GB2312" w:cs="仿宋_GB2312"/>
          <w:color w:val="000000" w:themeColor="text1"/>
          <w:kern w:val="2"/>
          <w:sz w:val="32"/>
          <w:szCs w:val="32"/>
          <w14:textFill>
            <w14:solidFill>
              <w14:schemeClr w14:val="tx1"/>
            </w14:solidFill>
          </w14:textFill>
        </w:rPr>
        <w:t>1</w:t>
      </w:r>
      <w:r>
        <w:rPr>
          <w:rFonts w:hint="eastAsia" w:ascii="Times New Roman" w:hAnsi="Times New Roman" w:eastAsia="仿宋_GB2312" w:cs="仿宋_GB2312"/>
          <w:color w:val="000000" w:themeColor="text1"/>
          <w:kern w:val="2"/>
          <w:sz w:val="32"/>
          <w:szCs w:val="32"/>
          <w14:textFill>
            <w14:solidFill>
              <w14:schemeClr w14:val="tx1"/>
            </w14:solidFill>
          </w14:textFill>
        </w:rPr>
        <w:t>万元以下的罚款；情节严重的，吊销其印鉴卡；对直接负责的主管人员和其他直接责任人员，依法给予降级、撤职、开除的处分：（一）未依照规定购买、储存麻醉药品和第一类精神药品的；（二）未依照规定保存麻醉药</w:t>
      </w:r>
      <w:r>
        <w:rPr>
          <w:rFonts w:hint="eastAsia" w:ascii="Times New Roman" w:hAnsi="Times New Roman" w:eastAsia="仿宋_GB2312" w:cs="仿宋"/>
          <w:color w:val="000000" w:themeColor="text1"/>
          <w:kern w:val="2"/>
          <w:sz w:val="32"/>
          <w:szCs w:val="32"/>
          <w14:textFill>
            <w14:solidFill>
              <w14:schemeClr w14:val="tx1"/>
            </w14:solidFill>
          </w14:textFill>
        </w:rPr>
        <w:t>品和精神药品专用处方，或者未依照规定进行处方专册登记的；</w:t>
      </w:r>
      <w:r>
        <w:rPr>
          <w:rFonts w:hint="eastAsia" w:ascii="Times New Roman" w:hAnsi="Times New Roman" w:eastAsia="仿宋_GB2312" w:cs="仿宋_GB2312"/>
          <w:color w:val="000000" w:themeColor="text1"/>
          <w:kern w:val="2"/>
          <w:sz w:val="32"/>
          <w:szCs w:val="32"/>
          <w14:textFill>
            <w14:solidFill>
              <w14:schemeClr w14:val="tx1"/>
            </w14:solidFill>
          </w14:textFill>
        </w:rPr>
        <w:t>（三）未依照规定报告麻醉药品和精神药品的进货、库存、使用数量的；（四）紧急借用麻醉药品和</w:t>
      </w:r>
      <w:r>
        <w:rPr>
          <w:rFonts w:hint="eastAsia" w:ascii="Times New Roman" w:hAnsi="Times New Roman" w:eastAsia="仿宋_GB2312" w:cs="仿宋"/>
          <w:color w:val="000000" w:themeColor="text1"/>
          <w:kern w:val="2"/>
          <w:sz w:val="32"/>
          <w:szCs w:val="32"/>
          <w14:textFill>
            <w14:solidFill>
              <w14:schemeClr w14:val="tx1"/>
            </w14:solidFill>
          </w14:textFill>
        </w:rPr>
        <w:t>第一类精神药品后未备案的；（五）未依照规定销毁麻醉药品和精神药品的。</w:t>
      </w:r>
    </w:p>
    <w:p w14:paraId="508DD896">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34"/>
        <w:gridCol w:w="3932"/>
      </w:tblGrid>
      <w:tr w14:paraId="7B85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tcPr>
          <w:p w14:paraId="6AB2EAB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34" w:type="dxa"/>
          </w:tcPr>
          <w:p w14:paraId="72D40BF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3932" w:type="dxa"/>
          </w:tcPr>
          <w:p w14:paraId="53C4A8F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B1B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440" w:type="dxa"/>
            <w:vAlign w:val="center"/>
          </w:tcPr>
          <w:p w14:paraId="7B1AD53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34" w:type="dxa"/>
            <w:vAlign w:val="center"/>
          </w:tcPr>
          <w:p w14:paraId="0E4CA44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取得印鉴卡的医疗机构未依照规定保存麻醉药品和精神药品专用处方，或者未依照规定进行处方专册登记的。</w:t>
            </w:r>
          </w:p>
        </w:tc>
        <w:tc>
          <w:tcPr>
            <w:tcW w:w="3932" w:type="dxa"/>
            <w:vAlign w:val="center"/>
          </w:tcPr>
          <w:p w14:paraId="574527E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w:t>
            </w:r>
          </w:p>
        </w:tc>
      </w:tr>
      <w:tr w14:paraId="1D76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40" w:type="dxa"/>
            <w:vAlign w:val="center"/>
          </w:tcPr>
          <w:p w14:paraId="6AB6CBE3">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34" w:type="dxa"/>
            <w:vAlign w:val="center"/>
          </w:tcPr>
          <w:p w14:paraId="53C8F07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取得印鉴卡的医疗机构未依照规定保存麻醉药品和精神药品专用处方，或者未依照规定进行处方专册登记，经责令限期改正，逾期不改正的。</w:t>
            </w:r>
          </w:p>
        </w:tc>
        <w:tc>
          <w:tcPr>
            <w:tcW w:w="3932" w:type="dxa"/>
            <w:vAlign w:val="center"/>
          </w:tcPr>
          <w:p w14:paraId="741F674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由设区的市级人民政府卫生主管部门责令限期改正，给予警告，处5000元以上8000元以下的罚款。</w:t>
            </w:r>
          </w:p>
        </w:tc>
      </w:tr>
      <w:tr w14:paraId="7F7A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40" w:type="dxa"/>
            <w:vAlign w:val="center"/>
          </w:tcPr>
          <w:p w14:paraId="4B6ED1EA">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34" w:type="dxa"/>
            <w:vAlign w:val="center"/>
          </w:tcPr>
          <w:p w14:paraId="7429407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取得印鉴卡的医疗机构未依照规定保存麻醉药品和精神药品专用处方，且未依照规定进行处方专册登记，经责令限期改正，逾期不改正的。</w:t>
            </w:r>
          </w:p>
        </w:tc>
        <w:tc>
          <w:tcPr>
            <w:tcW w:w="3932" w:type="dxa"/>
            <w:vAlign w:val="center"/>
          </w:tcPr>
          <w:p w14:paraId="571F4C2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由设区的市级人民政府卫生主管部门责令限期改正，给予警告，处8000元以上10000元以下的罚款。</w:t>
            </w:r>
          </w:p>
        </w:tc>
      </w:tr>
      <w:tr w14:paraId="4C21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440" w:type="dxa"/>
            <w:vAlign w:val="center"/>
          </w:tcPr>
          <w:p w14:paraId="3C3E6F73">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34" w:type="dxa"/>
            <w:vAlign w:val="center"/>
          </w:tcPr>
          <w:p w14:paraId="4AE16A2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取得印鉴卡的医疗机构未依照规定保存麻醉药品和精神药品专用处方，或者未依照规定进行处方专册登记，情节严重的。</w:t>
            </w:r>
          </w:p>
        </w:tc>
        <w:tc>
          <w:tcPr>
            <w:tcW w:w="3932" w:type="dxa"/>
            <w:vAlign w:val="center"/>
          </w:tcPr>
          <w:p w14:paraId="6CB3582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由设区的市级人民政府卫生主管部门责令限期改正，给予警告，处1万元罚款，吊销其印鉴卡。</w:t>
            </w:r>
          </w:p>
        </w:tc>
      </w:tr>
    </w:tbl>
    <w:p w14:paraId="2F910077">
      <w:pPr>
        <w:widowControl w:val="0"/>
        <w:adjustRightInd/>
        <w:snapToGrid/>
        <w:spacing w:after="0" w:line="440" w:lineRule="exact"/>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237C783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528" w:name="_Toc6476"/>
      <w:bookmarkStart w:id="3529" w:name="_Toc388"/>
      <w:bookmarkStart w:id="3530" w:name="_Toc5608"/>
      <w:bookmarkStart w:id="3531" w:name="_Toc11482"/>
      <w:bookmarkStart w:id="3532" w:name="_Toc31958"/>
      <w:bookmarkStart w:id="3533" w:name="_Toc8648"/>
      <w:bookmarkStart w:id="3534" w:name="_Toc9121"/>
      <w:bookmarkStart w:id="3535" w:name="_Toc25980"/>
      <w:bookmarkStart w:id="3536" w:name="_Toc6296"/>
      <w:bookmarkStart w:id="3537" w:name="_Toc3284"/>
      <w:bookmarkStart w:id="3538" w:name="_Toc17634"/>
      <w:r>
        <w:rPr>
          <w:rFonts w:hint="eastAsia" w:cs="仿宋_GB2312"/>
          <w:bCs/>
          <w:color w:val="000000" w:themeColor="text1"/>
          <w14:textFill>
            <w14:solidFill>
              <w14:schemeClr w14:val="tx1"/>
            </w14:solidFill>
          </w14:textFill>
        </w:rPr>
        <w:t>第二百八十一条</w:t>
      </w:r>
      <w:r>
        <w:rPr>
          <w:rFonts w:hint="eastAsia" w:ascii="Times New Roman" w:hAnsi="Times New Roman" w:cs="仿宋_GB2312"/>
          <w:bCs/>
          <w:color w:val="000000" w:themeColor="text1"/>
          <w:kern w:val="0"/>
          <w14:textFill>
            <w14:solidFill>
              <w14:schemeClr w14:val="tx1"/>
            </w14:solidFill>
          </w14:textFill>
        </w:rPr>
        <w:t xml:space="preserve"> 使用未取得处方权的人员、被取消处方权的医师开具处方的</w:t>
      </w:r>
      <w:bookmarkEnd w:id="3528"/>
      <w:bookmarkEnd w:id="3529"/>
      <w:bookmarkEnd w:id="3530"/>
      <w:bookmarkEnd w:id="3531"/>
      <w:bookmarkEnd w:id="3532"/>
      <w:bookmarkEnd w:id="3533"/>
      <w:bookmarkEnd w:id="3534"/>
      <w:bookmarkEnd w:id="3535"/>
      <w:bookmarkEnd w:id="3536"/>
      <w:bookmarkEnd w:id="3537"/>
      <w:bookmarkEnd w:id="3538"/>
    </w:p>
    <w:p w14:paraId="06129F6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ACEFED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1.《处方管理办法》第五十四条第（一）项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医疗机构有下列情形之一的，由县级以上卫生行政部门按照《医疗机构管理条例》第四十八条的规定，责令限期改正，并可处以5000 元以下的罚款；情节严重的，吊销其《医疗机构执业许可证》：</w:t>
      </w:r>
    </w:p>
    <w:p w14:paraId="7A60AD8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（一）使用未取得处方权的人员、被取消处方权的医师开具处方的；</w:t>
      </w:r>
    </w:p>
    <w:p w14:paraId="6AF52065">
      <w:pPr>
        <w:widowControl w:val="0"/>
        <w:adjustRightInd/>
        <w:snapToGrid/>
        <w:spacing w:after="0" w:line="440" w:lineRule="exact"/>
        <w:ind w:firstLine="640"/>
        <w:jc w:val="both"/>
        <w:rPr>
          <w:rFonts w:hint="eastAsia" w:ascii="Times New Roman" w:hAnsi="Times New Roman" w:eastAsia="仿宋_GB2312" w:cs="仿宋"/>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2.《医疗机构管理条例》第四十七条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违反本条例第二十七条规定，使用非卫生技术人员从事医疗卫生技术工作的，由县级以上人民政府卫生行政部门责令其限期改正，并可以处以1万元以上10万元以下的罚款；情节严重的</w:t>
      </w:r>
      <w:r>
        <w:rPr>
          <w:rFonts w:hint="eastAsia" w:ascii="Times New Roman" w:hAnsi="Times New Roman" w:eastAsia="仿宋_GB2312" w:cs="仿宋"/>
          <w:color w:val="000000" w:themeColor="text1"/>
          <w:kern w:val="2"/>
          <w:sz w:val="32"/>
          <w:szCs w:val="32"/>
          <w14:textFill>
            <w14:solidFill>
              <w14:schemeClr w14:val="tx1"/>
            </w14:solidFill>
          </w14:textFill>
        </w:rPr>
        <w:t>，吊销其《医疗机构执业许可证》或者责令其停止执业活动。</w:t>
      </w:r>
    </w:p>
    <w:p w14:paraId="172D195D">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648"/>
        <w:gridCol w:w="4618"/>
      </w:tblGrid>
      <w:tr w14:paraId="3516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tcPr>
          <w:p w14:paraId="638F01E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48" w:type="dxa"/>
          </w:tcPr>
          <w:p w14:paraId="19DC4AB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618" w:type="dxa"/>
          </w:tcPr>
          <w:p w14:paraId="60ED29E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909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440" w:type="dxa"/>
            <w:vAlign w:val="center"/>
          </w:tcPr>
          <w:p w14:paraId="109641DD">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7648" w:type="dxa"/>
            <w:vAlign w:val="center"/>
          </w:tcPr>
          <w:p w14:paraId="114453C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使用1 名未取得处方权的人员、被取消处方权的医师开具处方的。</w:t>
            </w:r>
          </w:p>
        </w:tc>
        <w:tc>
          <w:tcPr>
            <w:tcW w:w="4618" w:type="dxa"/>
            <w:vAlign w:val="center"/>
          </w:tcPr>
          <w:p w14:paraId="2FB29BB7">
            <w:pPr>
              <w:widowControl w:val="0"/>
              <w:adjustRightInd/>
              <w:snapToGrid/>
              <w:spacing w:after="0" w:line="32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由县级以上人民政府卫生行政部门责令其限期改正，处以1万元以上2万元以下罚款。</w:t>
            </w:r>
          </w:p>
        </w:tc>
      </w:tr>
      <w:tr w14:paraId="58F4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40" w:type="dxa"/>
            <w:vAlign w:val="center"/>
          </w:tcPr>
          <w:p w14:paraId="15C69A5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648" w:type="dxa"/>
            <w:vAlign w:val="center"/>
          </w:tcPr>
          <w:p w14:paraId="5D169C0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使用2 名及2名以上未取得处方权的人员、被取消处方权的医师开具处方的。</w:t>
            </w:r>
          </w:p>
        </w:tc>
        <w:tc>
          <w:tcPr>
            <w:tcW w:w="4618" w:type="dxa"/>
            <w:vAlign w:val="center"/>
          </w:tcPr>
          <w:p w14:paraId="1B4D9E93">
            <w:pPr>
              <w:widowControl w:val="0"/>
              <w:adjustRightInd/>
              <w:snapToGrid/>
              <w:spacing w:after="0" w:line="32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由县级以上人民政府卫生行政部门责令其限期改正，处以2万元以上8万元以下罚款。</w:t>
            </w:r>
          </w:p>
        </w:tc>
      </w:tr>
      <w:tr w14:paraId="0A4F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40" w:type="dxa"/>
            <w:vAlign w:val="center"/>
          </w:tcPr>
          <w:p w14:paraId="28F1D3DD">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648" w:type="dxa"/>
            <w:vAlign w:val="center"/>
          </w:tcPr>
          <w:p w14:paraId="428A7E3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使用未取得处方权的人员、被取消处方权的医师开具处方，给患者造成伤害的。</w:t>
            </w:r>
          </w:p>
        </w:tc>
        <w:tc>
          <w:tcPr>
            <w:tcW w:w="4618" w:type="dxa"/>
            <w:vAlign w:val="center"/>
          </w:tcPr>
          <w:p w14:paraId="62FBD96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由县级以上人民政府卫生行政部门责令其限期改正，处以8万元以上10万元以下罚款。</w:t>
            </w:r>
          </w:p>
        </w:tc>
      </w:tr>
      <w:tr w14:paraId="0EF8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40" w:type="dxa"/>
            <w:vAlign w:val="center"/>
          </w:tcPr>
          <w:p w14:paraId="76303A5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648" w:type="dxa"/>
            <w:vAlign w:val="center"/>
          </w:tcPr>
          <w:p w14:paraId="304FA61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使用未取得处方权的人员、被取消处方权的医师开具处方，造成患者死亡的。</w:t>
            </w:r>
          </w:p>
        </w:tc>
        <w:tc>
          <w:tcPr>
            <w:tcW w:w="4618" w:type="dxa"/>
            <w:vAlign w:val="center"/>
          </w:tcPr>
          <w:p w14:paraId="3869868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由县级以上人民政府卫生行政部门责令其限期改正，处以10万元罚款，情节严重的，吊销其《医疗机构执业许可证》或者责令其停止执业活动。</w:t>
            </w:r>
          </w:p>
        </w:tc>
      </w:tr>
    </w:tbl>
    <w:p w14:paraId="6FE4F445">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539" w:name="_Toc26337"/>
      <w:bookmarkStart w:id="3540" w:name="_Toc30617"/>
      <w:bookmarkStart w:id="3541" w:name="_Toc19238"/>
      <w:bookmarkStart w:id="3542" w:name="_Toc16774"/>
      <w:bookmarkStart w:id="3543" w:name="_Toc16264"/>
      <w:bookmarkStart w:id="3544" w:name="_Toc18868"/>
      <w:bookmarkStart w:id="3545" w:name="_Toc8183"/>
      <w:bookmarkStart w:id="3546" w:name="_Toc11264"/>
      <w:bookmarkStart w:id="3547" w:name="_Toc18847"/>
      <w:bookmarkStart w:id="3548" w:name="_Toc3158"/>
      <w:bookmarkStart w:id="3549" w:name="_Toc8291"/>
      <w:r>
        <w:rPr>
          <w:rFonts w:hint="eastAsia" w:cs="仿宋_GB2312"/>
          <w:bCs/>
          <w:color w:val="000000" w:themeColor="text1"/>
          <w14:textFill>
            <w14:solidFill>
              <w14:schemeClr w14:val="tx1"/>
            </w14:solidFill>
          </w14:textFill>
        </w:rPr>
        <w:t>第二百八十二条</w:t>
      </w:r>
      <w:r>
        <w:rPr>
          <w:rFonts w:hint="eastAsia" w:ascii="Times New Roman" w:hAnsi="Times New Roman" w:cs="仿宋_GB2312"/>
          <w:bCs/>
          <w:color w:val="000000" w:themeColor="text1"/>
          <w:kern w:val="0"/>
          <w14:textFill>
            <w14:solidFill>
              <w14:schemeClr w14:val="tx1"/>
            </w14:solidFill>
          </w14:textFill>
        </w:rPr>
        <w:t xml:space="preserve"> 使用未取得药学专业技术职务任职资格的人员从事处方调剂工作的</w:t>
      </w:r>
      <w:bookmarkEnd w:id="3539"/>
      <w:bookmarkEnd w:id="3540"/>
      <w:bookmarkEnd w:id="3541"/>
      <w:bookmarkEnd w:id="3542"/>
      <w:bookmarkEnd w:id="3543"/>
      <w:bookmarkEnd w:id="3544"/>
      <w:bookmarkEnd w:id="3545"/>
      <w:bookmarkEnd w:id="3546"/>
      <w:bookmarkEnd w:id="3547"/>
      <w:bookmarkEnd w:id="3548"/>
      <w:bookmarkEnd w:id="3549"/>
    </w:p>
    <w:p w14:paraId="5AACA21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C93225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1.《处方管理办法》第五十四条第（三）项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医疗机构有下列情形之一的，由县级以上卫生行政部门按照《医疗机构管理条例》第四十八条的规定，责令限期改正，并可处以5000元以下的罚款；情节严重的，吊销其《医疗机构执业许可证》：</w:t>
      </w:r>
    </w:p>
    <w:p w14:paraId="4BAC211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（三）使用未取得药学专业技术职务任职资格的人员从事处方调剂工作的。</w:t>
      </w:r>
    </w:p>
    <w:p w14:paraId="501EE68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2.《医疗机构管理条例》第四十七条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七条规定，使用非卫生技术人员从事医疗卫生技术工作的，由县级以上人民政府卫生行政部门责令其限期改正，并可以处以1万元以上10万元以下的罚款；情节严重的，吊销其《医疗机构执业许可证》或者责令其停止执业活动。</w:t>
      </w:r>
    </w:p>
    <w:p w14:paraId="0D898BA3">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174"/>
        <w:gridCol w:w="4294"/>
      </w:tblGrid>
      <w:tr w14:paraId="27E9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40" w:type="dxa"/>
          </w:tcPr>
          <w:p w14:paraId="10DA5B3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74" w:type="dxa"/>
          </w:tcPr>
          <w:p w14:paraId="7A1C0B3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294" w:type="dxa"/>
          </w:tcPr>
          <w:p w14:paraId="7501529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F41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440" w:type="dxa"/>
            <w:vAlign w:val="center"/>
          </w:tcPr>
          <w:p w14:paraId="0E2E623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174" w:type="dxa"/>
            <w:vAlign w:val="center"/>
          </w:tcPr>
          <w:p w14:paraId="477D46A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使用1 名未取得药学专业技术职务任职资格的人员从事处方调剂工作的。</w:t>
            </w:r>
          </w:p>
        </w:tc>
        <w:tc>
          <w:tcPr>
            <w:tcW w:w="4294" w:type="dxa"/>
            <w:vAlign w:val="center"/>
          </w:tcPr>
          <w:p w14:paraId="52F37C1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由县级以上人民政府卫生行政部门责令其限期改正，处以1万元以上2万元以下罚款。</w:t>
            </w:r>
          </w:p>
        </w:tc>
      </w:tr>
      <w:tr w14:paraId="784F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440" w:type="dxa"/>
            <w:vAlign w:val="center"/>
          </w:tcPr>
          <w:p w14:paraId="42148C5C">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 w:cs="仿宋"/>
                <w:b/>
                <w:bCs/>
                <w:color w:val="000000" w:themeColor="text1"/>
                <w:kern w:val="2"/>
                <w:sz w:val="24"/>
                <w:szCs w:val="24"/>
                <w14:textFill>
                  <w14:solidFill>
                    <w14:schemeClr w14:val="tx1"/>
                  </w14:solidFill>
                </w14:textFill>
              </w:rPr>
              <w:t>一般</w:t>
            </w:r>
          </w:p>
        </w:tc>
        <w:tc>
          <w:tcPr>
            <w:tcW w:w="8174" w:type="dxa"/>
            <w:vAlign w:val="center"/>
          </w:tcPr>
          <w:p w14:paraId="582B016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使用2 名及2名以上未取得药学专业技术职务任职资格的人员从事处方调剂工作的。</w:t>
            </w:r>
          </w:p>
        </w:tc>
        <w:tc>
          <w:tcPr>
            <w:tcW w:w="4294" w:type="dxa"/>
            <w:vAlign w:val="center"/>
          </w:tcPr>
          <w:p w14:paraId="22232A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由县级以上人民政府卫生行政部门责令其限期改正，处以2万元以上8万元以下罚款。</w:t>
            </w:r>
          </w:p>
        </w:tc>
      </w:tr>
      <w:tr w14:paraId="7FC5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440" w:type="dxa"/>
            <w:vAlign w:val="center"/>
          </w:tcPr>
          <w:p w14:paraId="6A030AF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174" w:type="dxa"/>
            <w:vAlign w:val="center"/>
          </w:tcPr>
          <w:p w14:paraId="53B1E5F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使用未取得药学专业技术职务任职资格的人员从事处方调剂工作，给患者造成伤害的。</w:t>
            </w:r>
          </w:p>
        </w:tc>
        <w:tc>
          <w:tcPr>
            <w:tcW w:w="4294" w:type="dxa"/>
            <w:vAlign w:val="center"/>
          </w:tcPr>
          <w:p w14:paraId="409F805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由县级以上人民政府卫生行政部门责令其限期改正，处以8万元以上10万元以下罚款。</w:t>
            </w:r>
          </w:p>
        </w:tc>
      </w:tr>
      <w:tr w14:paraId="16C9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440" w:type="dxa"/>
            <w:vAlign w:val="center"/>
          </w:tcPr>
          <w:p w14:paraId="2DA12E0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174" w:type="dxa"/>
            <w:vAlign w:val="center"/>
          </w:tcPr>
          <w:p w14:paraId="7A10BAE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使用未取得药学专业技术职务任职资格的人员从事处方调剂工作，造成患者死亡的。</w:t>
            </w:r>
          </w:p>
        </w:tc>
        <w:tc>
          <w:tcPr>
            <w:tcW w:w="4294" w:type="dxa"/>
            <w:vAlign w:val="center"/>
          </w:tcPr>
          <w:p w14:paraId="2072A4E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由县级以上人民政府卫生行政部门责令其限期改正，处以10万元罚款，情节严重的，吊销其《医疗机构执业许可证》或者责令其停止执业活动。</w:t>
            </w:r>
          </w:p>
        </w:tc>
      </w:tr>
    </w:tbl>
    <w:p w14:paraId="3FF407E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550" w:name="_Toc9022"/>
      <w:bookmarkStart w:id="3551" w:name="_Toc7413"/>
      <w:bookmarkStart w:id="3552" w:name="_Toc19208"/>
      <w:bookmarkStart w:id="3553" w:name="_Toc2710"/>
      <w:bookmarkStart w:id="3554" w:name="_Toc7820"/>
      <w:bookmarkStart w:id="3555" w:name="_Toc3214"/>
      <w:bookmarkStart w:id="3556" w:name="_Toc14908"/>
      <w:bookmarkStart w:id="3557" w:name="_Toc21240"/>
      <w:bookmarkStart w:id="3558" w:name="_Toc21419"/>
      <w:bookmarkStart w:id="3559" w:name="_Toc7363"/>
      <w:bookmarkStart w:id="3560" w:name="_Toc30363"/>
      <w:r>
        <w:rPr>
          <w:rFonts w:hint="eastAsia" w:cs="仿宋_GB2312"/>
          <w:bCs/>
          <w:color w:val="000000" w:themeColor="text1"/>
          <w14:textFill>
            <w14:solidFill>
              <w14:schemeClr w14:val="tx1"/>
            </w14:solidFill>
          </w14:textFill>
        </w:rPr>
        <w:t>第二百八十三条</w:t>
      </w:r>
      <w:r>
        <w:rPr>
          <w:rFonts w:hint="eastAsia" w:ascii="Times New Roman" w:hAnsi="Times New Roman" w:cs="仿宋_GB2312"/>
          <w:bCs/>
          <w:color w:val="000000" w:themeColor="text1"/>
          <w:kern w:val="0"/>
          <w14:textFill>
            <w14:solidFill>
              <w14:schemeClr w14:val="tx1"/>
            </w14:solidFill>
          </w14:textFill>
        </w:rPr>
        <w:t xml:space="preserve"> 未取得麻醉药品和第一类精神药品处方资格的医师擅自开具麻醉药品和第一类精神药品处方的</w:t>
      </w:r>
      <w:bookmarkEnd w:id="3550"/>
      <w:bookmarkEnd w:id="3551"/>
      <w:bookmarkEnd w:id="3552"/>
      <w:bookmarkEnd w:id="3553"/>
      <w:bookmarkEnd w:id="3554"/>
      <w:bookmarkEnd w:id="3555"/>
      <w:bookmarkEnd w:id="3556"/>
      <w:bookmarkEnd w:id="3557"/>
      <w:bookmarkEnd w:id="3558"/>
      <w:bookmarkEnd w:id="3559"/>
      <w:bookmarkEnd w:id="3560"/>
    </w:p>
    <w:p w14:paraId="2D631FF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E78410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1.《处方管理办法》第五十六条第（一）项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医师和药师出现下列情形之一的，由县级以上卫生行政部门按照《麻醉药品和精神药品管理条例》第七十三条的规定予以处罚：</w:t>
      </w:r>
    </w:p>
    <w:p w14:paraId="1F9D343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（一）未取得麻醉药品和第一类精神药品处方资格的医师擅自开具麻醉药品和第一类精神药品处方的；</w:t>
      </w:r>
    </w:p>
    <w:p w14:paraId="7DDDC41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2.《麻醉药品和精神药品管理条例》第七十三条第二款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未取得麻醉药品和第一类精神药品处方资格的执业医师擅自开具麻醉药品和第一类精神药品处方，由县级以上人民政府卫生主管部门给予警告，暂停其执业活动；造成严重后果的，吊销其执业证书；构成犯罪的，依法追究刑事责任。</w:t>
      </w:r>
    </w:p>
    <w:p w14:paraId="75AB2EF5">
      <w:pPr>
        <w:widowControl w:val="0"/>
        <w:adjustRightInd/>
        <w:snapToGrid/>
        <w:spacing w:after="0" w:line="440" w:lineRule="exact"/>
        <w:jc w:val="center"/>
        <w:rPr>
          <w:rFonts w:hint="eastAsia" w:ascii="Times New Roman" w:hAnsi="Times New Roman" w:eastAsia="微软雅黑" w:cs="宋体"/>
          <w:b/>
          <w:bCs/>
          <w:color w:val="000000" w:themeColor="text1"/>
          <w:kern w:val="2"/>
          <w:sz w:val="28"/>
          <w:szCs w:val="28"/>
          <w14:textFill>
            <w14:solidFill>
              <w14:schemeClr w14:val="tx1"/>
            </w14:solidFill>
          </w14:textFill>
        </w:rPr>
      </w:pPr>
      <w:r>
        <w:rPr>
          <w:rFonts w:hint="eastAsia" w:ascii="Times New Roman" w:hAnsi="Times New Roman" w:eastAsia="微软雅黑" w:cs="宋体"/>
          <w:b/>
          <w:bCs/>
          <w:color w:val="000000" w:themeColor="text1"/>
          <w:kern w:val="2"/>
          <w:sz w:val="28"/>
          <w:szCs w:val="28"/>
          <w14:textFill>
            <w14:solidFill>
              <w14:schemeClr w14:val="tx1"/>
            </w14:solidFill>
          </w14:textFill>
        </w:rPr>
        <w:t>裁量标准</w:t>
      </w:r>
    </w:p>
    <w:tbl>
      <w:tblPr>
        <w:tblStyle w:val="24"/>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34"/>
        <w:gridCol w:w="4126"/>
      </w:tblGrid>
      <w:tr w14:paraId="0A14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tcPr>
          <w:p w14:paraId="57DD366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34" w:type="dxa"/>
          </w:tcPr>
          <w:p w14:paraId="666E4C1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126" w:type="dxa"/>
          </w:tcPr>
          <w:p w14:paraId="09BF747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3F2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440" w:type="dxa"/>
            <w:vAlign w:val="center"/>
          </w:tcPr>
          <w:p w14:paraId="3E94D8B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34" w:type="dxa"/>
            <w:vAlign w:val="center"/>
          </w:tcPr>
          <w:p w14:paraId="08BB9A3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未取得麻醉药品和第一类精神药品处方资格的执业医师擅自开具麻醉药品和第一类精神药品处方的。</w:t>
            </w:r>
          </w:p>
        </w:tc>
        <w:tc>
          <w:tcPr>
            <w:tcW w:w="4126" w:type="dxa"/>
            <w:vAlign w:val="center"/>
          </w:tcPr>
          <w:p w14:paraId="40503F4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由县级以上人民政府卫生主管部门给予警告，暂停其6 个月以下执业活动。</w:t>
            </w:r>
          </w:p>
        </w:tc>
      </w:tr>
      <w:tr w14:paraId="3D4E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440" w:type="dxa"/>
            <w:vAlign w:val="center"/>
          </w:tcPr>
          <w:p w14:paraId="75FE4D46">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34" w:type="dxa"/>
            <w:vAlign w:val="center"/>
          </w:tcPr>
          <w:p w14:paraId="1B7ABB9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未取得麻醉药品和第一类精神药品处方资格的执业医师擅自开具麻醉药品和第一类精神药品处方，给患者造成伤害或其他危害后果的。</w:t>
            </w:r>
          </w:p>
        </w:tc>
        <w:tc>
          <w:tcPr>
            <w:tcW w:w="4126" w:type="dxa"/>
            <w:vAlign w:val="center"/>
          </w:tcPr>
          <w:p w14:paraId="681026A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由县级以上人民政府卫生主管部门给予警告，暂停其6 个月以上1 年以下执业活动。</w:t>
            </w:r>
          </w:p>
        </w:tc>
      </w:tr>
      <w:tr w14:paraId="3C3F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40" w:type="dxa"/>
            <w:vAlign w:val="center"/>
          </w:tcPr>
          <w:p w14:paraId="03E7C26C">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34" w:type="dxa"/>
            <w:vAlign w:val="center"/>
          </w:tcPr>
          <w:p w14:paraId="080467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未取得麻醉药品和第一类精神药品处方资格的执业医师擅自开具麻醉药品和第一类精神药品处方，造成患者死亡或其他严重后果的。</w:t>
            </w:r>
          </w:p>
        </w:tc>
        <w:tc>
          <w:tcPr>
            <w:tcW w:w="4126" w:type="dxa"/>
            <w:vAlign w:val="center"/>
          </w:tcPr>
          <w:p w14:paraId="714C746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由县级以上人民政府卫生主管部门吊销其执业证书。</w:t>
            </w:r>
          </w:p>
        </w:tc>
      </w:tr>
    </w:tbl>
    <w:p w14:paraId="261C639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561" w:name="_Toc23243"/>
      <w:bookmarkStart w:id="3562" w:name="_Toc6964"/>
      <w:bookmarkStart w:id="3563" w:name="_Toc27369"/>
      <w:bookmarkStart w:id="3564" w:name="_Toc11209"/>
      <w:bookmarkStart w:id="3565" w:name="_Toc12136"/>
      <w:bookmarkStart w:id="3566" w:name="_Toc22124"/>
      <w:bookmarkStart w:id="3567" w:name="_Toc5870"/>
      <w:bookmarkStart w:id="3568" w:name="_Toc29345"/>
      <w:bookmarkStart w:id="3569" w:name="_Toc20189"/>
      <w:bookmarkStart w:id="3570" w:name="_Toc23790"/>
      <w:bookmarkStart w:id="3571" w:name="_Toc28748"/>
      <w:r>
        <w:rPr>
          <w:rFonts w:hint="eastAsia" w:cs="仿宋_GB2312"/>
          <w:bCs/>
          <w:color w:val="000000" w:themeColor="text1"/>
          <w14:textFill>
            <w14:solidFill>
              <w14:schemeClr w14:val="tx1"/>
            </w14:solidFill>
          </w14:textFill>
        </w:rPr>
        <w:t>第二百八十四条</w:t>
      </w:r>
      <w:r>
        <w:rPr>
          <w:rFonts w:hint="eastAsia" w:ascii="Times New Roman" w:hAnsi="Times New Roman" w:cs="仿宋_GB2312"/>
          <w:bCs/>
          <w:color w:val="000000" w:themeColor="text1"/>
          <w:kern w:val="0"/>
          <w14:textFill>
            <w14:solidFill>
              <w14:schemeClr w14:val="tx1"/>
            </w14:solidFill>
          </w14:textFill>
        </w:rPr>
        <w:t xml:space="preserve"> 使用未取得麻醉药品和第一类精神药品处方资格的医师开具麻醉药品和第一类精神药品处方的（机构）</w:t>
      </w:r>
      <w:bookmarkEnd w:id="3561"/>
      <w:bookmarkEnd w:id="3562"/>
      <w:bookmarkEnd w:id="3563"/>
      <w:bookmarkEnd w:id="3564"/>
      <w:bookmarkEnd w:id="3565"/>
      <w:bookmarkEnd w:id="3566"/>
      <w:bookmarkEnd w:id="3567"/>
      <w:bookmarkEnd w:id="3568"/>
      <w:bookmarkEnd w:id="3569"/>
      <w:bookmarkEnd w:id="3570"/>
      <w:bookmarkEnd w:id="3571"/>
    </w:p>
    <w:p w14:paraId="45F9ACC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381E64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1.《处方管理办法》第五十四条第（二）项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医疗机构有下列情形之一的，由县级以上卫生行政部门按照《医疗机构管理条例》第四十八条的规定，责令限期改正，并可处以</w:t>
      </w:r>
      <w:r>
        <w:rPr>
          <w:rFonts w:ascii="Times New Roman" w:hAnsi="Times New Roman" w:eastAsia="仿宋_GB2312" w:cs="仿宋_GB2312"/>
          <w:color w:val="000000" w:themeColor="text1"/>
          <w:kern w:val="2"/>
          <w:sz w:val="32"/>
          <w:szCs w:val="32"/>
          <w14:textFill>
            <w14:solidFill>
              <w14:schemeClr w14:val="tx1"/>
            </w14:solidFill>
          </w14:textFill>
        </w:rPr>
        <w:t>5000</w:t>
      </w:r>
      <w:r>
        <w:rPr>
          <w:rFonts w:hint="eastAsia" w:ascii="Times New Roman" w:hAnsi="Times New Roman" w:eastAsia="仿宋_GB2312" w:cs="仿宋_GB2312"/>
          <w:color w:val="000000" w:themeColor="text1"/>
          <w:kern w:val="2"/>
          <w:sz w:val="32"/>
          <w:szCs w:val="32"/>
          <w14:textFill>
            <w14:solidFill>
              <w14:schemeClr w14:val="tx1"/>
            </w14:solidFill>
          </w14:textFill>
        </w:rPr>
        <w:t>元以下的罚款；情节严重的，吊销其《医疗机构执业许可证》：</w:t>
      </w:r>
    </w:p>
    <w:p w14:paraId="12E1EF6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（二）使用未取得麻醉药品和第一类精神药品处方资格的医师开具麻醉药品和第一类精神药品处方的。</w:t>
      </w:r>
    </w:p>
    <w:p w14:paraId="2980916D">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2.《医疗机构管理条例》第四十七条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违反本条例第二十七条规定，使用非卫生技术人员从事医疗卫生技术工作的，由县级以上人民政府卫生行政部门责令其限期改正，并可以处以1万元以上10万元以下的罚款；情节严重的，</w:t>
      </w:r>
      <w:r>
        <w:rPr>
          <w:rFonts w:hint="eastAsia" w:ascii="Times New Roman" w:hAnsi="Times New Roman" w:eastAsia="仿宋_GB2312" w:cs="仿宋"/>
          <w:color w:val="000000" w:themeColor="text1"/>
          <w:kern w:val="2"/>
          <w:sz w:val="32"/>
          <w:szCs w:val="32"/>
          <w14:textFill>
            <w14:solidFill>
              <w14:schemeClr w14:val="tx1"/>
            </w14:solidFill>
          </w14:textFill>
        </w:rPr>
        <w:t>吊销其《医疗机构执业许可证》或者责令其停止执业活动。</w:t>
      </w:r>
    </w:p>
    <w:p w14:paraId="3B589ACA">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023"/>
        <w:gridCol w:w="4243"/>
      </w:tblGrid>
      <w:tr w14:paraId="4288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tcPr>
          <w:p w14:paraId="3ACF943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23" w:type="dxa"/>
          </w:tcPr>
          <w:p w14:paraId="3F11065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243" w:type="dxa"/>
          </w:tcPr>
          <w:p w14:paraId="12C8D86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EBF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440" w:type="dxa"/>
            <w:vAlign w:val="center"/>
          </w:tcPr>
          <w:p w14:paraId="3A158251">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023" w:type="dxa"/>
            <w:vAlign w:val="center"/>
          </w:tcPr>
          <w:p w14:paraId="3D46F4D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使用1 名未取得麻醉药品和第一类精神药品处方资格的医师开具麻醉药品和第一类精神药品处方的。</w:t>
            </w:r>
          </w:p>
        </w:tc>
        <w:tc>
          <w:tcPr>
            <w:tcW w:w="4243" w:type="dxa"/>
            <w:vAlign w:val="center"/>
          </w:tcPr>
          <w:p w14:paraId="59E52D0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责令其立即改正，并可以处以1万元以上2万元以下罚款。</w:t>
            </w:r>
          </w:p>
        </w:tc>
      </w:tr>
      <w:tr w14:paraId="52F7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440" w:type="dxa"/>
            <w:vAlign w:val="center"/>
          </w:tcPr>
          <w:p w14:paraId="47DF1B62">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023" w:type="dxa"/>
            <w:vAlign w:val="center"/>
          </w:tcPr>
          <w:p w14:paraId="50D1DF2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使用2 名及2名以上未取得麻醉药品和第一类精神药品处方资格的医师开具麻醉药品和第一类精神药品处方的。</w:t>
            </w:r>
          </w:p>
        </w:tc>
        <w:tc>
          <w:tcPr>
            <w:tcW w:w="4243" w:type="dxa"/>
            <w:vAlign w:val="center"/>
          </w:tcPr>
          <w:p w14:paraId="65C3174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责令其立即改正，并可以处以2万元以上8万元以下罚款。</w:t>
            </w:r>
          </w:p>
        </w:tc>
      </w:tr>
      <w:tr w14:paraId="2B45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440" w:type="dxa"/>
            <w:vAlign w:val="center"/>
          </w:tcPr>
          <w:p w14:paraId="409DEDD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023" w:type="dxa"/>
            <w:vAlign w:val="center"/>
          </w:tcPr>
          <w:p w14:paraId="6C5DCF6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使用未取得麻醉药品和第一类精神药品处方资格的医师开具麻醉药品和第一类精神药品处方，给患者造成伤害的。</w:t>
            </w:r>
          </w:p>
        </w:tc>
        <w:tc>
          <w:tcPr>
            <w:tcW w:w="4243" w:type="dxa"/>
            <w:vAlign w:val="center"/>
          </w:tcPr>
          <w:p w14:paraId="3AC8D16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责令其立即改正，并可以处以8万元以上10万元以下罚款。</w:t>
            </w:r>
          </w:p>
        </w:tc>
      </w:tr>
      <w:tr w14:paraId="2294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440" w:type="dxa"/>
            <w:vAlign w:val="center"/>
          </w:tcPr>
          <w:p w14:paraId="0F876689">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023" w:type="dxa"/>
            <w:vAlign w:val="center"/>
          </w:tcPr>
          <w:p w14:paraId="115381D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使用未取得麻醉药品和第一类精神药品处方资格的医师开具麻醉药品和第一类精神药品处方，造成患者死亡的。</w:t>
            </w:r>
          </w:p>
        </w:tc>
        <w:tc>
          <w:tcPr>
            <w:tcW w:w="4243" w:type="dxa"/>
            <w:vAlign w:val="center"/>
          </w:tcPr>
          <w:p w14:paraId="52E6BD08">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责令其立即改正，并可以处以10万元罚款，情节严重的，吊销其《医疗机构执业许可证》或者责令其停止执业活动。</w:t>
            </w:r>
          </w:p>
        </w:tc>
      </w:tr>
    </w:tbl>
    <w:p w14:paraId="2E7AD62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572" w:name="_Toc20886"/>
      <w:bookmarkStart w:id="3573" w:name="_Toc20253"/>
      <w:bookmarkStart w:id="3574" w:name="_Toc23852"/>
      <w:bookmarkStart w:id="3575" w:name="_Toc4941"/>
      <w:bookmarkStart w:id="3576" w:name="_Toc19642"/>
      <w:bookmarkStart w:id="3577" w:name="_Toc8223"/>
      <w:bookmarkStart w:id="3578" w:name="_Toc7309"/>
      <w:bookmarkStart w:id="3579" w:name="_Toc30889"/>
      <w:bookmarkStart w:id="3580" w:name="_Toc29599"/>
      <w:bookmarkStart w:id="3581" w:name="_Toc10662"/>
      <w:bookmarkStart w:id="3582" w:name="_Toc6984"/>
      <w:r>
        <w:rPr>
          <w:rFonts w:hint="eastAsia" w:cs="仿宋_GB2312"/>
          <w:bCs/>
          <w:color w:val="000000" w:themeColor="text1"/>
          <w14:textFill>
            <w14:solidFill>
              <w14:schemeClr w14:val="tx1"/>
            </w14:solidFill>
          </w14:textFill>
        </w:rPr>
        <w:t>第二百八十五条</w:t>
      </w:r>
      <w:r>
        <w:rPr>
          <w:rFonts w:hint="eastAsia" w:ascii="Times New Roman" w:hAnsi="Times New Roman" w:cs="仿宋_GB2312"/>
          <w:bCs/>
          <w:color w:val="000000" w:themeColor="text1"/>
          <w:kern w:val="0"/>
          <w14:textFill>
            <w14:solidFill>
              <w14:schemeClr w14:val="tx1"/>
            </w14:solidFill>
          </w14:textFill>
        </w:rPr>
        <w:t xml:space="preserve"> 具有麻醉药品和第一类精神药品处方医师未按照规定开具麻醉药品和第一类精神药品处方，或者未按照卫生部制定的麻醉药品和精神药品临床应用指导原则使用麻醉药品和第一类精神药品的</w:t>
      </w:r>
      <w:bookmarkEnd w:id="3572"/>
      <w:bookmarkEnd w:id="3573"/>
      <w:bookmarkEnd w:id="3574"/>
      <w:bookmarkEnd w:id="3575"/>
      <w:bookmarkEnd w:id="3576"/>
      <w:bookmarkEnd w:id="3577"/>
      <w:bookmarkEnd w:id="3578"/>
      <w:bookmarkEnd w:id="3579"/>
      <w:bookmarkEnd w:id="3580"/>
      <w:bookmarkEnd w:id="3581"/>
      <w:bookmarkEnd w:id="3582"/>
    </w:p>
    <w:p w14:paraId="616C739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3DF3DB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1.《处方管理办法》第五十六条第（二）项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医师和药师出现下列情形之一的，由县级以上卫生行政部门按照《麻醉药品和精神药品管理条例》第七十三条的规定予以处罚：</w:t>
      </w:r>
    </w:p>
    <w:p w14:paraId="0D7F064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（二）具有麻醉药品和第一类精神药品处方医师未按照规定开具麻醉药品和第一类精神药品处方，或者未按照卫生部制定的麻醉药品和精神药品临床应用指导原则使用麻醉药品和第一类精神药品的。</w:t>
      </w:r>
    </w:p>
    <w:p w14:paraId="205A027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2.《麻醉药品和精神药品管理条例》第七十三条第一款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具有麻醉药品和第一类精神药品处方资格的执业医师，违反本条例的规定开具麻醉药品和第一类精神药品处方，或者未按照临床应用指导原则的要求使用麻醉药品和第一类精神药品的，由其所在医疗机构取消其麻醉药品和第一类精神药品处方资格；造成严重后果的，由原发证部门吊销其执业证书。执业医师未按照临床应用指导原则的要求使用第二类精神药品或者未使用专用处方开具第二类精神药品，造成严重后果的，由原发证部门吊销其执业证书。</w:t>
      </w:r>
    </w:p>
    <w:p w14:paraId="63C9314C">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34"/>
        <w:gridCol w:w="4134"/>
      </w:tblGrid>
      <w:tr w14:paraId="0D6B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40" w:type="dxa"/>
            <w:vAlign w:val="center"/>
          </w:tcPr>
          <w:p w14:paraId="1021583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34" w:type="dxa"/>
            <w:vAlign w:val="center"/>
          </w:tcPr>
          <w:p w14:paraId="467BBBA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34" w:type="dxa"/>
            <w:vAlign w:val="center"/>
          </w:tcPr>
          <w:p w14:paraId="228FB47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98E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40" w:type="dxa"/>
            <w:vAlign w:val="center"/>
          </w:tcPr>
          <w:p w14:paraId="54068D89">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34" w:type="dxa"/>
            <w:vAlign w:val="center"/>
          </w:tcPr>
          <w:p w14:paraId="75373CA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具有麻醉药品和第一类精神药品处方医师未按照规定开具麻醉药品和第一类精神药品处方，或者未按照卫生部制定的麻醉药品和精神药品临床应用指导原则使用麻醉药品和第一类精神药品，造成严重后果的。</w:t>
            </w:r>
          </w:p>
        </w:tc>
        <w:tc>
          <w:tcPr>
            <w:tcW w:w="4134" w:type="dxa"/>
            <w:vAlign w:val="center"/>
          </w:tcPr>
          <w:p w14:paraId="36F6DE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由原发证部门吊销其执业证书。</w:t>
            </w:r>
          </w:p>
        </w:tc>
      </w:tr>
    </w:tbl>
    <w:p w14:paraId="082BE58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583" w:name="_Toc10931"/>
      <w:bookmarkStart w:id="3584" w:name="_Toc14744"/>
      <w:bookmarkStart w:id="3585" w:name="_Toc12075"/>
      <w:bookmarkStart w:id="3586" w:name="_Toc4904"/>
      <w:bookmarkStart w:id="3587" w:name="_Toc19780"/>
      <w:bookmarkStart w:id="3588" w:name="_Toc21643"/>
      <w:bookmarkStart w:id="3589" w:name="_Toc28507"/>
      <w:bookmarkStart w:id="3590" w:name="_Toc18937"/>
      <w:bookmarkStart w:id="3591" w:name="_Toc5572"/>
      <w:bookmarkStart w:id="3592" w:name="_Toc24503"/>
      <w:bookmarkStart w:id="3593" w:name="_Toc11553"/>
      <w:r>
        <w:rPr>
          <w:rFonts w:hint="eastAsia" w:cs="仿宋_GB2312"/>
          <w:bCs/>
          <w:color w:val="000000" w:themeColor="text1"/>
          <w14:textFill>
            <w14:solidFill>
              <w14:schemeClr w14:val="tx1"/>
            </w14:solidFill>
          </w14:textFill>
        </w:rPr>
        <w:t>第二百八十六条</w:t>
      </w:r>
      <w:r>
        <w:rPr>
          <w:rFonts w:hint="eastAsia" w:ascii="Times New Roman" w:hAnsi="Times New Roman" w:cs="仿宋_GB2312"/>
          <w:bCs/>
          <w:color w:val="000000" w:themeColor="text1"/>
          <w:kern w:val="0"/>
          <w14:textFill>
            <w14:solidFill>
              <w14:schemeClr w14:val="tx1"/>
            </w14:solidFill>
          </w14:textFill>
        </w:rPr>
        <w:t xml:space="preserve"> 药师未按照规定调剂麻醉药品、精神药品处方的</w:t>
      </w:r>
      <w:bookmarkEnd w:id="3583"/>
      <w:bookmarkEnd w:id="3584"/>
      <w:bookmarkEnd w:id="3585"/>
      <w:bookmarkEnd w:id="3586"/>
      <w:bookmarkEnd w:id="3587"/>
      <w:bookmarkEnd w:id="3588"/>
      <w:bookmarkEnd w:id="3589"/>
      <w:bookmarkEnd w:id="3590"/>
      <w:bookmarkEnd w:id="3591"/>
      <w:bookmarkEnd w:id="3592"/>
      <w:bookmarkEnd w:id="3593"/>
    </w:p>
    <w:p w14:paraId="0C224B6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C7AB72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1.《处方管理办法》第五十六条第（三）项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医师和药师出现下列情形之一的，由县级以上卫生行政部门按照《麻醉药品和精神药品管理条例》第七十三条第三款的规定予以处罚：</w:t>
      </w:r>
    </w:p>
    <w:p w14:paraId="6602EF7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（三）药师未按照规定调剂麻醉药品、精神药品处方的。</w:t>
      </w:r>
    </w:p>
    <w:p w14:paraId="0BBD0E9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2.《麻醉药品和精神药品管理条例》第七十三条第三款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处方的调配人、核对人违反本条例的规定未对麻醉药品和第一类精神药品处方进行核对，造成严重后果的，由原发证部门吊销其执业证书。</w:t>
      </w:r>
    </w:p>
    <w:p w14:paraId="53E7F420">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154"/>
        <w:gridCol w:w="4112"/>
      </w:tblGrid>
      <w:tr w14:paraId="2984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40" w:type="dxa"/>
          </w:tcPr>
          <w:p w14:paraId="782165B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54" w:type="dxa"/>
          </w:tcPr>
          <w:p w14:paraId="02B22FE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112" w:type="dxa"/>
          </w:tcPr>
          <w:p w14:paraId="53A95D9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3A8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440" w:type="dxa"/>
            <w:vAlign w:val="center"/>
          </w:tcPr>
          <w:p w14:paraId="34E8F715">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154" w:type="dxa"/>
            <w:vAlign w:val="center"/>
          </w:tcPr>
          <w:p w14:paraId="08C209B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药师未按照规定调剂麻醉药品、精神药品处方，造成严重后果的。</w:t>
            </w:r>
          </w:p>
        </w:tc>
        <w:tc>
          <w:tcPr>
            <w:tcW w:w="4112" w:type="dxa"/>
            <w:vAlign w:val="center"/>
          </w:tcPr>
          <w:p w14:paraId="640653F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吊销执业证书。</w:t>
            </w:r>
          </w:p>
        </w:tc>
      </w:tr>
    </w:tbl>
    <w:p w14:paraId="0D83327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594" w:name="_Toc9090"/>
      <w:bookmarkStart w:id="3595" w:name="_Toc17424"/>
      <w:bookmarkStart w:id="3596" w:name="_Toc30943"/>
      <w:bookmarkStart w:id="3597" w:name="_Toc12002"/>
      <w:bookmarkStart w:id="3598" w:name="_Toc15332"/>
      <w:bookmarkStart w:id="3599" w:name="_Toc10721"/>
      <w:bookmarkStart w:id="3600" w:name="_Toc2669"/>
      <w:bookmarkStart w:id="3601" w:name="_Toc27908"/>
      <w:bookmarkStart w:id="3602" w:name="_Toc26184"/>
      <w:bookmarkStart w:id="3603" w:name="_Toc7229"/>
      <w:bookmarkStart w:id="3604" w:name="_Toc1711"/>
      <w:r>
        <w:rPr>
          <w:rFonts w:hint="eastAsia" w:cs="仿宋_GB2312"/>
          <w:bCs/>
          <w:color w:val="000000" w:themeColor="text1"/>
          <w14:textFill>
            <w14:solidFill>
              <w14:schemeClr w14:val="tx1"/>
            </w14:solidFill>
          </w14:textFill>
        </w:rPr>
        <w:t>第二百八十七条</w:t>
      </w:r>
      <w:r>
        <w:rPr>
          <w:rFonts w:hint="eastAsia" w:ascii="Times New Roman" w:hAnsi="Times New Roman" w:cs="仿宋_GB2312"/>
          <w:bCs/>
          <w:color w:val="000000" w:themeColor="text1"/>
          <w:kern w:val="0"/>
          <w14:textFill>
            <w14:solidFill>
              <w14:schemeClr w14:val="tx1"/>
            </w14:solidFill>
          </w14:textFill>
        </w:rPr>
        <w:t xml:space="preserve"> 药师未按照规定调剂处方药品</w:t>
      </w:r>
      <w:bookmarkEnd w:id="3594"/>
      <w:bookmarkEnd w:id="3595"/>
      <w:bookmarkEnd w:id="3596"/>
      <w:bookmarkEnd w:id="3597"/>
      <w:bookmarkEnd w:id="3598"/>
      <w:bookmarkEnd w:id="3599"/>
      <w:bookmarkEnd w:id="3600"/>
      <w:bookmarkEnd w:id="3601"/>
      <w:bookmarkEnd w:id="3602"/>
      <w:bookmarkEnd w:id="3603"/>
      <w:bookmarkEnd w:id="3604"/>
    </w:p>
    <w:p w14:paraId="0FDD584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78955CD">
      <w:pPr>
        <w:widowControl w:val="0"/>
        <w:adjustRightInd/>
        <w:snapToGrid/>
        <w:spacing w:after="0" w:line="440" w:lineRule="exact"/>
        <w:ind w:firstLine="640"/>
        <w:jc w:val="both"/>
        <w:rPr>
          <w:rFonts w:hint="eastAsia" w:ascii="Times New Roman" w:hAnsi="Times New Roman" w:eastAsia="仿宋_GB2312" w:cs="仿宋"/>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《处方管理办法》第五十八条 药师未按照规定调剂处方药品，情节严重的，由县级以上卫生行政部门责令改正、通报批评，</w:t>
      </w:r>
      <w:r>
        <w:rPr>
          <w:rFonts w:hint="eastAsia" w:ascii="Times New Roman" w:hAnsi="Times New Roman" w:eastAsia="仿宋_GB2312" w:cs="仿宋"/>
          <w:color w:val="000000" w:themeColor="text1"/>
          <w:kern w:val="2"/>
          <w:sz w:val="32"/>
          <w:szCs w:val="32"/>
          <w14:textFill>
            <w14:solidFill>
              <w14:schemeClr w14:val="tx1"/>
            </w14:solidFill>
          </w14:textFill>
        </w:rPr>
        <w:t>给予警告；并由所在医疗机构或者其上级单位给予纪律处分。</w:t>
      </w:r>
    </w:p>
    <w:p w14:paraId="115FA5B9">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154"/>
        <w:gridCol w:w="4112"/>
      </w:tblGrid>
      <w:tr w14:paraId="2AF4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40" w:type="dxa"/>
          </w:tcPr>
          <w:p w14:paraId="38CD8D8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54" w:type="dxa"/>
          </w:tcPr>
          <w:p w14:paraId="35F9AFD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112" w:type="dxa"/>
          </w:tcPr>
          <w:p w14:paraId="4B46CF3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BE0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440" w:type="dxa"/>
            <w:vAlign w:val="center"/>
          </w:tcPr>
          <w:p w14:paraId="1982451E">
            <w:pPr>
              <w:widowControl w:val="0"/>
              <w:adjustRightInd/>
              <w:snapToGrid/>
              <w:spacing w:after="0" w:line="440" w:lineRule="exact"/>
              <w:jc w:val="center"/>
              <w:rPr>
                <w:rFonts w:hint="eastAsia" w:ascii="Times New Roman" w:hAnsi="Times New Roman" w:eastAsia="仿宋" w:cs="仿宋"/>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154" w:type="dxa"/>
            <w:vAlign w:val="center"/>
          </w:tcPr>
          <w:p w14:paraId="515FC63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药师未按照规定调剂处方药品，情节严重的。</w:t>
            </w:r>
          </w:p>
        </w:tc>
        <w:tc>
          <w:tcPr>
            <w:tcW w:w="4112" w:type="dxa"/>
            <w:vAlign w:val="center"/>
          </w:tcPr>
          <w:p w14:paraId="330FB3A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责令改正、通报批评，给予警告。</w:t>
            </w:r>
          </w:p>
        </w:tc>
      </w:tr>
    </w:tbl>
    <w:p w14:paraId="3752F319">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605" w:name="_Toc5790"/>
      <w:bookmarkStart w:id="3606" w:name="_Toc3665"/>
      <w:bookmarkStart w:id="3607" w:name="_Toc25797"/>
      <w:bookmarkStart w:id="3608" w:name="_Toc25840"/>
      <w:bookmarkStart w:id="3609" w:name="_Toc29228"/>
      <w:bookmarkStart w:id="3610" w:name="_Toc15407"/>
      <w:bookmarkStart w:id="3611" w:name="_Toc16927"/>
      <w:bookmarkStart w:id="3612" w:name="_Toc2606"/>
      <w:bookmarkStart w:id="3613" w:name="_Toc32152"/>
      <w:bookmarkStart w:id="3614" w:name="_Toc13693"/>
      <w:bookmarkStart w:id="3615" w:name="_Toc21289"/>
      <w:bookmarkStart w:id="3616" w:name="_Toc4347"/>
      <w:bookmarkStart w:id="3617" w:name="_Toc27179"/>
      <w:r>
        <w:rPr>
          <w:rFonts w:hint="eastAsia" w:ascii="Times New Roman" w:hAnsi="Times New Roman" w:eastAsia="楷体_GB2312" w:cs="楷体_GB2312"/>
          <w:bCs w:val="0"/>
          <w:color w:val="000000" w:themeColor="text1"/>
          <w:kern w:val="2"/>
          <w14:textFill>
            <w14:solidFill>
              <w14:schemeClr w14:val="tx1"/>
            </w14:solidFill>
          </w14:textFill>
        </w:rPr>
        <w:t>（二十一）《抗菌药物临床应用管理办法》</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14:paraId="2E4BEE3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618" w:name="_Toc3326"/>
      <w:bookmarkStart w:id="3619" w:name="_Toc10467"/>
      <w:bookmarkStart w:id="3620" w:name="_Toc20870"/>
      <w:bookmarkStart w:id="3621" w:name="_Toc26358"/>
      <w:bookmarkStart w:id="3622" w:name="_Toc848"/>
      <w:bookmarkStart w:id="3623" w:name="_Toc250"/>
      <w:bookmarkStart w:id="3624" w:name="_Toc28173"/>
      <w:bookmarkStart w:id="3625" w:name="_Toc12636"/>
      <w:bookmarkStart w:id="3626" w:name="_Toc19092"/>
      <w:bookmarkStart w:id="3627" w:name="_Toc13876"/>
      <w:bookmarkStart w:id="3628" w:name="_Toc12387"/>
      <w:r>
        <w:rPr>
          <w:rFonts w:hint="eastAsia" w:cs="仿宋_GB2312"/>
          <w:bCs/>
          <w:color w:val="000000" w:themeColor="text1"/>
          <w14:textFill>
            <w14:solidFill>
              <w14:schemeClr w14:val="tx1"/>
            </w14:solidFill>
          </w14:textFill>
        </w:rPr>
        <w:t>第二百八十八条</w:t>
      </w:r>
      <w:r>
        <w:rPr>
          <w:rFonts w:hint="eastAsia" w:ascii="Times New Roman" w:hAnsi="Times New Roman" w:cs="仿宋_GB2312"/>
          <w:bCs/>
          <w:color w:val="000000" w:themeColor="text1"/>
          <w:kern w:val="0"/>
          <w14:textFill>
            <w14:solidFill>
              <w14:schemeClr w14:val="tx1"/>
            </w14:solidFill>
          </w14:textFill>
        </w:rPr>
        <w:t xml:space="preserve"> 医疗机构未建立抗菌药物管理组织机构或者未指定专（兼）职技术人员负责具体管理工作的</w:t>
      </w:r>
      <w:bookmarkEnd w:id="3618"/>
      <w:bookmarkEnd w:id="3619"/>
      <w:bookmarkEnd w:id="3620"/>
      <w:bookmarkEnd w:id="3621"/>
      <w:bookmarkEnd w:id="3622"/>
      <w:bookmarkEnd w:id="3623"/>
      <w:bookmarkEnd w:id="3624"/>
      <w:bookmarkEnd w:id="3625"/>
      <w:bookmarkEnd w:id="3626"/>
      <w:bookmarkEnd w:id="3627"/>
      <w:bookmarkEnd w:id="3628"/>
    </w:p>
    <w:p w14:paraId="1D79B6F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7CB979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《抗菌药物临床应用管理办法》第四十九条第（一）项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医疗机构有下列情形之一的，由县级以上卫生行政部门责令限期改正；逾期不改的，进行通报批评，并给予警告；造成严重后果的，对负有责任的主管人员和其他直接责任人员，给予处分：</w:t>
      </w:r>
    </w:p>
    <w:p w14:paraId="748A48F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（一）未建立抗菌药物管理组织机构或者未指定专（兼）职技术人员负责具体管理工作的;</w:t>
      </w:r>
    </w:p>
    <w:p w14:paraId="7F8196FB">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390"/>
        <w:gridCol w:w="4244"/>
      </w:tblGrid>
      <w:tr w14:paraId="0CB9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jc w:val="center"/>
        </w:trPr>
        <w:tc>
          <w:tcPr>
            <w:tcW w:w="1384" w:type="dxa"/>
          </w:tcPr>
          <w:p w14:paraId="3841EAB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90" w:type="dxa"/>
          </w:tcPr>
          <w:p w14:paraId="3021E1F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244" w:type="dxa"/>
          </w:tcPr>
          <w:p w14:paraId="251F9B5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7D9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84" w:type="dxa"/>
            <w:vAlign w:val="center"/>
          </w:tcPr>
          <w:p w14:paraId="16311EAB">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90" w:type="dxa"/>
            <w:vAlign w:val="center"/>
          </w:tcPr>
          <w:p w14:paraId="1E78C2D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医疗机构未建立抗菌药物管理组织机构或者未指定专（兼）职技术人员负责具体管理工作。</w:t>
            </w:r>
          </w:p>
        </w:tc>
        <w:tc>
          <w:tcPr>
            <w:tcW w:w="4244" w:type="dxa"/>
            <w:vAlign w:val="center"/>
          </w:tcPr>
          <w:p w14:paraId="1433B9B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10FB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84" w:type="dxa"/>
            <w:vAlign w:val="center"/>
          </w:tcPr>
          <w:p w14:paraId="0BBA10D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90" w:type="dxa"/>
            <w:vAlign w:val="center"/>
          </w:tcPr>
          <w:p w14:paraId="1A8AD5F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医疗机构未建立抗菌药物管理组织机构或者未指定专（兼）职技术人员负责具体管理工作，经责令限期改正，逾期不改的。</w:t>
            </w:r>
          </w:p>
        </w:tc>
        <w:tc>
          <w:tcPr>
            <w:tcW w:w="4244" w:type="dxa"/>
            <w:vAlign w:val="center"/>
          </w:tcPr>
          <w:p w14:paraId="65D6105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责令限期改正，逾期不改的，通报批评，并给予警告。</w:t>
            </w:r>
          </w:p>
        </w:tc>
      </w:tr>
    </w:tbl>
    <w:p w14:paraId="3851588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629" w:name="_Toc26050"/>
      <w:bookmarkStart w:id="3630" w:name="_Toc1795"/>
      <w:bookmarkStart w:id="3631" w:name="_Toc9339"/>
      <w:bookmarkStart w:id="3632" w:name="_Toc700"/>
      <w:bookmarkStart w:id="3633" w:name="_Toc1905"/>
      <w:bookmarkStart w:id="3634" w:name="_Toc23260"/>
      <w:bookmarkStart w:id="3635" w:name="_Toc31974"/>
      <w:bookmarkStart w:id="3636" w:name="_Toc21232"/>
      <w:bookmarkStart w:id="3637" w:name="_Toc11115"/>
      <w:bookmarkStart w:id="3638" w:name="_Toc17463"/>
      <w:bookmarkStart w:id="3639" w:name="_Toc2878"/>
      <w:r>
        <w:rPr>
          <w:rFonts w:hint="eastAsia" w:cs="仿宋_GB2312"/>
          <w:bCs/>
          <w:color w:val="000000" w:themeColor="text1"/>
          <w14:textFill>
            <w14:solidFill>
              <w14:schemeClr w14:val="tx1"/>
            </w14:solidFill>
          </w14:textFill>
        </w:rPr>
        <w:t>第二百八十九条</w:t>
      </w:r>
      <w:r>
        <w:rPr>
          <w:rFonts w:hint="eastAsia" w:ascii="Times New Roman" w:hAnsi="Times New Roman" w:cs="仿宋_GB2312"/>
          <w:bCs/>
          <w:color w:val="000000" w:themeColor="text1"/>
          <w:kern w:val="0"/>
          <w14:textFill>
            <w14:solidFill>
              <w14:schemeClr w14:val="tx1"/>
            </w14:solidFill>
          </w14:textFill>
        </w:rPr>
        <w:t xml:space="preserve"> 医疗机构未建立抗菌药物管理规章制度的</w:t>
      </w:r>
      <w:bookmarkEnd w:id="3629"/>
      <w:bookmarkEnd w:id="3630"/>
      <w:bookmarkEnd w:id="3631"/>
      <w:bookmarkEnd w:id="3632"/>
      <w:bookmarkEnd w:id="3633"/>
      <w:bookmarkEnd w:id="3634"/>
      <w:bookmarkEnd w:id="3635"/>
      <w:bookmarkEnd w:id="3636"/>
      <w:bookmarkEnd w:id="3637"/>
      <w:bookmarkEnd w:id="3638"/>
      <w:bookmarkEnd w:id="3639"/>
    </w:p>
    <w:p w14:paraId="2EB4F30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4F04A4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《抗菌药物临床应用管理办法》第四十九条第（二）项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医疗机构有下列情形之一的，由县级以上卫生行政部门责令限期改正；逾期不改的，进行通报批评，并给予警告；造成严重后果的，对负有责任的主管人员和其他直接责任人员，给予处分：</w:t>
      </w:r>
    </w:p>
    <w:p w14:paraId="7EC0F19F">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（二）未建立抗菌药物管理规</w:t>
      </w:r>
      <w:r>
        <w:rPr>
          <w:rFonts w:hint="eastAsia" w:ascii="Times New Roman" w:hAnsi="Times New Roman" w:eastAsia="仿宋_GB2312" w:cs="仿宋"/>
          <w:color w:val="000000" w:themeColor="text1"/>
          <w:sz w:val="32"/>
          <w:szCs w:val="32"/>
          <w14:textFill>
            <w14:solidFill>
              <w14:schemeClr w14:val="tx1"/>
            </w14:solidFill>
          </w14:textFill>
        </w:rPr>
        <w:t>章制度的;</w:t>
      </w:r>
    </w:p>
    <w:p w14:paraId="5E501B6C">
      <w:pPr>
        <w:widowControl w:val="0"/>
        <w:adjustRightInd/>
        <w:snapToGrid/>
        <w:spacing w:after="0" w:line="440" w:lineRule="exact"/>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390"/>
        <w:gridCol w:w="4244"/>
      </w:tblGrid>
      <w:tr w14:paraId="72AB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4" w:type="dxa"/>
          </w:tcPr>
          <w:p w14:paraId="1DA5F76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90" w:type="dxa"/>
          </w:tcPr>
          <w:p w14:paraId="68F5B98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244" w:type="dxa"/>
          </w:tcPr>
          <w:p w14:paraId="4792271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FA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4" w:type="dxa"/>
            <w:vAlign w:val="center"/>
          </w:tcPr>
          <w:p w14:paraId="373E92ED">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90" w:type="dxa"/>
            <w:vAlign w:val="center"/>
          </w:tcPr>
          <w:p w14:paraId="3C88770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医疗机构未建立抗菌药物管理规章制度。</w:t>
            </w:r>
          </w:p>
        </w:tc>
        <w:tc>
          <w:tcPr>
            <w:tcW w:w="4244" w:type="dxa"/>
            <w:vAlign w:val="center"/>
          </w:tcPr>
          <w:p w14:paraId="5AC3339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76F1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4" w:type="dxa"/>
            <w:vAlign w:val="center"/>
          </w:tcPr>
          <w:p w14:paraId="1FF93630">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90" w:type="dxa"/>
            <w:vAlign w:val="center"/>
          </w:tcPr>
          <w:p w14:paraId="76057E1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医疗机构未建立抗菌药物管理规章制度，经责令限期改正，逾期不改的。</w:t>
            </w:r>
          </w:p>
        </w:tc>
        <w:tc>
          <w:tcPr>
            <w:tcW w:w="4244" w:type="dxa"/>
            <w:vAlign w:val="center"/>
          </w:tcPr>
          <w:p w14:paraId="5087259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责令限期改正，通报批评，并给予警告。</w:t>
            </w:r>
          </w:p>
        </w:tc>
      </w:tr>
    </w:tbl>
    <w:p w14:paraId="24D97512">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640" w:name="_Toc27558"/>
      <w:bookmarkStart w:id="3641" w:name="_Toc29013"/>
      <w:bookmarkStart w:id="3642" w:name="_Toc15725"/>
      <w:bookmarkStart w:id="3643" w:name="_Toc21975"/>
      <w:bookmarkStart w:id="3644" w:name="_Toc4665"/>
      <w:bookmarkStart w:id="3645" w:name="_Toc22442"/>
      <w:bookmarkStart w:id="3646" w:name="_Toc25927"/>
      <w:bookmarkStart w:id="3647" w:name="_Toc29602"/>
      <w:bookmarkStart w:id="3648" w:name="_Toc248"/>
      <w:bookmarkStart w:id="3649" w:name="_Toc26667"/>
      <w:bookmarkStart w:id="3650" w:name="_Toc25132"/>
      <w:r>
        <w:rPr>
          <w:rFonts w:hint="eastAsia" w:cs="仿宋_GB2312"/>
          <w:bCs/>
          <w:color w:val="000000" w:themeColor="text1"/>
          <w14:textFill>
            <w14:solidFill>
              <w14:schemeClr w14:val="tx1"/>
            </w14:solidFill>
          </w14:textFill>
        </w:rPr>
        <w:t>第二百九十条</w:t>
      </w:r>
      <w:r>
        <w:rPr>
          <w:rFonts w:hint="eastAsia" w:ascii="Times New Roman" w:hAnsi="Times New Roman" w:cs="仿宋_GB2312"/>
          <w:bCs/>
          <w:color w:val="000000" w:themeColor="text1"/>
          <w:kern w:val="0"/>
          <w14:textFill>
            <w14:solidFill>
              <w14:schemeClr w14:val="tx1"/>
            </w14:solidFill>
          </w14:textFill>
        </w:rPr>
        <w:t xml:space="preserve"> 医疗机构抗菌药物临床应用管理混乱的</w:t>
      </w:r>
      <w:bookmarkEnd w:id="3640"/>
      <w:bookmarkEnd w:id="3641"/>
      <w:bookmarkEnd w:id="3642"/>
      <w:bookmarkEnd w:id="3643"/>
      <w:bookmarkEnd w:id="3644"/>
      <w:bookmarkEnd w:id="3645"/>
      <w:bookmarkEnd w:id="3646"/>
      <w:bookmarkEnd w:id="3647"/>
      <w:bookmarkEnd w:id="3648"/>
      <w:bookmarkEnd w:id="3649"/>
      <w:bookmarkEnd w:id="3650"/>
    </w:p>
    <w:p w14:paraId="2613DD0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668C27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《抗菌药物临床应用管理办法》第四十九条第（三）项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医疗机构有下列情形之一的，由县级以上卫生行政部门责令限期改正；逾期不改的，进行通报批评，并给予警告；造成严重后果的，对负有责任的主管人员和其他直接责任人员，给予处分：</w:t>
      </w:r>
    </w:p>
    <w:p w14:paraId="5EA55387">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（三）抗菌药物临床应用</w:t>
      </w:r>
      <w:r>
        <w:rPr>
          <w:rFonts w:hint="eastAsia" w:ascii="Times New Roman" w:hAnsi="Times New Roman" w:eastAsia="仿宋_GB2312" w:cs="仿宋"/>
          <w:color w:val="000000" w:themeColor="text1"/>
          <w:sz w:val="32"/>
          <w:szCs w:val="32"/>
          <w14:textFill>
            <w14:solidFill>
              <w14:schemeClr w14:val="tx1"/>
            </w14:solidFill>
          </w14:textFill>
        </w:rPr>
        <w:t>管理混乱的;</w:t>
      </w:r>
    </w:p>
    <w:p w14:paraId="548C9EED">
      <w:pPr>
        <w:widowControl w:val="0"/>
        <w:adjustRightInd/>
        <w:snapToGrid/>
        <w:spacing w:after="0" w:line="440" w:lineRule="exact"/>
        <w:jc w:val="center"/>
        <w:rPr>
          <w:rFonts w:ascii="Times New Roman" w:hAnsi="Times New Roman" w:cs="宋体"/>
          <w:b/>
          <w:color w:val="000000" w:themeColor="text1"/>
          <w:kern w:val="2"/>
          <w:sz w:val="28"/>
          <w:szCs w:val="28"/>
          <w14:textFill>
            <w14:solidFill>
              <w14:schemeClr w14:val="tx1"/>
            </w14:solidFill>
          </w14:textFill>
        </w:rPr>
      </w:pPr>
      <w:r>
        <w:rPr>
          <w:rFonts w:ascii="Times New Roman" w:hAnsi="Times New Roman" w:cs="宋体"/>
          <w:b/>
          <w:color w:val="000000" w:themeColor="text1"/>
          <w:kern w:val="2"/>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390"/>
        <w:gridCol w:w="4244"/>
      </w:tblGrid>
      <w:tr w14:paraId="5759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84" w:type="dxa"/>
            <w:vAlign w:val="center"/>
          </w:tcPr>
          <w:p w14:paraId="2F3C416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90" w:type="dxa"/>
            <w:vAlign w:val="center"/>
          </w:tcPr>
          <w:p w14:paraId="5FA74FD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244" w:type="dxa"/>
            <w:vAlign w:val="center"/>
          </w:tcPr>
          <w:p w14:paraId="3E2CB38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04F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vAlign w:val="center"/>
          </w:tcPr>
          <w:p w14:paraId="17F875E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90" w:type="dxa"/>
            <w:vAlign w:val="center"/>
          </w:tcPr>
          <w:p w14:paraId="75B2AB9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医疗机构抗菌药物临床应用管理混乱。</w:t>
            </w:r>
          </w:p>
        </w:tc>
        <w:tc>
          <w:tcPr>
            <w:tcW w:w="4244" w:type="dxa"/>
            <w:vAlign w:val="center"/>
          </w:tcPr>
          <w:p w14:paraId="254BCDF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330D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vAlign w:val="center"/>
          </w:tcPr>
          <w:p w14:paraId="0A5DE860">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90" w:type="dxa"/>
            <w:vAlign w:val="center"/>
          </w:tcPr>
          <w:p w14:paraId="5118BBA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医疗机构抗菌药物临床应用管理混乱，经责令限期改正，逾期不改的。</w:t>
            </w:r>
          </w:p>
        </w:tc>
        <w:tc>
          <w:tcPr>
            <w:tcW w:w="4244" w:type="dxa"/>
            <w:vAlign w:val="center"/>
          </w:tcPr>
          <w:p w14:paraId="613442D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责令限期改正，通报批评，并给予警告。</w:t>
            </w:r>
          </w:p>
        </w:tc>
      </w:tr>
    </w:tbl>
    <w:p w14:paraId="6379C7C8">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651" w:name="_Toc26730"/>
      <w:bookmarkStart w:id="3652" w:name="_Toc5184"/>
      <w:bookmarkStart w:id="3653" w:name="_Toc10784"/>
      <w:bookmarkStart w:id="3654" w:name="_Toc15035"/>
      <w:bookmarkStart w:id="3655" w:name="_Toc24400"/>
      <w:bookmarkStart w:id="3656" w:name="_Toc23631"/>
      <w:bookmarkStart w:id="3657" w:name="_Toc21379"/>
      <w:bookmarkStart w:id="3658" w:name="_Toc13774"/>
      <w:bookmarkStart w:id="3659" w:name="_Toc26939"/>
      <w:bookmarkStart w:id="3660" w:name="_Toc17523"/>
      <w:bookmarkStart w:id="3661" w:name="_Toc9026"/>
      <w:r>
        <w:rPr>
          <w:rFonts w:hint="eastAsia" w:cs="仿宋_GB2312"/>
          <w:bCs/>
          <w:color w:val="000000" w:themeColor="text1"/>
          <w14:textFill>
            <w14:solidFill>
              <w14:schemeClr w14:val="tx1"/>
            </w14:solidFill>
          </w14:textFill>
        </w:rPr>
        <w:t>第二百九十一条</w:t>
      </w:r>
      <w:r>
        <w:rPr>
          <w:rFonts w:hint="eastAsia" w:ascii="Times New Roman" w:hAnsi="Times New Roman" w:cs="仿宋_GB2312"/>
          <w:bCs/>
          <w:color w:val="000000" w:themeColor="text1"/>
          <w:kern w:val="0"/>
          <w14:textFill>
            <w14:solidFill>
              <w14:schemeClr w14:val="tx1"/>
            </w14:solidFill>
          </w14:textFill>
        </w:rPr>
        <w:t xml:space="preserve"> 医疗机构未按照《抗菌药物临床应用管理办法》规定执行抗菌药物分级管理、医师抗菌药物处方权限管理、药师抗菌药物调剂资格管理或者未配备相关专业技术人员的</w:t>
      </w:r>
      <w:bookmarkEnd w:id="3651"/>
      <w:bookmarkEnd w:id="3652"/>
      <w:bookmarkEnd w:id="3653"/>
      <w:bookmarkEnd w:id="3654"/>
      <w:bookmarkEnd w:id="3655"/>
      <w:bookmarkEnd w:id="3656"/>
      <w:bookmarkEnd w:id="3657"/>
      <w:bookmarkEnd w:id="3658"/>
      <w:bookmarkEnd w:id="3659"/>
      <w:bookmarkEnd w:id="3660"/>
      <w:bookmarkEnd w:id="3661"/>
    </w:p>
    <w:p w14:paraId="47EFEC6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7F5C44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《抗菌药物临床应用管理办法》第四十九条第（四）项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医疗机构有下列情形之一的，由县级以上卫生行政部门责令限期改正；逾期不改的，进行通报批评，并给予警告；造成严重后果的，对负有责任的主管人员和其他直接责任人员，给予处分：</w:t>
      </w:r>
    </w:p>
    <w:p w14:paraId="463684A2">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（四）未按照本办法规定执行抗菌药物分级管理、医师抗菌药物处方权限管理、药师抗菌药物调剂资格管理或者未配备相</w:t>
      </w:r>
      <w:r>
        <w:rPr>
          <w:rFonts w:hint="eastAsia" w:ascii="Times New Roman" w:hAnsi="Times New Roman" w:eastAsia="仿宋_GB2312" w:cs="仿宋"/>
          <w:color w:val="000000" w:themeColor="text1"/>
          <w:sz w:val="32"/>
          <w:szCs w:val="32"/>
          <w14:textFill>
            <w14:solidFill>
              <w14:schemeClr w14:val="tx1"/>
            </w14:solidFill>
          </w14:textFill>
        </w:rPr>
        <w:t>关专业技术人员的;</w:t>
      </w:r>
    </w:p>
    <w:p w14:paraId="4867FF99">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390"/>
        <w:gridCol w:w="4244"/>
      </w:tblGrid>
      <w:tr w14:paraId="5E12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4" w:type="dxa"/>
          </w:tcPr>
          <w:p w14:paraId="32A9C01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90" w:type="dxa"/>
          </w:tcPr>
          <w:p w14:paraId="08B0595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244" w:type="dxa"/>
          </w:tcPr>
          <w:p w14:paraId="0B5D437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8B0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84" w:type="dxa"/>
            <w:vAlign w:val="center"/>
          </w:tcPr>
          <w:p w14:paraId="60FDDC71">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90" w:type="dxa"/>
            <w:vAlign w:val="center"/>
          </w:tcPr>
          <w:p w14:paraId="1C6E195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医疗机构未按照《抗菌药物临床应用管理办法》规定执行抗菌药物分级管理、医师抗菌药物处方权限管理、药师抗菌药物调剂资格管理或者未配备相关专业技术人员。</w:t>
            </w:r>
          </w:p>
        </w:tc>
        <w:tc>
          <w:tcPr>
            <w:tcW w:w="4244" w:type="dxa"/>
            <w:vAlign w:val="center"/>
          </w:tcPr>
          <w:p w14:paraId="18262DD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24B8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84" w:type="dxa"/>
            <w:vAlign w:val="center"/>
          </w:tcPr>
          <w:p w14:paraId="2E1B661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90" w:type="dxa"/>
            <w:vAlign w:val="center"/>
          </w:tcPr>
          <w:p w14:paraId="562ED86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医疗机构未按照《抗菌药物临床应用管理办法》规定执行抗菌药物分级管理、医师抗菌药物处方权限管理、药师抗菌药物调剂资格管理或者未配备相关专业技术人员，经责令限期改正，逾期不改的。</w:t>
            </w:r>
          </w:p>
        </w:tc>
        <w:tc>
          <w:tcPr>
            <w:tcW w:w="4244" w:type="dxa"/>
            <w:vAlign w:val="center"/>
          </w:tcPr>
          <w:p w14:paraId="352D44C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责令限期改正，通报批评，并给予警告。</w:t>
            </w:r>
          </w:p>
        </w:tc>
      </w:tr>
    </w:tbl>
    <w:p w14:paraId="3AC47300">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662" w:name="_Toc2126"/>
      <w:bookmarkStart w:id="3663" w:name="_Toc20865"/>
      <w:bookmarkStart w:id="3664" w:name="_Toc2992"/>
      <w:bookmarkStart w:id="3665" w:name="_Toc17503"/>
      <w:bookmarkStart w:id="3666" w:name="_Toc26884"/>
      <w:bookmarkStart w:id="3667" w:name="_Toc16798"/>
      <w:bookmarkStart w:id="3668" w:name="_Toc24239"/>
      <w:bookmarkStart w:id="3669" w:name="_Toc18731"/>
      <w:bookmarkStart w:id="3670" w:name="_Toc3465"/>
      <w:bookmarkStart w:id="3671" w:name="_Toc30714"/>
      <w:bookmarkStart w:id="3672" w:name="_Toc20070"/>
      <w:r>
        <w:rPr>
          <w:rFonts w:hint="eastAsia" w:cs="仿宋_GB2312"/>
          <w:bCs/>
          <w:color w:val="000000" w:themeColor="text1"/>
          <w14:textFill>
            <w14:solidFill>
              <w14:schemeClr w14:val="tx1"/>
            </w14:solidFill>
          </w14:textFill>
        </w:rPr>
        <w:t>第二百九十二条</w:t>
      </w:r>
      <w:r>
        <w:rPr>
          <w:rFonts w:hint="eastAsia" w:ascii="Times New Roman" w:hAnsi="Times New Roman" w:cs="仿宋_GB2312"/>
          <w:bCs/>
          <w:color w:val="000000" w:themeColor="text1"/>
          <w:kern w:val="0"/>
          <w14:textFill>
            <w14:solidFill>
              <w14:schemeClr w14:val="tx1"/>
            </w14:solidFill>
          </w14:textFill>
        </w:rPr>
        <w:t xml:space="preserve"> 医疗机构有其他违反《抗菌药物临床应用管理办法》规定行为的</w:t>
      </w:r>
      <w:bookmarkEnd w:id="3662"/>
      <w:bookmarkEnd w:id="3663"/>
      <w:bookmarkEnd w:id="3664"/>
      <w:bookmarkEnd w:id="3665"/>
      <w:bookmarkEnd w:id="3666"/>
      <w:bookmarkEnd w:id="3667"/>
      <w:bookmarkEnd w:id="3668"/>
      <w:bookmarkEnd w:id="3669"/>
      <w:bookmarkEnd w:id="3670"/>
      <w:bookmarkEnd w:id="3671"/>
      <w:bookmarkEnd w:id="3672"/>
    </w:p>
    <w:p w14:paraId="3E54A65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B1D31B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《抗菌药物临床应用管理办法》第四十九条第（五）项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医疗机构有下列情形之一的，由县级以上卫生行政部门责令限期改正；逾期不改的，进行通报批评，并给予警告；造成严重后果的，对负有责任的主管人员和其他直接责任人员，给予处分：</w:t>
      </w:r>
    </w:p>
    <w:p w14:paraId="7B683010">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（五）其他违反本办法</w:t>
      </w:r>
      <w:r>
        <w:rPr>
          <w:rFonts w:hint="eastAsia" w:ascii="Times New Roman" w:hAnsi="Times New Roman" w:eastAsia="仿宋_GB2312" w:cs="仿宋"/>
          <w:color w:val="000000" w:themeColor="text1"/>
          <w:sz w:val="32"/>
          <w:szCs w:val="32"/>
          <w14:textFill>
            <w14:solidFill>
              <w14:schemeClr w14:val="tx1"/>
            </w14:solidFill>
          </w14:textFill>
        </w:rPr>
        <w:t>规定行为的。</w:t>
      </w:r>
    </w:p>
    <w:p w14:paraId="587A2F68">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390"/>
        <w:gridCol w:w="4244"/>
      </w:tblGrid>
      <w:tr w14:paraId="037F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84" w:type="dxa"/>
          </w:tcPr>
          <w:p w14:paraId="33152C7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90" w:type="dxa"/>
          </w:tcPr>
          <w:p w14:paraId="7EE743F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244" w:type="dxa"/>
          </w:tcPr>
          <w:p w14:paraId="54FA0C8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902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Align w:val="center"/>
          </w:tcPr>
          <w:p w14:paraId="207CF39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8390" w:type="dxa"/>
            <w:vAlign w:val="center"/>
          </w:tcPr>
          <w:p w14:paraId="313546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医疗机构有其他违反《抗菌药物临床应用管理办法》规定行为。</w:t>
            </w:r>
          </w:p>
        </w:tc>
        <w:tc>
          <w:tcPr>
            <w:tcW w:w="4244" w:type="dxa"/>
            <w:vAlign w:val="center"/>
          </w:tcPr>
          <w:p w14:paraId="36EFE21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0556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Align w:val="center"/>
          </w:tcPr>
          <w:p w14:paraId="2B21C593">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90" w:type="dxa"/>
            <w:vAlign w:val="center"/>
          </w:tcPr>
          <w:p w14:paraId="116FAA2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医疗机构有其他违反《抗菌药物临床应用管理办法》规定行为，经责令限期改正，逾期不改的。</w:t>
            </w:r>
          </w:p>
        </w:tc>
        <w:tc>
          <w:tcPr>
            <w:tcW w:w="4244" w:type="dxa"/>
            <w:vAlign w:val="center"/>
          </w:tcPr>
          <w:p w14:paraId="6606AD1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责令限期改正，通报批评，并给予警告。</w:t>
            </w:r>
          </w:p>
        </w:tc>
      </w:tr>
    </w:tbl>
    <w:p w14:paraId="23B62EAA">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673" w:name="_Toc25322"/>
      <w:bookmarkStart w:id="3674" w:name="_Toc822"/>
      <w:bookmarkStart w:id="3675" w:name="_Toc24205"/>
      <w:bookmarkStart w:id="3676" w:name="_Toc32606"/>
      <w:bookmarkStart w:id="3677" w:name="_Toc29499"/>
      <w:bookmarkStart w:id="3678" w:name="_Toc19182"/>
      <w:bookmarkStart w:id="3679" w:name="_Toc30227"/>
      <w:bookmarkStart w:id="3680" w:name="_Toc20516"/>
      <w:bookmarkStart w:id="3681" w:name="_Toc18128"/>
      <w:bookmarkStart w:id="3682" w:name="_Toc14293"/>
      <w:bookmarkStart w:id="3683" w:name="_Toc25982"/>
      <w:r>
        <w:rPr>
          <w:rFonts w:hint="eastAsia" w:cs="仿宋_GB2312"/>
          <w:bCs/>
          <w:color w:val="000000" w:themeColor="text1"/>
          <w14:textFill>
            <w14:solidFill>
              <w14:schemeClr w14:val="tx1"/>
            </w14:solidFill>
          </w14:textFill>
        </w:rPr>
        <w:t>第二百九十三条</w:t>
      </w:r>
      <w:r>
        <w:rPr>
          <w:rFonts w:hint="eastAsia" w:ascii="Times New Roman" w:hAnsi="Times New Roman" w:cs="仿宋_GB2312"/>
          <w:bCs/>
          <w:color w:val="000000" w:themeColor="text1"/>
          <w:kern w:val="0"/>
          <w14:textFill>
            <w14:solidFill>
              <w14:schemeClr w14:val="tx1"/>
            </w14:solidFill>
          </w14:textFill>
        </w:rPr>
        <w:t xml:space="preserve"> 医疗机构使用未取得抗菌药物处方权的医师或者使用被取消抗菌药物处方权的医师开具抗菌药物处方的</w:t>
      </w:r>
      <w:bookmarkEnd w:id="3673"/>
      <w:bookmarkEnd w:id="3674"/>
      <w:bookmarkEnd w:id="3675"/>
      <w:bookmarkEnd w:id="3676"/>
      <w:bookmarkEnd w:id="3677"/>
      <w:bookmarkEnd w:id="3678"/>
      <w:bookmarkEnd w:id="3679"/>
      <w:bookmarkEnd w:id="3680"/>
      <w:bookmarkEnd w:id="3681"/>
      <w:bookmarkEnd w:id="3682"/>
      <w:bookmarkEnd w:id="3683"/>
    </w:p>
    <w:p w14:paraId="2302B8E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1802CB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《抗菌药物临床应用管理办法》第五十条</w:t>
      </w:r>
      <w:r>
        <w:rPr>
          <w:rFonts w:hint="eastAsia" w:ascii="Times New Roman" w:hAnsi="Times New Roman" w:eastAsia="仿宋_GB2312" w:cs="仿宋_GB2312"/>
          <w:bCs/>
          <w:color w:val="000000" w:themeColor="text1"/>
          <w:sz w:val="32"/>
          <w:szCs w:val="32"/>
          <w14:textFill>
            <w14:solidFill>
              <w14:schemeClr w14:val="tx1"/>
            </w14:solidFill>
          </w14:textFill>
        </w:rPr>
        <w:t>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医疗机构有下列情形之一的，由县级以上卫生行政部门责令限期改正，给予警告，并可根据情节轻重处以三万元以下罚款；对负有责任的主管人员和其他直接责任人员，可根据情节给予处分：</w:t>
      </w:r>
    </w:p>
    <w:p w14:paraId="1B16F0D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（一）使用未取得抗菌药物处方权的医师或者使用被取消抗菌药物处方权的医师开具抗菌药物处方的；</w:t>
      </w:r>
    </w:p>
    <w:p w14:paraId="55D65595">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375"/>
        <w:gridCol w:w="4244"/>
      </w:tblGrid>
      <w:tr w14:paraId="49CD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99" w:type="dxa"/>
            <w:vAlign w:val="center"/>
          </w:tcPr>
          <w:p w14:paraId="7BB570C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5" w:type="dxa"/>
            <w:vAlign w:val="center"/>
          </w:tcPr>
          <w:p w14:paraId="0473B41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44" w:type="dxa"/>
            <w:vAlign w:val="center"/>
          </w:tcPr>
          <w:p w14:paraId="6436CA2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DC5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99" w:type="dxa"/>
            <w:vAlign w:val="center"/>
          </w:tcPr>
          <w:p w14:paraId="1971A499">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5" w:type="dxa"/>
            <w:vAlign w:val="center"/>
          </w:tcPr>
          <w:p w14:paraId="7695E27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医疗机构首次使用未取得抗菌药物处方权的医师或者使用被取消抗菌药物处方权的医师开具抗菌药物处方的。</w:t>
            </w:r>
          </w:p>
        </w:tc>
        <w:tc>
          <w:tcPr>
            <w:tcW w:w="4244" w:type="dxa"/>
            <w:vAlign w:val="center"/>
          </w:tcPr>
          <w:p w14:paraId="4CC693F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由县级以上卫生行政部门责令限期改正，给予警告，并可处1万元以下罚款。</w:t>
            </w:r>
          </w:p>
        </w:tc>
      </w:tr>
      <w:tr w14:paraId="5A4E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99" w:type="dxa"/>
            <w:vAlign w:val="center"/>
          </w:tcPr>
          <w:p w14:paraId="2B3ABE3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75" w:type="dxa"/>
            <w:vAlign w:val="center"/>
          </w:tcPr>
          <w:p w14:paraId="3DF6102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医疗机构使用未取得抗菌药物处方权的医师或者使用被取消抗菌药物处方权的医师开具抗菌药物处方，曾因此受到行政处罚再次违反的。</w:t>
            </w:r>
          </w:p>
        </w:tc>
        <w:tc>
          <w:tcPr>
            <w:tcW w:w="4244" w:type="dxa"/>
            <w:vAlign w:val="center"/>
          </w:tcPr>
          <w:p w14:paraId="2B7CA70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由县级以上卫生行政部门责令限期改正，给予警告，并可处1万元以上3万元以下罚款。</w:t>
            </w:r>
          </w:p>
        </w:tc>
      </w:tr>
      <w:tr w14:paraId="41EB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99" w:type="dxa"/>
            <w:vAlign w:val="center"/>
          </w:tcPr>
          <w:p w14:paraId="75D8DB7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75" w:type="dxa"/>
            <w:vAlign w:val="center"/>
          </w:tcPr>
          <w:p w14:paraId="2AF580B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医疗机构使用未取得抗菌药物处方权的医师或者使用被取消抗菌药物处方权的医师开具抗菌药物处方，</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造成人身伤残或死亡等</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严重后果的。</w:t>
            </w:r>
          </w:p>
        </w:tc>
        <w:tc>
          <w:tcPr>
            <w:tcW w:w="4244" w:type="dxa"/>
            <w:vAlign w:val="center"/>
          </w:tcPr>
          <w:p w14:paraId="239222C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由县级以上卫生行政部门责令限期改正，给予警告，并可处3万元罚款。</w:t>
            </w:r>
          </w:p>
        </w:tc>
      </w:tr>
    </w:tbl>
    <w:p w14:paraId="355A1DA8">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684" w:name="_Toc30959"/>
      <w:bookmarkStart w:id="3685" w:name="_Toc21333"/>
      <w:bookmarkStart w:id="3686" w:name="_Toc9710"/>
      <w:bookmarkStart w:id="3687" w:name="_Toc12600"/>
      <w:bookmarkStart w:id="3688" w:name="_Toc974"/>
      <w:bookmarkStart w:id="3689" w:name="_Toc28188"/>
      <w:bookmarkStart w:id="3690" w:name="_Toc6846"/>
      <w:bookmarkStart w:id="3691" w:name="_Toc22693"/>
      <w:bookmarkStart w:id="3692" w:name="_Toc2523"/>
      <w:bookmarkStart w:id="3693" w:name="_Toc6925"/>
      <w:bookmarkStart w:id="3694" w:name="_Toc21526"/>
      <w:r>
        <w:rPr>
          <w:rFonts w:hint="eastAsia" w:cs="仿宋_GB2312"/>
          <w:bCs/>
          <w:color w:val="000000" w:themeColor="text1"/>
          <w14:textFill>
            <w14:solidFill>
              <w14:schemeClr w14:val="tx1"/>
            </w14:solidFill>
          </w14:textFill>
        </w:rPr>
        <w:t>第二百九十四条</w:t>
      </w:r>
      <w:r>
        <w:rPr>
          <w:rFonts w:hint="eastAsia" w:ascii="Times New Roman" w:hAnsi="Times New Roman" w:cs="仿宋_GB2312"/>
          <w:bCs/>
          <w:color w:val="000000" w:themeColor="text1"/>
          <w:kern w:val="0"/>
          <w14:textFill>
            <w14:solidFill>
              <w14:schemeClr w14:val="tx1"/>
            </w14:solidFill>
          </w14:textFill>
        </w:rPr>
        <w:t xml:space="preserve"> 医疗机构未对抗菌药物处方、医嘱实施适宜性审核，情节严重的</w:t>
      </w:r>
      <w:bookmarkEnd w:id="3684"/>
      <w:bookmarkEnd w:id="3685"/>
      <w:bookmarkEnd w:id="3686"/>
      <w:bookmarkEnd w:id="3687"/>
      <w:bookmarkEnd w:id="3688"/>
      <w:bookmarkEnd w:id="3689"/>
      <w:bookmarkEnd w:id="3690"/>
      <w:bookmarkEnd w:id="3691"/>
      <w:bookmarkEnd w:id="3692"/>
      <w:bookmarkEnd w:id="3693"/>
      <w:bookmarkEnd w:id="3694"/>
    </w:p>
    <w:p w14:paraId="5DD4BBB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7D5747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医疗机构有下列情形之一的，由县级以上卫生行政部门责令限期改正，给予警告，并可根据情节轻重处以三万元以下罚款；对负有责任的主管人员和其他直接责任人员，可根据情节给予处分：</w:t>
      </w:r>
    </w:p>
    <w:p w14:paraId="7B575E1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（二）未对抗菌药物处方、医嘱实施适宜性审核，情节严重的；</w:t>
      </w:r>
    </w:p>
    <w:p w14:paraId="1C8D91D4">
      <w:pPr>
        <w:widowControl w:val="0"/>
        <w:adjustRightInd/>
        <w:snapToGrid/>
        <w:spacing w:after="0" w:line="440" w:lineRule="exact"/>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375"/>
        <w:gridCol w:w="4244"/>
      </w:tblGrid>
      <w:tr w14:paraId="5521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99" w:type="dxa"/>
            <w:vAlign w:val="center"/>
          </w:tcPr>
          <w:p w14:paraId="456FF10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5" w:type="dxa"/>
            <w:vAlign w:val="center"/>
          </w:tcPr>
          <w:p w14:paraId="061C490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44" w:type="dxa"/>
            <w:vAlign w:val="center"/>
          </w:tcPr>
          <w:p w14:paraId="26A1DD4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CFD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99" w:type="dxa"/>
            <w:vAlign w:val="center"/>
          </w:tcPr>
          <w:p w14:paraId="2224E238">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5" w:type="dxa"/>
            <w:vAlign w:val="center"/>
          </w:tcPr>
          <w:p w14:paraId="2D07A5C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医疗机构未对抗菌药物处方、医嘱实施适宜性审核。</w:t>
            </w:r>
          </w:p>
        </w:tc>
        <w:tc>
          <w:tcPr>
            <w:tcW w:w="4244" w:type="dxa"/>
            <w:vAlign w:val="center"/>
          </w:tcPr>
          <w:p w14:paraId="282E647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由县级以上卫生行政部门责令限期改正，给予警告，并可处1万元以下罚款。</w:t>
            </w:r>
          </w:p>
        </w:tc>
      </w:tr>
      <w:tr w14:paraId="7E57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399" w:type="dxa"/>
            <w:vAlign w:val="center"/>
          </w:tcPr>
          <w:p w14:paraId="0E8303F8">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75" w:type="dxa"/>
            <w:vAlign w:val="center"/>
          </w:tcPr>
          <w:p w14:paraId="2694DBC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医疗机构未对抗菌药物处方、医嘱实施适宜性审核，曾因此受到行政处罚再次违反的。</w:t>
            </w:r>
          </w:p>
        </w:tc>
        <w:tc>
          <w:tcPr>
            <w:tcW w:w="4244" w:type="dxa"/>
            <w:vAlign w:val="center"/>
          </w:tcPr>
          <w:p w14:paraId="3624914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由县级以上卫生行政部门责令限期改正，给予警告，并可处1万元以上3万元以下罚款。</w:t>
            </w:r>
          </w:p>
        </w:tc>
      </w:tr>
      <w:tr w14:paraId="3726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399" w:type="dxa"/>
            <w:vAlign w:val="center"/>
          </w:tcPr>
          <w:p w14:paraId="75F5E4D8">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75" w:type="dxa"/>
            <w:vAlign w:val="center"/>
          </w:tcPr>
          <w:p w14:paraId="73A0EC1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医疗机构未对抗菌药物处方、医嘱实施适宜性审核，</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造成人身伤残或死亡等</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严重后果的。</w:t>
            </w:r>
          </w:p>
        </w:tc>
        <w:tc>
          <w:tcPr>
            <w:tcW w:w="4244" w:type="dxa"/>
            <w:vAlign w:val="center"/>
          </w:tcPr>
          <w:p w14:paraId="4B902C6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由县级以上卫生行政部门责令限期改正，给予警告，并可处3万元罚款。</w:t>
            </w:r>
          </w:p>
        </w:tc>
      </w:tr>
    </w:tbl>
    <w:p w14:paraId="2E1D3E04">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695" w:name="_Toc10315"/>
      <w:bookmarkStart w:id="3696" w:name="_Toc22551"/>
      <w:bookmarkStart w:id="3697" w:name="_Toc15235"/>
      <w:bookmarkStart w:id="3698" w:name="_Toc30376"/>
      <w:bookmarkStart w:id="3699" w:name="_Toc5086"/>
      <w:bookmarkStart w:id="3700" w:name="_Toc3718"/>
      <w:bookmarkStart w:id="3701" w:name="_Toc8782"/>
      <w:bookmarkStart w:id="3702" w:name="_Toc32657"/>
      <w:bookmarkStart w:id="3703" w:name="_Toc21013"/>
      <w:bookmarkStart w:id="3704" w:name="_Toc26625"/>
      <w:bookmarkStart w:id="3705" w:name="_Toc2981"/>
      <w:r>
        <w:rPr>
          <w:rFonts w:hint="eastAsia" w:cs="仿宋_GB2312"/>
          <w:bCs/>
          <w:color w:val="000000" w:themeColor="text1"/>
          <w14:textFill>
            <w14:solidFill>
              <w14:schemeClr w14:val="tx1"/>
            </w14:solidFill>
          </w14:textFill>
        </w:rPr>
        <w:t>第二百九十五条</w:t>
      </w:r>
      <w:r>
        <w:rPr>
          <w:rFonts w:hint="eastAsia" w:ascii="Times New Roman" w:hAnsi="Times New Roman" w:cs="仿宋_GB2312"/>
          <w:bCs/>
          <w:color w:val="000000" w:themeColor="text1"/>
          <w:kern w:val="0"/>
          <w14:textFill>
            <w14:solidFill>
              <w14:schemeClr w14:val="tx1"/>
            </w14:solidFill>
          </w14:textFill>
        </w:rPr>
        <w:t xml:space="preserve"> 医疗机构非药学部门从事抗菌药物购销、调剂活动的</w:t>
      </w:r>
      <w:bookmarkEnd w:id="3695"/>
      <w:bookmarkEnd w:id="3696"/>
      <w:bookmarkEnd w:id="3697"/>
      <w:bookmarkEnd w:id="3698"/>
      <w:bookmarkEnd w:id="3699"/>
      <w:bookmarkEnd w:id="3700"/>
      <w:bookmarkEnd w:id="3701"/>
      <w:bookmarkEnd w:id="3702"/>
      <w:bookmarkEnd w:id="3703"/>
      <w:bookmarkEnd w:id="3704"/>
      <w:bookmarkEnd w:id="3705"/>
    </w:p>
    <w:p w14:paraId="2E6CE54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0B90B9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医疗机构有下列情形之一的，由县级以上卫生行政部门责令限期改正，给予警告，并可根据情节轻重处以三万元以下罚款；对负有责任的主管人员和其他直接责任人员，可根据情节给予处分：</w:t>
      </w:r>
    </w:p>
    <w:p w14:paraId="0FDFB7D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（三）非药学部门从事抗菌药物购销、调剂活动的；</w:t>
      </w:r>
    </w:p>
    <w:p w14:paraId="4BCCF567">
      <w:pPr>
        <w:widowControl w:val="0"/>
        <w:adjustRightInd/>
        <w:snapToGrid/>
        <w:spacing w:after="0" w:line="440" w:lineRule="exact"/>
        <w:jc w:val="center"/>
        <w:rPr>
          <w:rFonts w:ascii="Times New Roman" w:hAnsi="Times New Roman" w:cs="宋体"/>
          <w:b/>
          <w:color w:val="000000" w:themeColor="text1"/>
          <w:sz w:val="28"/>
          <w:szCs w:val="28"/>
          <w14:textFill>
            <w14:solidFill>
              <w14:schemeClr w14:val="tx1"/>
            </w14:solidFill>
          </w14:textFill>
        </w:rPr>
      </w:pPr>
      <w:r>
        <w:rPr>
          <w:rFonts w:ascii="Times New Roman" w:hAnsi="Times New Roman" w:cs="宋体"/>
          <w:b/>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375"/>
        <w:gridCol w:w="4244"/>
      </w:tblGrid>
      <w:tr w14:paraId="7413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99" w:type="dxa"/>
            <w:vAlign w:val="center"/>
          </w:tcPr>
          <w:p w14:paraId="7FFE9E1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5" w:type="dxa"/>
            <w:vAlign w:val="center"/>
          </w:tcPr>
          <w:p w14:paraId="5085936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44" w:type="dxa"/>
            <w:vAlign w:val="center"/>
          </w:tcPr>
          <w:p w14:paraId="141D274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2CD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99" w:type="dxa"/>
            <w:vAlign w:val="center"/>
          </w:tcPr>
          <w:p w14:paraId="2F5C3685">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5" w:type="dxa"/>
            <w:vAlign w:val="center"/>
          </w:tcPr>
          <w:p w14:paraId="5E94900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医疗机构非药学部门从事抗菌药物购销、调剂活动。</w:t>
            </w:r>
          </w:p>
        </w:tc>
        <w:tc>
          <w:tcPr>
            <w:tcW w:w="4244" w:type="dxa"/>
            <w:vAlign w:val="center"/>
          </w:tcPr>
          <w:p w14:paraId="05CBB41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由县级以上卫生行政部门责令限期改正，给予警告，并可处1万元以下罚款。</w:t>
            </w:r>
          </w:p>
        </w:tc>
      </w:tr>
      <w:tr w14:paraId="2FC8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99" w:type="dxa"/>
            <w:vAlign w:val="center"/>
          </w:tcPr>
          <w:p w14:paraId="112AD3F4">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75" w:type="dxa"/>
            <w:vAlign w:val="center"/>
          </w:tcPr>
          <w:p w14:paraId="4C87E86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医疗机构非药学部门从事抗菌药物购销、调剂活动，曾因此受到行政处罚再次违反的。</w:t>
            </w:r>
          </w:p>
        </w:tc>
        <w:tc>
          <w:tcPr>
            <w:tcW w:w="4244" w:type="dxa"/>
            <w:vAlign w:val="center"/>
          </w:tcPr>
          <w:p w14:paraId="6A1E757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由县级以上卫生行政部门责令限期改正，给予警告，并可处1万元以上3万元以下罚款。</w:t>
            </w:r>
          </w:p>
        </w:tc>
      </w:tr>
      <w:tr w14:paraId="03B9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399" w:type="dxa"/>
            <w:vAlign w:val="center"/>
          </w:tcPr>
          <w:p w14:paraId="2C17D9FC">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75" w:type="dxa"/>
            <w:vAlign w:val="center"/>
          </w:tcPr>
          <w:p w14:paraId="5AFA093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医疗机构非药学部门从事抗菌药物购销、调剂活动，</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造成人身伤残或死亡等</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严重后果的。</w:t>
            </w:r>
          </w:p>
        </w:tc>
        <w:tc>
          <w:tcPr>
            <w:tcW w:w="4244" w:type="dxa"/>
            <w:vAlign w:val="center"/>
          </w:tcPr>
          <w:p w14:paraId="45EE66C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由县级以上卫生行政部门责令限期改正，给予警告，并可处3万元罚款。</w:t>
            </w:r>
          </w:p>
        </w:tc>
      </w:tr>
    </w:tbl>
    <w:p w14:paraId="2B0C308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06" w:name="_Toc30670"/>
      <w:bookmarkStart w:id="3707" w:name="_Toc30128"/>
      <w:bookmarkStart w:id="3708" w:name="_Toc19056"/>
      <w:bookmarkStart w:id="3709" w:name="_Toc30909"/>
      <w:bookmarkStart w:id="3710" w:name="_Toc21608"/>
      <w:bookmarkStart w:id="3711" w:name="_Toc30945"/>
      <w:bookmarkStart w:id="3712" w:name="_Toc11571"/>
      <w:bookmarkStart w:id="3713" w:name="_Toc14771"/>
      <w:bookmarkStart w:id="3714" w:name="_Toc6386"/>
      <w:bookmarkStart w:id="3715" w:name="_Toc22650"/>
      <w:bookmarkStart w:id="3716" w:name="_Toc8831"/>
      <w:r>
        <w:rPr>
          <w:rFonts w:hint="eastAsia" w:cs="仿宋_GB2312"/>
          <w:bCs/>
          <w:color w:val="000000" w:themeColor="text1"/>
          <w14:textFill>
            <w14:solidFill>
              <w14:schemeClr w14:val="tx1"/>
            </w14:solidFill>
          </w14:textFill>
        </w:rPr>
        <w:t>第二百九十六条</w:t>
      </w:r>
      <w:r>
        <w:rPr>
          <w:rFonts w:hint="eastAsia" w:ascii="Times New Roman" w:hAnsi="Times New Roman" w:cs="仿宋_GB2312"/>
          <w:bCs/>
          <w:color w:val="000000" w:themeColor="text1"/>
          <w:kern w:val="0"/>
          <w14:textFill>
            <w14:solidFill>
              <w14:schemeClr w14:val="tx1"/>
            </w14:solidFill>
          </w14:textFill>
        </w:rPr>
        <w:t xml:space="preserve"> 医疗机构将抗菌药物购销、临床应用情况与个人或者科室经济利益挂钩的</w:t>
      </w:r>
      <w:bookmarkEnd w:id="3706"/>
      <w:bookmarkEnd w:id="3707"/>
      <w:bookmarkEnd w:id="3708"/>
      <w:bookmarkEnd w:id="3709"/>
      <w:bookmarkEnd w:id="3710"/>
      <w:bookmarkEnd w:id="3711"/>
      <w:bookmarkEnd w:id="3712"/>
      <w:bookmarkEnd w:id="3713"/>
      <w:bookmarkEnd w:id="3714"/>
      <w:bookmarkEnd w:id="3715"/>
      <w:bookmarkEnd w:id="3716"/>
    </w:p>
    <w:p w14:paraId="2ED91DA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8FA0C7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医疗机构有下列情形之一的，由县级以上卫生行政部门责令限期改正，给予警告，并可根据情节轻重处以三万元以下罚款；对负有责任的主管人员和其他直接责任人员，可根据情节给予处分：</w:t>
      </w:r>
    </w:p>
    <w:p w14:paraId="097DD826">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（四）将抗菌药物购销、临床应用情</w:t>
      </w:r>
      <w:r>
        <w:rPr>
          <w:rFonts w:hint="eastAsia" w:ascii="Times New Roman" w:hAnsi="Times New Roman" w:eastAsia="仿宋_GB2312" w:cs="仿宋"/>
          <w:color w:val="000000" w:themeColor="text1"/>
          <w:sz w:val="32"/>
          <w:szCs w:val="32"/>
          <w14:textFill>
            <w14:solidFill>
              <w14:schemeClr w14:val="tx1"/>
            </w14:solidFill>
          </w14:textFill>
        </w:rPr>
        <w:t>况与个人或者科室经济利益挂钩的；</w:t>
      </w:r>
    </w:p>
    <w:p w14:paraId="18385CB7">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375"/>
        <w:gridCol w:w="4244"/>
      </w:tblGrid>
      <w:tr w14:paraId="1A5A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99" w:type="dxa"/>
            <w:vAlign w:val="center"/>
          </w:tcPr>
          <w:p w14:paraId="1F7CA71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5" w:type="dxa"/>
            <w:vAlign w:val="center"/>
          </w:tcPr>
          <w:p w14:paraId="0D5EF68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44" w:type="dxa"/>
            <w:vAlign w:val="center"/>
          </w:tcPr>
          <w:p w14:paraId="3FA7C27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B4D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9" w:type="dxa"/>
            <w:vAlign w:val="center"/>
          </w:tcPr>
          <w:p w14:paraId="1E726C95">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5" w:type="dxa"/>
            <w:vAlign w:val="center"/>
          </w:tcPr>
          <w:p w14:paraId="089AB32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医疗机构将抗菌药物购销、临床应用情况与个人或者科室经济利益挂钩的。</w:t>
            </w:r>
          </w:p>
        </w:tc>
        <w:tc>
          <w:tcPr>
            <w:tcW w:w="4244" w:type="dxa"/>
            <w:vAlign w:val="center"/>
          </w:tcPr>
          <w:p w14:paraId="0AB5A28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由县级以上卫生行政部门责令限期改正，给予警告，并可处1万元以下罚款。</w:t>
            </w:r>
          </w:p>
        </w:tc>
      </w:tr>
      <w:tr w14:paraId="6660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99" w:type="dxa"/>
            <w:vAlign w:val="center"/>
          </w:tcPr>
          <w:p w14:paraId="648B4558">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75" w:type="dxa"/>
            <w:vAlign w:val="center"/>
          </w:tcPr>
          <w:p w14:paraId="58DF252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医疗机构将抗菌药物购销、临床应用情况与个人或者科室经济利益挂钩的，曾因此受到行政处罚再次违反的。</w:t>
            </w:r>
          </w:p>
        </w:tc>
        <w:tc>
          <w:tcPr>
            <w:tcW w:w="4244" w:type="dxa"/>
            <w:vAlign w:val="center"/>
          </w:tcPr>
          <w:p w14:paraId="5574094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由县级以上卫生行政部门责令限期改正，给予警告，并可处1万元以上3万元以下罚款。</w:t>
            </w:r>
          </w:p>
        </w:tc>
      </w:tr>
      <w:tr w14:paraId="2490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399" w:type="dxa"/>
            <w:vAlign w:val="center"/>
          </w:tcPr>
          <w:p w14:paraId="76911AF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75" w:type="dxa"/>
            <w:vAlign w:val="center"/>
          </w:tcPr>
          <w:p w14:paraId="5C96548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医疗机构将抗菌药物购销、临床应用情况与个人或者科室经济利益挂钩的，</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造成人身伤残或死亡等</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严重后果的。</w:t>
            </w:r>
          </w:p>
        </w:tc>
        <w:tc>
          <w:tcPr>
            <w:tcW w:w="4244" w:type="dxa"/>
            <w:vAlign w:val="center"/>
          </w:tcPr>
          <w:p w14:paraId="5859691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由县级以上卫生行政部门责令限期改正，给予警告，并可处3万元罚款。</w:t>
            </w:r>
          </w:p>
        </w:tc>
      </w:tr>
    </w:tbl>
    <w:p w14:paraId="118A6D1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17" w:name="_Toc4189"/>
      <w:bookmarkStart w:id="3718" w:name="_Toc1334"/>
      <w:bookmarkStart w:id="3719" w:name="_Toc20799"/>
      <w:bookmarkStart w:id="3720" w:name="_Toc31800"/>
      <w:bookmarkStart w:id="3721" w:name="_Toc13442"/>
      <w:bookmarkStart w:id="3722" w:name="_Toc7834"/>
      <w:bookmarkStart w:id="3723" w:name="_Toc3621"/>
      <w:bookmarkStart w:id="3724" w:name="_Toc3627"/>
      <w:bookmarkStart w:id="3725" w:name="_Toc10980"/>
      <w:bookmarkStart w:id="3726" w:name="_Toc5375"/>
      <w:bookmarkStart w:id="3727" w:name="_Toc32287"/>
      <w:r>
        <w:rPr>
          <w:rFonts w:hint="eastAsia" w:cs="仿宋_GB2312"/>
          <w:bCs/>
          <w:color w:val="000000" w:themeColor="text1"/>
          <w14:textFill>
            <w14:solidFill>
              <w14:schemeClr w14:val="tx1"/>
            </w14:solidFill>
          </w14:textFill>
        </w:rPr>
        <w:t>第二百九十七条</w:t>
      </w:r>
      <w:r>
        <w:rPr>
          <w:rFonts w:hint="eastAsia" w:ascii="Times New Roman" w:hAnsi="Times New Roman" w:cs="仿宋_GB2312"/>
          <w:bCs/>
          <w:color w:val="000000" w:themeColor="text1"/>
          <w:kern w:val="0"/>
          <w14:textFill>
            <w14:solidFill>
              <w14:schemeClr w14:val="tx1"/>
            </w14:solidFill>
          </w14:textFill>
        </w:rPr>
        <w:t xml:space="preserve"> 医疗机构在抗菌药物购销、临床应用中牟取不正当利益的</w:t>
      </w:r>
      <w:bookmarkEnd w:id="3717"/>
      <w:bookmarkEnd w:id="3718"/>
      <w:bookmarkEnd w:id="3719"/>
      <w:bookmarkEnd w:id="3720"/>
      <w:bookmarkEnd w:id="3721"/>
      <w:bookmarkEnd w:id="3722"/>
      <w:bookmarkEnd w:id="3723"/>
      <w:bookmarkEnd w:id="3724"/>
      <w:bookmarkEnd w:id="3725"/>
      <w:bookmarkEnd w:id="3726"/>
      <w:bookmarkEnd w:id="3727"/>
    </w:p>
    <w:p w14:paraId="4E93E9F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7FC1CD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医疗机构有下列情形之一的，由县级以上卫生行政部门责令限期改正，给予警告，并可根据情节轻重处以三万元以下罚款；对负有责任的主管人员和其他直接责任人员，可根据情节给予处分：</w:t>
      </w:r>
    </w:p>
    <w:p w14:paraId="161680D1">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（五）在抗菌药物购销</w:t>
      </w:r>
      <w:r>
        <w:rPr>
          <w:rFonts w:hint="eastAsia" w:ascii="Times New Roman" w:hAnsi="Times New Roman" w:eastAsia="仿宋_GB2312" w:cs="仿宋"/>
          <w:color w:val="000000" w:themeColor="text1"/>
          <w:sz w:val="32"/>
          <w:szCs w:val="32"/>
          <w14:textFill>
            <w14:solidFill>
              <w14:schemeClr w14:val="tx1"/>
            </w14:solidFill>
          </w14:textFill>
        </w:rPr>
        <w:t>、临床应用中牟取不正当利益的。</w:t>
      </w:r>
    </w:p>
    <w:p w14:paraId="148F38FF">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375"/>
        <w:gridCol w:w="4244"/>
      </w:tblGrid>
      <w:tr w14:paraId="4590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99" w:type="dxa"/>
            <w:vAlign w:val="center"/>
          </w:tcPr>
          <w:p w14:paraId="5B2C432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5" w:type="dxa"/>
            <w:vAlign w:val="center"/>
          </w:tcPr>
          <w:p w14:paraId="1DA7508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44" w:type="dxa"/>
            <w:vAlign w:val="center"/>
          </w:tcPr>
          <w:p w14:paraId="4605085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77A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99" w:type="dxa"/>
            <w:vAlign w:val="center"/>
          </w:tcPr>
          <w:p w14:paraId="420142E7">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5" w:type="dxa"/>
            <w:vAlign w:val="center"/>
          </w:tcPr>
          <w:p w14:paraId="7646AB6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医疗机构在抗菌药物购销、临床应用中牟取不正当利益的。</w:t>
            </w:r>
          </w:p>
        </w:tc>
        <w:tc>
          <w:tcPr>
            <w:tcW w:w="4244" w:type="dxa"/>
            <w:vAlign w:val="center"/>
          </w:tcPr>
          <w:p w14:paraId="5F4E459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由县级以上卫生行政部门责令限期改正，给予警告，并可处1万元以下罚款。</w:t>
            </w:r>
          </w:p>
        </w:tc>
      </w:tr>
      <w:tr w14:paraId="5525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99" w:type="dxa"/>
            <w:vAlign w:val="center"/>
          </w:tcPr>
          <w:p w14:paraId="6A4D25A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75" w:type="dxa"/>
            <w:vAlign w:val="center"/>
          </w:tcPr>
          <w:p w14:paraId="5CF32E8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医疗机构在抗菌药物购销、临床应用中牟取不正当利益的，曾因此受到行政处罚再次违反的。</w:t>
            </w:r>
          </w:p>
        </w:tc>
        <w:tc>
          <w:tcPr>
            <w:tcW w:w="4244" w:type="dxa"/>
            <w:vAlign w:val="center"/>
          </w:tcPr>
          <w:p w14:paraId="6DEFDEC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由县级以上卫生行政部门责令限期改正，给予警告，并可处1万元以上3万元以下罚款。</w:t>
            </w:r>
          </w:p>
        </w:tc>
      </w:tr>
      <w:tr w14:paraId="676E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399" w:type="dxa"/>
            <w:vAlign w:val="center"/>
          </w:tcPr>
          <w:p w14:paraId="3D30E327">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75" w:type="dxa"/>
            <w:vAlign w:val="center"/>
          </w:tcPr>
          <w:p w14:paraId="09AB3F2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医疗机构在抗菌药物购销、临床应用中牟取不正当利益的，</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造成人身伤残或死亡等</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严重后果的。</w:t>
            </w:r>
          </w:p>
        </w:tc>
        <w:tc>
          <w:tcPr>
            <w:tcW w:w="4244" w:type="dxa"/>
            <w:vAlign w:val="center"/>
          </w:tcPr>
          <w:p w14:paraId="4C2172C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由县级以上卫生行政部门责令限期改正，给予警告，并可处3万元罚款。</w:t>
            </w:r>
          </w:p>
        </w:tc>
      </w:tr>
    </w:tbl>
    <w:p w14:paraId="4790473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28" w:name="_Toc16618"/>
      <w:bookmarkStart w:id="3729" w:name="_Toc20765"/>
      <w:bookmarkStart w:id="3730" w:name="_Toc15655"/>
      <w:bookmarkStart w:id="3731" w:name="_Toc5897"/>
      <w:bookmarkStart w:id="3732" w:name="_Toc23909"/>
      <w:bookmarkStart w:id="3733" w:name="_Toc30699"/>
      <w:bookmarkStart w:id="3734" w:name="_Toc17298"/>
      <w:bookmarkStart w:id="3735" w:name="_Toc27124"/>
      <w:bookmarkStart w:id="3736" w:name="_Toc25799"/>
      <w:bookmarkStart w:id="3737" w:name="_Toc6452"/>
      <w:bookmarkStart w:id="3738" w:name="_Toc13074"/>
      <w:r>
        <w:rPr>
          <w:rFonts w:hint="eastAsia" w:cs="仿宋_GB2312"/>
          <w:bCs/>
          <w:color w:val="000000" w:themeColor="text1"/>
          <w14:textFill>
            <w14:solidFill>
              <w14:schemeClr w14:val="tx1"/>
            </w14:solidFill>
          </w14:textFill>
        </w:rPr>
        <w:t>第二百九十八条</w:t>
      </w:r>
      <w:r>
        <w:rPr>
          <w:rFonts w:hint="eastAsia" w:ascii="Times New Roman" w:hAnsi="Times New Roman" w:cs="仿宋_GB2312"/>
          <w:bCs/>
          <w:color w:val="000000" w:themeColor="text1"/>
          <w:kern w:val="0"/>
          <w14:textFill>
            <w14:solidFill>
              <w14:schemeClr w14:val="tx1"/>
            </w14:solidFill>
          </w14:textFill>
        </w:rPr>
        <w:t xml:space="preserve"> 乡村医生未按照《抗菌药物临床应用管理办法》规定开具抗菌药物处方，造成严重后果的</w:t>
      </w:r>
      <w:bookmarkEnd w:id="3728"/>
      <w:bookmarkEnd w:id="3729"/>
      <w:bookmarkEnd w:id="3730"/>
      <w:bookmarkEnd w:id="3731"/>
      <w:bookmarkEnd w:id="3732"/>
      <w:bookmarkEnd w:id="3733"/>
      <w:bookmarkEnd w:id="3734"/>
      <w:bookmarkEnd w:id="3735"/>
      <w:bookmarkEnd w:id="3736"/>
      <w:bookmarkEnd w:id="3737"/>
      <w:bookmarkEnd w:id="3738"/>
    </w:p>
    <w:p w14:paraId="2153719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73321E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《抗菌药物临床应用管理办法》第五十二条第二款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乡村医生有前款规定情形之一的，由县级卫生行政部门按照《乡村医生从业管理条例》第三十八条有关规定处理。</w:t>
      </w:r>
    </w:p>
    <w:p w14:paraId="64E5543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《乡村医生从业管理条例》第三十八条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乡村医生在执业活动中，违反本条例规定，有下列行为之一的，由县级人民政府卫生行政主管部门责令限期改正，给予警告；逾期不改正的，责令暂停</w:t>
      </w:r>
      <w:r>
        <w:rPr>
          <w:rFonts w:ascii="Times New Roman" w:hAnsi="Times New Roman" w:eastAsia="仿宋_GB2312" w:cs="仿宋_GB2312"/>
          <w:color w:val="000000" w:themeColor="text1"/>
          <w:kern w:val="2"/>
          <w:sz w:val="32"/>
          <w:szCs w:val="32"/>
          <w14:textFill>
            <w14:solidFill>
              <w14:schemeClr w14:val="tx1"/>
            </w14:solidFill>
          </w14:textFill>
        </w:rPr>
        <w:t xml:space="preserve">3 </w:t>
      </w:r>
      <w:r>
        <w:rPr>
          <w:rFonts w:hint="eastAsia" w:ascii="Times New Roman" w:hAnsi="Times New Roman" w:eastAsia="仿宋_GB2312" w:cs="仿宋_GB2312"/>
          <w:color w:val="000000" w:themeColor="text1"/>
          <w:kern w:val="2"/>
          <w:sz w:val="32"/>
          <w:szCs w:val="32"/>
          <w14:textFill>
            <w14:solidFill>
              <w14:schemeClr w14:val="tx1"/>
            </w14:solidFill>
          </w14:textFill>
        </w:rPr>
        <w:t>个月以上</w:t>
      </w:r>
      <w:r>
        <w:rPr>
          <w:rFonts w:ascii="Times New Roman" w:hAnsi="Times New Roman" w:eastAsia="仿宋_GB2312" w:cs="仿宋_GB2312"/>
          <w:color w:val="000000" w:themeColor="text1"/>
          <w:kern w:val="2"/>
          <w:sz w:val="32"/>
          <w:szCs w:val="32"/>
          <w14:textFill>
            <w14:solidFill>
              <w14:schemeClr w14:val="tx1"/>
            </w14:solidFill>
          </w14:textFill>
        </w:rPr>
        <w:t xml:space="preserve">6 </w:t>
      </w:r>
      <w:r>
        <w:rPr>
          <w:rFonts w:hint="eastAsia" w:ascii="Times New Roman" w:hAnsi="Times New Roman" w:eastAsia="仿宋_GB2312" w:cs="仿宋_GB2312"/>
          <w:color w:val="000000" w:themeColor="text1"/>
          <w:kern w:val="2"/>
          <w:sz w:val="32"/>
          <w:szCs w:val="32"/>
          <w14:textFill>
            <w14:solidFill>
              <w14:schemeClr w14:val="tx1"/>
            </w14:solidFill>
          </w14:textFill>
        </w:rPr>
        <w:t>个月以下执业活动；情节严重的，由原发证部门暂扣乡村医生执业证书：</w:t>
      </w:r>
    </w:p>
    <w:p w14:paraId="09B7515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（一）执业活动超出规定的执业范围，或者未按照规定进行转诊的；</w:t>
      </w:r>
    </w:p>
    <w:p w14:paraId="7D764FB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（二）违反规定使用乡村医生基本用药目录以外的处方药品的；</w:t>
      </w:r>
    </w:p>
    <w:p w14:paraId="389CBEF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（三）违反规定出具医学证明，或者伪造卫生统计资料的；</w:t>
      </w:r>
    </w:p>
    <w:p w14:paraId="46F0E25F">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（四）发现传染病疫情</w:t>
      </w:r>
      <w:r>
        <w:rPr>
          <w:rFonts w:hint="eastAsia" w:ascii="Times New Roman" w:hAnsi="Times New Roman" w:eastAsia="仿宋_GB2312" w:cs="仿宋"/>
          <w:color w:val="000000" w:themeColor="text1"/>
          <w:sz w:val="32"/>
          <w:szCs w:val="32"/>
          <w14:textFill>
            <w14:solidFill>
              <w14:schemeClr w14:val="tx1"/>
            </w14:solidFill>
          </w14:textFill>
        </w:rPr>
        <w:t>、中毒事件不按规定报告的。</w:t>
      </w:r>
    </w:p>
    <w:p w14:paraId="3F42A086">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390"/>
        <w:gridCol w:w="4244"/>
      </w:tblGrid>
      <w:tr w14:paraId="32C7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84" w:type="dxa"/>
            <w:vAlign w:val="center"/>
          </w:tcPr>
          <w:p w14:paraId="544AAEF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90" w:type="dxa"/>
            <w:vAlign w:val="center"/>
          </w:tcPr>
          <w:p w14:paraId="586DFD2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244" w:type="dxa"/>
            <w:vAlign w:val="center"/>
          </w:tcPr>
          <w:p w14:paraId="7FE0D0D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04A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384" w:type="dxa"/>
            <w:vAlign w:val="center"/>
          </w:tcPr>
          <w:p w14:paraId="1518E797">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90" w:type="dxa"/>
            <w:vAlign w:val="center"/>
          </w:tcPr>
          <w:p w14:paraId="0760BE1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乡村医生未按照本办法规定开具抗菌药物处方，造成严重后果的。</w:t>
            </w:r>
          </w:p>
        </w:tc>
        <w:tc>
          <w:tcPr>
            <w:tcW w:w="4244" w:type="dxa"/>
            <w:vAlign w:val="center"/>
          </w:tcPr>
          <w:p w14:paraId="48F69BA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6784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384" w:type="dxa"/>
            <w:vAlign w:val="center"/>
          </w:tcPr>
          <w:p w14:paraId="114255D7">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90" w:type="dxa"/>
            <w:vAlign w:val="center"/>
          </w:tcPr>
          <w:p w14:paraId="44CEF09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乡村医生未按照本办法规定开具抗菌药物处方，造成严重后果，经责令限期改正，逾期不改正的。</w:t>
            </w:r>
          </w:p>
        </w:tc>
        <w:tc>
          <w:tcPr>
            <w:tcW w:w="4244" w:type="dxa"/>
            <w:vAlign w:val="center"/>
          </w:tcPr>
          <w:p w14:paraId="72C3EFB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责令暂停3 个月以上6 个月以下执业活动。</w:t>
            </w:r>
          </w:p>
        </w:tc>
      </w:tr>
      <w:tr w14:paraId="1BD6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384" w:type="dxa"/>
            <w:vAlign w:val="center"/>
          </w:tcPr>
          <w:p w14:paraId="296F4811">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90" w:type="dxa"/>
            <w:vAlign w:val="center"/>
          </w:tcPr>
          <w:p w14:paraId="1DFDB7F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乡村医生未按照本办法规定开具抗菌药物处方，造成严重后果，情节严重的。</w:t>
            </w:r>
          </w:p>
        </w:tc>
        <w:tc>
          <w:tcPr>
            <w:tcW w:w="4244" w:type="dxa"/>
            <w:vAlign w:val="center"/>
          </w:tcPr>
          <w:p w14:paraId="4CBE25A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暂扣乡村医生执业证书。</w:t>
            </w:r>
          </w:p>
        </w:tc>
      </w:tr>
    </w:tbl>
    <w:p w14:paraId="2AB325DB">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39" w:name="_Toc13945"/>
      <w:bookmarkStart w:id="3740" w:name="_Toc8463"/>
      <w:bookmarkStart w:id="3741" w:name="_Toc22137"/>
      <w:bookmarkStart w:id="3742" w:name="_Toc14100"/>
      <w:bookmarkStart w:id="3743" w:name="_Toc18817"/>
      <w:bookmarkStart w:id="3744" w:name="_Toc18794"/>
      <w:bookmarkStart w:id="3745" w:name="_Toc10015"/>
      <w:bookmarkStart w:id="3746" w:name="_Toc17358"/>
      <w:bookmarkStart w:id="3747" w:name="_Toc8465"/>
      <w:bookmarkStart w:id="3748" w:name="_Toc10484"/>
      <w:bookmarkStart w:id="3749" w:name="_Toc17153"/>
      <w:r>
        <w:rPr>
          <w:rFonts w:hint="eastAsia" w:cs="仿宋_GB2312"/>
          <w:bCs/>
          <w:color w:val="000000" w:themeColor="text1"/>
          <w14:textFill>
            <w14:solidFill>
              <w14:schemeClr w14:val="tx1"/>
            </w14:solidFill>
          </w14:textFill>
        </w:rPr>
        <w:t>第二百九十九条</w:t>
      </w:r>
      <w:r>
        <w:rPr>
          <w:rFonts w:hint="eastAsia" w:ascii="Times New Roman" w:hAnsi="Times New Roman" w:cs="仿宋_GB2312"/>
          <w:bCs/>
          <w:color w:val="000000" w:themeColor="text1"/>
          <w:kern w:val="0"/>
          <w14:textFill>
            <w14:solidFill>
              <w14:schemeClr w14:val="tx1"/>
            </w14:solidFill>
          </w14:textFill>
        </w:rPr>
        <w:t xml:space="preserve"> 乡村医生使用未经国家药品监督管理部门批准的抗菌药物的</w:t>
      </w:r>
      <w:bookmarkEnd w:id="3739"/>
      <w:bookmarkEnd w:id="3740"/>
      <w:bookmarkEnd w:id="3741"/>
      <w:bookmarkEnd w:id="3742"/>
      <w:bookmarkEnd w:id="3743"/>
      <w:bookmarkEnd w:id="3744"/>
      <w:bookmarkEnd w:id="3745"/>
      <w:bookmarkEnd w:id="3746"/>
      <w:bookmarkEnd w:id="3747"/>
      <w:bookmarkEnd w:id="3748"/>
      <w:bookmarkEnd w:id="3749"/>
    </w:p>
    <w:p w14:paraId="3570A4D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D2F9AF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《抗菌药物临床应用管理办法》第五十二条第二款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乡村医生有前款规定情形之一的，由县级卫生行政部门按照《乡村医生从业管理条例》第三十八条有关规定处理。</w:t>
      </w:r>
    </w:p>
    <w:p w14:paraId="1AB77B2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《乡村医生从业管理条例》第三十八条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乡村医生在执业活动中，违反本条例规定，有下列行为之一的，由县级人民政府卫生行政主管部门责令限期改正，给予警告；逾期不改正的，责令暂停</w:t>
      </w:r>
      <w:r>
        <w:rPr>
          <w:rFonts w:ascii="Times New Roman" w:hAnsi="Times New Roman" w:eastAsia="仿宋_GB2312" w:cs="仿宋_GB2312"/>
          <w:color w:val="000000" w:themeColor="text1"/>
          <w:kern w:val="2"/>
          <w:sz w:val="32"/>
          <w:szCs w:val="32"/>
          <w14:textFill>
            <w14:solidFill>
              <w14:schemeClr w14:val="tx1"/>
            </w14:solidFill>
          </w14:textFill>
        </w:rPr>
        <w:t xml:space="preserve">3 </w:t>
      </w:r>
      <w:r>
        <w:rPr>
          <w:rFonts w:hint="eastAsia" w:ascii="Times New Roman" w:hAnsi="Times New Roman" w:eastAsia="仿宋_GB2312" w:cs="仿宋_GB2312"/>
          <w:color w:val="000000" w:themeColor="text1"/>
          <w:kern w:val="2"/>
          <w:sz w:val="32"/>
          <w:szCs w:val="32"/>
          <w14:textFill>
            <w14:solidFill>
              <w14:schemeClr w14:val="tx1"/>
            </w14:solidFill>
          </w14:textFill>
        </w:rPr>
        <w:t>个月以上</w:t>
      </w:r>
      <w:r>
        <w:rPr>
          <w:rFonts w:ascii="Times New Roman" w:hAnsi="Times New Roman" w:eastAsia="仿宋_GB2312" w:cs="仿宋_GB2312"/>
          <w:color w:val="000000" w:themeColor="text1"/>
          <w:kern w:val="2"/>
          <w:sz w:val="32"/>
          <w:szCs w:val="32"/>
          <w14:textFill>
            <w14:solidFill>
              <w14:schemeClr w14:val="tx1"/>
            </w14:solidFill>
          </w14:textFill>
        </w:rPr>
        <w:t xml:space="preserve">6 </w:t>
      </w:r>
      <w:r>
        <w:rPr>
          <w:rFonts w:hint="eastAsia" w:ascii="Times New Roman" w:hAnsi="Times New Roman" w:eastAsia="仿宋_GB2312" w:cs="仿宋_GB2312"/>
          <w:color w:val="000000" w:themeColor="text1"/>
          <w:kern w:val="2"/>
          <w:sz w:val="32"/>
          <w:szCs w:val="32"/>
          <w14:textFill>
            <w14:solidFill>
              <w14:schemeClr w14:val="tx1"/>
            </w14:solidFill>
          </w14:textFill>
        </w:rPr>
        <w:t>个月以下执业活动；情节严重的，由原发证部门暂扣乡村医生执业证书：</w:t>
      </w:r>
    </w:p>
    <w:p w14:paraId="18897CA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（一）执业活动超出规定的执业范围，或者未按照规定进行转诊的；</w:t>
      </w:r>
    </w:p>
    <w:p w14:paraId="3713DCA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（二）违反规定使用乡村医生基本用药目录以外的处方药品的；</w:t>
      </w:r>
    </w:p>
    <w:p w14:paraId="02D2164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（三）违反规定出具医学证明，或者伪造卫生统计资料的；</w:t>
      </w:r>
    </w:p>
    <w:p w14:paraId="7798218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（四）发现传染病疫情、中毒事件不按规定报告的。</w:t>
      </w:r>
    </w:p>
    <w:p w14:paraId="105F8AE7">
      <w:pPr>
        <w:widowControl w:val="0"/>
        <w:adjustRightInd/>
        <w:snapToGrid/>
        <w:spacing w:after="0" w:line="440" w:lineRule="exact"/>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375"/>
        <w:gridCol w:w="4244"/>
      </w:tblGrid>
      <w:tr w14:paraId="155A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99" w:type="dxa"/>
            <w:vAlign w:val="center"/>
          </w:tcPr>
          <w:p w14:paraId="2B6B1F3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5" w:type="dxa"/>
            <w:vAlign w:val="center"/>
          </w:tcPr>
          <w:p w14:paraId="005B37C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44" w:type="dxa"/>
            <w:vAlign w:val="center"/>
          </w:tcPr>
          <w:p w14:paraId="7E77A3F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140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99" w:type="dxa"/>
            <w:vAlign w:val="center"/>
          </w:tcPr>
          <w:p w14:paraId="223ADBD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5" w:type="dxa"/>
            <w:vAlign w:val="center"/>
          </w:tcPr>
          <w:p w14:paraId="30DE78F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乡村医生使用未经国家药品监督管理部门批准的抗菌药物的。</w:t>
            </w:r>
          </w:p>
        </w:tc>
        <w:tc>
          <w:tcPr>
            <w:tcW w:w="4244" w:type="dxa"/>
            <w:vAlign w:val="center"/>
          </w:tcPr>
          <w:p w14:paraId="400DC81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1349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99" w:type="dxa"/>
            <w:vAlign w:val="center"/>
          </w:tcPr>
          <w:p w14:paraId="02FA18F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75" w:type="dxa"/>
            <w:vAlign w:val="center"/>
          </w:tcPr>
          <w:p w14:paraId="02D8A03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乡村医生使用未经国家药品监督管理部门批准的抗菌药物的，经责令限期改正，逾期不改正的。</w:t>
            </w:r>
          </w:p>
        </w:tc>
        <w:tc>
          <w:tcPr>
            <w:tcW w:w="4244" w:type="dxa"/>
            <w:vAlign w:val="center"/>
          </w:tcPr>
          <w:p w14:paraId="75AFE0E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责令暂停3 个月以上6 个月以下执业活动。</w:t>
            </w:r>
          </w:p>
        </w:tc>
      </w:tr>
      <w:tr w14:paraId="3CFC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99" w:type="dxa"/>
            <w:vAlign w:val="center"/>
          </w:tcPr>
          <w:p w14:paraId="0A082CA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75" w:type="dxa"/>
            <w:vAlign w:val="center"/>
          </w:tcPr>
          <w:p w14:paraId="67431B4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乡村医生使用未经国家药品监督管理部门批准的抗菌药物的，给患者造成伤害或产生其他危害后果的。</w:t>
            </w:r>
          </w:p>
        </w:tc>
        <w:tc>
          <w:tcPr>
            <w:tcW w:w="4244" w:type="dxa"/>
            <w:vAlign w:val="center"/>
          </w:tcPr>
          <w:p w14:paraId="22EA49A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暂扣乡村医生执业证书。</w:t>
            </w:r>
          </w:p>
        </w:tc>
      </w:tr>
    </w:tbl>
    <w:p w14:paraId="6A25269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50" w:name="_Toc4604"/>
      <w:bookmarkStart w:id="3751" w:name="_Toc24924"/>
      <w:bookmarkStart w:id="3752" w:name="_Toc9767"/>
      <w:bookmarkStart w:id="3753" w:name="_Toc27605"/>
      <w:bookmarkStart w:id="3754" w:name="_Toc6327"/>
      <w:bookmarkStart w:id="3755" w:name="_Toc1617"/>
      <w:bookmarkStart w:id="3756" w:name="_Toc11738"/>
      <w:bookmarkStart w:id="3757" w:name="_Toc19151"/>
      <w:bookmarkStart w:id="3758" w:name="_Toc7167"/>
      <w:bookmarkStart w:id="3759" w:name="_Toc25314"/>
      <w:bookmarkStart w:id="3760" w:name="_Toc18730"/>
      <w:r>
        <w:rPr>
          <w:rFonts w:hint="eastAsia" w:cs="仿宋_GB2312"/>
          <w:bCs/>
          <w:color w:val="000000" w:themeColor="text1"/>
          <w14:textFill>
            <w14:solidFill>
              <w14:schemeClr w14:val="tx1"/>
            </w14:solidFill>
          </w14:textFill>
        </w:rPr>
        <w:t>第三百条</w:t>
      </w:r>
      <w:r>
        <w:rPr>
          <w:rFonts w:hint="eastAsia" w:ascii="Times New Roman" w:hAnsi="Times New Roman" w:cs="仿宋_GB2312"/>
          <w:bCs/>
          <w:color w:val="000000" w:themeColor="text1"/>
          <w:kern w:val="0"/>
          <w14:textFill>
            <w14:solidFill>
              <w14:schemeClr w14:val="tx1"/>
            </w14:solidFill>
          </w14:textFill>
        </w:rPr>
        <w:t xml:space="preserve"> 乡村医生使用本机构抗菌药物供应目录以外的品种、品规，造成严重后果的</w:t>
      </w:r>
      <w:bookmarkEnd w:id="3750"/>
      <w:bookmarkEnd w:id="3751"/>
      <w:bookmarkEnd w:id="3752"/>
      <w:bookmarkEnd w:id="3753"/>
      <w:bookmarkEnd w:id="3754"/>
      <w:bookmarkEnd w:id="3755"/>
      <w:bookmarkEnd w:id="3756"/>
      <w:bookmarkEnd w:id="3757"/>
      <w:bookmarkEnd w:id="3758"/>
      <w:bookmarkEnd w:id="3759"/>
      <w:bookmarkEnd w:id="3760"/>
    </w:p>
    <w:p w14:paraId="019607C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81F8E2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《抗菌药物临床应用管理办法》第五十二条第二款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乡村医生有前款规定情形之一的，由县级卫生行政部门按照《乡村医生从业管理条例》第三十八条有关规定处理。</w:t>
      </w:r>
    </w:p>
    <w:p w14:paraId="6283946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《乡村医生从业管理条例》第三十八条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乡村医生在执业活动中，违反本条例规定，有下列行为之一的，由县级人民政府卫生行政主管部门责令限期改正，给予警告；逾期不改正的，责令暂停</w:t>
      </w:r>
      <w:r>
        <w:rPr>
          <w:rFonts w:ascii="Times New Roman" w:hAnsi="Times New Roman" w:eastAsia="仿宋_GB2312" w:cs="仿宋_GB2312"/>
          <w:color w:val="000000" w:themeColor="text1"/>
          <w:kern w:val="2"/>
          <w:sz w:val="32"/>
          <w:szCs w:val="32"/>
          <w14:textFill>
            <w14:solidFill>
              <w14:schemeClr w14:val="tx1"/>
            </w14:solidFill>
          </w14:textFill>
        </w:rPr>
        <w:t xml:space="preserve">3 </w:t>
      </w:r>
      <w:r>
        <w:rPr>
          <w:rFonts w:hint="eastAsia" w:ascii="Times New Roman" w:hAnsi="Times New Roman" w:eastAsia="仿宋_GB2312" w:cs="仿宋_GB2312"/>
          <w:color w:val="000000" w:themeColor="text1"/>
          <w:kern w:val="2"/>
          <w:sz w:val="32"/>
          <w:szCs w:val="32"/>
          <w14:textFill>
            <w14:solidFill>
              <w14:schemeClr w14:val="tx1"/>
            </w14:solidFill>
          </w14:textFill>
        </w:rPr>
        <w:t>个月以上</w:t>
      </w:r>
      <w:r>
        <w:rPr>
          <w:rFonts w:ascii="Times New Roman" w:hAnsi="Times New Roman" w:eastAsia="仿宋_GB2312" w:cs="仿宋_GB2312"/>
          <w:color w:val="000000" w:themeColor="text1"/>
          <w:kern w:val="2"/>
          <w:sz w:val="32"/>
          <w:szCs w:val="32"/>
          <w14:textFill>
            <w14:solidFill>
              <w14:schemeClr w14:val="tx1"/>
            </w14:solidFill>
          </w14:textFill>
        </w:rPr>
        <w:t xml:space="preserve">6 </w:t>
      </w:r>
      <w:r>
        <w:rPr>
          <w:rFonts w:hint="eastAsia" w:ascii="Times New Roman" w:hAnsi="Times New Roman" w:eastAsia="仿宋_GB2312" w:cs="仿宋_GB2312"/>
          <w:color w:val="000000" w:themeColor="text1"/>
          <w:kern w:val="2"/>
          <w:sz w:val="32"/>
          <w:szCs w:val="32"/>
          <w14:textFill>
            <w14:solidFill>
              <w14:schemeClr w14:val="tx1"/>
            </w14:solidFill>
          </w14:textFill>
        </w:rPr>
        <w:t>个月以下执业活动；情节严重的，由原发证部门暂扣乡村医生执业证书：</w:t>
      </w:r>
    </w:p>
    <w:p w14:paraId="0CF8AD1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（一）执业活动超出规定的执业范围，或者未按照规定进行转诊的；</w:t>
      </w:r>
    </w:p>
    <w:p w14:paraId="1BD0B36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（二）违反规定使用乡村医生基本用药目录以外的处方药品的；</w:t>
      </w:r>
    </w:p>
    <w:p w14:paraId="7D972F6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（三）违反规定出具医学证明，或者伪造卫生统计资料的；</w:t>
      </w:r>
    </w:p>
    <w:p w14:paraId="155054A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（四）发现传染病疫情、中毒事件不按规定报告的。</w:t>
      </w:r>
    </w:p>
    <w:p w14:paraId="0C1A36D5">
      <w:pPr>
        <w:widowControl w:val="0"/>
        <w:adjustRightInd/>
        <w:snapToGrid/>
        <w:spacing w:after="0" w:line="440" w:lineRule="exact"/>
        <w:jc w:val="center"/>
        <w:rPr>
          <w:rFonts w:ascii="Times New Roman" w:hAnsi="Times New Roman" w:cs="宋体"/>
          <w:b/>
          <w:color w:val="000000" w:themeColor="text1"/>
          <w:kern w:val="2"/>
          <w:sz w:val="28"/>
          <w:szCs w:val="28"/>
          <w14:textFill>
            <w14:solidFill>
              <w14:schemeClr w14:val="tx1"/>
            </w14:solidFill>
          </w14:textFill>
        </w:rPr>
      </w:pPr>
      <w:r>
        <w:rPr>
          <w:rFonts w:ascii="Times New Roman" w:hAnsi="Times New Roman" w:cs="宋体"/>
          <w:b/>
          <w:color w:val="000000" w:themeColor="text1"/>
          <w:kern w:val="2"/>
          <w:sz w:val="28"/>
          <w:szCs w:val="28"/>
          <w14:textFill>
            <w14:solidFill>
              <w14:schemeClr w14:val="tx1"/>
            </w14:solidFill>
          </w14:textFill>
        </w:rPr>
        <w:t>裁量标准</w:t>
      </w:r>
    </w:p>
    <w:tbl>
      <w:tblPr>
        <w:tblStyle w:val="24"/>
        <w:tblW w:w="13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8202"/>
        <w:gridCol w:w="4096"/>
      </w:tblGrid>
      <w:tr w14:paraId="07B0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98" w:type="dxa"/>
            <w:vAlign w:val="center"/>
          </w:tcPr>
          <w:p w14:paraId="0203061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202" w:type="dxa"/>
            <w:vAlign w:val="center"/>
          </w:tcPr>
          <w:p w14:paraId="76410FD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096" w:type="dxa"/>
            <w:vAlign w:val="center"/>
          </w:tcPr>
          <w:p w14:paraId="5714DE9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5EE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98" w:type="dxa"/>
            <w:vAlign w:val="center"/>
          </w:tcPr>
          <w:p w14:paraId="6834196D">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202" w:type="dxa"/>
            <w:vAlign w:val="center"/>
          </w:tcPr>
          <w:p w14:paraId="124B6C2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乡村医生使用本机构抗菌药物供应目录以外的品种、品规，造成严重后果的。</w:t>
            </w:r>
          </w:p>
        </w:tc>
        <w:tc>
          <w:tcPr>
            <w:tcW w:w="4096" w:type="dxa"/>
            <w:vAlign w:val="center"/>
          </w:tcPr>
          <w:p w14:paraId="6072053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5D45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98" w:type="dxa"/>
            <w:vAlign w:val="center"/>
          </w:tcPr>
          <w:p w14:paraId="59E1631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202" w:type="dxa"/>
            <w:vAlign w:val="center"/>
          </w:tcPr>
          <w:p w14:paraId="34C47B7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乡村医生使用本机构抗菌药物供应目录以外的品种、品规，造成严重后果，经责令限期改正，逾期不改正的。</w:t>
            </w:r>
          </w:p>
        </w:tc>
        <w:tc>
          <w:tcPr>
            <w:tcW w:w="4096" w:type="dxa"/>
            <w:vAlign w:val="center"/>
          </w:tcPr>
          <w:p w14:paraId="535E1A2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责令暂停3 个月以上6 个月以下执业活动。</w:t>
            </w:r>
          </w:p>
        </w:tc>
      </w:tr>
      <w:tr w14:paraId="4DB4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98" w:type="dxa"/>
            <w:vAlign w:val="center"/>
          </w:tcPr>
          <w:p w14:paraId="084D3DD8">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202" w:type="dxa"/>
            <w:vAlign w:val="center"/>
          </w:tcPr>
          <w:p w14:paraId="2B6142E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乡村医生使用本机构抗菌药物供应目录以外的品种、品规，造成严重后果，情节严重的。</w:t>
            </w:r>
          </w:p>
        </w:tc>
        <w:tc>
          <w:tcPr>
            <w:tcW w:w="4096" w:type="dxa"/>
            <w:vAlign w:val="center"/>
          </w:tcPr>
          <w:p w14:paraId="06CC1C0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暂扣乡村医生执业证书。</w:t>
            </w:r>
          </w:p>
        </w:tc>
      </w:tr>
    </w:tbl>
    <w:p w14:paraId="2BD5DBE6">
      <w:pPr>
        <w:widowControl w:val="0"/>
        <w:adjustRightInd/>
        <w:snapToGrid/>
        <w:spacing w:after="0" w:line="440" w:lineRule="exact"/>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4987877A">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61" w:name="_Toc10712"/>
      <w:bookmarkStart w:id="3762" w:name="_Toc27175"/>
      <w:bookmarkStart w:id="3763" w:name="_Toc6229"/>
      <w:bookmarkStart w:id="3764" w:name="_Toc4531"/>
      <w:bookmarkStart w:id="3765" w:name="_Toc14707"/>
      <w:bookmarkStart w:id="3766" w:name="_Toc14362"/>
      <w:bookmarkStart w:id="3767" w:name="_Toc2313"/>
      <w:bookmarkStart w:id="3768" w:name="_Toc10686"/>
      <w:bookmarkStart w:id="3769" w:name="_Toc1602"/>
      <w:bookmarkStart w:id="3770" w:name="_Toc15744"/>
      <w:bookmarkStart w:id="3771" w:name="_Toc6775"/>
      <w:r>
        <w:rPr>
          <w:rFonts w:hint="eastAsia" w:cs="仿宋_GB2312"/>
          <w:bCs/>
          <w:color w:val="000000" w:themeColor="text1"/>
          <w14:textFill>
            <w14:solidFill>
              <w14:schemeClr w14:val="tx1"/>
            </w14:solidFill>
          </w14:textFill>
        </w:rPr>
        <w:t>第三百零一条</w:t>
      </w:r>
      <w:r>
        <w:rPr>
          <w:rFonts w:hint="eastAsia" w:ascii="Times New Roman" w:hAnsi="Times New Roman" w:cs="仿宋_GB2312"/>
          <w:bCs/>
          <w:color w:val="000000" w:themeColor="text1"/>
          <w:kern w:val="0"/>
          <w14:textFill>
            <w14:solidFill>
              <w14:schemeClr w14:val="tx1"/>
            </w14:solidFill>
          </w14:textFill>
        </w:rPr>
        <w:t xml:space="preserve"> 乡村医生违反《抗菌药物临床应用管理办法》其他规定，造成严重后果的</w:t>
      </w:r>
      <w:bookmarkEnd w:id="3761"/>
      <w:bookmarkEnd w:id="3762"/>
      <w:bookmarkEnd w:id="3763"/>
      <w:bookmarkEnd w:id="3764"/>
      <w:bookmarkEnd w:id="3765"/>
      <w:bookmarkEnd w:id="3766"/>
      <w:bookmarkEnd w:id="3767"/>
      <w:bookmarkEnd w:id="3768"/>
      <w:bookmarkEnd w:id="3769"/>
      <w:bookmarkEnd w:id="3770"/>
      <w:bookmarkEnd w:id="3771"/>
    </w:p>
    <w:p w14:paraId="3E52EFD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D2CC48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《抗菌药物临床应用管理办法》第五十二条第二款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乡村医生有前款规定情形之一的，由县级卫生行政部门按照《乡村医生从业管理条例》第三十八条有关规定处理。</w:t>
      </w:r>
    </w:p>
    <w:p w14:paraId="63BC48E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《乡村医生从业管理条例》第三十八条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乡村医生在执业活动中，违反本条例规定，有下列行为之一的，由县级人民政府卫生行政主管部门责令限期改正，给予警告；逾期不改正的，责令暂停</w:t>
      </w:r>
      <w:r>
        <w:rPr>
          <w:rFonts w:ascii="Times New Roman" w:hAnsi="Times New Roman" w:eastAsia="仿宋_GB2312" w:cs="仿宋_GB2312"/>
          <w:color w:val="000000" w:themeColor="text1"/>
          <w:kern w:val="2"/>
          <w:sz w:val="32"/>
          <w:szCs w:val="32"/>
          <w14:textFill>
            <w14:solidFill>
              <w14:schemeClr w14:val="tx1"/>
            </w14:solidFill>
          </w14:textFill>
        </w:rPr>
        <w:t xml:space="preserve">3 </w:t>
      </w:r>
      <w:r>
        <w:rPr>
          <w:rFonts w:hint="eastAsia" w:ascii="Times New Roman" w:hAnsi="Times New Roman" w:eastAsia="仿宋_GB2312" w:cs="仿宋_GB2312"/>
          <w:color w:val="000000" w:themeColor="text1"/>
          <w:kern w:val="2"/>
          <w:sz w:val="32"/>
          <w:szCs w:val="32"/>
          <w14:textFill>
            <w14:solidFill>
              <w14:schemeClr w14:val="tx1"/>
            </w14:solidFill>
          </w14:textFill>
        </w:rPr>
        <w:t>个月以上</w:t>
      </w:r>
      <w:r>
        <w:rPr>
          <w:rFonts w:ascii="Times New Roman" w:hAnsi="Times New Roman" w:eastAsia="仿宋_GB2312" w:cs="仿宋_GB2312"/>
          <w:color w:val="000000" w:themeColor="text1"/>
          <w:kern w:val="2"/>
          <w:sz w:val="32"/>
          <w:szCs w:val="32"/>
          <w14:textFill>
            <w14:solidFill>
              <w14:schemeClr w14:val="tx1"/>
            </w14:solidFill>
          </w14:textFill>
        </w:rPr>
        <w:t xml:space="preserve">6 </w:t>
      </w:r>
      <w:r>
        <w:rPr>
          <w:rFonts w:hint="eastAsia" w:ascii="Times New Roman" w:hAnsi="Times New Roman" w:eastAsia="仿宋_GB2312" w:cs="仿宋_GB2312"/>
          <w:color w:val="000000" w:themeColor="text1"/>
          <w:kern w:val="2"/>
          <w:sz w:val="32"/>
          <w:szCs w:val="32"/>
          <w14:textFill>
            <w14:solidFill>
              <w14:schemeClr w14:val="tx1"/>
            </w14:solidFill>
          </w14:textFill>
        </w:rPr>
        <w:t>个月以下执业活动；情节严重的，由原发证部门暂扣乡村医生执业证书：</w:t>
      </w:r>
    </w:p>
    <w:p w14:paraId="2E8268B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（一）执业活动超出规定的执业范围，或者未按照规定进行转诊的；</w:t>
      </w:r>
    </w:p>
    <w:p w14:paraId="36E963D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（二）违反规定使用乡村医生基本用药目录以外的处方药品的；</w:t>
      </w:r>
    </w:p>
    <w:p w14:paraId="20033AB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（三）违反规定出具医学证明，或者伪造卫生统计资料的；</w:t>
      </w:r>
    </w:p>
    <w:p w14:paraId="5DCD513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（四）发现传染病疫情、中毒事件不按规定报告的。</w:t>
      </w:r>
    </w:p>
    <w:p w14:paraId="7D9EBE6F">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433"/>
        <w:gridCol w:w="4208"/>
      </w:tblGrid>
      <w:tr w14:paraId="5C58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44" w:type="dxa"/>
            <w:vAlign w:val="center"/>
          </w:tcPr>
          <w:p w14:paraId="6810270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433" w:type="dxa"/>
            <w:vAlign w:val="center"/>
          </w:tcPr>
          <w:p w14:paraId="241402A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08" w:type="dxa"/>
            <w:vAlign w:val="center"/>
          </w:tcPr>
          <w:p w14:paraId="0E963FA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376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44" w:type="dxa"/>
            <w:vAlign w:val="center"/>
          </w:tcPr>
          <w:p w14:paraId="2338AC13">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433" w:type="dxa"/>
            <w:vAlign w:val="center"/>
          </w:tcPr>
          <w:p w14:paraId="3F23232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乡村医生违反《抗菌药物临床应用管理办法》其他规定，造成严重后果的。</w:t>
            </w:r>
          </w:p>
        </w:tc>
        <w:tc>
          <w:tcPr>
            <w:tcW w:w="4208" w:type="dxa"/>
            <w:vAlign w:val="center"/>
          </w:tcPr>
          <w:p w14:paraId="016AA9D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5C86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44" w:type="dxa"/>
            <w:vAlign w:val="center"/>
          </w:tcPr>
          <w:p w14:paraId="2C1596B9">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433" w:type="dxa"/>
            <w:vAlign w:val="center"/>
          </w:tcPr>
          <w:p w14:paraId="08CCEF1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乡村医生违反《抗菌药物临床应用管理办法》其他规定，造成严重后果，经责令限期改正，逾期不改正的。</w:t>
            </w:r>
          </w:p>
        </w:tc>
        <w:tc>
          <w:tcPr>
            <w:tcW w:w="4208" w:type="dxa"/>
            <w:vAlign w:val="center"/>
          </w:tcPr>
          <w:p w14:paraId="1F1D6FB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责令暂停3 个月以上6 个月以下执业活动。</w:t>
            </w:r>
          </w:p>
        </w:tc>
      </w:tr>
      <w:tr w14:paraId="68F2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344" w:type="dxa"/>
            <w:vAlign w:val="center"/>
          </w:tcPr>
          <w:p w14:paraId="3A7D8FB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433" w:type="dxa"/>
            <w:vAlign w:val="center"/>
          </w:tcPr>
          <w:p w14:paraId="65AE6B0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乡村医生违反《抗菌药物临床应用管理办法》其他规定，造成严重后果，情节严重的。</w:t>
            </w:r>
          </w:p>
        </w:tc>
        <w:tc>
          <w:tcPr>
            <w:tcW w:w="4208" w:type="dxa"/>
            <w:vAlign w:val="center"/>
          </w:tcPr>
          <w:p w14:paraId="62E79BB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暂扣乡村医生执业证书。</w:t>
            </w:r>
          </w:p>
        </w:tc>
      </w:tr>
    </w:tbl>
    <w:p w14:paraId="2B79255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72" w:name="_Toc17922"/>
      <w:bookmarkStart w:id="3773" w:name="_Toc15615"/>
      <w:bookmarkStart w:id="3774" w:name="_Toc2236"/>
      <w:bookmarkStart w:id="3775" w:name="_Toc32264"/>
      <w:bookmarkStart w:id="3776" w:name="_Toc26968"/>
      <w:bookmarkStart w:id="3777" w:name="_Toc24162"/>
      <w:bookmarkStart w:id="3778" w:name="_Toc7762"/>
      <w:bookmarkStart w:id="3779" w:name="_Toc17582"/>
      <w:bookmarkStart w:id="3780" w:name="_Toc31605"/>
      <w:bookmarkStart w:id="3781" w:name="_Toc10128"/>
      <w:bookmarkStart w:id="3782" w:name="_Toc27519"/>
      <w:r>
        <w:rPr>
          <w:rFonts w:hint="eastAsia" w:cs="仿宋_GB2312"/>
          <w:bCs/>
          <w:color w:val="000000" w:themeColor="text1"/>
          <w14:textFill>
            <w14:solidFill>
              <w14:schemeClr w14:val="tx1"/>
            </w14:solidFill>
          </w14:textFill>
        </w:rPr>
        <w:t>第三百零二条</w:t>
      </w:r>
      <w:r>
        <w:rPr>
          <w:rFonts w:hint="eastAsia" w:ascii="Times New Roman" w:hAnsi="Times New Roman" w:cs="仿宋_GB2312"/>
          <w:bCs/>
          <w:color w:val="000000" w:themeColor="text1"/>
          <w:kern w:val="0"/>
          <w14:textFill>
            <w14:solidFill>
              <w14:schemeClr w14:val="tx1"/>
            </w14:solidFill>
          </w14:textFill>
        </w:rPr>
        <w:t xml:space="preserve"> 药师未按照规定审核、调剂抗菌药物处方，情节严重的</w:t>
      </w:r>
      <w:bookmarkEnd w:id="3772"/>
      <w:bookmarkEnd w:id="3773"/>
      <w:bookmarkEnd w:id="3774"/>
      <w:bookmarkEnd w:id="3775"/>
      <w:bookmarkEnd w:id="3776"/>
      <w:bookmarkEnd w:id="3777"/>
      <w:bookmarkEnd w:id="3778"/>
      <w:bookmarkEnd w:id="3779"/>
      <w:bookmarkEnd w:id="3780"/>
      <w:bookmarkEnd w:id="3781"/>
      <w:bookmarkEnd w:id="3782"/>
    </w:p>
    <w:p w14:paraId="49DEE65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4040E2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《抗菌药物临床应用管理办法》第五十三条第（一）项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药师有下列情形之一的，由县级以上卫生行政部门责令限期改正，给予警告；构成犯罪的，依法追究刑事责任：</w:t>
      </w:r>
    </w:p>
    <w:p w14:paraId="3695E864">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（一）未按照规定审核、调</w:t>
      </w:r>
      <w:r>
        <w:rPr>
          <w:rFonts w:hint="eastAsia" w:ascii="Times New Roman" w:hAnsi="Times New Roman" w:eastAsia="仿宋_GB2312" w:cs="仿宋"/>
          <w:color w:val="000000" w:themeColor="text1"/>
          <w:sz w:val="32"/>
          <w:szCs w:val="32"/>
          <w14:textFill>
            <w14:solidFill>
              <w14:schemeClr w14:val="tx1"/>
            </w14:solidFill>
          </w14:textFill>
        </w:rPr>
        <w:t>剂抗菌药物处方，情节严重的；</w:t>
      </w:r>
    </w:p>
    <w:p w14:paraId="34E755F0">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8010"/>
        <w:gridCol w:w="4374"/>
      </w:tblGrid>
      <w:tr w14:paraId="669B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04" w:type="dxa"/>
            <w:vAlign w:val="center"/>
          </w:tcPr>
          <w:p w14:paraId="69A0963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10" w:type="dxa"/>
            <w:vAlign w:val="center"/>
          </w:tcPr>
          <w:p w14:paraId="79D8AC7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374" w:type="dxa"/>
            <w:vAlign w:val="center"/>
          </w:tcPr>
          <w:p w14:paraId="0CAB3B9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C05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04" w:type="dxa"/>
            <w:vAlign w:val="center"/>
          </w:tcPr>
          <w:p w14:paraId="028661BE">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010" w:type="dxa"/>
            <w:vAlign w:val="center"/>
          </w:tcPr>
          <w:p w14:paraId="143C37A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药师未按照规定审核、调剂抗菌药物处方，情节严重的。</w:t>
            </w:r>
          </w:p>
        </w:tc>
        <w:tc>
          <w:tcPr>
            <w:tcW w:w="4374" w:type="dxa"/>
            <w:vAlign w:val="center"/>
          </w:tcPr>
          <w:p w14:paraId="5EE9A57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bl>
    <w:p w14:paraId="21F34B7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83" w:name="_Toc9150"/>
      <w:bookmarkStart w:id="3784" w:name="_Toc3004"/>
      <w:bookmarkStart w:id="3785" w:name="_Toc29070"/>
      <w:bookmarkStart w:id="3786" w:name="_Toc28803"/>
      <w:bookmarkStart w:id="3787" w:name="_Toc26785"/>
      <w:bookmarkStart w:id="3788" w:name="_Toc9135"/>
      <w:bookmarkStart w:id="3789" w:name="_Toc571"/>
      <w:bookmarkStart w:id="3790" w:name="_Toc16411"/>
      <w:bookmarkStart w:id="3791" w:name="_Toc19073"/>
      <w:bookmarkStart w:id="3792" w:name="_Toc9857"/>
      <w:bookmarkStart w:id="3793" w:name="_Toc16382"/>
      <w:r>
        <w:rPr>
          <w:rFonts w:hint="eastAsia" w:cs="仿宋_GB2312"/>
          <w:bCs/>
          <w:color w:val="000000" w:themeColor="text1"/>
          <w14:textFill>
            <w14:solidFill>
              <w14:schemeClr w14:val="tx1"/>
            </w14:solidFill>
          </w14:textFill>
        </w:rPr>
        <w:t>第三百零三条</w:t>
      </w:r>
      <w:r>
        <w:rPr>
          <w:rFonts w:hint="eastAsia" w:ascii="Times New Roman" w:hAnsi="Times New Roman" w:cs="仿宋_GB2312"/>
          <w:bCs/>
          <w:color w:val="000000" w:themeColor="text1"/>
          <w:kern w:val="0"/>
          <w14:textFill>
            <w14:solidFill>
              <w14:schemeClr w14:val="tx1"/>
            </w14:solidFill>
          </w14:textFill>
        </w:rPr>
        <w:t xml:space="preserve"> 药师未按照规定私自增加抗菌药物品种或者品规的</w:t>
      </w:r>
      <w:bookmarkEnd w:id="3783"/>
      <w:bookmarkEnd w:id="3784"/>
      <w:bookmarkEnd w:id="3785"/>
      <w:bookmarkEnd w:id="3786"/>
      <w:bookmarkEnd w:id="3787"/>
      <w:bookmarkEnd w:id="3788"/>
      <w:bookmarkEnd w:id="3789"/>
      <w:bookmarkEnd w:id="3790"/>
      <w:bookmarkEnd w:id="3791"/>
      <w:bookmarkEnd w:id="3792"/>
      <w:bookmarkEnd w:id="3793"/>
    </w:p>
    <w:p w14:paraId="0F11472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427E49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《抗菌药物临床应用管理办法》第五十三条第（二）项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药师有下列情形之一的，由县级以上卫生行政部门责令限期改正，给予警告；构成犯罪的，依法追究刑事责任：</w:t>
      </w:r>
    </w:p>
    <w:p w14:paraId="3A74D60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（二）未按照规定私自增加抗菌药物品种或者品规的；</w:t>
      </w:r>
    </w:p>
    <w:p w14:paraId="338EF92C">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375"/>
        <w:gridCol w:w="4244"/>
      </w:tblGrid>
      <w:tr w14:paraId="4844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99" w:type="dxa"/>
            <w:vAlign w:val="center"/>
          </w:tcPr>
          <w:p w14:paraId="63CDC3E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5" w:type="dxa"/>
            <w:vAlign w:val="center"/>
          </w:tcPr>
          <w:p w14:paraId="73A4DE6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44" w:type="dxa"/>
            <w:vAlign w:val="center"/>
          </w:tcPr>
          <w:p w14:paraId="56EF308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712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399" w:type="dxa"/>
            <w:vAlign w:val="center"/>
          </w:tcPr>
          <w:p w14:paraId="3E5EA9D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5" w:type="dxa"/>
            <w:vAlign w:val="center"/>
          </w:tcPr>
          <w:p w14:paraId="41324A7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药师未按照规定私自增加抗菌药物品种或者品规的。</w:t>
            </w:r>
          </w:p>
        </w:tc>
        <w:tc>
          <w:tcPr>
            <w:tcW w:w="4244" w:type="dxa"/>
            <w:vAlign w:val="center"/>
          </w:tcPr>
          <w:p w14:paraId="07B0B23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bl>
    <w:p w14:paraId="65607A16">
      <w:pPr>
        <w:widowControl w:val="0"/>
        <w:adjustRightInd/>
        <w:snapToGrid/>
        <w:spacing w:after="0" w:line="440" w:lineRule="exact"/>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7A95672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794" w:name="_Toc9646"/>
      <w:bookmarkStart w:id="3795" w:name="_Toc12613"/>
      <w:bookmarkStart w:id="3796" w:name="_Toc778"/>
      <w:bookmarkStart w:id="3797" w:name="_Toc13950"/>
      <w:bookmarkStart w:id="3798" w:name="_Toc32658"/>
      <w:bookmarkStart w:id="3799" w:name="_Toc7719"/>
      <w:bookmarkStart w:id="3800" w:name="_Toc11560"/>
      <w:bookmarkStart w:id="3801" w:name="_Toc30264"/>
      <w:bookmarkStart w:id="3802" w:name="_Toc27350"/>
      <w:bookmarkStart w:id="3803" w:name="_Toc26319"/>
      <w:bookmarkStart w:id="3804" w:name="_Toc15435"/>
      <w:r>
        <w:rPr>
          <w:rFonts w:hint="eastAsia" w:cs="仿宋_GB2312"/>
          <w:bCs/>
          <w:color w:val="000000" w:themeColor="text1"/>
          <w14:textFill>
            <w14:solidFill>
              <w14:schemeClr w14:val="tx1"/>
            </w14:solidFill>
          </w14:textFill>
        </w:rPr>
        <w:t>第三百零四条</w:t>
      </w:r>
      <w:r>
        <w:rPr>
          <w:rFonts w:hint="eastAsia" w:ascii="Times New Roman" w:hAnsi="Times New Roman" w:cs="仿宋_GB2312"/>
          <w:bCs/>
          <w:color w:val="000000" w:themeColor="text1"/>
          <w:kern w:val="0"/>
          <w14:textFill>
            <w14:solidFill>
              <w14:schemeClr w14:val="tx1"/>
            </w14:solidFill>
          </w14:textFill>
        </w:rPr>
        <w:t xml:space="preserve"> 药师违反《抗菌药物临床应用管理办法》其他规定的</w:t>
      </w:r>
      <w:bookmarkEnd w:id="3794"/>
      <w:bookmarkEnd w:id="3795"/>
      <w:bookmarkEnd w:id="3796"/>
      <w:bookmarkEnd w:id="3797"/>
      <w:bookmarkEnd w:id="3798"/>
      <w:bookmarkEnd w:id="3799"/>
      <w:bookmarkEnd w:id="3800"/>
      <w:bookmarkEnd w:id="3801"/>
      <w:bookmarkEnd w:id="3802"/>
      <w:bookmarkEnd w:id="3803"/>
      <w:bookmarkEnd w:id="3804"/>
    </w:p>
    <w:p w14:paraId="059576A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D828D5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《抗菌药物临床应用管理办法》第五十三条第（三）项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药师有下列情形之一的，由县级以上卫生行政部门责令限期改正，给予警告；构成犯罪的，依法追究刑事责任：</w:t>
      </w:r>
    </w:p>
    <w:p w14:paraId="079459D1">
      <w:pPr>
        <w:widowControl w:val="0"/>
        <w:adjustRightInd/>
        <w:snapToGrid/>
        <w:spacing w:after="0" w:line="440" w:lineRule="exact"/>
        <w:ind w:firstLine="640"/>
        <w:jc w:val="both"/>
        <w:rPr>
          <w:rFonts w:hint="eastAsia" w:ascii="Times New Roman" w:hAnsi="Times New Roman" w:eastAsia="仿宋_GB2312" w:cs="仿宋"/>
          <w:bCs/>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（三）违反本</w:t>
      </w:r>
      <w:r>
        <w:rPr>
          <w:rFonts w:hint="eastAsia" w:ascii="Times New Roman" w:hAnsi="Times New Roman" w:eastAsia="仿宋_GB2312" w:cs="仿宋"/>
          <w:bCs/>
          <w:color w:val="000000" w:themeColor="text1"/>
          <w:kern w:val="2"/>
          <w:sz w:val="32"/>
          <w:szCs w:val="32"/>
          <w14:textFill>
            <w14:solidFill>
              <w14:schemeClr w14:val="tx1"/>
            </w14:solidFill>
          </w14:textFill>
        </w:rPr>
        <w:t>办法其他规定的。</w:t>
      </w:r>
    </w:p>
    <w:p w14:paraId="449CB478">
      <w:pPr>
        <w:widowControl w:val="0"/>
        <w:adjustRightInd/>
        <w:snapToGrid/>
        <w:spacing w:after="0" w:line="440" w:lineRule="exact"/>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裁量标准</w:t>
      </w:r>
    </w:p>
    <w:tbl>
      <w:tblPr>
        <w:tblStyle w:val="24"/>
        <w:tblW w:w="14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375"/>
        <w:gridCol w:w="4244"/>
      </w:tblGrid>
      <w:tr w14:paraId="761E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99" w:type="dxa"/>
            <w:vAlign w:val="center"/>
          </w:tcPr>
          <w:p w14:paraId="68E1AB7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75" w:type="dxa"/>
            <w:vAlign w:val="center"/>
          </w:tcPr>
          <w:p w14:paraId="2E0A1FD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44" w:type="dxa"/>
            <w:vAlign w:val="center"/>
          </w:tcPr>
          <w:p w14:paraId="02FCF2F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710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99" w:type="dxa"/>
            <w:vAlign w:val="center"/>
          </w:tcPr>
          <w:p w14:paraId="077FAC91">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75" w:type="dxa"/>
            <w:vAlign w:val="center"/>
          </w:tcPr>
          <w:p w14:paraId="742D89D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药师违反《抗菌药物临床应用管理办法》其他规定的。</w:t>
            </w:r>
          </w:p>
        </w:tc>
        <w:tc>
          <w:tcPr>
            <w:tcW w:w="4244" w:type="dxa"/>
            <w:vAlign w:val="center"/>
          </w:tcPr>
          <w:p w14:paraId="1589A1F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bl>
    <w:p w14:paraId="42CBE4B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805" w:name="_Toc32438"/>
      <w:bookmarkStart w:id="3806" w:name="_Toc4883"/>
      <w:bookmarkStart w:id="3807" w:name="_Toc30485"/>
      <w:bookmarkStart w:id="3808" w:name="_Toc19142"/>
      <w:bookmarkStart w:id="3809" w:name="_Toc913"/>
      <w:bookmarkStart w:id="3810" w:name="_Toc22232"/>
      <w:bookmarkStart w:id="3811" w:name="_Toc306"/>
      <w:bookmarkStart w:id="3812" w:name="_Toc14138"/>
      <w:bookmarkStart w:id="3813" w:name="_Toc32405"/>
      <w:bookmarkStart w:id="3814" w:name="_Toc8404"/>
      <w:bookmarkStart w:id="3815" w:name="_Toc16298"/>
      <w:r>
        <w:rPr>
          <w:rFonts w:hint="eastAsia" w:cs="仿宋_GB2312"/>
          <w:bCs/>
          <w:color w:val="000000" w:themeColor="text1"/>
          <w14:textFill>
            <w14:solidFill>
              <w14:schemeClr w14:val="tx1"/>
            </w14:solidFill>
          </w14:textFill>
        </w:rPr>
        <w:t>第三百零五条</w:t>
      </w:r>
      <w:r>
        <w:rPr>
          <w:rFonts w:hint="eastAsia" w:ascii="Times New Roman" w:hAnsi="Times New Roman" w:cs="仿宋_GB2312"/>
          <w:bCs/>
          <w:color w:val="000000" w:themeColor="text1"/>
          <w:kern w:val="0"/>
          <w14:textFill>
            <w14:solidFill>
              <w14:schemeClr w14:val="tx1"/>
            </w14:solidFill>
          </w14:textFill>
        </w:rPr>
        <w:t xml:space="preserve"> 未经县级卫生行政部门核准，村卫生室、诊所、社区卫生服务站擅自使用抗菌药物开展静脉输注活动的</w:t>
      </w:r>
      <w:bookmarkEnd w:id="3805"/>
      <w:bookmarkEnd w:id="3806"/>
      <w:bookmarkEnd w:id="3807"/>
      <w:bookmarkEnd w:id="3808"/>
      <w:bookmarkEnd w:id="3809"/>
      <w:bookmarkEnd w:id="3810"/>
      <w:bookmarkEnd w:id="3811"/>
      <w:bookmarkEnd w:id="3812"/>
      <w:bookmarkEnd w:id="3813"/>
      <w:bookmarkEnd w:id="3814"/>
      <w:bookmarkEnd w:id="3815"/>
    </w:p>
    <w:p w14:paraId="3F53A87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772B239">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《抗菌药物临床应用管理办法》第五十四条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未经县级卫生行政部门核准，村卫生室、诊所、社区卫生服务站擅自使用抗菌药物开展静脉输注活动的，由县级以上地方卫生行政部门责令限期改正，给予警告；逾</w:t>
      </w:r>
      <w:r>
        <w:rPr>
          <w:rFonts w:hint="eastAsia" w:ascii="Times New Roman" w:hAnsi="Times New Roman" w:eastAsia="仿宋_GB2312" w:cs="仿宋"/>
          <w:color w:val="000000" w:themeColor="text1"/>
          <w:sz w:val="32"/>
          <w:szCs w:val="32"/>
          <w14:textFill>
            <w14:solidFill>
              <w14:schemeClr w14:val="tx1"/>
            </w14:solidFill>
          </w14:textFill>
        </w:rPr>
        <w:t>期不改的，可根据情节轻重处以一万元以下罚款。</w:t>
      </w:r>
    </w:p>
    <w:p w14:paraId="55B7B50F">
      <w:pPr>
        <w:widowControl w:val="0"/>
        <w:adjustRightInd/>
        <w:snapToGrid/>
        <w:spacing w:after="0" w:line="440" w:lineRule="exact"/>
        <w:jc w:val="center"/>
        <w:rPr>
          <w:rFonts w:hint="eastAsia" w:ascii="Times New Roman" w:hAnsi="Times New Roman" w:eastAsia="仿宋_GB2312" w:cs="仿宋"/>
          <w:bCs/>
          <w:color w:val="000000" w:themeColor="text1"/>
          <w:sz w:val="32"/>
          <w:szCs w:val="32"/>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裁量标准</w:t>
      </w:r>
    </w:p>
    <w:tbl>
      <w:tblPr>
        <w:tblStyle w:val="24"/>
        <w:tblW w:w="13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433"/>
        <w:gridCol w:w="4208"/>
      </w:tblGrid>
      <w:tr w14:paraId="0C49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44" w:type="dxa"/>
            <w:vAlign w:val="center"/>
          </w:tcPr>
          <w:p w14:paraId="29C8880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433" w:type="dxa"/>
            <w:vAlign w:val="center"/>
          </w:tcPr>
          <w:p w14:paraId="04BC77D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08" w:type="dxa"/>
            <w:vAlign w:val="center"/>
          </w:tcPr>
          <w:p w14:paraId="79EC38B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1CD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44" w:type="dxa"/>
            <w:vAlign w:val="center"/>
          </w:tcPr>
          <w:p w14:paraId="05A65C7E">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433" w:type="dxa"/>
            <w:vAlign w:val="center"/>
          </w:tcPr>
          <w:p w14:paraId="6913FD1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未经县级卫生行政部门核准，村卫生室、诊所、社区卫生服务站擅自使用抗菌药物开展静脉输注活动的，并未造成严重后果的。</w:t>
            </w:r>
          </w:p>
        </w:tc>
        <w:tc>
          <w:tcPr>
            <w:tcW w:w="4208" w:type="dxa"/>
            <w:vAlign w:val="center"/>
          </w:tcPr>
          <w:p w14:paraId="6B899B9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5EF3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344" w:type="dxa"/>
            <w:vAlign w:val="center"/>
          </w:tcPr>
          <w:p w14:paraId="735DCAB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433" w:type="dxa"/>
            <w:vAlign w:val="center"/>
          </w:tcPr>
          <w:p w14:paraId="4F62576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未经县级卫生行政部门核准，村卫生室、诊所、社区卫生服务站擅自使用抗菌药物开展静脉输注活动，经责令限期改正逾期不改或造成严重后果的。</w:t>
            </w:r>
          </w:p>
        </w:tc>
        <w:tc>
          <w:tcPr>
            <w:tcW w:w="4208" w:type="dxa"/>
            <w:vAlign w:val="center"/>
          </w:tcPr>
          <w:p w14:paraId="5EF0753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给予警告，可根据情节轻重处以一万元以下罚款。</w:t>
            </w:r>
          </w:p>
        </w:tc>
      </w:tr>
    </w:tbl>
    <w:p w14:paraId="32A73FE4">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816" w:name="_Toc3540"/>
      <w:bookmarkStart w:id="3817" w:name="_Toc961"/>
      <w:bookmarkStart w:id="3818" w:name="_Toc27227"/>
      <w:bookmarkStart w:id="3819" w:name="_Toc32073"/>
      <w:bookmarkStart w:id="3820" w:name="_Toc16970"/>
      <w:bookmarkStart w:id="3821" w:name="_Toc32673"/>
      <w:bookmarkStart w:id="3822" w:name="_Toc5310"/>
      <w:bookmarkStart w:id="3823" w:name="_Toc10012"/>
      <w:bookmarkStart w:id="3824" w:name="_Toc4024"/>
      <w:bookmarkStart w:id="3825" w:name="_Toc25442"/>
      <w:bookmarkStart w:id="3826" w:name="_Toc14273"/>
      <w:bookmarkStart w:id="3827" w:name="_Toc5482"/>
      <w:bookmarkStart w:id="3828" w:name="_Toc7598"/>
      <w:r>
        <w:rPr>
          <w:rFonts w:hint="eastAsia" w:ascii="Times New Roman" w:hAnsi="Times New Roman" w:eastAsia="楷体_GB2312" w:cs="楷体_GB2312"/>
          <w:bCs w:val="0"/>
          <w:color w:val="000000" w:themeColor="text1"/>
          <w:kern w:val="2"/>
          <w14:textFill>
            <w14:solidFill>
              <w14:schemeClr w14:val="tx1"/>
            </w14:solidFill>
          </w14:textFill>
        </w:rPr>
        <w:t>（二十二）《医疗器械监督管理条例》</w:t>
      </w:r>
      <w:bookmarkEnd w:id="3816"/>
      <w:bookmarkEnd w:id="3817"/>
      <w:bookmarkEnd w:id="3818"/>
      <w:bookmarkEnd w:id="3819"/>
      <w:bookmarkEnd w:id="3820"/>
      <w:bookmarkEnd w:id="3821"/>
      <w:bookmarkEnd w:id="3822"/>
      <w:bookmarkEnd w:id="3823"/>
      <w:bookmarkEnd w:id="3824"/>
      <w:bookmarkEnd w:id="3825"/>
      <w:bookmarkEnd w:id="3826"/>
      <w:bookmarkEnd w:id="3827"/>
      <w:bookmarkEnd w:id="3828"/>
      <w:r>
        <w:rPr>
          <w:rFonts w:hint="eastAsia" w:ascii="Times New Roman" w:hAnsi="Times New Roman" w:eastAsia="楷体_GB2312" w:cs="楷体_GB2312"/>
          <w:bCs w:val="0"/>
          <w:color w:val="000000" w:themeColor="text1"/>
          <w:kern w:val="2"/>
          <w:lang w:eastAsia="zh-CN"/>
          <w14:textFill>
            <w14:solidFill>
              <w14:schemeClr w14:val="tx1"/>
            </w14:solidFill>
          </w14:textFill>
        </w:rPr>
        <w:t xml:space="preserve"> </w:t>
      </w:r>
    </w:p>
    <w:p w14:paraId="25E0615A">
      <w:pPr>
        <w:pStyle w:val="4"/>
        <w:widowControl w:val="0"/>
        <w:ind w:firstLine="640"/>
        <w:jc w:val="both"/>
        <w:rPr>
          <w:rFonts w:hint="eastAsia" w:ascii="Times New Roman" w:hAnsi="Times New Roman" w:eastAsia="仿宋_GB2312" w:cs="仿宋_GB2312"/>
          <w:bCs/>
          <w:color w:val="000000" w:themeColor="text1"/>
          <w:kern w:val="0"/>
          <w14:textFill>
            <w14:solidFill>
              <w14:schemeClr w14:val="tx1"/>
            </w14:solidFill>
          </w14:textFill>
        </w:rPr>
      </w:pPr>
      <w:bookmarkStart w:id="3829" w:name="_Toc5239"/>
      <w:bookmarkStart w:id="3830" w:name="_Toc28724"/>
      <w:bookmarkStart w:id="3831" w:name="_Toc6185"/>
      <w:bookmarkStart w:id="3832" w:name="_Toc10232"/>
      <w:bookmarkStart w:id="3833" w:name="_Toc14356"/>
      <w:bookmarkStart w:id="3834" w:name="_Toc24861"/>
      <w:bookmarkStart w:id="3835" w:name="_Toc857"/>
      <w:bookmarkStart w:id="3836" w:name="_Toc31087"/>
      <w:bookmarkStart w:id="3837" w:name="_Toc555"/>
      <w:bookmarkStart w:id="3838" w:name="_Toc11208"/>
      <w:bookmarkStart w:id="3839" w:name="_Toc19710"/>
      <w:r>
        <w:rPr>
          <w:rFonts w:hint="eastAsia" w:cs="仿宋_GB2312"/>
          <w:bCs/>
          <w:color w:val="000000" w:themeColor="text1"/>
          <w14:textFill>
            <w14:solidFill>
              <w14:schemeClr w14:val="tx1"/>
            </w14:solidFill>
          </w14:textFill>
        </w:rPr>
        <w:t>第三百零六条</w:t>
      </w:r>
      <w:r>
        <w:rPr>
          <w:rFonts w:hint="eastAsia" w:ascii="Times New Roman" w:hAnsi="Times New Roman" w:cs="仿宋_GB2312"/>
          <w:bCs/>
          <w:color w:val="000000" w:themeColor="text1"/>
          <w:kern w:val="0"/>
          <w14:textFill>
            <w14:solidFill>
              <w14:schemeClr w14:val="tx1"/>
            </w14:solidFill>
          </w14:textFill>
        </w:rPr>
        <w:t xml:space="preserve"> 医疗器械使用单位未妥善保存购入第三类医疗器械的原始资料</w:t>
      </w:r>
      <w:bookmarkEnd w:id="3829"/>
      <w:bookmarkEnd w:id="3830"/>
      <w:bookmarkEnd w:id="3831"/>
      <w:bookmarkEnd w:id="3832"/>
      <w:bookmarkEnd w:id="3833"/>
      <w:bookmarkEnd w:id="3834"/>
      <w:bookmarkEnd w:id="3835"/>
      <w:bookmarkEnd w:id="3836"/>
      <w:bookmarkEnd w:id="3837"/>
      <w:bookmarkEnd w:id="3838"/>
      <w:bookmarkEnd w:id="3839"/>
    </w:p>
    <w:p w14:paraId="262FF50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法律依据：</w:t>
      </w:r>
    </w:p>
    <w:p w14:paraId="0B11677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《医疗器械监督管理条例》第八十九条第（十）项 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7BEBBD8C">
      <w:pPr>
        <w:widowControl w:val="0"/>
        <w:adjustRightInd/>
        <w:snapToGrid/>
        <w:spacing w:after="0" w:line="440" w:lineRule="exact"/>
        <w:ind w:firstLine="640"/>
        <w:jc w:val="both"/>
        <w:rPr>
          <w:rFonts w:hint="eastAsia" w:ascii="Times New Roman" w:hAnsi="Times New Roman" w:eastAsia="仿宋_GB2312" w:cs="仿宋"/>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（十）医疗</w:t>
      </w:r>
      <w:r>
        <w:rPr>
          <w:rFonts w:hint="eastAsia" w:ascii="Times New Roman" w:hAnsi="Times New Roman" w:eastAsia="仿宋_GB2312" w:cs="仿宋"/>
          <w:color w:val="000000" w:themeColor="text1"/>
          <w:kern w:val="2"/>
          <w:sz w:val="32"/>
          <w:szCs w:val="32"/>
          <w14:textFill>
            <w14:solidFill>
              <w14:schemeClr w14:val="tx1"/>
            </w14:solidFill>
          </w14:textFill>
        </w:rPr>
        <w:t>器械使用单位未妥善保存购入第三类医疗器械的原始资料。</w:t>
      </w:r>
    </w:p>
    <w:p w14:paraId="500B7FB9">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34"/>
        <w:gridCol w:w="4134"/>
      </w:tblGrid>
      <w:tr w14:paraId="262C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vAlign w:val="center"/>
          </w:tcPr>
          <w:p w14:paraId="0E56B8A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34" w:type="dxa"/>
            <w:vAlign w:val="center"/>
          </w:tcPr>
          <w:p w14:paraId="0B31D1E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34" w:type="dxa"/>
            <w:vAlign w:val="center"/>
          </w:tcPr>
          <w:p w14:paraId="3BEA08D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2A5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440" w:type="dxa"/>
            <w:vAlign w:val="center"/>
          </w:tcPr>
          <w:p w14:paraId="23AD0D8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334" w:type="dxa"/>
            <w:vAlign w:val="center"/>
          </w:tcPr>
          <w:p w14:paraId="421AD9D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医疗器械使用单位未妥善保存购入第三类医疗器械的原始资料。</w:t>
            </w:r>
          </w:p>
        </w:tc>
        <w:tc>
          <w:tcPr>
            <w:tcW w:w="4134" w:type="dxa"/>
            <w:vAlign w:val="center"/>
          </w:tcPr>
          <w:p w14:paraId="13E8E2A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33AE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440" w:type="dxa"/>
            <w:vAlign w:val="center"/>
          </w:tcPr>
          <w:p w14:paraId="07D944C9">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334" w:type="dxa"/>
            <w:vAlign w:val="center"/>
          </w:tcPr>
          <w:p w14:paraId="05DD444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医疗器械使用单位未妥善保存购入第三类医疗器械的原始资料，经责令改正后拒不改正的。</w:t>
            </w:r>
          </w:p>
        </w:tc>
        <w:tc>
          <w:tcPr>
            <w:tcW w:w="4134" w:type="dxa"/>
            <w:vAlign w:val="center"/>
          </w:tcPr>
          <w:p w14:paraId="155EC2D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给予警告，处1万元以上10万元以下罚款。</w:t>
            </w:r>
          </w:p>
        </w:tc>
      </w:tr>
      <w:tr w14:paraId="203A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440" w:type="dxa"/>
            <w:vAlign w:val="center"/>
          </w:tcPr>
          <w:p w14:paraId="01EF3A5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334" w:type="dxa"/>
            <w:vAlign w:val="center"/>
          </w:tcPr>
          <w:p w14:paraId="5AE32C7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医疗器械使用单位未妥善保存购入第三类医疗器械的原始资料，情节严重的。</w:t>
            </w:r>
          </w:p>
        </w:tc>
        <w:tc>
          <w:tcPr>
            <w:tcW w:w="4134" w:type="dxa"/>
            <w:vAlign w:val="center"/>
          </w:tcPr>
          <w:p w14:paraId="1139F7E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给予警告，处10万元罚款，责令停产停业，对违法单位的法定代表人、主要负责人、直接负责的主管人员和其他责任人员处1万元以上2万元以下罚款。</w:t>
            </w:r>
          </w:p>
        </w:tc>
      </w:tr>
      <w:tr w14:paraId="4524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440" w:type="dxa"/>
            <w:vAlign w:val="center"/>
          </w:tcPr>
          <w:p w14:paraId="5EE2F9B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8334" w:type="dxa"/>
            <w:vAlign w:val="center"/>
          </w:tcPr>
          <w:p w14:paraId="6103871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医疗器械使用单位未妥善保存购入第三类医疗器械的原始资料，对患者造成伤害或者造成其他严重危害后果的。</w:t>
            </w:r>
          </w:p>
        </w:tc>
        <w:tc>
          <w:tcPr>
            <w:tcW w:w="4134" w:type="dxa"/>
            <w:vAlign w:val="center"/>
          </w:tcPr>
          <w:p w14:paraId="206E5A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10万元罚款，由原发证部门吊销医疗器械注册证、医疗器械生产许可证、医疗器械经营许可证，对违法单位的法定代表人、主要负责人、直接负责的主管人员和其他责任人员处2万元以上3万元以下罚款。</w:t>
            </w:r>
          </w:p>
        </w:tc>
      </w:tr>
    </w:tbl>
    <w:p w14:paraId="5488622C">
      <w:pPr>
        <w:pStyle w:val="4"/>
        <w:widowControl w:val="0"/>
        <w:ind w:firstLine="640"/>
        <w:jc w:val="both"/>
        <w:rPr>
          <w:rFonts w:hint="eastAsia" w:ascii="Times New Roman" w:hAnsi="Times New Roman" w:eastAsia="仿宋_GB2312" w:cs="仿宋_GB2312"/>
          <w:bCs/>
          <w:color w:val="000000" w:themeColor="text1"/>
          <w:kern w:val="0"/>
          <w14:textFill>
            <w14:solidFill>
              <w14:schemeClr w14:val="tx1"/>
            </w14:solidFill>
          </w14:textFill>
        </w:rPr>
      </w:pPr>
      <w:bookmarkStart w:id="3840" w:name="_Toc21586"/>
      <w:bookmarkStart w:id="3841" w:name="_Toc11919"/>
      <w:bookmarkStart w:id="3842" w:name="_Toc11411"/>
      <w:bookmarkStart w:id="3843" w:name="_Toc3513"/>
      <w:bookmarkStart w:id="3844" w:name="_Toc8927"/>
      <w:bookmarkStart w:id="3845" w:name="_Toc24035"/>
      <w:bookmarkStart w:id="3846" w:name="_Toc28151"/>
      <w:bookmarkStart w:id="3847" w:name="_Toc5708"/>
      <w:bookmarkStart w:id="3848" w:name="_Toc17357"/>
      <w:bookmarkStart w:id="3849" w:name="_Toc4021"/>
      <w:bookmarkStart w:id="3850" w:name="_Toc30773"/>
      <w:r>
        <w:rPr>
          <w:rFonts w:hint="eastAsia" w:cs="仿宋_GB2312"/>
          <w:bCs/>
          <w:color w:val="000000" w:themeColor="text1"/>
          <w14:textFill>
            <w14:solidFill>
              <w14:schemeClr w14:val="tx1"/>
            </w14:solidFill>
          </w14:textFill>
        </w:rPr>
        <w:t>第三百零七条</w:t>
      </w:r>
      <w:r>
        <w:rPr>
          <w:rFonts w:hint="eastAsia" w:ascii="Times New Roman" w:hAnsi="Times New Roman" w:cs="仿宋_GB2312"/>
          <w:bCs/>
          <w:color w:val="000000" w:themeColor="text1"/>
          <w:kern w:val="0"/>
          <w14:textFill>
            <w14:solidFill>
              <w14:schemeClr w14:val="tx1"/>
            </w14:solidFill>
          </w14:textFill>
        </w:rPr>
        <w:t xml:space="preserve"> 未按照规定将大型医疗器械以及植入和介入类医疗器械的信息记载到病历等相关记录中</w:t>
      </w:r>
      <w:bookmarkEnd w:id="3840"/>
      <w:bookmarkEnd w:id="3841"/>
      <w:bookmarkEnd w:id="3842"/>
      <w:bookmarkEnd w:id="3843"/>
      <w:bookmarkEnd w:id="3844"/>
      <w:bookmarkEnd w:id="3845"/>
      <w:bookmarkEnd w:id="3846"/>
      <w:bookmarkEnd w:id="3847"/>
      <w:bookmarkEnd w:id="3848"/>
      <w:bookmarkEnd w:id="3849"/>
      <w:bookmarkEnd w:id="3850"/>
    </w:p>
    <w:p w14:paraId="4945F0F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ascii="Times New Roman" w:hAnsi="Times New Roman" w:eastAsia="仿宋_GB2312" w:cs="仿宋_GB2312"/>
          <w:color w:val="000000" w:themeColor="text1"/>
          <w:kern w:val="2"/>
          <w:sz w:val="32"/>
          <w:szCs w:val="32"/>
          <w14:textFill>
            <w14:solidFill>
              <w14:schemeClr w14:val="tx1"/>
            </w14:solidFill>
          </w14:textFill>
        </w:rPr>
        <w:t>法律依据：</w:t>
      </w:r>
    </w:p>
    <w:p w14:paraId="2697D4E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《医疗器械监督管理条例》第九十条第（三）项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有下列情形之一的，由县级以上人民政府卫生主管部门责令改正，给予警告；拒不改正的，处5万元以上10万元以下罚款；情节严重的，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依法给予处分：</w:t>
      </w:r>
    </w:p>
    <w:p w14:paraId="397B4B3A">
      <w:pPr>
        <w:widowControl w:val="0"/>
        <w:adjustRightInd/>
        <w:snapToGrid/>
        <w:spacing w:after="0" w:line="440" w:lineRule="exact"/>
        <w:ind w:firstLine="640"/>
        <w:jc w:val="both"/>
        <w:rPr>
          <w:rFonts w:hint="eastAsia" w:ascii="Times New Roman" w:hAnsi="Times New Roman" w:eastAsia="仿宋_GB2312" w:cs="仿宋"/>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（三）医疗器械使用单位未按照规定将大型医疗器械以及植入和介入类医疗器械的信息记载到病历等</w:t>
      </w:r>
      <w:r>
        <w:rPr>
          <w:rFonts w:hint="eastAsia" w:ascii="Times New Roman" w:hAnsi="Times New Roman" w:eastAsia="仿宋_GB2312" w:cs="仿宋"/>
          <w:color w:val="000000" w:themeColor="text1"/>
          <w:kern w:val="2"/>
          <w:sz w:val="32"/>
          <w:szCs w:val="32"/>
          <w14:textFill>
            <w14:solidFill>
              <w14:schemeClr w14:val="tx1"/>
            </w14:solidFill>
          </w14:textFill>
        </w:rPr>
        <w:t>相关记录中；</w:t>
      </w:r>
    </w:p>
    <w:p w14:paraId="1D5E3C4D">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749"/>
        <w:gridCol w:w="4719"/>
      </w:tblGrid>
      <w:tr w14:paraId="5611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vAlign w:val="center"/>
          </w:tcPr>
          <w:p w14:paraId="55E7268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49" w:type="dxa"/>
            <w:vAlign w:val="center"/>
          </w:tcPr>
          <w:p w14:paraId="6EF1537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719" w:type="dxa"/>
            <w:vAlign w:val="center"/>
          </w:tcPr>
          <w:p w14:paraId="7F74EB1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91E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440" w:type="dxa"/>
            <w:vAlign w:val="center"/>
          </w:tcPr>
          <w:p w14:paraId="576AD132">
            <w:pPr>
              <w:widowControl w:val="0"/>
              <w:adjustRightInd/>
              <w:snapToGrid/>
              <w:spacing w:before="0" w:beforeLines="-2147483648"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749" w:type="dxa"/>
            <w:vAlign w:val="center"/>
          </w:tcPr>
          <w:p w14:paraId="3A7A035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医疗器械使用单位未按照规定将大型医疗器械以及植入和介入类医疗器械的信息记载到病历等相关记录中。</w:t>
            </w:r>
          </w:p>
        </w:tc>
        <w:tc>
          <w:tcPr>
            <w:tcW w:w="4719" w:type="dxa"/>
            <w:vAlign w:val="center"/>
          </w:tcPr>
          <w:p w14:paraId="4C01124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3D8F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40" w:type="dxa"/>
            <w:vAlign w:val="center"/>
          </w:tcPr>
          <w:p w14:paraId="16891CAC">
            <w:pPr>
              <w:widowControl w:val="0"/>
              <w:adjustRightInd/>
              <w:snapToGrid/>
              <w:spacing w:before="0" w:beforeLines="-2147483648"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749" w:type="dxa"/>
            <w:vAlign w:val="center"/>
          </w:tcPr>
          <w:p w14:paraId="35D0BA8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医疗器械使用单位未按照规定将大型医疗器械以及植入和介入类医疗器械的信息记载到病历等相关记录中，经责令改正后拒不改正的。</w:t>
            </w:r>
          </w:p>
        </w:tc>
        <w:tc>
          <w:tcPr>
            <w:tcW w:w="4719" w:type="dxa"/>
            <w:vAlign w:val="center"/>
          </w:tcPr>
          <w:p w14:paraId="0B0DC92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给予警告，处5万元以上10万元以下罚款。</w:t>
            </w:r>
          </w:p>
        </w:tc>
      </w:tr>
      <w:tr w14:paraId="6681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40" w:type="dxa"/>
            <w:vAlign w:val="center"/>
          </w:tcPr>
          <w:p w14:paraId="3B478F7E">
            <w:pPr>
              <w:widowControl w:val="0"/>
              <w:adjustRightInd/>
              <w:snapToGrid/>
              <w:spacing w:before="0" w:beforeLines="-2147483648"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749" w:type="dxa"/>
            <w:vAlign w:val="center"/>
          </w:tcPr>
          <w:p w14:paraId="522793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医疗器械使用单位未按照规定将大型医疗器械以及植入和介入类医疗器械的信息记载到病历等相关记录中，情节严重的。</w:t>
            </w:r>
          </w:p>
        </w:tc>
        <w:tc>
          <w:tcPr>
            <w:tcW w:w="4719" w:type="dxa"/>
            <w:vAlign w:val="center"/>
          </w:tcPr>
          <w:p w14:paraId="04069CD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10万元以上20万元以下罚款，责令暂停相关医疗器械使用活动，依法责令相关责任人员暂停6个月以上1年以下执业活动，对违法单位的法定代表人、主要负责人、直接负责的主管人员和其他责任人员，没收违法行为发生期间自本单位所获收入，并处所获收入30%以上1.65倍以下罚款。</w:t>
            </w:r>
          </w:p>
        </w:tc>
      </w:tr>
      <w:tr w14:paraId="5BE7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440" w:type="dxa"/>
            <w:vAlign w:val="center"/>
          </w:tcPr>
          <w:p w14:paraId="34F1455C">
            <w:pPr>
              <w:widowControl w:val="0"/>
              <w:adjustRightInd/>
              <w:snapToGrid/>
              <w:spacing w:before="0" w:beforeLines="-2147483648"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7749" w:type="dxa"/>
            <w:vAlign w:val="center"/>
          </w:tcPr>
          <w:p w14:paraId="682CAB2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医疗器械使用单位未按照规定将大型医疗器械以及植入和介入类医疗器械的信息记载到病历等相关记录中，对患者造成伤害或者造成其他严重危害后果的。</w:t>
            </w:r>
          </w:p>
        </w:tc>
        <w:tc>
          <w:tcPr>
            <w:tcW w:w="4719" w:type="dxa"/>
            <w:vAlign w:val="center"/>
          </w:tcPr>
          <w:p w14:paraId="748884B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20万元以上30万元以下罚款，由原发证部门吊销执业许可证，依法由原发证部门吊销相关人员执业证书，对违法单位的法定代表人、主要负责人、直接负责的主管人员和其他责任人员，没收违法行为发生期间自本单位所获收入，并处所获收入1.65倍以上3倍以下罚款。</w:t>
            </w:r>
          </w:p>
        </w:tc>
      </w:tr>
    </w:tbl>
    <w:p w14:paraId="39C4DECD">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3851" w:name="_Toc14093"/>
      <w:bookmarkStart w:id="3852" w:name="_Toc31848"/>
      <w:bookmarkStart w:id="3853" w:name="_Toc15743"/>
      <w:bookmarkStart w:id="3854" w:name="_Toc15579"/>
      <w:bookmarkStart w:id="3855" w:name="_Toc19305"/>
      <w:bookmarkStart w:id="3856" w:name="_Toc12477"/>
      <w:bookmarkStart w:id="3857" w:name="_Toc14636"/>
      <w:bookmarkStart w:id="3858" w:name="_Toc22822"/>
      <w:bookmarkStart w:id="3859" w:name="_Toc30488"/>
      <w:bookmarkStart w:id="3860" w:name="_Toc4854"/>
      <w:bookmarkStart w:id="3861" w:name="_Toc7149"/>
      <w:r>
        <w:rPr>
          <w:rFonts w:hint="eastAsia" w:cs="仿宋_GB2312"/>
          <w:bCs/>
          <w:color w:val="000000" w:themeColor="text1"/>
          <w14:textFill>
            <w14:solidFill>
              <w14:schemeClr w14:val="tx1"/>
            </w14:solidFill>
          </w14:textFill>
        </w:rPr>
        <w:t>第三百零八条</w:t>
      </w:r>
      <w:r>
        <w:rPr>
          <w:rFonts w:hint="eastAsia" w:ascii="Times New Roman" w:hAnsi="Times New Roman" w:cs="仿宋_GB2312"/>
          <w:bCs/>
          <w:color w:val="000000" w:themeColor="text1"/>
          <w:kern w:val="0"/>
          <w14:textFill>
            <w14:solidFill>
              <w14:schemeClr w14:val="tx1"/>
            </w14:solidFill>
          </w14:textFill>
        </w:rPr>
        <w:t xml:space="preserve"> 医疗机构违反本法规定聘用人员的</w:t>
      </w:r>
      <w:bookmarkEnd w:id="3851"/>
      <w:bookmarkEnd w:id="3852"/>
      <w:bookmarkEnd w:id="3853"/>
      <w:bookmarkEnd w:id="3854"/>
      <w:bookmarkEnd w:id="3855"/>
      <w:bookmarkEnd w:id="3856"/>
      <w:bookmarkEnd w:id="3857"/>
      <w:bookmarkEnd w:id="3858"/>
      <w:bookmarkEnd w:id="3859"/>
      <w:bookmarkEnd w:id="3860"/>
      <w:bookmarkEnd w:id="3861"/>
    </w:p>
    <w:p w14:paraId="3E56AB3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B80E2E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《中华人民共和国药品管理法》第一百四十条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药品上市许可持有人、药品生产企业、药品经营企业或者医疗机构违反本法规定聘用人员的，由药品监督管理部门或者卫生健康主管部门责令解聘，处五万元以上二十万元以下的罚款。</w:t>
      </w:r>
    </w:p>
    <w:p w14:paraId="0F4B1474">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66"/>
        <w:gridCol w:w="5002"/>
      </w:tblGrid>
      <w:tr w14:paraId="0C5A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vAlign w:val="center"/>
          </w:tcPr>
          <w:p w14:paraId="3C2A47F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66" w:type="dxa"/>
            <w:vAlign w:val="center"/>
          </w:tcPr>
          <w:p w14:paraId="7C79A29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002" w:type="dxa"/>
            <w:vAlign w:val="center"/>
          </w:tcPr>
          <w:p w14:paraId="33A99A5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687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Align w:val="center"/>
          </w:tcPr>
          <w:p w14:paraId="72F9EC26">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466" w:type="dxa"/>
            <w:vAlign w:val="center"/>
          </w:tcPr>
          <w:p w14:paraId="2364C36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医疗机构违反本法规定聘用人员2名以内的。</w:t>
            </w:r>
          </w:p>
        </w:tc>
        <w:tc>
          <w:tcPr>
            <w:tcW w:w="5002" w:type="dxa"/>
            <w:vAlign w:val="center"/>
          </w:tcPr>
          <w:p w14:paraId="11AA4BE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责令解聘，处五万元的罚款。</w:t>
            </w:r>
          </w:p>
        </w:tc>
      </w:tr>
      <w:tr w14:paraId="0A77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440" w:type="dxa"/>
            <w:vAlign w:val="center"/>
          </w:tcPr>
          <w:p w14:paraId="0E743D04">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466" w:type="dxa"/>
            <w:vAlign w:val="center"/>
          </w:tcPr>
          <w:p w14:paraId="7D61E4A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医疗机构违反本法规定聘用人员2名以上5名以内的。</w:t>
            </w:r>
          </w:p>
        </w:tc>
        <w:tc>
          <w:tcPr>
            <w:tcW w:w="5002" w:type="dxa"/>
            <w:vAlign w:val="center"/>
          </w:tcPr>
          <w:p w14:paraId="1C5D5C6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责令解聘，处五万元以上十万元以下的罚款。</w:t>
            </w:r>
          </w:p>
        </w:tc>
      </w:tr>
      <w:tr w14:paraId="03AB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40" w:type="dxa"/>
            <w:vAlign w:val="center"/>
          </w:tcPr>
          <w:p w14:paraId="38BE5675">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466" w:type="dxa"/>
            <w:vAlign w:val="center"/>
          </w:tcPr>
          <w:p w14:paraId="1386961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医疗机构违反本法规定聘用人员5名以上的。</w:t>
            </w:r>
          </w:p>
        </w:tc>
        <w:tc>
          <w:tcPr>
            <w:tcW w:w="5002" w:type="dxa"/>
            <w:vAlign w:val="center"/>
          </w:tcPr>
          <w:p w14:paraId="132492C2">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责令解聘，处十万元以上二十万元以下的罚款。</w:t>
            </w:r>
          </w:p>
        </w:tc>
      </w:tr>
    </w:tbl>
    <w:p w14:paraId="5B474064">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3862" w:name="_Toc31286"/>
      <w:bookmarkStart w:id="3863" w:name="_Toc27894"/>
      <w:bookmarkStart w:id="3864" w:name="_Toc2719"/>
      <w:bookmarkStart w:id="3865" w:name="_Toc16753"/>
      <w:bookmarkStart w:id="3866" w:name="_Toc4098"/>
      <w:bookmarkStart w:id="3867" w:name="_Toc31292"/>
      <w:bookmarkStart w:id="3868" w:name="_Toc21070"/>
      <w:bookmarkStart w:id="3869" w:name="_Toc13004"/>
      <w:bookmarkStart w:id="3870" w:name="_Toc13111"/>
      <w:bookmarkStart w:id="3871" w:name="_Toc30693"/>
      <w:bookmarkStart w:id="3872" w:name="_Toc2674"/>
      <w:r>
        <w:rPr>
          <w:rFonts w:hint="eastAsia" w:cs="仿宋_GB2312"/>
          <w:bCs/>
          <w:color w:val="000000" w:themeColor="text1"/>
          <w14:textFill>
            <w14:solidFill>
              <w14:schemeClr w14:val="tx1"/>
            </w14:solidFill>
          </w14:textFill>
        </w:rPr>
        <w:t>第三百零九条</w:t>
      </w:r>
      <w:r>
        <w:rPr>
          <w:rFonts w:hint="eastAsia" w:ascii="Times New Roman" w:hAnsi="Times New Roman" w:cs="仿宋_GB2312"/>
          <w:bCs/>
          <w:color w:val="000000" w:themeColor="text1"/>
          <w:kern w:val="0"/>
          <w14:textFill>
            <w14:solidFill>
              <w14:schemeClr w14:val="tx1"/>
            </w14:solidFill>
          </w14:textFill>
        </w:rPr>
        <w:t xml:space="preserve"> </w:t>
      </w:r>
      <w:r>
        <w:rPr>
          <w:rFonts w:hint="eastAsia" w:ascii="Times New Roman" w:hAnsi="Times New Roman" w:cs="仿宋_GB2312"/>
          <w:bCs/>
          <w:color w:val="000000" w:themeColor="text1"/>
          <w14:textFill>
            <w14:solidFill>
              <w14:schemeClr w14:val="tx1"/>
            </w14:solidFill>
          </w14:textFill>
        </w:rPr>
        <w:t>医疗机构的负责人、药品采购人医师、药师等有关人员收受药品上市许可持有人、药品生产企业、药品经营企业或者代理人给予的财物或者其他不正当利益的</w:t>
      </w:r>
      <w:bookmarkEnd w:id="3862"/>
      <w:bookmarkEnd w:id="3863"/>
      <w:bookmarkEnd w:id="3864"/>
      <w:bookmarkEnd w:id="3865"/>
      <w:bookmarkEnd w:id="3866"/>
      <w:bookmarkEnd w:id="3867"/>
      <w:bookmarkEnd w:id="3868"/>
      <w:bookmarkEnd w:id="3869"/>
      <w:bookmarkEnd w:id="3870"/>
      <w:bookmarkEnd w:id="3871"/>
      <w:bookmarkEnd w:id="3872"/>
    </w:p>
    <w:p w14:paraId="57DC1BD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430F3F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《中华人民共和国药品管理法》第一百四十二条第二款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的负责人、药品采购人员、医师、药师等有关人员收受药品上市许可持有人、药品生产企业、药品经营企业或者代理人给予的财物或者其他不正当利益的，由卫生健康主管部门或者本单位给予处分，没收违法所得；情节严重的，还应当吊销其执业证书。</w:t>
      </w:r>
    </w:p>
    <w:p w14:paraId="03876F25">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600"/>
        <w:gridCol w:w="3868"/>
      </w:tblGrid>
      <w:tr w14:paraId="3B2B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1440" w:type="dxa"/>
            <w:vAlign w:val="center"/>
          </w:tcPr>
          <w:p w14:paraId="2327CD2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600" w:type="dxa"/>
            <w:vAlign w:val="center"/>
          </w:tcPr>
          <w:p w14:paraId="3FD149D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868" w:type="dxa"/>
            <w:vAlign w:val="center"/>
          </w:tcPr>
          <w:p w14:paraId="0CCFB65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60C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40" w:type="dxa"/>
            <w:vAlign w:val="center"/>
          </w:tcPr>
          <w:p w14:paraId="0AB37BEC">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600" w:type="dxa"/>
            <w:vAlign w:val="center"/>
          </w:tcPr>
          <w:p w14:paraId="420E724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医疗机构的负责人、药品采购人员、医师等有关人员收受药品生产企业、药品经营企业或者其代理人给予的财物或者其他利益的。</w:t>
            </w:r>
          </w:p>
        </w:tc>
        <w:tc>
          <w:tcPr>
            <w:tcW w:w="3868" w:type="dxa"/>
            <w:vAlign w:val="center"/>
          </w:tcPr>
          <w:p w14:paraId="324CCD3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没收违法所得。</w:t>
            </w:r>
          </w:p>
        </w:tc>
      </w:tr>
      <w:tr w14:paraId="458C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40" w:type="dxa"/>
            <w:vAlign w:val="center"/>
          </w:tcPr>
          <w:p w14:paraId="2F98743A">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600" w:type="dxa"/>
            <w:vAlign w:val="center"/>
          </w:tcPr>
          <w:p w14:paraId="0DC694C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执业医师收受药品生产企业、药品经营企业或者其代理人给予的财物或者其他利益的，数额较大的；曾经因此受过行政处罚的；或者造成其他严重危害后果的。</w:t>
            </w:r>
          </w:p>
        </w:tc>
        <w:tc>
          <w:tcPr>
            <w:tcW w:w="3868" w:type="dxa"/>
            <w:vAlign w:val="center"/>
          </w:tcPr>
          <w:p w14:paraId="57905BA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没收违法所得，吊销其执业证书。</w:t>
            </w:r>
          </w:p>
        </w:tc>
      </w:tr>
    </w:tbl>
    <w:p w14:paraId="5480A22C">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873" w:name="_Toc30652"/>
      <w:bookmarkStart w:id="3874" w:name="_Toc30386"/>
      <w:bookmarkStart w:id="3875" w:name="_Toc8727"/>
      <w:bookmarkStart w:id="3876" w:name="_Toc31704"/>
      <w:bookmarkStart w:id="3877" w:name="_Toc5428"/>
      <w:bookmarkStart w:id="3878" w:name="_Toc4244"/>
      <w:bookmarkStart w:id="3879" w:name="_Toc22411"/>
      <w:bookmarkStart w:id="3880" w:name="_Toc2903"/>
      <w:bookmarkStart w:id="3881" w:name="_Toc31971"/>
      <w:bookmarkStart w:id="3882" w:name="_Toc22421"/>
      <w:bookmarkStart w:id="3883" w:name="_Toc26543"/>
      <w:bookmarkStart w:id="3884" w:name="_Toc1008"/>
      <w:bookmarkStart w:id="3885" w:name="_Toc17331"/>
      <w:r>
        <w:rPr>
          <w:rFonts w:hint="eastAsia" w:ascii="Times New Roman" w:hAnsi="Times New Roman" w:eastAsia="楷体_GB2312" w:cs="楷体_GB2312"/>
          <w:bCs w:val="0"/>
          <w:color w:val="000000" w:themeColor="text1"/>
          <w:kern w:val="2"/>
          <w14:textFill>
            <w14:solidFill>
              <w14:schemeClr w14:val="tx1"/>
            </w14:solidFill>
          </w14:textFill>
        </w:rPr>
        <w:t>（二十三）《医疗器械临床使用管理办法》</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14:paraId="3781C453">
      <w:pPr>
        <w:pStyle w:val="4"/>
        <w:widowControl w:val="0"/>
        <w:ind w:firstLine="640"/>
        <w:jc w:val="both"/>
        <w:rPr>
          <w:rFonts w:hint="eastAsia" w:ascii="Times New Roman" w:hAnsi="Times New Roman" w:cs="仿宋_GB2312"/>
          <w:bCs/>
          <w:color w:val="000000" w:themeColor="text1"/>
          <w14:textFill>
            <w14:solidFill>
              <w14:schemeClr w14:val="tx1"/>
            </w14:solidFill>
          </w14:textFill>
        </w:rPr>
      </w:pPr>
      <w:bookmarkStart w:id="3886" w:name="_Toc21194"/>
      <w:bookmarkStart w:id="3887" w:name="_Toc5578"/>
      <w:bookmarkStart w:id="3888" w:name="_Toc31554"/>
      <w:bookmarkStart w:id="3889" w:name="_Toc19466"/>
      <w:bookmarkStart w:id="3890" w:name="_Toc2294"/>
      <w:bookmarkStart w:id="3891" w:name="_Toc31119"/>
      <w:bookmarkStart w:id="3892" w:name="_Toc21704"/>
      <w:bookmarkStart w:id="3893" w:name="_Toc1174"/>
      <w:bookmarkStart w:id="3894" w:name="_Toc14236"/>
      <w:bookmarkStart w:id="3895" w:name="_Toc27430"/>
      <w:bookmarkStart w:id="3896" w:name="_Toc25653"/>
      <w:r>
        <w:rPr>
          <w:rFonts w:hint="eastAsia" w:ascii="Times New Roman" w:hAnsi="Times New Roman" w:cs="仿宋_GB2312"/>
          <w:bCs/>
          <w:color w:val="000000" w:themeColor="text1"/>
          <w14:textFill>
            <w14:solidFill>
              <w14:schemeClr w14:val="tx1"/>
            </w14:solidFill>
          </w14:textFill>
        </w:rPr>
        <w:t>第三百一十条 医疗机构未按照规定建立医疗器械临床使用管理工作制度。</w:t>
      </w:r>
      <w:bookmarkEnd w:id="3886"/>
      <w:bookmarkEnd w:id="3887"/>
      <w:bookmarkEnd w:id="3888"/>
      <w:bookmarkEnd w:id="3889"/>
      <w:bookmarkEnd w:id="3890"/>
      <w:bookmarkEnd w:id="3891"/>
      <w:bookmarkEnd w:id="3892"/>
      <w:bookmarkEnd w:id="3893"/>
      <w:bookmarkEnd w:id="3894"/>
      <w:bookmarkEnd w:id="3895"/>
      <w:bookmarkEnd w:id="3896"/>
    </w:p>
    <w:p w14:paraId="3A3C61AA">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16C4FD4B">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《医疗器械临床使用管理办法》第四十五条 医疗机构违反本办法规定，有下列情形之一的，由县级以上地方卫生健康主管部门责令改正，给予警告；情节严重的，可以并处五千元以上三万元以下罚款：（一）未按照规定建立医疗器械临床使用管理工作制度。</w:t>
      </w:r>
    </w:p>
    <w:p w14:paraId="07AB6B51">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8520"/>
        <w:gridCol w:w="3807"/>
      </w:tblGrid>
      <w:tr w14:paraId="572E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9" w:type="dxa"/>
            <w:shd w:val="clear" w:color="auto" w:fill="auto"/>
            <w:vAlign w:val="center"/>
          </w:tcPr>
          <w:p w14:paraId="6632EBAA">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20" w:type="dxa"/>
            <w:shd w:val="clear" w:color="auto" w:fill="auto"/>
            <w:vAlign w:val="center"/>
          </w:tcPr>
          <w:p w14:paraId="7C65FD27">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违法后果</w:t>
            </w:r>
          </w:p>
        </w:tc>
        <w:tc>
          <w:tcPr>
            <w:tcW w:w="3807" w:type="dxa"/>
            <w:shd w:val="clear" w:color="auto" w:fill="auto"/>
            <w:vAlign w:val="center"/>
          </w:tcPr>
          <w:p w14:paraId="0F11FE81">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176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59" w:type="dxa"/>
            <w:shd w:val="clear" w:color="auto" w:fill="auto"/>
            <w:vAlign w:val="center"/>
          </w:tcPr>
          <w:p w14:paraId="6D7CAAF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520" w:type="dxa"/>
            <w:shd w:val="clear" w:color="auto" w:fill="auto"/>
            <w:vAlign w:val="center"/>
          </w:tcPr>
          <w:p w14:paraId="26329D24">
            <w:pPr>
              <w:widowControl w:val="0"/>
              <w:adjustRightInd/>
              <w:snapToGrid/>
              <w:spacing w:after="0" w:line="320" w:lineRule="exact"/>
              <w:jc w:val="lef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未按照规定建立医疗器械临床使用管理工作制度。</w:t>
            </w:r>
          </w:p>
        </w:tc>
        <w:tc>
          <w:tcPr>
            <w:tcW w:w="3807" w:type="dxa"/>
            <w:shd w:val="clear" w:color="auto" w:fill="auto"/>
            <w:vAlign w:val="center"/>
          </w:tcPr>
          <w:p w14:paraId="400E12BD">
            <w:pPr>
              <w:widowControl w:val="0"/>
              <w:adjustRightInd/>
              <w:snapToGrid/>
              <w:spacing w:after="0" w:line="320" w:lineRule="exact"/>
              <w:jc w:val="lef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给予警告。</w:t>
            </w:r>
          </w:p>
        </w:tc>
      </w:tr>
      <w:tr w14:paraId="6598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59" w:type="dxa"/>
            <w:shd w:val="clear" w:color="auto" w:fill="auto"/>
            <w:vAlign w:val="center"/>
          </w:tcPr>
          <w:p w14:paraId="3E633BC5">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520" w:type="dxa"/>
            <w:shd w:val="clear" w:color="auto" w:fill="auto"/>
            <w:vAlign w:val="center"/>
          </w:tcPr>
          <w:p w14:paraId="3C0895D1">
            <w:pPr>
              <w:widowControl w:val="0"/>
              <w:adjustRightInd/>
              <w:snapToGrid/>
              <w:spacing w:after="0" w:line="320" w:lineRule="exact"/>
              <w:jc w:val="lef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未按照规定建立医疗器械临床使用管理工作制度，导致医疗器械临床使用混乱，存在引起医疗纠纷的隐患。</w:t>
            </w:r>
          </w:p>
        </w:tc>
        <w:tc>
          <w:tcPr>
            <w:tcW w:w="3807" w:type="dxa"/>
            <w:shd w:val="clear" w:color="auto" w:fill="auto"/>
            <w:vAlign w:val="center"/>
          </w:tcPr>
          <w:p w14:paraId="230C3946">
            <w:pPr>
              <w:widowControl w:val="0"/>
              <w:adjustRightInd/>
              <w:snapToGrid/>
              <w:spacing w:after="0" w:line="320" w:lineRule="exact"/>
              <w:jc w:val="left"/>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可以并处五千元以上三万元以下罚款。</w:t>
            </w:r>
          </w:p>
        </w:tc>
      </w:tr>
    </w:tbl>
    <w:p w14:paraId="36EC38E0">
      <w:pPr>
        <w:widowControl w:val="0"/>
        <w:adjustRightInd/>
        <w:snapToGrid/>
        <w:spacing w:after="0" w:line="440" w:lineRule="exact"/>
        <w:ind w:firstLine="643" w:firstLineChars="200"/>
        <w:jc w:val="both"/>
        <w:rPr>
          <w:rFonts w:hint="eastAsia" w:ascii="Times New Roman" w:hAnsi="Times New Roman" w:eastAsia="仿宋_GB2312" w:cs="仿宋_GB2312"/>
          <w:b/>
          <w:bCs/>
          <w:color w:val="000000" w:themeColor="text1"/>
          <w:sz w:val="32"/>
          <w:szCs w:val="32"/>
          <w14:textFill>
            <w14:solidFill>
              <w14:schemeClr w14:val="tx1"/>
            </w14:solidFill>
          </w14:textFill>
        </w:rPr>
      </w:pPr>
      <w:r>
        <w:rPr>
          <w:rFonts w:hint="eastAsia" w:ascii="Times New Roman" w:hAnsi="Times New Roman" w:eastAsia="仿宋_GB2312" w:cs="仿宋_GB2312"/>
          <w:b/>
          <w:bCs/>
          <w:color w:val="000000" w:themeColor="text1"/>
          <w:sz w:val="32"/>
          <w:szCs w:val="32"/>
          <w14:textFill>
            <w14:solidFill>
              <w14:schemeClr w14:val="tx1"/>
            </w14:solidFill>
          </w14:textFill>
        </w:rPr>
        <w:t>（二）未按照规定设立医疗器械临床使用管理委员会或者配备专（兼）职人员负责本机构医疗器械临床使用管理工作。</w:t>
      </w:r>
    </w:p>
    <w:p w14:paraId="392EB13B">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6EE0A2A8">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《医疗器械临床使用管理办法》第四十五条　医疗机构违反本办法规定，有下列情形之一的，由县级以上地方卫生健康主管部门责令改正，给予警告；情节严重的，可以并处五千元以上三万元以下罚款：（二）未按照规定设立医疗器械临床使用管理委员会或者配备专（兼）职人员负责本机构医疗器械临床使用管理工作的；</w:t>
      </w:r>
    </w:p>
    <w:p w14:paraId="770AD655">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11"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46"/>
        <w:gridCol w:w="8550"/>
        <w:gridCol w:w="3815"/>
      </w:tblGrid>
      <w:tr w14:paraId="459A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6" w:type="dxa"/>
            <w:shd w:val="clear" w:color="auto" w:fill="auto"/>
            <w:vAlign w:val="center"/>
          </w:tcPr>
          <w:p w14:paraId="17266C6B">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50" w:type="dxa"/>
            <w:shd w:val="clear" w:color="auto" w:fill="auto"/>
            <w:vAlign w:val="center"/>
          </w:tcPr>
          <w:p w14:paraId="51F1C55D">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违法后果</w:t>
            </w:r>
          </w:p>
        </w:tc>
        <w:tc>
          <w:tcPr>
            <w:tcW w:w="3815" w:type="dxa"/>
            <w:shd w:val="clear" w:color="auto" w:fill="auto"/>
            <w:vAlign w:val="center"/>
          </w:tcPr>
          <w:p w14:paraId="65E45160">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E77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trPr>
        <w:tc>
          <w:tcPr>
            <w:tcW w:w="1546" w:type="dxa"/>
            <w:shd w:val="clear" w:color="auto" w:fill="auto"/>
            <w:vAlign w:val="center"/>
          </w:tcPr>
          <w:p w14:paraId="2D9D0CC5">
            <w:pPr>
              <w:widowControl w:val="0"/>
              <w:adjustRightInd/>
              <w:snapToGrid/>
              <w:spacing w:after="0" w:line="440" w:lineRule="exact"/>
              <w:jc w:val="center"/>
              <w:textAlignment w:val="auto"/>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lang w:bidi="ar"/>
                <w14:textFill>
                  <w14:solidFill>
                    <w14:schemeClr w14:val="tx1"/>
                  </w14:solidFill>
                </w14:textFill>
              </w:rPr>
              <w:t>一般</w:t>
            </w:r>
          </w:p>
        </w:tc>
        <w:tc>
          <w:tcPr>
            <w:tcW w:w="8550" w:type="dxa"/>
            <w:shd w:val="clear" w:color="auto" w:fill="auto"/>
            <w:vAlign w:val="center"/>
          </w:tcPr>
          <w:p w14:paraId="109CD800">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未按照规定设立医疗器械临床使用管理委员会或者配备专（兼）职人员负责本机构医疗器械临床使用管理工作。</w:t>
            </w:r>
          </w:p>
        </w:tc>
        <w:tc>
          <w:tcPr>
            <w:tcW w:w="3815" w:type="dxa"/>
            <w:shd w:val="clear" w:color="auto" w:fill="auto"/>
            <w:vAlign w:val="center"/>
          </w:tcPr>
          <w:p w14:paraId="2FA3C2E0">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422B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8" w:hRule="atLeast"/>
        </w:trPr>
        <w:tc>
          <w:tcPr>
            <w:tcW w:w="1546" w:type="dxa"/>
            <w:shd w:val="clear" w:color="auto" w:fill="auto"/>
            <w:vAlign w:val="center"/>
          </w:tcPr>
          <w:p w14:paraId="10CFE79E">
            <w:pPr>
              <w:widowControl w:val="0"/>
              <w:adjustRightInd/>
              <w:snapToGrid/>
              <w:spacing w:after="0" w:line="440" w:lineRule="exact"/>
              <w:jc w:val="center"/>
              <w:textAlignment w:val="auto"/>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lang w:bidi="ar"/>
                <w14:textFill>
                  <w14:solidFill>
                    <w14:schemeClr w14:val="tx1"/>
                  </w14:solidFill>
                </w14:textFill>
              </w:rPr>
              <w:t>较重</w:t>
            </w:r>
          </w:p>
        </w:tc>
        <w:tc>
          <w:tcPr>
            <w:tcW w:w="8550" w:type="dxa"/>
            <w:shd w:val="clear" w:color="auto" w:fill="auto"/>
            <w:vAlign w:val="center"/>
          </w:tcPr>
          <w:p w14:paraId="01C56F96">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未按照规定设立医疗器械临床使用管理委员会或者配备专（兼）职人员负责本机构医疗器械临床使用管理工作，导致医疗器械临床使用混乱，存在引起医疗纠纷的隐患。</w:t>
            </w:r>
          </w:p>
        </w:tc>
        <w:tc>
          <w:tcPr>
            <w:tcW w:w="3815" w:type="dxa"/>
            <w:shd w:val="clear" w:color="auto" w:fill="auto"/>
            <w:vAlign w:val="center"/>
          </w:tcPr>
          <w:p w14:paraId="2B7E2F89">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可以并处五千元以上三万元以下罚款。</w:t>
            </w:r>
          </w:p>
        </w:tc>
      </w:tr>
    </w:tbl>
    <w:p w14:paraId="6EA5DBB2">
      <w:pPr>
        <w:widowControl w:val="0"/>
        <w:adjustRightInd/>
        <w:snapToGrid/>
        <w:spacing w:after="0" w:line="440" w:lineRule="exact"/>
        <w:ind w:firstLine="643" w:firstLineChars="200"/>
        <w:jc w:val="both"/>
        <w:rPr>
          <w:rFonts w:hint="eastAsia" w:ascii="Times New Roman" w:hAnsi="Times New Roman" w:eastAsia="仿宋_GB2312" w:cs="仿宋_GB2312"/>
          <w:b/>
          <w:bCs/>
          <w:color w:val="000000" w:themeColor="text1"/>
          <w:sz w:val="32"/>
          <w:szCs w:val="32"/>
          <w14:textFill>
            <w14:solidFill>
              <w14:schemeClr w14:val="tx1"/>
            </w14:solidFill>
          </w14:textFill>
        </w:rPr>
      </w:pPr>
      <w:r>
        <w:rPr>
          <w:rFonts w:hint="eastAsia" w:ascii="Times New Roman" w:hAnsi="Times New Roman" w:eastAsia="仿宋_GB2312" w:cs="仿宋_GB2312"/>
          <w:b/>
          <w:bCs/>
          <w:color w:val="000000" w:themeColor="text1"/>
          <w:sz w:val="32"/>
          <w:szCs w:val="32"/>
          <w14:textFill>
            <w14:solidFill>
              <w14:schemeClr w14:val="tx1"/>
            </w14:solidFill>
          </w14:textFill>
        </w:rPr>
        <w:t>（三）未按照规定建立医疗器械验收验证制度。</w:t>
      </w:r>
    </w:p>
    <w:p w14:paraId="7453A106">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43132F1F">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《医疗器械临床使用管理办法》第四十五条　医疗机构违反本办法规定，有下列情形之一的，由县级以上地方卫生健康主管部门责令改正，给予警告；情节严重的，可以并处五千元以上三万元以下罚款：（三）未按照规定建立医疗器械验收验证制度的；</w:t>
      </w:r>
    </w:p>
    <w:p w14:paraId="26930879">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11"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8550"/>
        <w:gridCol w:w="3815"/>
      </w:tblGrid>
      <w:tr w14:paraId="5C4A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46" w:type="dxa"/>
            <w:shd w:val="clear" w:color="auto" w:fill="auto"/>
            <w:vAlign w:val="center"/>
          </w:tcPr>
          <w:p w14:paraId="7960CA4B">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50" w:type="dxa"/>
            <w:shd w:val="clear" w:color="auto" w:fill="auto"/>
            <w:vAlign w:val="center"/>
          </w:tcPr>
          <w:p w14:paraId="06CD3284">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违法后果</w:t>
            </w:r>
          </w:p>
        </w:tc>
        <w:tc>
          <w:tcPr>
            <w:tcW w:w="3815" w:type="dxa"/>
            <w:shd w:val="clear" w:color="auto" w:fill="auto"/>
            <w:vAlign w:val="center"/>
          </w:tcPr>
          <w:p w14:paraId="5BB387A7">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DAE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46" w:type="dxa"/>
            <w:shd w:val="clear" w:color="auto" w:fill="auto"/>
            <w:vAlign w:val="center"/>
          </w:tcPr>
          <w:p w14:paraId="15106C9B">
            <w:pPr>
              <w:widowControl w:val="0"/>
              <w:adjustRightInd/>
              <w:snapToGrid/>
              <w:spacing w:after="0" w:line="440" w:lineRule="exact"/>
              <w:jc w:val="center"/>
              <w:textAlignment w:val="auto"/>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lang w:bidi="ar"/>
                <w14:textFill>
                  <w14:solidFill>
                    <w14:schemeClr w14:val="tx1"/>
                  </w14:solidFill>
                </w14:textFill>
              </w:rPr>
              <w:t>一般</w:t>
            </w:r>
          </w:p>
        </w:tc>
        <w:tc>
          <w:tcPr>
            <w:tcW w:w="8550" w:type="dxa"/>
            <w:shd w:val="clear" w:color="auto" w:fill="auto"/>
            <w:vAlign w:val="center"/>
          </w:tcPr>
          <w:p w14:paraId="02B73891">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未按照规定建立医疗器械验收验证制度。</w:t>
            </w:r>
          </w:p>
        </w:tc>
        <w:tc>
          <w:tcPr>
            <w:tcW w:w="3815" w:type="dxa"/>
            <w:shd w:val="clear" w:color="auto" w:fill="auto"/>
            <w:vAlign w:val="center"/>
          </w:tcPr>
          <w:p w14:paraId="00C80C3A">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6FCB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546" w:type="dxa"/>
            <w:shd w:val="clear" w:color="auto" w:fill="auto"/>
            <w:vAlign w:val="center"/>
          </w:tcPr>
          <w:p w14:paraId="4312091B">
            <w:pPr>
              <w:widowControl w:val="0"/>
              <w:adjustRightInd/>
              <w:snapToGrid/>
              <w:spacing w:after="0" w:line="440" w:lineRule="exact"/>
              <w:jc w:val="center"/>
              <w:textAlignment w:val="auto"/>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lang w:bidi="ar"/>
                <w14:textFill>
                  <w14:solidFill>
                    <w14:schemeClr w14:val="tx1"/>
                  </w14:solidFill>
                </w14:textFill>
              </w:rPr>
              <w:t>较重</w:t>
            </w:r>
          </w:p>
        </w:tc>
        <w:tc>
          <w:tcPr>
            <w:tcW w:w="8550" w:type="dxa"/>
            <w:shd w:val="clear" w:color="auto" w:fill="auto"/>
            <w:vAlign w:val="center"/>
          </w:tcPr>
          <w:p w14:paraId="73ECC0F4">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未按照规定建立医疗器械验收验证制度，导致购买的医疗器械可能存在质量问题，影响正常使用。</w:t>
            </w:r>
          </w:p>
        </w:tc>
        <w:tc>
          <w:tcPr>
            <w:tcW w:w="3815" w:type="dxa"/>
            <w:shd w:val="clear" w:color="auto" w:fill="auto"/>
            <w:vAlign w:val="center"/>
          </w:tcPr>
          <w:p w14:paraId="1A6BF04E">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可以并处五千元以上三万元以下罚款。</w:t>
            </w:r>
          </w:p>
        </w:tc>
      </w:tr>
    </w:tbl>
    <w:p w14:paraId="4881B16B">
      <w:pPr>
        <w:widowControl w:val="0"/>
        <w:adjustRightInd/>
        <w:snapToGrid/>
        <w:spacing w:after="0" w:line="440" w:lineRule="exact"/>
        <w:ind w:firstLine="643" w:firstLineChars="200"/>
        <w:jc w:val="both"/>
        <w:rPr>
          <w:rFonts w:hint="eastAsia" w:ascii="Times New Roman" w:hAnsi="Times New Roman" w:eastAsia="仿宋_GB2312" w:cs="仿宋_GB2312"/>
          <w:b/>
          <w:bCs/>
          <w:color w:val="000000" w:themeColor="text1"/>
          <w:sz w:val="32"/>
          <w:szCs w:val="32"/>
          <w14:textFill>
            <w14:solidFill>
              <w14:schemeClr w14:val="tx1"/>
            </w14:solidFill>
          </w14:textFill>
        </w:rPr>
      </w:pPr>
      <w:r>
        <w:rPr>
          <w:rFonts w:hint="eastAsia" w:ascii="Times New Roman" w:hAnsi="Times New Roman" w:eastAsia="仿宋_GB2312" w:cs="仿宋_GB2312"/>
          <w:b/>
          <w:bCs/>
          <w:color w:val="000000" w:themeColor="text1"/>
          <w:sz w:val="32"/>
          <w:szCs w:val="32"/>
          <w14:textFill>
            <w14:solidFill>
              <w14:schemeClr w14:val="tx1"/>
            </w14:solidFill>
          </w14:textFill>
        </w:rPr>
        <w:t>（四）未按照规定报告医疗器械使用安全事件。</w:t>
      </w:r>
    </w:p>
    <w:p w14:paraId="7C84D1DA">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52F7A8B3">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《医疗器械临床使用管理办法》第四十五条　医疗机构违反本办法规定，有下列情形之一的，由县级以上地方卫生健康主管部门责令改正，给予警告；情节严重的，可以并处五千元以上三万元以下罚款：（四）未按照规定报告医疗器械使用安全事件的；</w:t>
      </w:r>
    </w:p>
    <w:p w14:paraId="50A77B27">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32"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8550"/>
        <w:gridCol w:w="3836"/>
      </w:tblGrid>
      <w:tr w14:paraId="1C55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46" w:type="dxa"/>
            <w:shd w:val="clear" w:color="auto" w:fill="auto"/>
            <w:vAlign w:val="center"/>
          </w:tcPr>
          <w:p w14:paraId="4DF20D36">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50" w:type="dxa"/>
            <w:shd w:val="clear" w:color="auto" w:fill="auto"/>
            <w:vAlign w:val="center"/>
          </w:tcPr>
          <w:p w14:paraId="60ACB82A">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违法后果</w:t>
            </w:r>
          </w:p>
        </w:tc>
        <w:tc>
          <w:tcPr>
            <w:tcW w:w="3836" w:type="dxa"/>
            <w:shd w:val="clear" w:color="auto" w:fill="auto"/>
            <w:vAlign w:val="center"/>
          </w:tcPr>
          <w:p w14:paraId="784D8B62">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D19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546" w:type="dxa"/>
            <w:shd w:val="clear" w:color="auto" w:fill="auto"/>
            <w:vAlign w:val="center"/>
          </w:tcPr>
          <w:p w14:paraId="10696E33">
            <w:pPr>
              <w:widowControl w:val="0"/>
              <w:adjustRightInd/>
              <w:snapToGrid/>
              <w:spacing w:after="0" w:line="440" w:lineRule="exact"/>
              <w:jc w:val="center"/>
              <w:textAlignment w:val="auto"/>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lang w:bidi="ar"/>
                <w14:textFill>
                  <w14:solidFill>
                    <w14:schemeClr w14:val="tx1"/>
                  </w14:solidFill>
                </w14:textFill>
              </w:rPr>
              <w:t>一般</w:t>
            </w:r>
          </w:p>
        </w:tc>
        <w:tc>
          <w:tcPr>
            <w:tcW w:w="8550" w:type="dxa"/>
            <w:shd w:val="clear" w:color="auto" w:fill="auto"/>
            <w:vAlign w:val="center"/>
          </w:tcPr>
          <w:p w14:paraId="3A83F273">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未按照规定报告医疗器械使用安全事件。</w:t>
            </w:r>
          </w:p>
        </w:tc>
        <w:tc>
          <w:tcPr>
            <w:tcW w:w="3836" w:type="dxa"/>
            <w:shd w:val="clear" w:color="auto" w:fill="auto"/>
            <w:vAlign w:val="center"/>
          </w:tcPr>
          <w:p w14:paraId="0E3CD994">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3652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546" w:type="dxa"/>
            <w:shd w:val="clear" w:color="auto" w:fill="auto"/>
            <w:vAlign w:val="center"/>
          </w:tcPr>
          <w:p w14:paraId="33CD9A4A">
            <w:pPr>
              <w:widowControl w:val="0"/>
              <w:adjustRightInd/>
              <w:snapToGrid/>
              <w:spacing w:after="0" w:line="440" w:lineRule="exact"/>
              <w:jc w:val="center"/>
              <w:textAlignment w:val="auto"/>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lang w:bidi="ar"/>
                <w14:textFill>
                  <w14:solidFill>
                    <w14:schemeClr w14:val="tx1"/>
                  </w14:solidFill>
                </w14:textFill>
              </w:rPr>
              <w:t>较重</w:t>
            </w:r>
          </w:p>
        </w:tc>
        <w:tc>
          <w:tcPr>
            <w:tcW w:w="8550" w:type="dxa"/>
            <w:shd w:val="clear" w:color="auto" w:fill="auto"/>
            <w:vAlign w:val="center"/>
          </w:tcPr>
          <w:p w14:paraId="3278FD0A">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未按照规定报告医疗器械使用安全事件，影响卫生健康主管部门开展的医疗器械使用安全事件调查。</w:t>
            </w:r>
          </w:p>
        </w:tc>
        <w:tc>
          <w:tcPr>
            <w:tcW w:w="3836" w:type="dxa"/>
            <w:shd w:val="clear" w:color="auto" w:fill="auto"/>
            <w:vAlign w:val="center"/>
          </w:tcPr>
          <w:p w14:paraId="6C605BF1">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可以并处五千元以上三万元以下罚款。</w:t>
            </w:r>
          </w:p>
        </w:tc>
      </w:tr>
    </w:tbl>
    <w:p w14:paraId="2CCA83D8">
      <w:pPr>
        <w:widowControl w:val="0"/>
        <w:adjustRightInd/>
        <w:snapToGrid/>
        <w:spacing w:after="0" w:line="440" w:lineRule="exact"/>
        <w:ind w:firstLine="643" w:firstLineChars="200"/>
        <w:jc w:val="both"/>
        <w:rPr>
          <w:rFonts w:hint="eastAsia" w:ascii="Times New Roman" w:hAnsi="Times New Roman" w:eastAsia="仿宋_GB2312" w:cs="仿宋_GB2312"/>
          <w:b/>
          <w:bCs/>
          <w:color w:val="000000" w:themeColor="text1"/>
          <w:sz w:val="32"/>
          <w:szCs w:val="32"/>
          <w14:textFill>
            <w14:solidFill>
              <w14:schemeClr w14:val="tx1"/>
            </w14:solidFill>
          </w14:textFill>
        </w:rPr>
      </w:pPr>
      <w:r>
        <w:rPr>
          <w:rFonts w:hint="eastAsia" w:ascii="Times New Roman" w:hAnsi="Times New Roman" w:eastAsia="仿宋_GB2312" w:cs="仿宋_GB2312"/>
          <w:b/>
          <w:bCs/>
          <w:color w:val="000000" w:themeColor="text1"/>
          <w:sz w:val="32"/>
          <w:szCs w:val="32"/>
          <w14:textFill>
            <w14:solidFill>
              <w14:schemeClr w14:val="tx1"/>
            </w14:solidFill>
          </w14:textFill>
        </w:rPr>
        <w:t>（五）不配合卫生健康主管部门开展的医疗器械使用安全事件调查和临床使用行为的监督检查。</w:t>
      </w:r>
    </w:p>
    <w:p w14:paraId="7DF27276">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1AEACB8D">
      <w:pPr>
        <w:widowControl w:val="0"/>
        <w:adjustRightInd/>
        <w:snapToGrid/>
        <w:spacing w:after="0" w:line="440" w:lineRule="exact"/>
        <w:ind w:firstLine="616" w:firstLineChars="200"/>
        <w:jc w:val="both"/>
        <w:rPr>
          <w:rFonts w:hint="eastAsia" w:ascii="Times New Roman" w:hAnsi="Times New Roman" w:eastAsia="仿宋_GB2312" w:cs="仿宋"/>
          <w:color w:val="000000" w:themeColor="text1"/>
          <w:spacing w:val="-6"/>
          <w:sz w:val="32"/>
          <w:szCs w:val="32"/>
          <w14:textFill>
            <w14:solidFill>
              <w14:schemeClr w14:val="tx1"/>
            </w14:solidFill>
          </w14:textFill>
        </w:rPr>
      </w:pPr>
      <w:r>
        <w:rPr>
          <w:rFonts w:hint="eastAsia" w:ascii="Times New Roman" w:hAnsi="Times New Roman" w:eastAsia="仿宋_GB2312" w:cs="仿宋"/>
          <w:color w:val="000000" w:themeColor="text1"/>
          <w:spacing w:val="-6"/>
          <w:sz w:val="32"/>
          <w:szCs w:val="32"/>
          <w14:textFill>
            <w14:solidFill>
              <w14:schemeClr w14:val="tx1"/>
            </w14:solidFill>
          </w14:textFill>
        </w:rPr>
        <w:t>《医疗器械临床使用管理办法》第四十五条　医疗机构违反本办法规定，有下列情形之一的，由县级以上地方卫生健康主管部门责令改正，给予警告；情节严重的，可以并处五千元以上三万元以下罚款：（五）不配合卫生健康主管部门开展的医疗器械使用安全事件调查和临床使用行为的监督检查的；</w:t>
      </w:r>
    </w:p>
    <w:p w14:paraId="7EB56C53">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5797"/>
        <w:gridCol w:w="6449"/>
      </w:tblGrid>
      <w:tr w14:paraId="0305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42" w:type="dxa"/>
            <w:shd w:val="clear" w:color="auto" w:fill="auto"/>
            <w:vAlign w:val="center"/>
          </w:tcPr>
          <w:p w14:paraId="2FAB4677">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797" w:type="dxa"/>
            <w:shd w:val="clear" w:color="auto" w:fill="auto"/>
            <w:vAlign w:val="center"/>
          </w:tcPr>
          <w:p w14:paraId="1C04D59F">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违法后果</w:t>
            </w:r>
          </w:p>
        </w:tc>
        <w:tc>
          <w:tcPr>
            <w:tcW w:w="6449" w:type="dxa"/>
            <w:shd w:val="clear" w:color="auto" w:fill="auto"/>
            <w:vAlign w:val="center"/>
          </w:tcPr>
          <w:p w14:paraId="4DD7EF9E">
            <w:pPr>
              <w:widowControl/>
              <w:adjustRightInd/>
              <w:snapToGrid/>
              <w:spacing w:after="0" w:line="240" w:lineRule="auto"/>
              <w:jc w:val="center"/>
              <w:textAlignment w:val="auto"/>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D94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2" w:type="dxa"/>
            <w:shd w:val="clear" w:color="auto" w:fill="auto"/>
            <w:vAlign w:val="center"/>
          </w:tcPr>
          <w:p w14:paraId="233FFBE4">
            <w:pPr>
              <w:widowControl w:val="0"/>
              <w:adjustRightInd/>
              <w:snapToGrid/>
              <w:spacing w:after="0" w:line="440" w:lineRule="exact"/>
              <w:jc w:val="center"/>
              <w:textAlignment w:val="auto"/>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lang w:bidi="ar"/>
                <w14:textFill>
                  <w14:solidFill>
                    <w14:schemeClr w14:val="tx1"/>
                  </w14:solidFill>
                </w14:textFill>
              </w:rPr>
              <w:t>一般</w:t>
            </w:r>
          </w:p>
        </w:tc>
        <w:tc>
          <w:tcPr>
            <w:tcW w:w="5797" w:type="dxa"/>
            <w:shd w:val="clear" w:color="auto" w:fill="auto"/>
            <w:vAlign w:val="center"/>
          </w:tcPr>
          <w:p w14:paraId="58DF051C">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不配合卫生健康主管部门开展的医疗器械使用安全事件调查和临床使用行为的监督检查。</w:t>
            </w:r>
          </w:p>
        </w:tc>
        <w:tc>
          <w:tcPr>
            <w:tcW w:w="6449" w:type="dxa"/>
            <w:shd w:val="clear" w:color="auto" w:fill="auto"/>
            <w:vAlign w:val="center"/>
          </w:tcPr>
          <w:p w14:paraId="61C7ABCC">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2FCD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542" w:type="dxa"/>
            <w:shd w:val="clear" w:color="auto" w:fill="auto"/>
            <w:vAlign w:val="center"/>
          </w:tcPr>
          <w:p w14:paraId="64073A16">
            <w:pPr>
              <w:widowControl w:val="0"/>
              <w:adjustRightInd/>
              <w:snapToGrid/>
              <w:spacing w:after="0" w:line="440" w:lineRule="exact"/>
              <w:jc w:val="center"/>
              <w:textAlignment w:val="auto"/>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lang w:bidi="ar"/>
                <w14:textFill>
                  <w14:solidFill>
                    <w14:schemeClr w14:val="tx1"/>
                  </w14:solidFill>
                </w14:textFill>
              </w:rPr>
              <w:t>较重</w:t>
            </w:r>
          </w:p>
        </w:tc>
        <w:tc>
          <w:tcPr>
            <w:tcW w:w="5797" w:type="dxa"/>
            <w:shd w:val="clear" w:color="auto" w:fill="auto"/>
            <w:vAlign w:val="center"/>
          </w:tcPr>
          <w:p w14:paraId="253C5FCB">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有下列情形之一的：（1）严重影响卫生健康主管部门开展的临床使用行为的正常监督检查；（2）严重影响卫生健康主管部门开展的医疗器械使用安全事件调查。</w:t>
            </w:r>
          </w:p>
        </w:tc>
        <w:tc>
          <w:tcPr>
            <w:tcW w:w="6449" w:type="dxa"/>
            <w:shd w:val="clear" w:color="auto" w:fill="auto"/>
            <w:vAlign w:val="center"/>
          </w:tcPr>
          <w:p w14:paraId="00660412">
            <w:pPr>
              <w:widowControl w:val="0"/>
              <w:adjustRightInd/>
              <w:snapToGrid/>
              <w:spacing w:after="0" w:line="320" w:lineRule="exact"/>
              <w:jc w:val="left"/>
              <w:textAlignment w:val="auto"/>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可以并处五千元以上三万元以下罚款。</w:t>
            </w:r>
          </w:p>
        </w:tc>
      </w:tr>
    </w:tbl>
    <w:p w14:paraId="0F90EFD1">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897" w:name="_Toc13336"/>
      <w:bookmarkStart w:id="3898" w:name="_Toc6779"/>
      <w:bookmarkStart w:id="3899" w:name="_Toc10108"/>
      <w:bookmarkStart w:id="3900" w:name="_Toc4749"/>
      <w:bookmarkStart w:id="3901" w:name="_Toc30569"/>
      <w:bookmarkStart w:id="3902" w:name="_Toc9249"/>
      <w:bookmarkStart w:id="3903" w:name="_Toc17144"/>
      <w:bookmarkStart w:id="3904" w:name="_Toc30241"/>
      <w:bookmarkStart w:id="3905" w:name="_Toc7105"/>
      <w:bookmarkStart w:id="3906" w:name="_Toc22576"/>
      <w:bookmarkStart w:id="3907" w:name="_Toc4980"/>
      <w:bookmarkStart w:id="3908" w:name="_Toc5939"/>
      <w:bookmarkStart w:id="3909" w:name="_Toc8049"/>
      <w:r>
        <w:rPr>
          <w:rFonts w:hint="eastAsia" w:ascii="Times New Roman" w:hAnsi="Times New Roman" w:eastAsia="楷体_GB2312" w:cs="楷体_GB2312"/>
          <w:bCs w:val="0"/>
          <w:color w:val="000000" w:themeColor="text1"/>
          <w:kern w:val="2"/>
          <w14:textFill>
            <w14:solidFill>
              <w14:schemeClr w14:val="tx1"/>
            </w14:solidFill>
          </w14:textFill>
        </w:rPr>
        <w:t>（二十四）《医疗质量管理办法》</w:t>
      </w:r>
      <w:bookmarkEnd w:id="3897"/>
      <w:bookmarkEnd w:id="3898"/>
      <w:bookmarkEnd w:id="3899"/>
      <w:bookmarkEnd w:id="3900"/>
      <w:bookmarkEnd w:id="3901"/>
      <w:bookmarkEnd w:id="3902"/>
      <w:bookmarkEnd w:id="3903"/>
      <w:bookmarkEnd w:id="3904"/>
      <w:bookmarkEnd w:id="3905"/>
      <w:bookmarkEnd w:id="3906"/>
      <w:bookmarkEnd w:id="3907"/>
      <w:bookmarkEnd w:id="3908"/>
      <w:bookmarkEnd w:id="3909"/>
    </w:p>
    <w:p w14:paraId="3338691B">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910" w:name="_Toc14219"/>
      <w:bookmarkStart w:id="3911" w:name="_Toc8222"/>
      <w:bookmarkStart w:id="3912" w:name="_Toc31508"/>
      <w:bookmarkStart w:id="3913" w:name="_Toc27684"/>
      <w:bookmarkStart w:id="3914" w:name="_Toc24897"/>
      <w:bookmarkStart w:id="3915" w:name="_Toc19146"/>
      <w:bookmarkStart w:id="3916" w:name="_Toc6561"/>
      <w:bookmarkStart w:id="3917" w:name="_Toc18409"/>
      <w:bookmarkStart w:id="3918" w:name="_Toc13946"/>
      <w:bookmarkStart w:id="3919" w:name="_Toc22319"/>
      <w:bookmarkStart w:id="3920" w:name="_Toc19210"/>
      <w:r>
        <w:rPr>
          <w:rFonts w:hint="eastAsia" w:cs="仿宋_GB2312"/>
          <w:bCs/>
          <w:color w:val="000000" w:themeColor="text1"/>
          <w14:textFill>
            <w14:solidFill>
              <w14:schemeClr w14:val="tx1"/>
            </w14:solidFill>
          </w14:textFill>
        </w:rPr>
        <w:t>第三百一十一条</w:t>
      </w:r>
      <w:r>
        <w:rPr>
          <w:rFonts w:hint="eastAsia" w:ascii="Times New Roman" w:hAnsi="Times New Roman" w:cs="仿宋_GB2312"/>
          <w:bCs/>
          <w:color w:val="000000" w:themeColor="text1"/>
          <w:kern w:val="0"/>
          <w14:textFill>
            <w14:solidFill>
              <w14:schemeClr w14:val="tx1"/>
            </w14:solidFill>
          </w14:textFill>
        </w:rPr>
        <w:t xml:space="preserve"> 医疗机构未按照规定落实医疗质量管理办法的</w:t>
      </w:r>
      <w:bookmarkEnd w:id="3910"/>
      <w:bookmarkEnd w:id="3911"/>
      <w:bookmarkEnd w:id="3912"/>
      <w:bookmarkEnd w:id="3913"/>
      <w:bookmarkEnd w:id="3914"/>
      <w:bookmarkEnd w:id="3915"/>
      <w:bookmarkEnd w:id="3916"/>
      <w:bookmarkEnd w:id="3917"/>
      <w:bookmarkEnd w:id="3918"/>
      <w:bookmarkEnd w:id="3919"/>
      <w:bookmarkEnd w:id="3920"/>
    </w:p>
    <w:p w14:paraId="72D8098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585BAD9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《医疗质量管理办法》第四十四条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医疗机构有下列情形之一的，由县级以上卫生计生行政部门责令限期改正；逾期不改的，给予警告，并处三万元以下罚款；对公立医疗机构负有责任的主管人员和其他直接责任人员，依法给予处分：</w:t>
      </w:r>
    </w:p>
    <w:p w14:paraId="2E005C4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（一）未建立医疗质量管理部门或者未指定专（兼）职人员负责医疗质量管理工作的；</w:t>
      </w:r>
    </w:p>
    <w:p w14:paraId="15ABF2E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（二）未建立医疗质量管理相关规章制度的；</w:t>
      </w:r>
    </w:p>
    <w:p w14:paraId="09FD7C6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（三）医疗质量管理制度不落实或者落实不到位，导致医疗质量管理混乱的；</w:t>
      </w:r>
    </w:p>
    <w:p w14:paraId="740CC91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（四）发生重大医疗质量安全事件隐匿不报的；</w:t>
      </w:r>
    </w:p>
    <w:p w14:paraId="7964A3F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（五）未按照规定报送医疗质量安全相关信息的；</w:t>
      </w:r>
    </w:p>
    <w:p w14:paraId="2EE299B6">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（六）其他违反本办法规定</w:t>
      </w:r>
      <w:r>
        <w:rPr>
          <w:rFonts w:hint="eastAsia" w:ascii="Times New Roman" w:hAnsi="Times New Roman" w:eastAsia="仿宋_GB2312" w:cs="仿宋"/>
          <w:color w:val="000000" w:themeColor="text1"/>
          <w:sz w:val="32"/>
          <w:szCs w:val="32"/>
          <w14:textFill>
            <w14:solidFill>
              <w14:schemeClr w14:val="tx1"/>
            </w14:solidFill>
          </w14:textFill>
        </w:rPr>
        <w:t>的行为。</w:t>
      </w:r>
    </w:p>
    <w:p w14:paraId="4FE13301">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166"/>
        <w:gridCol w:w="4568"/>
      </w:tblGrid>
      <w:tr w14:paraId="421C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3CA4D3B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66" w:type="dxa"/>
            <w:vAlign w:val="center"/>
          </w:tcPr>
          <w:p w14:paraId="42874E4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568" w:type="dxa"/>
            <w:vAlign w:val="center"/>
          </w:tcPr>
          <w:p w14:paraId="6937C9F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B03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B27A1E4">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166" w:type="dxa"/>
            <w:vAlign w:val="center"/>
          </w:tcPr>
          <w:p w14:paraId="0DA3130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规定落实医疗质量管理办法，经责令限期改正逾期不改的，有下列情形之一的：A.未建立医疗质量管理部门或者未指定专（兼）职人员负责医疗质量管理工作的；B.未建立医疗质量管理相关规章制度的；C.医疗质量管理制度不落实或者落实不到位，导致医疗质量管理混乱的；D.发生重大医疗质量安全事件隐匿不报的；E.未按照规定报送医疗质量安全相关信息的；F.其他违反本办法规定的行为。</w:t>
            </w:r>
          </w:p>
        </w:tc>
        <w:tc>
          <w:tcPr>
            <w:tcW w:w="4568" w:type="dxa"/>
            <w:vAlign w:val="center"/>
          </w:tcPr>
          <w:p w14:paraId="57CB2C3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给予警告，处以一万元以下罚款。</w:t>
            </w:r>
          </w:p>
        </w:tc>
      </w:tr>
      <w:tr w14:paraId="3878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6D09E13A">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166" w:type="dxa"/>
            <w:vAlign w:val="center"/>
          </w:tcPr>
          <w:p w14:paraId="5868ED3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有上述两种情形，经责令限期改正逾期不改的。 </w:t>
            </w:r>
          </w:p>
        </w:tc>
        <w:tc>
          <w:tcPr>
            <w:tcW w:w="4568" w:type="dxa"/>
            <w:vAlign w:val="center"/>
          </w:tcPr>
          <w:p w14:paraId="3F23E99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给予警告，处以一万元以上两万元以下罚款。</w:t>
            </w:r>
          </w:p>
        </w:tc>
      </w:tr>
      <w:tr w14:paraId="4D01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2609C692">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166" w:type="dxa"/>
            <w:vAlign w:val="center"/>
          </w:tcPr>
          <w:p w14:paraId="4FE01EB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有上述两种以上情形，经责令限期改正逾期不改的。</w:t>
            </w:r>
          </w:p>
        </w:tc>
        <w:tc>
          <w:tcPr>
            <w:tcW w:w="4568" w:type="dxa"/>
            <w:vAlign w:val="center"/>
          </w:tcPr>
          <w:p w14:paraId="41FA6D8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给予警告，处以两万元以上三万元以下罚款。</w:t>
            </w:r>
          </w:p>
        </w:tc>
      </w:tr>
    </w:tbl>
    <w:p w14:paraId="76AA6C2D">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921" w:name="_Toc18960"/>
      <w:bookmarkStart w:id="3922" w:name="_Toc28519"/>
      <w:bookmarkStart w:id="3923" w:name="_Toc26178"/>
      <w:bookmarkStart w:id="3924" w:name="_Toc4222"/>
      <w:bookmarkStart w:id="3925" w:name="_Toc11752"/>
      <w:bookmarkStart w:id="3926" w:name="_Toc30482"/>
      <w:bookmarkStart w:id="3927" w:name="_Toc31108"/>
      <w:bookmarkStart w:id="3928" w:name="_Toc30860"/>
      <w:bookmarkStart w:id="3929" w:name="_Toc19371"/>
      <w:bookmarkStart w:id="3930" w:name="_Toc28277"/>
      <w:bookmarkStart w:id="3931" w:name="_Toc31962"/>
      <w:bookmarkStart w:id="3932" w:name="_Toc27354"/>
      <w:bookmarkStart w:id="3933" w:name="_Toc3591"/>
      <w:r>
        <w:rPr>
          <w:rFonts w:hint="eastAsia" w:ascii="Times New Roman" w:hAnsi="Times New Roman" w:eastAsia="楷体_GB2312" w:cs="楷体_GB2312"/>
          <w:bCs w:val="0"/>
          <w:color w:val="000000" w:themeColor="text1"/>
          <w:kern w:val="2"/>
          <w14:textFill>
            <w14:solidFill>
              <w14:schemeClr w14:val="tx1"/>
            </w14:solidFill>
          </w14:textFill>
        </w:rPr>
        <w:t>（二十五）《残疾预防和残疾人康复条例》</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4103315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934" w:name="_Toc23263"/>
      <w:bookmarkStart w:id="3935" w:name="_Toc2736"/>
      <w:bookmarkStart w:id="3936" w:name="_Toc3410"/>
      <w:bookmarkStart w:id="3937" w:name="_Toc9580"/>
      <w:bookmarkStart w:id="3938" w:name="_Toc26166"/>
      <w:bookmarkStart w:id="3939" w:name="_Toc23780"/>
      <w:bookmarkStart w:id="3940" w:name="_Toc4770"/>
      <w:bookmarkStart w:id="3941" w:name="_Toc13647"/>
      <w:bookmarkStart w:id="3942" w:name="_Toc30647"/>
      <w:bookmarkStart w:id="3943" w:name="_Toc27735"/>
      <w:bookmarkStart w:id="3944" w:name="_Toc10127"/>
      <w:r>
        <w:rPr>
          <w:rFonts w:hint="eastAsia" w:cs="仿宋_GB2312"/>
          <w:bCs/>
          <w:color w:val="000000" w:themeColor="text1"/>
          <w14:textFill>
            <w14:solidFill>
              <w14:schemeClr w14:val="tx1"/>
            </w14:solidFill>
          </w14:textFill>
        </w:rPr>
        <w:t>第三百一十二条</w:t>
      </w:r>
      <w:r>
        <w:rPr>
          <w:rFonts w:hint="eastAsia" w:ascii="Times New Roman" w:hAnsi="Times New Roman" w:cs="仿宋_GB2312"/>
          <w:bCs/>
          <w:color w:val="000000" w:themeColor="text1"/>
          <w:kern w:val="0"/>
          <w14:textFill>
            <w14:solidFill>
              <w14:schemeClr w14:val="tx1"/>
            </w14:solidFill>
          </w14:textFill>
        </w:rPr>
        <w:t xml:space="preserve"> 医疗卫生机构、康复机构及其工作人员未依照《残疾预防和残疾人康复条例》规定开展残疾预防和残疾人康复工作的</w:t>
      </w:r>
      <w:bookmarkEnd w:id="3934"/>
      <w:bookmarkEnd w:id="3935"/>
      <w:bookmarkEnd w:id="3936"/>
      <w:bookmarkEnd w:id="3937"/>
      <w:bookmarkEnd w:id="3938"/>
      <w:bookmarkEnd w:id="3939"/>
      <w:bookmarkEnd w:id="3940"/>
      <w:bookmarkEnd w:id="3941"/>
      <w:bookmarkEnd w:id="3942"/>
      <w:bookmarkEnd w:id="3943"/>
      <w:bookmarkEnd w:id="3944"/>
    </w:p>
    <w:p w14:paraId="6165B5B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6608AA8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《残疾预防和残疾人康复条例》第三十三条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卫生机构、康复机构及其工作人员未依照本条例规定开展残疾预防和残疾人康复工作的，由有关主管部门按照各自职责分工责令改正，给予警告；情节严重的，责令暂停相关执业活动，依法对负有责任的领导人员和直接责任人员给予处分。</w:t>
      </w:r>
    </w:p>
    <w:p w14:paraId="7CA2CB7D">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882"/>
        <w:gridCol w:w="4852"/>
      </w:tblGrid>
      <w:tr w14:paraId="3769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1EC577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882" w:type="dxa"/>
          </w:tcPr>
          <w:p w14:paraId="4D973DC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852" w:type="dxa"/>
          </w:tcPr>
          <w:p w14:paraId="3ED8631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5A1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6649EEF1">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882" w:type="dxa"/>
          </w:tcPr>
          <w:p w14:paraId="594AD1A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医疗卫生机构、康复机构及其工作人员未依照本条例规定开展残疾预防和残疾人康复工作的。</w:t>
            </w:r>
          </w:p>
        </w:tc>
        <w:tc>
          <w:tcPr>
            <w:tcW w:w="4852" w:type="dxa"/>
          </w:tcPr>
          <w:p w14:paraId="55E5597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w:t>
            </w:r>
          </w:p>
        </w:tc>
      </w:tr>
      <w:tr w14:paraId="3F4B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683AC40A">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882" w:type="dxa"/>
          </w:tcPr>
          <w:p w14:paraId="4BF4284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医疗卫生机构、康复机构及其工作人员未依照本条例规定开展残疾预防和残疾人康复工作的，造成严重危害后果的。</w:t>
            </w:r>
          </w:p>
        </w:tc>
        <w:tc>
          <w:tcPr>
            <w:tcW w:w="4852" w:type="dxa"/>
          </w:tcPr>
          <w:p w14:paraId="4F67B14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责令暂停相关执业活动。</w:t>
            </w:r>
          </w:p>
        </w:tc>
      </w:tr>
    </w:tbl>
    <w:p w14:paraId="639559DE">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945" w:name="_Toc15687"/>
      <w:bookmarkStart w:id="3946" w:name="_Toc31157"/>
      <w:bookmarkStart w:id="3947" w:name="_Toc5828"/>
      <w:bookmarkStart w:id="3948" w:name="_Toc32533"/>
      <w:bookmarkStart w:id="3949" w:name="_Toc11486"/>
      <w:bookmarkStart w:id="3950" w:name="_Toc19983"/>
      <w:bookmarkStart w:id="3951" w:name="_Toc30140"/>
      <w:bookmarkStart w:id="3952" w:name="_Toc18294"/>
      <w:bookmarkStart w:id="3953" w:name="_Toc30792"/>
      <w:bookmarkStart w:id="3954" w:name="_Toc14268"/>
      <w:bookmarkStart w:id="3955" w:name="_Toc28689"/>
      <w:r>
        <w:rPr>
          <w:rFonts w:hint="eastAsia" w:cs="仿宋_GB2312"/>
          <w:bCs/>
          <w:color w:val="000000" w:themeColor="text1"/>
          <w14:textFill>
            <w14:solidFill>
              <w14:schemeClr w14:val="tx1"/>
            </w14:solidFill>
          </w14:textFill>
        </w:rPr>
        <w:t>第三百一十三条</w:t>
      </w:r>
      <w:r>
        <w:rPr>
          <w:rFonts w:hint="eastAsia" w:ascii="Times New Roman" w:hAnsi="Times New Roman" w:cs="仿宋_GB2312"/>
          <w:bCs/>
          <w:color w:val="000000" w:themeColor="text1"/>
          <w:kern w:val="0"/>
          <w14:textFill>
            <w14:solidFill>
              <w14:schemeClr w14:val="tx1"/>
            </w14:solidFill>
          </w14:textFill>
        </w:rPr>
        <w:t xml:space="preserve"> 具有高度致残风险的用人单位未履行本条例第十五条规定的残疾预防义务，违反安全生产、职业病防治等法律、行政法规规定的</w:t>
      </w:r>
      <w:bookmarkEnd w:id="3945"/>
      <w:bookmarkEnd w:id="3946"/>
      <w:bookmarkEnd w:id="3947"/>
      <w:bookmarkEnd w:id="3948"/>
      <w:bookmarkEnd w:id="3949"/>
      <w:bookmarkEnd w:id="3950"/>
      <w:bookmarkEnd w:id="3951"/>
      <w:bookmarkEnd w:id="3952"/>
      <w:bookmarkEnd w:id="3953"/>
      <w:bookmarkEnd w:id="3954"/>
      <w:bookmarkEnd w:id="3955"/>
    </w:p>
    <w:p w14:paraId="797D9AB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3798C63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《残疾预防和残疾人康复条例》第三十四条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具有高度致残风险的用人单位未履行《残疾预防和残疾人康复条例》第十五条规定的残疾预防义务，违反安全生产、职业病防治等法律、行政法规规定的，依照有关法律、行政法规的规定给予处罚；有关法律、行政法规没有规定的，由有关主管部门按照各自职责分工责令改正，给予警告；拒不改正的，责令停产停业整顿。用人单位还应当依法承担救治、保障等义务。</w:t>
      </w:r>
    </w:p>
    <w:p w14:paraId="6C25625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《残疾预防和残疾人康复条例》第十五条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具有高度致残风险的用人单位应当对职工进行残疾预防相关知识培训，告知作业场所和工作岗位存在的致残风险，并采取防护措施，提供防护设施和防护用品。</w:t>
      </w:r>
    </w:p>
    <w:p w14:paraId="2708E629">
      <w:pPr>
        <w:widowControl w:val="0"/>
        <w:adjustRightInd/>
        <w:snapToGrid/>
        <w:spacing w:after="0" w:line="440" w:lineRule="exact"/>
        <w:jc w:val="center"/>
        <w:rPr>
          <w:rFonts w:hint="eastAsia" w:ascii="Times New Roman" w:hAnsi="Times New Roman" w:eastAsia="微软雅黑" w:cs="宋体"/>
          <w:b/>
          <w:bCs/>
          <w:color w:val="000000" w:themeColor="text1"/>
          <w:kern w:val="2"/>
          <w:sz w:val="28"/>
          <w:szCs w:val="28"/>
          <w14:textFill>
            <w14:solidFill>
              <w14:schemeClr w14:val="tx1"/>
            </w14:solidFill>
          </w14:textFill>
        </w:rPr>
      </w:pPr>
      <w:r>
        <w:rPr>
          <w:rFonts w:hint="eastAsia" w:ascii="Times New Roman" w:hAnsi="Times New Roman" w:eastAsia="微软雅黑" w:cs="宋体"/>
          <w:b/>
          <w:bCs/>
          <w:color w:val="000000" w:themeColor="text1"/>
          <w:kern w:val="2"/>
          <w:sz w:val="28"/>
          <w:szCs w:val="28"/>
          <w14:textFill>
            <w14:solidFill>
              <w14:schemeClr w14:val="tx1"/>
            </w14:solidFill>
          </w14:textFill>
        </w:rPr>
        <w:t>裁量标准</w:t>
      </w:r>
    </w:p>
    <w:tbl>
      <w:tblPr>
        <w:tblStyle w:val="24"/>
        <w:tblW w:w="13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735"/>
        <w:gridCol w:w="3906"/>
      </w:tblGrid>
      <w:tr w14:paraId="507E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44" w:type="dxa"/>
            <w:vAlign w:val="center"/>
          </w:tcPr>
          <w:p w14:paraId="1DE81AA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735" w:type="dxa"/>
            <w:vAlign w:val="center"/>
          </w:tcPr>
          <w:p w14:paraId="25AFE65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906" w:type="dxa"/>
            <w:vAlign w:val="center"/>
          </w:tcPr>
          <w:p w14:paraId="411BB57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F1D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344" w:type="dxa"/>
            <w:vAlign w:val="center"/>
          </w:tcPr>
          <w:p w14:paraId="3DC93FA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735" w:type="dxa"/>
            <w:vAlign w:val="center"/>
          </w:tcPr>
          <w:p w14:paraId="05E457E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具有高度致残风险的用人单位未履行本条例第十五条规定的残疾预防义务，违反安全生产、职业病防治等法律、行政法规规定的，有关法律、行政法规没有规定的。</w:t>
            </w:r>
          </w:p>
        </w:tc>
        <w:tc>
          <w:tcPr>
            <w:tcW w:w="3906" w:type="dxa"/>
            <w:vAlign w:val="center"/>
          </w:tcPr>
          <w:p w14:paraId="5C82C5B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6F17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344" w:type="dxa"/>
            <w:vAlign w:val="center"/>
          </w:tcPr>
          <w:p w14:paraId="615D5795">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735" w:type="dxa"/>
            <w:vAlign w:val="center"/>
          </w:tcPr>
          <w:p w14:paraId="52A0D38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具有高度致残风险的用人单位未履行本条例第十五条规定的残疾预防义务，违反安全生产、职业病防治等法律、行政法规规定的，有关法律、行政法规没有规定的，经责令限期改正逾期不改的。</w:t>
            </w:r>
          </w:p>
        </w:tc>
        <w:tc>
          <w:tcPr>
            <w:tcW w:w="3906" w:type="dxa"/>
            <w:vAlign w:val="center"/>
          </w:tcPr>
          <w:p w14:paraId="1EFB34A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责令停产停业整顿。</w:t>
            </w:r>
          </w:p>
        </w:tc>
      </w:tr>
    </w:tbl>
    <w:p w14:paraId="01440838">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3956" w:name="_Toc2328"/>
      <w:bookmarkStart w:id="3957" w:name="_Toc9478"/>
      <w:bookmarkStart w:id="3958" w:name="_Toc26416"/>
      <w:bookmarkStart w:id="3959" w:name="_Toc9866"/>
      <w:bookmarkStart w:id="3960" w:name="_Toc13711"/>
      <w:bookmarkStart w:id="3961" w:name="_Toc15309"/>
      <w:bookmarkStart w:id="3962" w:name="_Toc29833"/>
      <w:bookmarkStart w:id="3963" w:name="_Toc21722"/>
      <w:bookmarkStart w:id="3964" w:name="_Toc32162"/>
      <w:bookmarkStart w:id="3965" w:name="_Toc30988"/>
      <w:bookmarkStart w:id="3966" w:name="_Toc4398"/>
      <w:bookmarkStart w:id="3967" w:name="_Toc5536"/>
      <w:bookmarkStart w:id="3968" w:name="_Toc1688"/>
      <w:r>
        <w:rPr>
          <w:rFonts w:hint="eastAsia" w:ascii="Times New Roman" w:hAnsi="Times New Roman" w:eastAsia="楷体_GB2312" w:cs="楷体_GB2312"/>
          <w:bCs w:val="0"/>
          <w:color w:val="000000" w:themeColor="text1"/>
          <w:kern w:val="2"/>
          <w14:textFill>
            <w14:solidFill>
              <w14:schemeClr w14:val="tx1"/>
            </w14:solidFill>
          </w14:textFill>
        </w:rPr>
        <w:t>（二十六）《医疗纠纷预防和处理条例》</w:t>
      </w:r>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72A262CD">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969" w:name="_Toc24036"/>
      <w:bookmarkStart w:id="3970" w:name="_Toc13574"/>
      <w:bookmarkStart w:id="3971" w:name="_Toc9197"/>
      <w:bookmarkStart w:id="3972" w:name="_Toc16560"/>
      <w:bookmarkStart w:id="3973" w:name="_Toc32064"/>
      <w:bookmarkStart w:id="3974" w:name="_Toc25216"/>
      <w:bookmarkStart w:id="3975" w:name="_Toc14579"/>
      <w:bookmarkStart w:id="3976" w:name="_Toc11803"/>
      <w:bookmarkStart w:id="3977" w:name="_Toc465"/>
      <w:bookmarkStart w:id="3978" w:name="_Toc30081"/>
      <w:bookmarkStart w:id="3979" w:name="_Toc19873"/>
      <w:r>
        <w:rPr>
          <w:rFonts w:hint="eastAsia" w:cs="仿宋_GB2312"/>
          <w:bCs/>
          <w:color w:val="000000" w:themeColor="text1"/>
          <w14:textFill>
            <w14:solidFill>
              <w14:schemeClr w14:val="tx1"/>
            </w14:solidFill>
          </w14:textFill>
        </w:rPr>
        <w:t>第三百一十四条</w:t>
      </w:r>
      <w:r>
        <w:rPr>
          <w:rFonts w:hint="eastAsia" w:ascii="Times New Roman" w:hAnsi="Times New Roman" w:cs="仿宋_GB2312"/>
          <w:bCs/>
          <w:color w:val="000000" w:themeColor="text1"/>
          <w:kern w:val="0"/>
          <w14:textFill>
            <w14:solidFill>
              <w14:schemeClr w14:val="tx1"/>
            </w14:solidFill>
          </w14:textFill>
        </w:rPr>
        <w:t xml:space="preserve"> 医疗机构篡改、伪造、隐匿、毁灭病历资料的</w:t>
      </w:r>
      <w:bookmarkEnd w:id="3969"/>
      <w:bookmarkEnd w:id="3970"/>
      <w:bookmarkEnd w:id="3971"/>
      <w:bookmarkEnd w:id="3972"/>
      <w:bookmarkEnd w:id="3973"/>
      <w:bookmarkEnd w:id="3974"/>
      <w:bookmarkEnd w:id="3975"/>
      <w:bookmarkEnd w:id="3976"/>
      <w:bookmarkEnd w:id="3977"/>
      <w:bookmarkEnd w:id="3978"/>
      <w:bookmarkEnd w:id="3979"/>
    </w:p>
    <w:p w14:paraId="35B4CB4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E964EB0">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《医疗纠纷预防和处理条例》第四十五条　医疗机构篡改、伪造、隐匿、毁灭病历资料的，对直接负责的主管人员和其他直接责任人员，由县级以上人民政府卫生主管部门给予或者责令给予降低岗位等级或者撤职的处分，对有关医务人员责令暂停6个月以上1年以下执业活动；造成严重后果的，对直接负责的主管</w:t>
      </w:r>
      <w:r>
        <w:rPr>
          <w:rFonts w:hint="eastAsia" w:ascii="Times New Roman" w:hAnsi="Times New Roman" w:eastAsia="仿宋_GB2312" w:cs="仿宋"/>
          <w:color w:val="000000" w:themeColor="text1"/>
          <w:sz w:val="32"/>
          <w:szCs w:val="32"/>
          <w14:textFill>
            <w14:solidFill>
              <w14:schemeClr w14:val="tx1"/>
            </w14:solidFill>
          </w14:textFill>
        </w:rPr>
        <w:t>人员和其他直接责任人员给予或者责令给予开除的处分，对有关医务人员由原发证部门吊销执业证书；构成犯罪的，依法追究刑事责任。</w:t>
      </w:r>
    </w:p>
    <w:p w14:paraId="1C5CBDE0">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75"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8742"/>
        <w:gridCol w:w="3879"/>
      </w:tblGrid>
      <w:tr w14:paraId="4563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354" w:type="dxa"/>
            <w:shd w:val="clear" w:color="auto" w:fill="auto"/>
            <w:vAlign w:val="center"/>
          </w:tcPr>
          <w:p w14:paraId="0BC59DAA">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8742" w:type="dxa"/>
            <w:shd w:val="clear" w:color="auto" w:fill="auto"/>
            <w:vAlign w:val="center"/>
          </w:tcPr>
          <w:p w14:paraId="013CA1DE">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违法后果</w:t>
            </w:r>
          </w:p>
        </w:tc>
        <w:tc>
          <w:tcPr>
            <w:tcW w:w="3879" w:type="dxa"/>
            <w:shd w:val="clear" w:color="auto" w:fill="auto"/>
            <w:vAlign w:val="center"/>
          </w:tcPr>
          <w:p w14:paraId="04506BE5">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5CB3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4" w:type="dxa"/>
            <w:shd w:val="clear" w:color="auto" w:fill="auto"/>
            <w:vAlign w:val="center"/>
          </w:tcPr>
          <w:p w14:paraId="7D1DF1E3">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742" w:type="dxa"/>
            <w:shd w:val="clear" w:color="auto" w:fill="auto"/>
            <w:vAlign w:val="center"/>
          </w:tcPr>
          <w:p w14:paraId="77BC339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医疗机构篡改、伪造、隐匿、毁灭病历资料，涉及患者1至3名。</w:t>
            </w:r>
          </w:p>
        </w:tc>
        <w:tc>
          <w:tcPr>
            <w:tcW w:w="3879" w:type="dxa"/>
            <w:shd w:val="clear" w:color="auto" w:fill="auto"/>
            <w:vAlign w:val="center"/>
          </w:tcPr>
          <w:p w14:paraId="475BC59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对直接参与的医务人员责令暂停6个月以上9个月以下的执业活动。</w:t>
            </w:r>
          </w:p>
        </w:tc>
      </w:tr>
      <w:tr w14:paraId="52BE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54" w:type="dxa"/>
            <w:shd w:val="clear" w:color="auto" w:fill="auto"/>
            <w:vAlign w:val="center"/>
          </w:tcPr>
          <w:p w14:paraId="55E1D34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742" w:type="dxa"/>
            <w:shd w:val="clear" w:color="auto" w:fill="auto"/>
            <w:vAlign w:val="center"/>
          </w:tcPr>
          <w:p w14:paraId="4300059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医疗机构篡改、伪造、隐匿、毁灭病历资料，涉及患者4至6名。</w:t>
            </w:r>
          </w:p>
        </w:tc>
        <w:tc>
          <w:tcPr>
            <w:tcW w:w="3879" w:type="dxa"/>
            <w:shd w:val="clear" w:color="auto" w:fill="auto"/>
            <w:vAlign w:val="center"/>
          </w:tcPr>
          <w:p w14:paraId="586D940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对直接参与的医务人员责令暂停9个月以上12个月以下的执业活动。</w:t>
            </w:r>
          </w:p>
        </w:tc>
      </w:tr>
      <w:tr w14:paraId="5A72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354" w:type="dxa"/>
            <w:shd w:val="clear" w:color="auto" w:fill="auto"/>
            <w:vAlign w:val="center"/>
          </w:tcPr>
          <w:p w14:paraId="54203C32">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742" w:type="dxa"/>
            <w:shd w:val="clear" w:color="auto" w:fill="auto"/>
            <w:vAlign w:val="center"/>
          </w:tcPr>
          <w:p w14:paraId="6B5946F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（1）医疗机构篡改、伪造、隐匿、毁灭病历资料，涉及患者7名以上；（2）医疗机构篡改、伪造、隐匿、毁灭病历资料，导致医疗事故技术鉴定等出现重大错误，造成严重不良社会后果。</w:t>
            </w:r>
          </w:p>
        </w:tc>
        <w:tc>
          <w:tcPr>
            <w:tcW w:w="3879" w:type="dxa"/>
            <w:shd w:val="clear" w:color="auto" w:fill="auto"/>
            <w:vAlign w:val="center"/>
          </w:tcPr>
          <w:p w14:paraId="45A7ED7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有（1）或（2）情节的，对直接参与的医务人员由原发证部门吊销执业证书。</w:t>
            </w:r>
          </w:p>
        </w:tc>
      </w:tr>
    </w:tbl>
    <w:p w14:paraId="65A12492">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3980" w:name="_Toc28650"/>
      <w:bookmarkStart w:id="3981" w:name="_Toc5048"/>
      <w:bookmarkStart w:id="3982" w:name="_Toc26226"/>
      <w:bookmarkStart w:id="3983" w:name="_Toc6643"/>
      <w:bookmarkStart w:id="3984" w:name="_Toc9910"/>
      <w:bookmarkStart w:id="3985" w:name="_Toc22894"/>
      <w:bookmarkStart w:id="3986" w:name="_Toc30910"/>
      <w:bookmarkStart w:id="3987" w:name="_Toc18887"/>
      <w:bookmarkStart w:id="3988" w:name="_Toc8706"/>
      <w:bookmarkStart w:id="3989" w:name="_Toc14697"/>
      <w:bookmarkStart w:id="3990" w:name="_Toc5885"/>
      <w:r>
        <w:rPr>
          <w:rFonts w:hint="eastAsia" w:cs="仿宋_GB2312"/>
          <w:bCs/>
          <w:color w:val="000000" w:themeColor="text1"/>
          <w14:textFill>
            <w14:solidFill>
              <w14:schemeClr w14:val="tx1"/>
            </w14:solidFill>
          </w14:textFill>
        </w:rPr>
        <w:t>第三百一十五条</w:t>
      </w:r>
      <w:r>
        <w:rPr>
          <w:rFonts w:hint="eastAsia" w:ascii="Times New Roman" w:hAnsi="Times New Roman" w:cs="仿宋_GB2312"/>
          <w:bCs/>
          <w:color w:val="000000" w:themeColor="text1"/>
          <w:kern w:val="0"/>
          <w14:textFill>
            <w14:solidFill>
              <w14:schemeClr w14:val="tx1"/>
            </w14:solidFill>
          </w14:textFill>
        </w:rPr>
        <w:t xml:space="preserve"> 医疗机构将未通过技术评估和伦理审查的医疗新技术应用于临床的</w:t>
      </w:r>
      <w:bookmarkEnd w:id="3980"/>
      <w:bookmarkEnd w:id="3981"/>
      <w:bookmarkEnd w:id="3982"/>
      <w:bookmarkEnd w:id="3983"/>
      <w:bookmarkEnd w:id="3984"/>
      <w:bookmarkEnd w:id="3985"/>
      <w:bookmarkEnd w:id="3986"/>
      <w:bookmarkEnd w:id="3987"/>
      <w:bookmarkEnd w:id="3988"/>
      <w:bookmarkEnd w:id="3989"/>
      <w:bookmarkEnd w:id="3990"/>
    </w:p>
    <w:p w14:paraId="27BAA91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A86AB2B">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《医疗纠纷预防和处理条例》第四十六条　医疗机构将未通过技术评估和伦理审查的医疗新技术应用于临床的，由县级以上人民政府卫生主管部门没收违法所得，并处5万元以上10万元以下罚款，对直接负责的主管人员和其他直接责任人员给予或者责令给予降低岗位等级或者撤职的处分，对有关医务人员责令暂停6个月以上1年以下执业活动；情节严重的，对直接负责的主管人员和其他直接责任人员给予或者责令</w:t>
      </w:r>
      <w:r>
        <w:rPr>
          <w:rFonts w:hint="eastAsia" w:ascii="Times New Roman" w:hAnsi="Times New Roman" w:eastAsia="仿宋_GB2312" w:cs="仿宋"/>
          <w:color w:val="000000" w:themeColor="text1"/>
          <w:sz w:val="32"/>
          <w:szCs w:val="32"/>
          <w14:textFill>
            <w14:solidFill>
              <w14:schemeClr w14:val="tx1"/>
            </w14:solidFill>
          </w14:textFill>
        </w:rPr>
        <w:t>给予开除的处分，对有关医务人员由原发证部门吊销执业证书；构成犯罪的，依法追究刑事责任。</w:t>
      </w:r>
    </w:p>
    <w:p w14:paraId="01430B4D">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5975"/>
        <w:gridCol w:w="6407"/>
      </w:tblGrid>
      <w:tr w14:paraId="5F17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60" w:type="dxa"/>
            <w:vAlign w:val="center"/>
          </w:tcPr>
          <w:p w14:paraId="0A79226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975" w:type="dxa"/>
            <w:vAlign w:val="center"/>
          </w:tcPr>
          <w:p w14:paraId="783954B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407" w:type="dxa"/>
            <w:vAlign w:val="center"/>
          </w:tcPr>
          <w:p w14:paraId="6BC96FA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6F8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60" w:type="dxa"/>
            <w:vAlign w:val="center"/>
          </w:tcPr>
          <w:p w14:paraId="6FA06EBA">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975" w:type="dxa"/>
            <w:vAlign w:val="center"/>
          </w:tcPr>
          <w:p w14:paraId="5217416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医疗机构将未通过技术评估和伦理审查的医疗新技术应用于临床，首次发现的。</w:t>
            </w:r>
          </w:p>
        </w:tc>
        <w:tc>
          <w:tcPr>
            <w:tcW w:w="6407" w:type="dxa"/>
            <w:vAlign w:val="center"/>
          </w:tcPr>
          <w:p w14:paraId="59535B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没收违法所得，并处5万元以上7万元以下罚款，对有关医务人员责令暂停6个月以上9个月以下执业活动。</w:t>
            </w:r>
          </w:p>
        </w:tc>
      </w:tr>
      <w:tr w14:paraId="5A27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60" w:type="dxa"/>
            <w:vAlign w:val="center"/>
          </w:tcPr>
          <w:p w14:paraId="4DDA9BED">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975" w:type="dxa"/>
            <w:vAlign w:val="center"/>
          </w:tcPr>
          <w:p w14:paraId="121F6F4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医疗机构将未通过技术评估和伦理审查的医疗新技术应用于临床，经处罚再次发现有该行为的。</w:t>
            </w:r>
          </w:p>
        </w:tc>
        <w:tc>
          <w:tcPr>
            <w:tcW w:w="6407" w:type="dxa"/>
            <w:vAlign w:val="center"/>
          </w:tcPr>
          <w:p w14:paraId="4C366AB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没收违法所得，并处7万元以上10万元以下罚款，对有关医务人员责令暂停9个月以上1年以下执业活动。</w:t>
            </w:r>
          </w:p>
        </w:tc>
      </w:tr>
      <w:tr w14:paraId="510A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1560" w:type="dxa"/>
            <w:vAlign w:val="center"/>
          </w:tcPr>
          <w:p w14:paraId="01555F51">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975" w:type="dxa"/>
            <w:vAlign w:val="center"/>
          </w:tcPr>
          <w:p w14:paraId="133FDA5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医疗机构将未通过技术评估和伦理审查的医疗新技术应用于临床，曾受过两次以上卫生行政处罚或造成其他严重后果的。</w:t>
            </w:r>
          </w:p>
        </w:tc>
        <w:tc>
          <w:tcPr>
            <w:tcW w:w="6407" w:type="dxa"/>
            <w:vAlign w:val="center"/>
          </w:tcPr>
          <w:p w14:paraId="556AA3B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没收违法所得，并处10万元罚款，对有关医务人员由原发证部门吊销执业证书。</w:t>
            </w:r>
          </w:p>
        </w:tc>
      </w:tr>
    </w:tbl>
    <w:p w14:paraId="2B94D156">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3991" w:name="_Toc161"/>
      <w:bookmarkStart w:id="3992" w:name="_Toc1777"/>
      <w:bookmarkStart w:id="3993" w:name="_Toc27462"/>
      <w:bookmarkStart w:id="3994" w:name="_Toc15571"/>
      <w:bookmarkStart w:id="3995" w:name="_Toc25808"/>
      <w:bookmarkStart w:id="3996" w:name="_Toc11763"/>
      <w:bookmarkStart w:id="3997" w:name="_Toc2752"/>
      <w:bookmarkStart w:id="3998" w:name="_Toc10522"/>
      <w:bookmarkStart w:id="3999" w:name="_Toc20868"/>
      <w:bookmarkStart w:id="4000" w:name="_Toc26823"/>
      <w:bookmarkStart w:id="4001" w:name="_Toc2306"/>
      <w:r>
        <w:rPr>
          <w:rFonts w:hint="eastAsia" w:cs="仿宋_GB2312"/>
          <w:bCs/>
          <w:color w:val="000000" w:themeColor="text1"/>
          <w14:textFill>
            <w14:solidFill>
              <w14:schemeClr w14:val="tx1"/>
            </w14:solidFill>
          </w14:textFill>
        </w:rPr>
        <w:t>第三百一十六条</w:t>
      </w:r>
      <w:r>
        <w:rPr>
          <w:rFonts w:hint="eastAsia" w:ascii="Times New Roman" w:hAnsi="Times New Roman" w:cs="仿宋_GB2312"/>
          <w:bCs/>
          <w:color w:val="000000" w:themeColor="text1"/>
          <w:kern w:val="0"/>
          <w14:textFill>
            <w14:solidFill>
              <w14:schemeClr w14:val="tx1"/>
            </w14:solidFill>
          </w14:textFill>
        </w:rPr>
        <w:t xml:space="preserve"> 医疗机构及其医务人员未按规定制定和实施医疗质量安全管理制度的</w:t>
      </w:r>
      <w:bookmarkEnd w:id="3991"/>
      <w:bookmarkEnd w:id="3992"/>
      <w:bookmarkEnd w:id="3993"/>
      <w:bookmarkEnd w:id="3994"/>
      <w:bookmarkEnd w:id="3995"/>
      <w:bookmarkEnd w:id="3996"/>
      <w:bookmarkEnd w:id="3997"/>
      <w:bookmarkEnd w:id="3998"/>
      <w:bookmarkEnd w:id="3999"/>
      <w:bookmarkEnd w:id="4000"/>
      <w:bookmarkEnd w:id="4001"/>
    </w:p>
    <w:p w14:paraId="6F3C360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971BCE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《医疗纠纷预防和处理条例》第四十七条第（一）项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 </w:t>
      </w:r>
    </w:p>
    <w:p w14:paraId="200F7400">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（一）未按规定制定</w:t>
      </w:r>
      <w:r>
        <w:rPr>
          <w:rFonts w:hint="eastAsia" w:ascii="Times New Roman" w:hAnsi="Times New Roman" w:eastAsia="仿宋_GB2312" w:cs="仿宋"/>
          <w:color w:val="000000" w:themeColor="text1"/>
          <w:sz w:val="32"/>
          <w:szCs w:val="32"/>
          <w14:textFill>
            <w14:solidFill>
              <w14:schemeClr w14:val="tx1"/>
            </w14:solidFill>
          </w14:textFill>
        </w:rPr>
        <w:t>和实施医疗质量安全管理制度；</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p>
    <w:p w14:paraId="625DF98F">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54"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5957"/>
        <w:gridCol w:w="6408"/>
      </w:tblGrid>
      <w:tr w14:paraId="32A3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89" w:type="dxa"/>
            <w:shd w:val="clear" w:color="auto" w:fill="auto"/>
            <w:vAlign w:val="center"/>
          </w:tcPr>
          <w:p w14:paraId="425D7977">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957" w:type="dxa"/>
            <w:shd w:val="clear" w:color="auto" w:fill="auto"/>
            <w:vAlign w:val="center"/>
          </w:tcPr>
          <w:p w14:paraId="4B866B53">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408" w:type="dxa"/>
            <w:shd w:val="clear" w:color="auto" w:fill="auto"/>
            <w:vAlign w:val="center"/>
          </w:tcPr>
          <w:p w14:paraId="7CA24893">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0DFA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9" w:type="dxa"/>
            <w:shd w:val="clear" w:color="auto" w:fill="auto"/>
            <w:vAlign w:val="center"/>
          </w:tcPr>
          <w:p w14:paraId="0800B16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957" w:type="dxa"/>
            <w:shd w:val="clear" w:color="auto" w:fill="auto"/>
            <w:vAlign w:val="center"/>
          </w:tcPr>
          <w:p w14:paraId="69CD16D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医疗机构及其医务人员未按规定制定和实施医疗质量安全管理制度，首次发现的。</w:t>
            </w:r>
          </w:p>
        </w:tc>
        <w:tc>
          <w:tcPr>
            <w:tcW w:w="6408" w:type="dxa"/>
            <w:shd w:val="clear" w:color="auto" w:fill="auto"/>
            <w:vAlign w:val="center"/>
          </w:tcPr>
          <w:p w14:paraId="35A9BC3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3653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589" w:type="dxa"/>
            <w:shd w:val="clear" w:color="auto" w:fill="auto"/>
            <w:vAlign w:val="center"/>
          </w:tcPr>
          <w:p w14:paraId="618825D8">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957" w:type="dxa"/>
            <w:shd w:val="clear" w:color="auto" w:fill="auto"/>
            <w:vAlign w:val="center"/>
          </w:tcPr>
          <w:p w14:paraId="3C9BFA8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医疗机构及其医务人员未按规定制定和实施医疗质量安全管理制度，经处罚再次发现有该行为的。</w:t>
            </w:r>
          </w:p>
        </w:tc>
        <w:tc>
          <w:tcPr>
            <w:tcW w:w="6408" w:type="dxa"/>
            <w:shd w:val="clear" w:color="auto" w:fill="auto"/>
            <w:vAlign w:val="center"/>
          </w:tcPr>
          <w:p w14:paraId="3467CD8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1AD2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589" w:type="dxa"/>
            <w:shd w:val="clear" w:color="auto" w:fill="auto"/>
            <w:vAlign w:val="center"/>
          </w:tcPr>
          <w:p w14:paraId="2E999B78">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957" w:type="dxa"/>
            <w:shd w:val="clear" w:color="auto" w:fill="auto"/>
            <w:vAlign w:val="center"/>
          </w:tcPr>
          <w:p w14:paraId="5B7A29B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医疗机构及其医务人员未按规定制定和实施医疗质量安全管理制度，情节严重的。</w:t>
            </w:r>
          </w:p>
        </w:tc>
        <w:tc>
          <w:tcPr>
            <w:tcW w:w="6408" w:type="dxa"/>
            <w:shd w:val="clear" w:color="auto" w:fill="auto"/>
            <w:vAlign w:val="center"/>
          </w:tcPr>
          <w:p w14:paraId="42683A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由县级以上人民政府卫生主管部门责令改正，给予警告，并处5万元罚款，且对有关医务人员可以责令暂停1个月以上6个月以下执业活动。</w:t>
            </w:r>
          </w:p>
        </w:tc>
      </w:tr>
    </w:tbl>
    <w:p w14:paraId="19805394">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002" w:name="_Toc9549"/>
      <w:bookmarkStart w:id="4003" w:name="_Toc6532"/>
      <w:bookmarkStart w:id="4004" w:name="_Toc2251"/>
      <w:bookmarkStart w:id="4005" w:name="_Toc3992"/>
      <w:bookmarkStart w:id="4006" w:name="_Toc19501"/>
      <w:bookmarkStart w:id="4007" w:name="_Toc27336"/>
      <w:bookmarkStart w:id="4008" w:name="_Toc21417"/>
      <w:bookmarkStart w:id="4009" w:name="_Toc27830"/>
      <w:bookmarkStart w:id="4010" w:name="_Toc22083"/>
      <w:bookmarkStart w:id="4011" w:name="_Toc25964"/>
      <w:bookmarkStart w:id="4012" w:name="_Toc8633"/>
      <w:r>
        <w:rPr>
          <w:rFonts w:hint="eastAsia" w:cs="仿宋_GB2312"/>
          <w:bCs/>
          <w:color w:val="000000" w:themeColor="text1"/>
          <w14:textFill>
            <w14:solidFill>
              <w14:schemeClr w14:val="tx1"/>
            </w14:solidFill>
          </w14:textFill>
        </w:rPr>
        <w:t>第三百一十七条</w:t>
      </w:r>
      <w:r>
        <w:rPr>
          <w:rFonts w:hint="eastAsia" w:ascii="Times New Roman" w:hAnsi="Times New Roman" w:cs="仿宋_GB2312"/>
          <w:bCs/>
          <w:color w:val="000000" w:themeColor="text1"/>
          <w:kern w:val="0"/>
          <w14:textFill>
            <w14:solidFill>
              <w14:schemeClr w14:val="tx1"/>
            </w14:solidFill>
          </w14:textFill>
        </w:rPr>
        <w:t xml:space="preserve"> 医疗机构及其医务人员未按规定告知患者病情、医疗措施、医疗风险、替代医疗方案等的</w:t>
      </w:r>
      <w:bookmarkEnd w:id="4002"/>
      <w:bookmarkEnd w:id="4003"/>
      <w:bookmarkEnd w:id="4004"/>
      <w:bookmarkEnd w:id="4005"/>
      <w:bookmarkEnd w:id="4006"/>
      <w:bookmarkEnd w:id="4007"/>
      <w:bookmarkEnd w:id="4008"/>
      <w:bookmarkEnd w:id="4009"/>
      <w:bookmarkEnd w:id="4010"/>
      <w:bookmarkEnd w:id="4011"/>
      <w:bookmarkEnd w:id="4012"/>
    </w:p>
    <w:p w14:paraId="36289B6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A5CDFA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《医疗纠纷预防和处理条例》第四十七条第（二）项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p>
    <w:p w14:paraId="33E0CBD2">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（二）未按规定告知</w:t>
      </w:r>
      <w:r>
        <w:rPr>
          <w:rFonts w:hint="eastAsia" w:ascii="Times New Roman" w:hAnsi="Times New Roman" w:eastAsia="仿宋_GB2312" w:cs="仿宋"/>
          <w:color w:val="000000" w:themeColor="text1"/>
          <w:sz w:val="32"/>
          <w:szCs w:val="32"/>
          <w14:textFill>
            <w14:solidFill>
              <w14:schemeClr w14:val="tx1"/>
            </w14:solidFill>
          </w14:textFill>
        </w:rPr>
        <w:t>患者病情、医疗措施、医疗风险、替代医疗方案等；</w:t>
      </w:r>
    </w:p>
    <w:p w14:paraId="7A32A9C2">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75"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5978"/>
        <w:gridCol w:w="6429"/>
      </w:tblGrid>
      <w:tr w14:paraId="5858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68" w:type="dxa"/>
            <w:shd w:val="clear" w:color="auto" w:fill="auto"/>
            <w:vAlign w:val="center"/>
          </w:tcPr>
          <w:p w14:paraId="458EAF6D">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978" w:type="dxa"/>
            <w:shd w:val="clear" w:color="auto" w:fill="auto"/>
            <w:vAlign w:val="center"/>
          </w:tcPr>
          <w:p w14:paraId="39032ADD">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429" w:type="dxa"/>
            <w:shd w:val="clear" w:color="auto" w:fill="auto"/>
            <w:vAlign w:val="center"/>
          </w:tcPr>
          <w:p w14:paraId="454C4C2E">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3964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568" w:type="dxa"/>
            <w:shd w:val="clear" w:color="auto" w:fill="auto"/>
            <w:vAlign w:val="center"/>
          </w:tcPr>
          <w:p w14:paraId="54B10F4C">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978" w:type="dxa"/>
            <w:shd w:val="clear" w:color="auto" w:fill="auto"/>
            <w:vAlign w:val="center"/>
          </w:tcPr>
          <w:p w14:paraId="0342EA9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医疗机构及其医务人员未按规定告知患者病情、医疗措施、医疗风险、替代医疗方案等，首次发现的。</w:t>
            </w:r>
          </w:p>
        </w:tc>
        <w:tc>
          <w:tcPr>
            <w:tcW w:w="6429" w:type="dxa"/>
            <w:shd w:val="clear" w:color="auto" w:fill="auto"/>
            <w:vAlign w:val="center"/>
          </w:tcPr>
          <w:p w14:paraId="7B13A0E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00DE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1568" w:type="dxa"/>
            <w:shd w:val="clear" w:color="auto" w:fill="auto"/>
            <w:vAlign w:val="center"/>
          </w:tcPr>
          <w:p w14:paraId="30C55583">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978" w:type="dxa"/>
            <w:shd w:val="clear" w:color="auto" w:fill="auto"/>
            <w:vAlign w:val="center"/>
          </w:tcPr>
          <w:p w14:paraId="5E81CF1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医疗机构及其医务人员未按规定告知患者病情、医疗措施、医疗风险、替代医疗方案等，经处罚再次发现有该行为的。</w:t>
            </w:r>
          </w:p>
        </w:tc>
        <w:tc>
          <w:tcPr>
            <w:tcW w:w="6429" w:type="dxa"/>
            <w:shd w:val="clear" w:color="auto" w:fill="auto"/>
            <w:vAlign w:val="center"/>
          </w:tcPr>
          <w:p w14:paraId="545B913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4DBA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568" w:type="dxa"/>
            <w:shd w:val="clear" w:color="auto" w:fill="auto"/>
            <w:vAlign w:val="center"/>
          </w:tcPr>
          <w:p w14:paraId="4235CEA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978" w:type="dxa"/>
            <w:shd w:val="clear" w:color="auto" w:fill="auto"/>
            <w:vAlign w:val="center"/>
          </w:tcPr>
          <w:p w14:paraId="17F5195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医疗机构及其医务人员未按规定告知患者病情、医疗措施、医疗风险、替代医疗方案等，情节严重的。</w:t>
            </w:r>
          </w:p>
        </w:tc>
        <w:tc>
          <w:tcPr>
            <w:tcW w:w="6429" w:type="dxa"/>
            <w:shd w:val="clear" w:color="auto" w:fill="auto"/>
            <w:vAlign w:val="center"/>
          </w:tcPr>
          <w:p w14:paraId="3687203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由县级以上人民政府卫生主管部门责令改正，给予警告，并处5万元罚款，且对有关医务人员可以责令暂停1个月以上6个月以下执业活动。</w:t>
            </w:r>
          </w:p>
        </w:tc>
      </w:tr>
    </w:tbl>
    <w:p w14:paraId="17C26483">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p>
    <w:p w14:paraId="208E03E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013" w:name="_Toc22056"/>
      <w:bookmarkStart w:id="4014" w:name="_Toc2146"/>
      <w:bookmarkStart w:id="4015" w:name="_Toc28855"/>
      <w:bookmarkStart w:id="4016" w:name="_Toc15117"/>
      <w:bookmarkStart w:id="4017" w:name="_Toc14277"/>
      <w:bookmarkStart w:id="4018" w:name="_Toc28648"/>
      <w:bookmarkStart w:id="4019" w:name="_Toc25021"/>
      <w:bookmarkStart w:id="4020" w:name="_Toc7498"/>
      <w:bookmarkStart w:id="4021" w:name="_Toc17983"/>
      <w:bookmarkStart w:id="4022" w:name="_Toc1773"/>
      <w:bookmarkStart w:id="4023" w:name="_Toc4186"/>
      <w:r>
        <w:rPr>
          <w:rFonts w:hint="eastAsia" w:cs="仿宋_GB2312"/>
          <w:bCs/>
          <w:color w:val="000000" w:themeColor="text1"/>
          <w14:textFill>
            <w14:solidFill>
              <w14:schemeClr w14:val="tx1"/>
            </w14:solidFill>
          </w14:textFill>
        </w:rPr>
        <w:t>第三百一十八条</w:t>
      </w:r>
      <w:r>
        <w:rPr>
          <w:rFonts w:hint="eastAsia" w:ascii="Times New Roman" w:hAnsi="Times New Roman" w:cs="仿宋_GB2312"/>
          <w:bCs/>
          <w:color w:val="000000" w:themeColor="text1"/>
          <w:kern w:val="0"/>
          <w14:textFill>
            <w14:solidFill>
              <w14:schemeClr w14:val="tx1"/>
            </w14:solidFill>
          </w14:textFill>
        </w:rPr>
        <w:t xml:space="preserve"> 医疗机构及其医务人员开展具有较高医疗风险的诊疗活动，未提前预备应对方案防范突发风险</w:t>
      </w:r>
      <w:bookmarkEnd w:id="4013"/>
      <w:bookmarkEnd w:id="4014"/>
      <w:bookmarkEnd w:id="4015"/>
      <w:bookmarkEnd w:id="4016"/>
      <w:bookmarkEnd w:id="4017"/>
      <w:bookmarkEnd w:id="4018"/>
      <w:bookmarkEnd w:id="4019"/>
      <w:bookmarkEnd w:id="4020"/>
      <w:bookmarkEnd w:id="4021"/>
      <w:bookmarkEnd w:id="4022"/>
      <w:bookmarkEnd w:id="4023"/>
    </w:p>
    <w:p w14:paraId="1981FD0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C35A3A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《医疗纠纷预防和处理条例》第四十七条第（三）项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p>
    <w:p w14:paraId="231C8EF4">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（三）开展具有较高医</w:t>
      </w:r>
      <w:r>
        <w:rPr>
          <w:rFonts w:hint="eastAsia" w:ascii="Times New Roman" w:hAnsi="Times New Roman" w:eastAsia="仿宋_GB2312" w:cs="仿宋"/>
          <w:color w:val="000000" w:themeColor="text1"/>
          <w:sz w:val="32"/>
          <w:szCs w:val="32"/>
          <w14:textFill>
            <w14:solidFill>
              <w14:schemeClr w14:val="tx1"/>
            </w14:solidFill>
          </w14:textFill>
        </w:rPr>
        <w:t>疗风险的诊疗活动，未提前预备应对方案防范突发风险；</w:t>
      </w:r>
    </w:p>
    <w:p w14:paraId="2BB6E4D2">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96"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5978"/>
        <w:gridCol w:w="6450"/>
      </w:tblGrid>
      <w:tr w14:paraId="155E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68" w:type="dxa"/>
            <w:shd w:val="clear" w:color="auto" w:fill="auto"/>
            <w:vAlign w:val="center"/>
          </w:tcPr>
          <w:p w14:paraId="4B0C6706">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978" w:type="dxa"/>
            <w:shd w:val="clear" w:color="auto" w:fill="auto"/>
            <w:vAlign w:val="center"/>
          </w:tcPr>
          <w:p w14:paraId="78F383F9">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450" w:type="dxa"/>
            <w:shd w:val="clear" w:color="auto" w:fill="auto"/>
            <w:vAlign w:val="center"/>
          </w:tcPr>
          <w:p w14:paraId="68F30A90">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6487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568" w:type="dxa"/>
            <w:shd w:val="clear" w:color="auto" w:fill="auto"/>
            <w:vAlign w:val="center"/>
          </w:tcPr>
          <w:p w14:paraId="2659947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978" w:type="dxa"/>
            <w:shd w:val="clear" w:color="auto" w:fill="auto"/>
            <w:vAlign w:val="center"/>
          </w:tcPr>
          <w:p w14:paraId="4E6EEA3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医疗机构及其医务人员开展具有较高医疗风险的诊疗活动，未提前预备应对方案防范突发风险，首次发现的。</w:t>
            </w:r>
          </w:p>
        </w:tc>
        <w:tc>
          <w:tcPr>
            <w:tcW w:w="6450" w:type="dxa"/>
            <w:shd w:val="clear" w:color="auto" w:fill="auto"/>
            <w:vAlign w:val="center"/>
          </w:tcPr>
          <w:p w14:paraId="34B7BCB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211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568" w:type="dxa"/>
            <w:shd w:val="clear" w:color="auto" w:fill="auto"/>
            <w:vAlign w:val="center"/>
          </w:tcPr>
          <w:p w14:paraId="79E9663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978" w:type="dxa"/>
            <w:shd w:val="clear" w:color="auto" w:fill="auto"/>
            <w:vAlign w:val="center"/>
          </w:tcPr>
          <w:p w14:paraId="1749A4D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医疗机构及其医务人员开展具有较高医疗风险的诊疗活动，未提前预备应对方案防范突发风险，经处罚再次发现有该行为的。</w:t>
            </w:r>
          </w:p>
        </w:tc>
        <w:tc>
          <w:tcPr>
            <w:tcW w:w="6450" w:type="dxa"/>
            <w:shd w:val="clear" w:color="auto" w:fill="auto"/>
            <w:vAlign w:val="center"/>
          </w:tcPr>
          <w:p w14:paraId="2F7464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5C63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68" w:type="dxa"/>
            <w:shd w:val="clear" w:color="auto" w:fill="auto"/>
            <w:vAlign w:val="center"/>
          </w:tcPr>
          <w:p w14:paraId="2E2D0AA4">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978" w:type="dxa"/>
            <w:shd w:val="clear" w:color="auto" w:fill="auto"/>
            <w:vAlign w:val="center"/>
          </w:tcPr>
          <w:p w14:paraId="146F8E0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医疗机构及其医务人员开展具有较高医疗风险的诊疗活动，未提前预备应对方案防范突发风险，情节严重的。</w:t>
            </w:r>
          </w:p>
        </w:tc>
        <w:tc>
          <w:tcPr>
            <w:tcW w:w="6450" w:type="dxa"/>
            <w:shd w:val="clear" w:color="auto" w:fill="auto"/>
            <w:vAlign w:val="center"/>
          </w:tcPr>
          <w:p w14:paraId="22D6607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由县级以上人民政府卫生主管部门责令改正，给予警告，并处5万元罚款，且对有关医务人员可以责令暂停1个月以上6个月以下执业活动。</w:t>
            </w:r>
          </w:p>
        </w:tc>
      </w:tr>
    </w:tbl>
    <w:p w14:paraId="738B1505">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p>
    <w:p w14:paraId="7079B43A">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024" w:name="_Toc32638"/>
      <w:bookmarkStart w:id="4025" w:name="_Toc11537"/>
      <w:bookmarkStart w:id="4026" w:name="_Toc10463"/>
      <w:bookmarkStart w:id="4027" w:name="_Toc16359"/>
      <w:bookmarkStart w:id="4028" w:name="_Toc17139"/>
      <w:bookmarkStart w:id="4029" w:name="_Toc17316"/>
      <w:bookmarkStart w:id="4030" w:name="_Toc9045"/>
      <w:bookmarkStart w:id="4031" w:name="_Toc11720"/>
      <w:bookmarkStart w:id="4032" w:name="_Toc14514"/>
      <w:bookmarkStart w:id="4033" w:name="_Toc32334"/>
      <w:bookmarkStart w:id="4034" w:name="_Toc16854"/>
      <w:r>
        <w:rPr>
          <w:rFonts w:hint="eastAsia" w:cs="仿宋_GB2312"/>
          <w:bCs/>
          <w:color w:val="000000" w:themeColor="text1"/>
          <w14:textFill>
            <w14:solidFill>
              <w14:schemeClr w14:val="tx1"/>
            </w14:solidFill>
          </w14:textFill>
        </w:rPr>
        <w:t>第三百一十九条</w:t>
      </w:r>
      <w:r>
        <w:rPr>
          <w:rFonts w:hint="eastAsia" w:ascii="Times New Roman" w:hAnsi="Times New Roman" w:cs="仿宋_GB2312"/>
          <w:bCs/>
          <w:color w:val="000000" w:themeColor="text1"/>
          <w:kern w:val="0"/>
          <w14:textFill>
            <w14:solidFill>
              <w14:schemeClr w14:val="tx1"/>
            </w14:solidFill>
          </w14:textFill>
        </w:rPr>
        <w:t xml:space="preserve"> 医疗机构及其医务人员未按规定填写、保管病历资料，或者未按规定补记抢救病历</w:t>
      </w:r>
      <w:bookmarkEnd w:id="4024"/>
      <w:bookmarkEnd w:id="4025"/>
      <w:bookmarkEnd w:id="4026"/>
      <w:bookmarkEnd w:id="4027"/>
      <w:bookmarkEnd w:id="4028"/>
      <w:bookmarkEnd w:id="4029"/>
      <w:bookmarkEnd w:id="4030"/>
      <w:bookmarkEnd w:id="4031"/>
      <w:bookmarkEnd w:id="4032"/>
      <w:bookmarkEnd w:id="4033"/>
      <w:bookmarkEnd w:id="4034"/>
    </w:p>
    <w:p w14:paraId="019DC74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9E5697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《医疗纠纷预防和处理条例》第四十七条第（四）项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p>
    <w:p w14:paraId="018DAED5">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（四）未按规定</w:t>
      </w:r>
      <w:r>
        <w:rPr>
          <w:rFonts w:hint="eastAsia" w:ascii="Times New Roman" w:hAnsi="Times New Roman" w:eastAsia="仿宋_GB2312" w:cs="仿宋"/>
          <w:color w:val="000000" w:themeColor="text1"/>
          <w:sz w:val="32"/>
          <w:szCs w:val="32"/>
          <w14:textFill>
            <w14:solidFill>
              <w14:schemeClr w14:val="tx1"/>
            </w14:solidFill>
          </w14:textFill>
        </w:rPr>
        <w:t>填写、保管病历资料，或者未按规定补记抢救病历；</w:t>
      </w:r>
    </w:p>
    <w:p w14:paraId="6E2A25FD">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4018"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5957"/>
        <w:gridCol w:w="6493"/>
      </w:tblGrid>
      <w:tr w14:paraId="2E90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68" w:type="dxa"/>
            <w:shd w:val="clear" w:color="auto" w:fill="auto"/>
            <w:vAlign w:val="center"/>
          </w:tcPr>
          <w:p w14:paraId="27B9481F">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957" w:type="dxa"/>
            <w:shd w:val="clear" w:color="auto" w:fill="auto"/>
            <w:vAlign w:val="center"/>
          </w:tcPr>
          <w:p w14:paraId="2FA707A1">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493" w:type="dxa"/>
            <w:shd w:val="clear" w:color="auto" w:fill="auto"/>
            <w:vAlign w:val="center"/>
          </w:tcPr>
          <w:p w14:paraId="749BDD5D">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5BFC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68" w:type="dxa"/>
            <w:shd w:val="clear" w:color="auto" w:fill="auto"/>
            <w:vAlign w:val="center"/>
          </w:tcPr>
          <w:p w14:paraId="57C78711">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957" w:type="dxa"/>
            <w:shd w:val="clear" w:color="auto" w:fill="auto"/>
            <w:vAlign w:val="center"/>
          </w:tcPr>
          <w:p w14:paraId="7BA9BCC7">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医疗机构未按规定保管病历资料，医务人员未按规定填写病历资料或未按规定补记抢救病历，涉及患者1至3名。</w:t>
            </w:r>
          </w:p>
        </w:tc>
        <w:tc>
          <w:tcPr>
            <w:tcW w:w="6493" w:type="dxa"/>
            <w:shd w:val="clear" w:color="auto" w:fill="auto"/>
            <w:vAlign w:val="center"/>
          </w:tcPr>
          <w:p w14:paraId="7A3EE95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6185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68" w:type="dxa"/>
            <w:shd w:val="clear" w:color="auto" w:fill="auto"/>
            <w:vAlign w:val="center"/>
          </w:tcPr>
          <w:p w14:paraId="139BFDB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957" w:type="dxa"/>
            <w:shd w:val="clear" w:color="auto" w:fill="auto"/>
            <w:vAlign w:val="center"/>
          </w:tcPr>
          <w:p w14:paraId="40F1FA4D">
            <w:pPr>
              <w:widowControl w:val="0"/>
              <w:adjustRightInd/>
              <w:snapToGrid/>
              <w:spacing w:after="0" w:line="320" w:lineRule="exact"/>
              <w:jc w:val="left"/>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医疗机构未按规定保管病历资料，医务人员未按规定填写病历资料或未按规定补记抢救病历，涉及患者4至6名。</w:t>
            </w:r>
          </w:p>
        </w:tc>
        <w:tc>
          <w:tcPr>
            <w:tcW w:w="6493" w:type="dxa"/>
            <w:shd w:val="clear" w:color="auto" w:fill="auto"/>
            <w:vAlign w:val="center"/>
          </w:tcPr>
          <w:p w14:paraId="751273C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358C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68" w:type="dxa"/>
            <w:shd w:val="clear" w:color="auto" w:fill="auto"/>
            <w:vAlign w:val="center"/>
          </w:tcPr>
          <w:p w14:paraId="420A910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957" w:type="dxa"/>
            <w:shd w:val="clear" w:color="auto" w:fill="auto"/>
            <w:vAlign w:val="center"/>
          </w:tcPr>
          <w:p w14:paraId="47D479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有下列情形之一的：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（1）医疗机构未按规定保管病历资料，医务人员未按规定填写病历资料或未按规定补记抢救病历，涉及患者7名以上；（2）造成重大不良社会影响或其他严重不良后果。</w:t>
            </w:r>
          </w:p>
        </w:tc>
        <w:tc>
          <w:tcPr>
            <w:tcW w:w="6493" w:type="dxa"/>
            <w:shd w:val="clear" w:color="auto" w:fill="auto"/>
            <w:vAlign w:val="center"/>
          </w:tcPr>
          <w:p w14:paraId="0AFAE43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由县级以上人民政府卫生主管部门责令改正，给予警告，并处5万元罚款，对有关医务人员可以责令暂停1个月以上6个月以下执业活动。</w:t>
            </w:r>
          </w:p>
        </w:tc>
      </w:tr>
    </w:tbl>
    <w:p w14:paraId="4D327310">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035" w:name="_Toc9484"/>
      <w:bookmarkStart w:id="4036" w:name="_Toc6324"/>
      <w:bookmarkStart w:id="4037" w:name="_Toc11345"/>
      <w:bookmarkStart w:id="4038" w:name="_Toc7459"/>
      <w:bookmarkStart w:id="4039" w:name="_Toc9636"/>
      <w:bookmarkStart w:id="4040" w:name="_Toc15104"/>
      <w:bookmarkStart w:id="4041" w:name="_Toc16174"/>
      <w:bookmarkStart w:id="4042" w:name="_Toc28343"/>
      <w:bookmarkStart w:id="4043" w:name="_Toc31503"/>
      <w:bookmarkStart w:id="4044" w:name="_Toc15556"/>
      <w:bookmarkStart w:id="4045" w:name="_Toc11556"/>
      <w:r>
        <w:rPr>
          <w:rFonts w:hint="eastAsia" w:cs="仿宋_GB2312"/>
          <w:bCs/>
          <w:color w:val="000000" w:themeColor="text1"/>
          <w14:textFill>
            <w14:solidFill>
              <w14:schemeClr w14:val="tx1"/>
            </w14:solidFill>
          </w14:textFill>
        </w:rPr>
        <w:t>第三百二十条</w:t>
      </w:r>
      <w:r>
        <w:rPr>
          <w:rFonts w:hint="eastAsia" w:ascii="Times New Roman" w:hAnsi="Times New Roman" w:cs="仿宋_GB2312"/>
          <w:bCs/>
          <w:color w:val="000000" w:themeColor="text1"/>
          <w:kern w:val="0"/>
          <w14:textFill>
            <w14:solidFill>
              <w14:schemeClr w14:val="tx1"/>
            </w14:solidFill>
          </w14:textFill>
        </w:rPr>
        <w:t xml:space="preserve"> 医疗机构及其医务人员拒绝为患者提供查阅、复制病历资料服务</w:t>
      </w:r>
      <w:bookmarkEnd w:id="4035"/>
      <w:bookmarkEnd w:id="4036"/>
      <w:bookmarkEnd w:id="4037"/>
      <w:bookmarkEnd w:id="4038"/>
      <w:bookmarkEnd w:id="4039"/>
      <w:bookmarkEnd w:id="4040"/>
      <w:bookmarkEnd w:id="4041"/>
      <w:bookmarkEnd w:id="4042"/>
      <w:bookmarkEnd w:id="4043"/>
      <w:bookmarkEnd w:id="4044"/>
      <w:bookmarkEnd w:id="4045"/>
    </w:p>
    <w:p w14:paraId="3510138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7D530E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《医疗纠纷预防和处理条例》第四十七条第（五）项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p>
    <w:p w14:paraId="5EC27EF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（五）拒绝为患者提供查阅、复制病历资料服务；</w:t>
      </w:r>
    </w:p>
    <w:p w14:paraId="4DA31008">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96"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5957"/>
        <w:gridCol w:w="6471"/>
      </w:tblGrid>
      <w:tr w14:paraId="2866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68" w:type="dxa"/>
            <w:shd w:val="clear" w:color="auto" w:fill="auto"/>
            <w:vAlign w:val="center"/>
          </w:tcPr>
          <w:p w14:paraId="16BB9B51">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957" w:type="dxa"/>
            <w:shd w:val="clear" w:color="auto" w:fill="auto"/>
            <w:vAlign w:val="center"/>
          </w:tcPr>
          <w:p w14:paraId="1589CE5B">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471" w:type="dxa"/>
            <w:shd w:val="clear" w:color="auto" w:fill="auto"/>
            <w:vAlign w:val="center"/>
          </w:tcPr>
          <w:p w14:paraId="6BE38A65">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0E1C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568" w:type="dxa"/>
            <w:shd w:val="clear" w:color="auto" w:fill="auto"/>
            <w:vAlign w:val="center"/>
          </w:tcPr>
          <w:p w14:paraId="74DD3DD1">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957" w:type="dxa"/>
            <w:shd w:val="clear" w:color="auto" w:fill="auto"/>
            <w:vAlign w:val="center"/>
          </w:tcPr>
          <w:p w14:paraId="466444D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医疗机构及其医务人员拒绝为患者提供查阅、复制病历资料服务，首次发现的。</w:t>
            </w:r>
          </w:p>
        </w:tc>
        <w:tc>
          <w:tcPr>
            <w:tcW w:w="6471" w:type="dxa"/>
            <w:shd w:val="clear" w:color="auto" w:fill="auto"/>
            <w:vAlign w:val="center"/>
          </w:tcPr>
          <w:p w14:paraId="0E97EC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37C5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68" w:type="dxa"/>
            <w:shd w:val="clear" w:color="auto" w:fill="auto"/>
            <w:vAlign w:val="center"/>
          </w:tcPr>
          <w:p w14:paraId="650C4DBD">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957" w:type="dxa"/>
            <w:shd w:val="clear" w:color="auto" w:fill="auto"/>
            <w:vAlign w:val="center"/>
          </w:tcPr>
          <w:p w14:paraId="6E1DFA5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医疗机构及其医务人员拒绝为患者提供查阅、复制病历资料服务，经处罚再次发现有该行为的。</w:t>
            </w:r>
          </w:p>
        </w:tc>
        <w:tc>
          <w:tcPr>
            <w:tcW w:w="6471" w:type="dxa"/>
            <w:shd w:val="clear" w:color="auto" w:fill="auto"/>
            <w:vAlign w:val="center"/>
          </w:tcPr>
          <w:p w14:paraId="4417466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2E46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68" w:type="dxa"/>
            <w:shd w:val="clear" w:color="auto" w:fill="auto"/>
            <w:vAlign w:val="center"/>
          </w:tcPr>
          <w:p w14:paraId="410B47FB">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957" w:type="dxa"/>
            <w:shd w:val="clear" w:color="auto" w:fill="auto"/>
            <w:vAlign w:val="center"/>
          </w:tcPr>
          <w:p w14:paraId="0DD5C91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医疗机构及其医务人员拒绝为患者提供查阅、复制病历资料服务，情节严重的。</w:t>
            </w:r>
          </w:p>
        </w:tc>
        <w:tc>
          <w:tcPr>
            <w:tcW w:w="6471" w:type="dxa"/>
            <w:shd w:val="clear" w:color="auto" w:fill="auto"/>
            <w:vAlign w:val="center"/>
          </w:tcPr>
          <w:p w14:paraId="1284332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由县级以上人民政府卫生主管部门责令改正，给予警告，并处5万元罚款，对有关医务人员可以责令暂停1个月以上6个月以下执业活动。</w:t>
            </w:r>
          </w:p>
        </w:tc>
      </w:tr>
    </w:tbl>
    <w:p w14:paraId="59A3500C">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046" w:name="_Toc18385"/>
      <w:bookmarkStart w:id="4047" w:name="_Toc18568"/>
      <w:bookmarkStart w:id="4048" w:name="_Toc3551"/>
      <w:bookmarkStart w:id="4049" w:name="_Toc8442"/>
      <w:bookmarkStart w:id="4050" w:name="_Toc23561"/>
      <w:bookmarkStart w:id="4051" w:name="_Toc13015"/>
      <w:bookmarkStart w:id="4052" w:name="_Toc28462"/>
      <w:bookmarkStart w:id="4053" w:name="_Toc3215"/>
      <w:bookmarkStart w:id="4054" w:name="_Toc2204"/>
      <w:bookmarkStart w:id="4055" w:name="_Toc11153"/>
      <w:bookmarkStart w:id="4056" w:name="_Toc4413"/>
      <w:r>
        <w:rPr>
          <w:rFonts w:hint="eastAsia" w:cs="仿宋_GB2312"/>
          <w:bCs/>
          <w:color w:val="000000" w:themeColor="text1"/>
          <w14:textFill>
            <w14:solidFill>
              <w14:schemeClr w14:val="tx1"/>
            </w14:solidFill>
          </w14:textFill>
        </w:rPr>
        <w:t>第三百二十一条</w:t>
      </w:r>
      <w:r>
        <w:rPr>
          <w:rFonts w:hint="eastAsia" w:ascii="Times New Roman" w:hAnsi="Times New Roman" w:cs="仿宋_GB2312"/>
          <w:bCs/>
          <w:color w:val="000000" w:themeColor="text1"/>
          <w:kern w:val="0"/>
          <w14:textFill>
            <w14:solidFill>
              <w14:schemeClr w14:val="tx1"/>
            </w14:solidFill>
          </w14:textFill>
        </w:rPr>
        <w:t xml:space="preserve"> 医疗机构及其医务人员未建立投诉接待制度、设置统一投诉管理部门或者配备专（兼）职人员</w:t>
      </w:r>
      <w:bookmarkEnd w:id="4046"/>
      <w:bookmarkEnd w:id="4047"/>
      <w:bookmarkEnd w:id="4048"/>
      <w:bookmarkEnd w:id="4049"/>
      <w:bookmarkEnd w:id="4050"/>
      <w:bookmarkEnd w:id="4051"/>
      <w:bookmarkEnd w:id="4052"/>
      <w:bookmarkEnd w:id="4053"/>
      <w:bookmarkEnd w:id="4054"/>
      <w:bookmarkEnd w:id="4055"/>
      <w:bookmarkEnd w:id="4056"/>
    </w:p>
    <w:p w14:paraId="40C4FB6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58A1B7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1.《医疗纠纷预防和处理条例》第四十七条第（六）项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p>
    <w:p w14:paraId="5EB88C2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（六）未建立投诉接待制度、设置统一投诉管理部门或者配备专（兼）职人员；</w:t>
      </w:r>
    </w:p>
    <w:p w14:paraId="1AF08CA7">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2.《医疗机构投诉管理办法》第四十三条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医疗机构未建立投诉接待制度、未设置统一投诉管理部门或者配备专（兼）职人员，或者未按规定向卫生健康主管部门报告重大医疗纠纷的，由县级以上地方卫生健康主管</w:t>
      </w:r>
      <w:r>
        <w:rPr>
          <w:rFonts w:hint="eastAsia" w:ascii="Times New Roman" w:hAnsi="Times New Roman" w:eastAsia="仿宋_GB2312" w:cs="仿宋"/>
          <w:color w:val="000000" w:themeColor="text1"/>
          <w:sz w:val="32"/>
          <w:szCs w:val="32"/>
          <w14:textFill>
            <w14:solidFill>
              <w14:schemeClr w14:val="tx1"/>
            </w14:solidFill>
          </w14:textFill>
        </w:rPr>
        <w:t>部门按照《医疗纠纷预防和处理条例》第四十七条的规定进行处理。</w:t>
      </w:r>
    </w:p>
    <w:p w14:paraId="1146C62E">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5935"/>
        <w:gridCol w:w="6276"/>
      </w:tblGrid>
      <w:tr w14:paraId="25EB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456" w:type="dxa"/>
            <w:shd w:val="clear" w:color="auto" w:fill="auto"/>
            <w:vAlign w:val="center"/>
          </w:tcPr>
          <w:p w14:paraId="421EBAC7">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935" w:type="dxa"/>
            <w:shd w:val="clear" w:color="auto" w:fill="auto"/>
            <w:vAlign w:val="center"/>
          </w:tcPr>
          <w:p w14:paraId="21D5B0BB">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276" w:type="dxa"/>
            <w:shd w:val="clear" w:color="auto" w:fill="auto"/>
            <w:vAlign w:val="center"/>
          </w:tcPr>
          <w:p w14:paraId="5295C360">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0331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456" w:type="dxa"/>
            <w:shd w:val="clear" w:color="auto" w:fill="auto"/>
            <w:vAlign w:val="center"/>
          </w:tcPr>
          <w:p w14:paraId="3F6EDDD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935" w:type="dxa"/>
            <w:shd w:val="clear" w:color="auto" w:fill="auto"/>
            <w:vAlign w:val="center"/>
          </w:tcPr>
          <w:p w14:paraId="3BF675D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医疗机构及其医务人员未建立投诉接待制度、设置统一投诉管理部门或者配备专（兼）职人员，首次发现的。</w:t>
            </w:r>
          </w:p>
        </w:tc>
        <w:tc>
          <w:tcPr>
            <w:tcW w:w="6276" w:type="dxa"/>
            <w:shd w:val="clear" w:color="auto" w:fill="auto"/>
            <w:vAlign w:val="center"/>
          </w:tcPr>
          <w:p w14:paraId="1AB2C34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6805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456" w:type="dxa"/>
            <w:shd w:val="clear" w:color="auto" w:fill="auto"/>
            <w:vAlign w:val="center"/>
          </w:tcPr>
          <w:p w14:paraId="03FA8C4B">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935" w:type="dxa"/>
            <w:shd w:val="clear" w:color="auto" w:fill="auto"/>
            <w:vAlign w:val="center"/>
          </w:tcPr>
          <w:p w14:paraId="02B7A36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医疗机构及其医务人员未建立投诉接待制度、设置统一投诉管理部门或者配备专（兼）职人员，经处罚再次发现有该行为的。</w:t>
            </w:r>
          </w:p>
        </w:tc>
        <w:tc>
          <w:tcPr>
            <w:tcW w:w="6276" w:type="dxa"/>
            <w:shd w:val="clear" w:color="auto" w:fill="auto"/>
            <w:vAlign w:val="center"/>
          </w:tcPr>
          <w:p w14:paraId="0E143D8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0998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456" w:type="dxa"/>
            <w:shd w:val="clear" w:color="auto" w:fill="auto"/>
            <w:vAlign w:val="center"/>
          </w:tcPr>
          <w:p w14:paraId="0206E8BA">
            <w:pPr>
              <w:widowControl w:val="0"/>
              <w:adjustRightInd/>
              <w:snapToGrid/>
              <w:spacing w:after="0" w:line="440" w:lineRule="exact"/>
              <w:jc w:val="center"/>
              <w:rPr>
                <w:rFonts w:hint="eastAsia" w:ascii="Times New Roman" w:hAnsi="Times New Roman" w:eastAsia="仿宋_GB2312" w:cs="仿宋"/>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935" w:type="dxa"/>
            <w:shd w:val="clear" w:color="auto" w:fill="auto"/>
            <w:vAlign w:val="center"/>
          </w:tcPr>
          <w:p w14:paraId="5E56009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医疗机构及其医务人员未建立投诉接待制度、设置统一投诉管理部门或者配备专（兼）职人员，情节严重的。</w:t>
            </w:r>
          </w:p>
        </w:tc>
        <w:tc>
          <w:tcPr>
            <w:tcW w:w="6276" w:type="dxa"/>
            <w:shd w:val="clear" w:color="auto" w:fill="auto"/>
            <w:vAlign w:val="center"/>
          </w:tcPr>
          <w:p w14:paraId="11C9915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由县级以上人民政府卫生主管部门责令改正，给予警告，并处5万元罚款，对有关医务人员可以责令暂停1个月以上6个月以下执业活动。</w:t>
            </w:r>
          </w:p>
        </w:tc>
      </w:tr>
    </w:tbl>
    <w:p w14:paraId="6C2CC1F1">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057" w:name="_Toc29559"/>
      <w:bookmarkStart w:id="4058" w:name="_Toc27119"/>
      <w:bookmarkStart w:id="4059" w:name="_Toc45"/>
      <w:bookmarkStart w:id="4060" w:name="_Toc16100"/>
      <w:bookmarkStart w:id="4061" w:name="_Toc8811"/>
      <w:bookmarkStart w:id="4062" w:name="_Toc999"/>
      <w:bookmarkStart w:id="4063" w:name="_Toc31429"/>
      <w:bookmarkStart w:id="4064" w:name="_Toc7208"/>
      <w:bookmarkStart w:id="4065" w:name="_Toc32288"/>
      <w:bookmarkStart w:id="4066" w:name="_Toc22466"/>
      <w:bookmarkStart w:id="4067" w:name="_Toc8555"/>
      <w:r>
        <w:rPr>
          <w:rFonts w:hint="eastAsia" w:cs="仿宋_GB2312"/>
          <w:bCs/>
          <w:color w:val="000000" w:themeColor="text1"/>
          <w14:textFill>
            <w14:solidFill>
              <w14:schemeClr w14:val="tx1"/>
            </w14:solidFill>
          </w14:textFill>
        </w:rPr>
        <w:t>第三百二十二条</w:t>
      </w:r>
      <w:r>
        <w:rPr>
          <w:rFonts w:hint="eastAsia" w:ascii="Times New Roman" w:hAnsi="Times New Roman" w:cs="仿宋_GB2312"/>
          <w:bCs/>
          <w:color w:val="000000" w:themeColor="text1"/>
          <w:kern w:val="0"/>
          <w14:textFill>
            <w14:solidFill>
              <w14:schemeClr w14:val="tx1"/>
            </w14:solidFill>
          </w14:textFill>
        </w:rPr>
        <w:t xml:space="preserve"> 医疗机构及其医务人员未按规定封存、保管、启封病历资料和现场实物</w:t>
      </w:r>
      <w:bookmarkEnd w:id="4057"/>
      <w:bookmarkEnd w:id="4058"/>
      <w:bookmarkEnd w:id="4059"/>
      <w:bookmarkEnd w:id="4060"/>
      <w:bookmarkEnd w:id="4061"/>
      <w:bookmarkEnd w:id="4062"/>
      <w:bookmarkEnd w:id="4063"/>
      <w:bookmarkEnd w:id="4064"/>
      <w:bookmarkEnd w:id="4065"/>
      <w:bookmarkEnd w:id="4066"/>
      <w:bookmarkEnd w:id="4067"/>
    </w:p>
    <w:p w14:paraId="08D757C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F5D57E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《医疗纠纷预防和处理条例》第四十七条第（七）项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p>
    <w:p w14:paraId="42EB4BBB">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（七）未按规定封存、保</w:t>
      </w:r>
      <w:r>
        <w:rPr>
          <w:rFonts w:hint="eastAsia" w:ascii="Times New Roman" w:hAnsi="Times New Roman" w:eastAsia="仿宋_GB2312" w:cs="仿宋"/>
          <w:color w:val="000000" w:themeColor="text1"/>
          <w:sz w:val="32"/>
          <w:szCs w:val="32"/>
          <w14:textFill>
            <w14:solidFill>
              <w14:schemeClr w14:val="tx1"/>
            </w14:solidFill>
          </w14:textFill>
        </w:rPr>
        <w:t>管、启封病历资料和现场实物；</w:t>
      </w:r>
    </w:p>
    <w:p w14:paraId="6CE29F6C">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804"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5914"/>
        <w:gridCol w:w="6258"/>
      </w:tblGrid>
      <w:tr w14:paraId="6010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32" w:type="dxa"/>
            <w:shd w:val="clear" w:color="auto" w:fill="auto"/>
            <w:vAlign w:val="center"/>
          </w:tcPr>
          <w:p w14:paraId="7643BE85">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914" w:type="dxa"/>
            <w:shd w:val="clear" w:color="auto" w:fill="auto"/>
            <w:vAlign w:val="center"/>
          </w:tcPr>
          <w:p w14:paraId="3ECBAF39">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258" w:type="dxa"/>
            <w:shd w:val="clear" w:color="auto" w:fill="auto"/>
            <w:vAlign w:val="center"/>
          </w:tcPr>
          <w:p w14:paraId="61AB5261">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6906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32" w:type="dxa"/>
            <w:shd w:val="clear" w:color="auto" w:fill="auto"/>
            <w:vAlign w:val="center"/>
          </w:tcPr>
          <w:p w14:paraId="555530AA">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914" w:type="dxa"/>
            <w:shd w:val="clear" w:color="auto" w:fill="auto"/>
            <w:vAlign w:val="center"/>
          </w:tcPr>
          <w:p w14:paraId="2DD3FED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医疗机构及其医务人员未按规定封存、保管、启封病历资料和现场实物，首次发现的。</w:t>
            </w:r>
          </w:p>
        </w:tc>
        <w:tc>
          <w:tcPr>
            <w:tcW w:w="6258" w:type="dxa"/>
            <w:shd w:val="clear" w:color="auto" w:fill="auto"/>
            <w:vAlign w:val="center"/>
          </w:tcPr>
          <w:p w14:paraId="2787E5C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7B1D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32" w:type="dxa"/>
            <w:shd w:val="clear" w:color="auto" w:fill="auto"/>
            <w:vAlign w:val="center"/>
          </w:tcPr>
          <w:p w14:paraId="4F8938AA">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914" w:type="dxa"/>
            <w:shd w:val="clear" w:color="auto" w:fill="auto"/>
            <w:vAlign w:val="center"/>
          </w:tcPr>
          <w:p w14:paraId="3B8AF38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医疗机构及其医务人员未按规定封存、保管、启封病历资料和现场实物，经处罚再次发现有该行为的。</w:t>
            </w:r>
          </w:p>
        </w:tc>
        <w:tc>
          <w:tcPr>
            <w:tcW w:w="6258" w:type="dxa"/>
            <w:shd w:val="clear" w:color="auto" w:fill="auto"/>
            <w:vAlign w:val="center"/>
          </w:tcPr>
          <w:p w14:paraId="5CBB46B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3D11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32" w:type="dxa"/>
            <w:shd w:val="clear" w:color="auto" w:fill="auto"/>
            <w:vAlign w:val="center"/>
          </w:tcPr>
          <w:p w14:paraId="7B9AF012">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914" w:type="dxa"/>
            <w:shd w:val="clear" w:color="auto" w:fill="auto"/>
            <w:vAlign w:val="center"/>
          </w:tcPr>
          <w:p w14:paraId="3C45F02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医疗机构及其医务人员未按规定封存、保管、启封病历资料和现场实物，情节严重的。</w:t>
            </w:r>
          </w:p>
        </w:tc>
        <w:tc>
          <w:tcPr>
            <w:tcW w:w="6258" w:type="dxa"/>
            <w:shd w:val="clear" w:color="auto" w:fill="auto"/>
            <w:vAlign w:val="center"/>
          </w:tcPr>
          <w:p w14:paraId="7C6946A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由县级以上人民政府卫生主管部门责令改正，给予警告，并处5万元罚款，对有关医务人员可以责令暂停1个月以上6个月以下执业活动。</w:t>
            </w:r>
          </w:p>
        </w:tc>
      </w:tr>
    </w:tbl>
    <w:p w14:paraId="0C560C05">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068" w:name="_Toc20903"/>
      <w:bookmarkStart w:id="4069" w:name="_Toc24866"/>
      <w:bookmarkStart w:id="4070" w:name="_Toc12233"/>
      <w:bookmarkStart w:id="4071" w:name="_Toc22612"/>
      <w:bookmarkStart w:id="4072" w:name="_Toc2785"/>
      <w:bookmarkStart w:id="4073" w:name="_Toc31872"/>
      <w:bookmarkStart w:id="4074" w:name="_Toc18714"/>
      <w:bookmarkStart w:id="4075" w:name="_Toc8753"/>
      <w:bookmarkStart w:id="4076" w:name="_Toc19129"/>
      <w:bookmarkStart w:id="4077" w:name="_Toc8175"/>
      <w:bookmarkStart w:id="4078" w:name="_Toc6827"/>
      <w:r>
        <w:rPr>
          <w:rFonts w:hint="eastAsia" w:cs="仿宋_GB2312"/>
          <w:bCs/>
          <w:color w:val="000000" w:themeColor="text1"/>
          <w14:textFill>
            <w14:solidFill>
              <w14:schemeClr w14:val="tx1"/>
            </w14:solidFill>
          </w14:textFill>
        </w:rPr>
        <w:t>第三百二十三条</w:t>
      </w:r>
      <w:r>
        <w:rPr>
          <w:rFonts w:hint="eastAsia" w:ascii="Times New Roman" w:hAnsi="Times New Roman" w:cs="仿宋_GB2312"/>
          <w:bCs/>
          <w:color w:val="000000" w:themeColor="text1"/>
          <w:kern w:val="0"/>
          <w14:textFill>
            <w14:solidFill>
              <w14:schemeClr w14:val="tx1"/>
            </w14:solidFill>
          </w14:textFill>
        </w:rPr>
        <w:t xml:space="preserve"> 医疗机构及其医务人员未按规定向卫生主管部门报告重大医疗纠纷</w:t>
      </w:r>
      <w:bookmarkEnd w:id="4068"/>
      <w:bookmarkEnd w:id="4069"/>
      <w:bookmarkEnd w:id="4070"/>
      <w:bookmarkEnd w:id="4071"/>
      <w:bookmarkEnd w:id="4072"/>
      <w:bookmarkEnd w:id="4073"/>
      <w:bookmarkEnd w:id="4074"/>
      <w:bookmarkEnd w:id="4075"/>
      <w:bookmarkEnd w:id="4076"/>
      <w:bookmarkEnd w:id="4077"/>
      <w:bookmarkEnd w:id="4078"/>
    </w:p>
    <w:p w14:paraId="302A093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6E1572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1.《医疗纠纷预防和处理条例》第四十七条第（八）项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p>
    <w:p w14:paraId="3DC2BEE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（八）未按规定向卫生主管部门报告重大医疗纠纷；</w:t>
      </w:r>
    </w:p>
    <w:p w14:paraId="419C24B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2.《医疗机构投诉管理办法》第四十三条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未建立投诉接待制度、未设置统一投诉管理部门或者配备专（兼）职人员，或者未按规定向卫生健康主管部门报告重大医疗纠纷的，由县级以上地方卫生健康主管部门按照《医疗纠纷预防和处理条例》第四十七条的规定进行处理。</w:t>
      </w:r>
    </w:p>
    <w:p w14:paraId="0183B2E1">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784"/>
        <w:gridCol w:w="6254"/>
      </w:tblGrid>
      <w:tr w14:paraId="2113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629" w:type="dxa"/>
            <w:shd w:val="clear" w:color="auto" w:fill="auto"/>
            <w:vAlign w:val="center"/>
          </w:tcPr>
          <w:p w14:paraId="1B45DF81">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784" w:type="dxa"/>
            <w:shd w:val="clear" w:color="auto" w:fill="auto"/>
            <w:vAlign w:val="center"/>
          </w:tcPr>
          <w:p w14:paraId="4CF0D255">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254" w:type="dxa"/>
            <w:shd w:val="clear" w:color="auto" w:fill="auto"/>
            <w:vAlign w:val="center"/>
          </w:tcPr>
          <w:p w14:paraId="44080426">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1F0F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629" w:type="dxa"/>
            <w:shd w:val="clear" w:color="auto" w:fill="auto"/>
            <w:vAlign w:val="center"/>
          </w:tcPr>
          <w:p w14:paraId="66506CE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784" w:type="dxa"/>
            <w:shd w:val="clear" w:color="auto" w:fill="auto"/>
            <w:vAlign w:val="center"/>
          </w:tcPr>
          <w:p w14:paraId="6673602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医疗机构及其医务人员未按规定向卫生主管部门报告重大医疗纠纷，首次发现的。</w:t>
            </w:r>
          </w:p>
        </w:tc>
        <w:tc>
          <w:tcPr>
            <w:tcW w:w="6254" w:type="dxa"/>
            <w:shd w:val="clear" w:color="auto" w:fill="auto"/>
            <w:vAlign w:val="center"/>
          </w:tcPr>
          <w:p w14:paraId="460D7DF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5D45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shd w:val="clear" w:color="auto" w:fill="auto"/>
            <w:vAlign w:val="center"/>
          </w:tcPr>
          <w:p w14:paraId="2E2E49AB">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784" w:type="dxa"/>
            <w:shd w:val="clear" w:color="auto" w:fill="auto"/>
            <w:vAlign w:val="center"/>
          </w:tcPr>
          <w:p w14:paraId="750D8E8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医疗机构及其医务人员未按规定向卫生主管部门报告重大医疗纠纷，经处罚再次发现有该行为的。</w:t>
            </w:r>
          </w:p>
        </w:tc>
        <w:tc>
          <w:tcPr>
            <w:tcW w:w="6254" w:type="dxa"/>
            <w:shd w:val="clear" w:color="auto" w:fill="auto"/>
            <w:vAlign w:val="center"/>
          </w:tcPr>
          <w:p w14:paraId="6C36517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611F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629" w:type="dxa"/>
            <w:shd w:val="clear" w:color="auto" w:fill="auto"/>
            <w:vAlign w:val="center"/>
          </w:tcPr>
          <w:p w14:paraId="7AB7EE0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784" w:type="dxa"/>
            <w:shd w:val="clear" w:color="auto" w:fill="auto"/>
            <w:vAlign w:val="center"/>
          </w:tcPr>
          <w:p w14:paraId="49A368C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医疗机构及其医务人员未按规定向卫生主管部门报告重大医疗纠纷，情节严重的。</w:t>
            </w:r>
          </w:p>
        </w:tc>
        <w:tc>
          <w:tcPr>
            <w:tcW w:w="6254" w:type="dxa"/>
            <w:shd w:val="clear" w:color="auto" w:fill="auto"/>
            <w:vAlign w:val="center"/>
          </w:tcPr>
          <w:p w14:paraId="113709E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由县级以上人民政府卫生主管部门责令改正，给予警告，并处5万元罚款，对有关医务人员可以责令暂停1个月以上6个月以下执业活动。</w:t>
            </w:r>
          </w:p>
        </w:tc>
      </w:tr>
    </w:tbl>
    <w:p w14:paraId="1FF28CB4">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079" w:name="_Toc16136"/>
      <w:bookmarkStart w:id="4080" w:name="_Toc21775"/>
      <w:bookmarkStart w:id="4081" w:name="_Toc7692"/>
      <w:bookmarkStart w:id="4082" w:name="_Toc2724"/>
      <w:bookmarkStart w:id="4083" w:name="_Toc31774"/>
      <w:bookmarkStart w:id="4084" w:name="_Toc18688"/>
      <w:bookmarkStart w:id="4085" w:name="_Toc18323"/>
      <w:bookmarkStart w:id="4086" w:name="_Toc12729"/>
      <w:bookmarkStart w:id="4087" w:name="_Toc27091"/>
      <w:bookmarkStart w:id="4088" w:name="_Toc16884"/>
      <w:bookmarkStart w:id="4089" w:name="_Toc25212"/>
      <w:r>
        <w:rPr>
          <w:rFonts w:hint="eastAsia" w:cs="仿宋_GB2312"/>
          <w:bCs/>
          <w:color w:val="000000" w:themeColor="text1"/>
          <w14:textFill>
            <w14:solidFill>
              <w14:schemeClr w14:val="tx1"/>
            </w14:solidFill>
          </w14:textFill>
        </w:rPr>
        <w:t>第三百二十四条</w:t>
      </w:r>
      <w:r>
        <w:rPr>
          <w:rFonts w:hint="eastAsia" w:ascii="Times New Roman" w:hAnsi="Times New Roman" w:cs="仿宋_GB2312"/>
          <w:bCs/>
          <w:color w:val="000000" w:themeColor="text1"/>
          <w:kern w:val="0"/>
          <w14:textFill>
            <w14:solidFill>
              <w14:schemeClr w14:val="tx1"/>
            </w14:solidFill>
          </w14:textFill>
        </w:rPr>
        <w:t xml:space="preserve"> 医疗机构及医务人员其他未履行《医疗纠纷预防和处理条例》规定义务的情形</w:t>
      </w:r>
      <w:bookmarkEnd w:id="4079"/>
      <w:bookmarkEnd w:id="4080"/>
      <w:bookmarkEnd w:id="4081"/>
      <w:bookmarkEnd w:id="4082"/>
      <w:bookmarkEnd w:id="4083"/>
      <w:bookmarkEnd w:id="4084"/>
      <w:bookmarkEnd w:id="4085"/>
      <w:bookmarkEnd w:id="4086"/>
      <w:bookmarkEnd w:id="4087"/>
      <w:bookmarkEnd w:id="4088"/>
      <w:bookmarkEnd w:id="4089"/>
    </w:p>
    <w:p w14:paraId="13A946F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F593DA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《医疗纠纷预防和处理条例》第四十七条第（九）项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医疗机构及其医务人员有下列情形之一的，由县级以上人民政府卫生主管部门责令改正，给予警告，并处 1 万元以上 5 万元以下罚款；情节严重的，对直接负责的主管人员和其他直接责任人员给予或者责令给予降低岗位等级或者撤职的处分，对有关医务人员可以责令暂停 1 个月以上 6 个月以下执业活动；构成犯罪的，依法追究刑事责任：</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p>
    <w:p w14:paraId="60C8E69B">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（九）其他未履行本条例规</w:t>
      </w:r>
      <w:r>
        <w:rPr>
          <w:rFonts w:hint="eastAsia" w:ascii="Times New Roman" w:hAnsi="Times New Roman" w:eastAsia="仿宋_GB2312" w:cs="仿宋"/>
          <w:color w:val="000000" w:themeColor="text1"/>
          <w:sz w:val="32"/>
          <w:szCs w:val="32"/>
          <w14:textFill>
            <w14:solidFill>
              <w14:schemeClr w14:val="tx1"/>
            </w14:solidFill>
          </w14:textFill>
        </w:rPr>
        <w:t>定义务的情形。</w:t>
      </w:r>
    </w:p>
    <w:p w14:paraId="6900EDCA">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804"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5807"/>
        <w:gridCol w:w="6236"/>
      </w:tblGrid>
      <w:tr w14:paraId="0CD0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761" w:type="dxa"/>
            <w:shd w:val="clear" w:color="auto" w:fill="auto"/>
            <w:vAlign w:val="center"/>
          </w:tcPr>
          <w:p w14:paraId="1DE6F0BC">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违法程度</w:t>
            </w:r>
          </w:p>
        </w:tc>
        <w:tc>
          <w:tcPr>
            <w:tcW w:w="5807" w:type="dxa"/>
            <w:shd w:val="clear" w:color="auto" w:fill="auto"/>
            <w:vAlign w:val="center"/>
          </w:tcPr>
          <w:p w14:paraId="0398F4EC">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情节后果</w:t>
            </w:r>
          </w:p>
        </w:tc>
        <w:tc>
          <w:tcPr>
            <w:tcW w:w="6236" w:type="dxa"/>
            <w:shd w:val="clear" w:color="auto" w:fill="auto"/>
            <w:vAlign w:val="center"/>
          </w:tcPr>
          <w:p w14:paraId="59728FD2">
            <w:pPr>
              <w:widowControl/>
              <w:adjustRightInd/>
              <w:snapToGrid/>
              <w:spacing w:after="0" w:line="240" w:lineRule="auto"/>
              <w:jc w:val="center"/>
              <w:textAlignment w:val="auto"/>
              <w:rPr>
                <w:rFonts w:hint="eastAsia" w:ascii="Times New Roman" w:hAnsi="Times New Roman" w:eastAsia="微软雅黑" w:cs="微软雅黑"/>
                <w:b/>
                <w:bCs/>
                <w:color w:val="000000" w:themeColor="text1"/>
                <w:sz w:val="28"/>
                <w:szCs w:val="28"/>
                <w:lang w:bidi="ar"/>
                <w14:textFill>
                  <w14:solidFill>
                    <w14:schemeClr w14:val="tx1"/>
                  </w14:solidFill>
                </w14:textFill>
              </w:rPr>
            </w:pPr>
            <w:r>
              <w:rPr>
                <w:rFonts w:hint="eastAsia" w:ascii="Times New Roman" w:hAnsi="Times New Roman" w:eastAsia="微软雅黑" w:cs="微软雅黑"/>
                <w:b/>
                <w:bCs/>
                <w:color w:val="000000" w:themeColor="text1"/>
                <w:sz w:val="28"/>
                <w:szCs w:val="28"/>
                <w:lang w:bidi="ar"/>
                <w14:textFill>
                  <w14:solidFill>
                    <w14:schemeClr w14:val="tx1"/>
                  </w14:solidFill>
                </w14:textFill>
              </w:rPr>
              <w:t>裁量幅度</w:t>
            </w:r>
          </w:p>
        </w:tc>
      </w:tr>
      <w:tr w14:paraId="71C7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761" w:type="dxa"/>
            <w:shd w:val="clear" w:color="auto" w:fill="auto"/>
            <w:vAlign w:val="center"/>
          </w:tcPr>
          <w:p w14:paraId="1124EF01">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807" w:type="dxa"/>
            <w:shd w:val="clear" w:color="auto" w:fill="auto"/>
            <w:vAlign w:val="center"/>
          </w:tcPr>
          <w:p w14:paraId="1BB9EC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医疗机构及其医务人员其他未履行本条例规定义务的情形，首次发现的。</w:t>
            </w:r>
          </w:p>
        </w:tc>
        <w:tc>
          <w:tcPr>
            <w:tcW w:w="6236" w:type="dxa"/>
            <w:shd w:val="clear" w:color="auto" w:fill="auto"/>
            <w:vAlign w:val="center"/>
          </w:tcPr>
          <w:p w14:paraId="0F27031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由县级以上人民政府卫生主管部门责令改正，给予警告，并处1万元以上3万元以下罚款。</w:t>
            </w:r>
          </w:p>
        </w:tc>
      </w:tr>
      <w:tr w14:paraId="7880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761" w:type="dxa"/>
            <w:shd w:val="clear" w:color="auto" w:fill="auto"/>
            <w:vAlign w:val="center"/>
          </w:tcPr>
          <w:p w14:paraId="392777A6">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807" w:type="dxa"/>
            <w:shd w:val="clear" w:color="auto" w:fill="auto"/>
            <w:vAlign w:val="center"/>
          </w:tcPr>
          <w:p w14:paraId="4F7FC4F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医疗机构及其医务人员其他未履行本条例规定义务的情形，经处罚再次发现有该行为的。</w:t>
            </w:r>
          </w:p>
        </w:tc>
        <w:tc>
          <w:tcPr>
            <w:tcW w:w="6236" w:type="dxa"/>
            <w:shd w:val="clear" w:color="auto" w:fill="auto"/>
            <w:vAlign w:val="center"/>
          </w:tcPr>
          <w:p w14:paraId="7D67C9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由县级以上人民政府卫生主管部门责令改正，给予警告，并处3万元以上5万元以下罚款。</w:t>
            </w:r>
          </w:p>
        </w:tc>
      </w:tr>
      <w:tr w14:paraId="7DAE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761" w:type="dxa"/>
            <w:shd w:val="clear" w:color="auto" w:fill="auto"/>
            <w:vAlign w:val="center"/>
          </w:tcPr>
          <w:p w14:paraId="596AB15A">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807" w:type="dxa"/>
            <w:shd w:val="clear" w:color="auto" w:fill="auto"/>
            <w:vAlign w:val="center"/>
          </w:tcPr>
          <w:p w14:paraId="3D41CFD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医疗机构及其医务人员其他未履行本条例规定义务的情形，情节严重的。</w:t>
            </w:r>
          </w:p>
        </w:tc>
        <w:tc>
          <w:tcPr>
            <w:tcW w:w="6236" w:type="dxa"/>
            <w:shd w:val="clear" w:color="auto" w:fill="auto"/>
            <w:vAlign w:val="center"/>
          </w:tcPr>
          <w:p w14:paraId="06B016F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由县级以上人民政府卫生主管部门责令改正，给予警告，并处5万元罚款，对有关医务人员可以责令暂停1个月以上6个月以下执业活动。</w:t>
            </w:r>
          </w:p>
        </w:tc>
      </w:tr>
    </w:tbl>
    <w:p w14:paraId="373C9A1D">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090" w:name="_Toc30486"/>
      <w:bookmarkStart w:id="4091" w:name="_Toc9416"/>
      <w:bookmarkStart w:id="4092" w:name="_Toc1257"/>
      <w:bookmarkStart w:id="4093" w:name="_Toc19166"/>
      <w:bookmarkStart w:id="4094" w:name="_Toc17384"/>
      <w:bookmarkStart w:id="4095" w:name="_Toc19928"/>
      <w:bookmarkStart w:id="4096" w:name="_Toc32219"/>
      <w:bookmarkStart w:id="4097" w:name="_Toc9644"/>
      <w:bookmarkStart w:id="4098" w:name="_Toc12380"/>
      <w:bookmarkStart w:id="4099" w:name="_Toc28543"/>
      <w:bookmarkStart w:id="4100" w:name="_Toc25450"/>
      <w:r>
        <w:rPr>
          <w:rFonts w:hint="eastAsia" w:cs="仿宋_GB2312"/>
          <w:bCs/>
          <w:color w:val="000000" w:themeColor="text1"/>
          <w14:textFill>
            <w14:solidFill>
              <w14:schemeClr w14:val="tx1"/>
            </w14:solidFill>
          </w14:textFill>
        </w:rPr>
        <w:t>第三百二十五条</w:t>
      </w:r>
      <w:r>
        <w:rPr>
          <w:rFonts w:hint="eastAsia" w:ascii="Times New Roman" w:hAnsi="Times New Roman" w:cs="仿宋_GB2312"/>
          <w:bCs/>
          <w:color w:val="000000" w:themeColor="text1"/>
          <w:kern w:val="0"/>
          <w14:textFill>
            <w14:solidFill>
              <w14:schemeClr w14:val="tx1"/>
            </w14:solidFill>
          </w14:textFill>
        </w:rPr>
        <w:t xml:space="preserve"> 医学会、司法鉴定机构出具虚假医疗损害鉴定意见的</w:t>
      </w:r>
      <w:bookmarkEnd w:id="4090"/>
      <w:bookmarkEnd w:id="4091"/>
      <w:bookmarkEnd w:id="4092"/>
      <w:bookmarkEnd w:id="4093"/>
      <w:bookmarkEnd w:id="4094"/>
      <w:bookmarkEnd w:id="4095"/>
      <w:bookmarkEnd w:id="4096"/>
      <w:bookmarkEnd w:id="4097"/>
      <w:bookmarkEnd w:id="4098"/>
      <w:bookmarkEnd w:id="4099"/>
      <w:bookmarkEnd w:id="4100"/>
    </w:p>
    <w:p w14:paraId="75C1A73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BB399AA">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《医疗纠纷预防和处理条例》第四十八条　医学会、司法鉴定机构出具虚假医疗损害鉴定意见的，由县级以上人民政府卫生、司法行政部门依据职责没收违法所得，并处5万元以上10万元以下罚款，对该医学会、司法鉴定机构和有关鉴定人员责令暂停3个月以上1年以下医疗损害鉴定业务，对直接负责的主管人员和其他直接责任人员给予或者责令给予降低岗位等级或者撤职的处分；情节严重的，</w:t>
      </w:r>
      <w:r>
        <w:rPr>
          <w:rFonts w:hint="eastAsia" w:ascii="Times New Roman" w:hAnsi="Times New Roman" w:eastAsia="仿宋_GB2312" w:cs="仿宋"/>
          <w:color w:val="000000" w:themeColor="text1"/>
          <w:sz w:val="32"/>
          <w:szCs w:val="32"/>
          <w14:textFill>
            <w14:solidFill>
              <w14:schemeClr w14:val="tx1"/>
            </w14:solidFill>
          </w14:textFill>
        </w:rPr>
        <w:t>该医学会、司法鉴定机构和有关鉴定人员5年内不得从事医疗损害鉴定业务或者撤销登记，对直接负责的主管人员和其他直接责任人员给予或者责令给予开除的处分；构成犯罪的，依法追究刑事责任。</w:t>
      </w:r>
    </w:p>
    <w:p w14:paraId="4913FCF4">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5786"/>
        <w:gridCol w:w="6384"/>
      </w:tblGrid>
      <w:tr w14:paraId="357D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72" w:type="dxa"/>
            <w:vAlign w:val="center"/>
          </w:tcPr>
          <w:p w14:paraId="5E437DB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786" w:type="dxa"/>
            <w:vAlign w:val="center"/>
          </w:tcPr>
          <w:p w14:paraId="36A3B32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384" w:type="dxa"/>
            <w:vAlign w:val="center"/>
          </w:tcPr>
          <w:p w14:paraId="797E404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7D2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772" w:type="dxa"/>
            <w:vAlign w:val="center"/>
          </w:tcPr>
          <w:p w14:paraId="59D66C7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5786" w:type="dxa"/>
            <w:vAlign w:val="center"/>
          </w:tcPr>
          <w:p w14:paraId="0A45FCA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医学会出具虚假医疗损害鉴定意见，首次发现的。</w:t>
            </w:r>
          </w:p>
        </w:tc>
        <w:tc>
          <w:tcPr>
            <w:tcW w:w="6384" w:type="dxa"/>
            <w:vAlign w:val="center"/>
          </w:tcPr>
          <w:p w14:paraId="64DFDED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由县级以上人民政府卫生行政部门依据职责没收违法所得，并处5万元以上7万元以下罚款，对该医学会和有关鉴定人员责令暂停3个月以上6个月以下医疗损害鉴定业务。</w:t>
            </w:r>
          </w:p>
        </w:tc>
      </w:tr>
      <w:tr w14:paraId="336A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1772" w:type="dxa"/>
            <w:vAlign w:val="center"/>
          </w:tcPr>
          <w:p w14:paraId="2C0B2958">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786" w:type="dxa"/>
            <w:vAlign w:val="center"/>
          </w:tcPr>
          <w:p w14:paraId="39030E4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医学会出具虚假医疗损害鉴定意见，经处罚再次发现有该行为的。</w:t>
            </w:r>
          </w:p>
        </w:tc>
        <w:tc>
          <w:tcPr>
            <w:tcW w:w="6384" w:type="dxa"/>
            <w:vAlign w:val="center"/>
          </w:tcPr>
          <w:p w14:paraId="70017C4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由县级以上人民政府卫生行政部门依据职责没收违法所得，并处7万元以上10万元以下罚款，对该医学会和有关鉴定人员责令暂停6个月以上1年以下医疗损害鉴定业务。</w:t>
            </w:r>
          </w:p>
        </w:tc>
      </w:tr>
      <w:tr w14:paraId="48A0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1772" w:type="dxa"/>
            <w:vAlign w:val="center"/>
          </w:tcPr>
          <w:p w14:paraId="45D6B7E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786" w:type="dxa"/>
            <w:vAlign w:val="center"/>
          </w:tcPr>
          <w:p w14:paraId="7CFC509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医学会出具虚假医疗损害鉴定意见，情节严重的。</w:t>
            </w:r>
          </w:p>
        </w:tc>
        <w:tc>
          <w:tcPr>
            <w:tcW w:w="6384" w:type="dxa"/>
            <w:vAlign w:val="center"/>
          </w:tcPr>
          <w:p w14:paraId="7543F33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由县级以上人民政府卫生行政部门依据职责没收违法所得，并处10万元罚款，对该医学会和有关鉴定人员5年内不得从事医疗损害鉴定业务或者撤销登记。</w:t>
            </w:r>
          </w:p>
        </w:tc>
      </w:tr>
    </w:tbl>
    <w:p w14:paraId="5610D040">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101" w:name="_Toc32012"/>
      <w:bookmarkStart w:id="4102" w:name="_Toc22642"/>
      <w:bookmarkStart w:id="4103" w:name="_Toc12979"/>
      <w:bookmarkStart w:id="4104" w:name="_Toc28838"/>
      <w:bookmarkStart w:id="4105" w:name="_Toc16181"/>
      <w:bookmarkStart w:id="4106" w:name="_Toc15292"/>
      <w:bookmarkStart w:id="4107" w:name="_Toc8908"/>
      <w:bookmarkStart w:id="4108" w:name="_Toc14938"/>
      <w:bookmarkStart w:id="4109" w:name="_Toc9123"/>
      <w:bookmarkStart w:id="4110" w:name="_Toc17889"/>
      <w:bookmarkStart w:id="4111" w:name="_Toc542"/>
      <w:r>
        <w:rPr>
          <w:rFonts w:hint="eastAsia" w:cs="仿宋_GB2312"/>
          <w:bCs/>
          <w:color w:val="000000" w:themeColor="text1"/>
          <w14:textFill>
            <w14:solidFill>
              <w14:schemeClr w14:val="tx1"/>
            </w14:solidFill>
          </w14:textFill>
        </w:rPr>
        <w:t>第三百二十六条</w:t>
      </w:r>
      <w:r>
        <w:rPr>
          <w:rFonts w:hint="eastAsia" w:ascii="Times New Roman" w:hAnsi="Times New Roman" w:cs="仿宋_GB2312"/>
          <w:bCs/>
          <w:color w:val="000000" w:themeColor="text1"/>
          <w:kern w:val="0"/>
          <w14:textFill>
            <w14:solidFill>
              <w14:schemeClr w14:val="tx1"/>
            </w14:solidFill>
          </w14:textFill>
        </w:rPr>
        <w:t xml:space="preserve"> 尸检机构出具虚假尸检报告的</w:t>
      </w:r>
      <w:bookmarkEnd w:id="4101"/>
      <w:bookmarkEnd w:id="4102"/>
      <w:bookmarkEnd w:id="4103"/>
      <w:bookmarkEnd w:id="4104"/>
      <w:bookmarkEnd w:id="4105"/>
      <w:bookmarkEnd w:id="4106"/>
      <w:bookmarkEnd w:id="4107"/>
      <w:bookmarkEnd w:id="4108"/>
      <w:bookmarkEnd w:id="4109"/>
      <w:bookmarkEnd w:id="4110"/>
      <w:bookmarkEnd w:id="4111"/>
    </w:p>
    <w:p w14:paraId="5692AA8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EFA4A5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《医疗纠纷预防和处理条例》第四十九条　尸检机构出具虚假尸检报告的，由县级以上人民政府卫生、司法行政部门依据职责没收违法所得，并处5万元以上10万元以下罚款，对该尸检机构和有关尸检专业技术人员责令暂停3个月以上1年以下尸检业务，对直接负责的主管人员和其他直接责任人员给予或者责令给予降低岗位等级或者撤职的处分；情节严重的，撤销该尸检机构和有关尸检专业技术人员的尸检资格，对直接负责的主管人员和其他直接责任人员给予或者责令给予开除的处分；构成犯罪的，依法追究刑事责任。</w:t>
      </w:r>
    </w:p>
    <w:p w14:paraId="04B04D08">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5529"/>
        <w:gridCol w:w="6712"/>
      </w:tblGrid>
      <w:tr w14:paraId="0406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01" w:type="dxa"/>
            <w:vAlign w:val="center"/>
          </w:tcPr>
          <w:p w14:paraId="72DE955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29" w:type="dxa"/>
            <w:vAlign w:val="center"/>
          </w:tcPr>
          <w:p w14:paraId="5847F3F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712" w:type="dxa"/>
            <w:vAlign w:val="center"/>
          </w:tcPr>
          <w:p w14:paraId="5359953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8F4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701" w:type="dxa"/>
            <w:vAlign w:val="center"/>
          </w:tcPr>
          <w:p w14:paraId="0A838E72">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5529" w:type="dxa"/>
            <w:vAlign w:val="center"/>
          </w:tcPr>
          <w:p w14:paraId="6BD6B85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尸检机构出具虚假尸检报告，首次发现的。</w:t>
            </w:r>
          </w:p>
        </w:tc>
        <w:tc>
          <w:tcPr>
            <w:tcW w:w="6712" w:type="dxa"/>
            <w:vAlign w:val="center"/>
          </w:tcPr>
          <w:p w14:paraId="4C5DC01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由县级以上人民政府卫生行政部门依据职责没收违法所得，并处5万元以上7万元以下罚款，对该尸检机构和有关尸检专业技术人员责令暂停3个月以上6个月以下尸检业务。</w:t>
            </w:r>
          </w:p>
        </w:tc>
      </w:tr>
      <w:tr w14:paraId="57A4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1701" w:type="dxa"/>
            <w:vAlign w:val="center"/>
          </w:tcPr>
          <w:p w14:paraId="4EE6E8A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29" w:type="dxa"/>
            <w:vAlign w:val="center"/>
          </w:tcPr>
          <w:p w14:paraId="43EF85B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尸检机构出具虚假尸检报告，经处罚再次发现有该行为的。</w:t>
            </w:r>
          </w:p>
        </w:tc>
        <w:tc>
          <w:tcPr>
            <w:tcW w:w="6712" w:type="dxa"/>
            <w:vAlign w:val="center"/>
          </w:tcPr>
          <w:p w14:paraId="0792F0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由县级以上人民政府卫生行政部门依据职责没收违法所得，并处7万元以上10万元以下罚款，对该尸检机构和有关尸检专业技术人员责令暂停6个月以上1年以下尸检业务。</w:t>
            </w:r>
          </w:p>
        </w:tc>
      </w:tr>
      <w:tr w14:paraId="3AA8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1701" w:type="dxa"/>
            <w:vAlign w:val="center"/>
          </w:tcPr>
          <w:p w14:paraId="612ED9D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529" w:type="dxa"/>
            <w:vAlign w:val="center"/>
          </w:tcPr>
          <w:p w14:paraId="251EC49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尸检机构出具虚假尸检报告，情节严重的。</w:t>
            </w:r>
          </w:p>
        </w:tc>
        <w:tc>
          <w:tcPr>
            <w:tcW w:w="6712" w:type="dxa"/>
            <w:vAlign w:val="center"/>
          </w:tcPr>
          <w:p w14:paraId="38F3BD9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由县级以上人民政府卫生行政部门依据职责没收违法所得，并处10万元罚款，撤销该尸检机构和有关尸检专业技术人员的尸检资格。</w:t>
            </w:r>
          </w:p>
        </w:tc>
      </w:tr>
    </w:tbl>
    <w:p w14:paraId="2DC4DD05">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4112" w:name="_Toc4758"/>
      <w:bookmarkStart w:id="4113" w:name="_Toc31149"/>
      <w:bookmarkStart w:id="4114" w:name="_Toc31816"/>
      <w:bookmarkStart w:id="4115" w:name="_Toc28902"/>
      <w:bookmarkStart w:id="4116" w:name="_Toc1230"/>
      <w:bookmarkStart w:id="4117" w:name="_Toc31565"/>
      <w:bookmarkStart w:id="4118" w:name="_Toc19604"/>
      <w:bookmarkStart w:id="4119" w:name="_Toc2074"/>
      <w:bookmarkStart w:id="4120" w:name="_Toc2895"/>
      <w:bookmarkStart w:id="4121" w:name="_Toc10246"/>
      <w:bookmarkStart w:id="4122" w:name="_Toc19046"/>
      <w:bookmarkStart w:id="4123" w:name="_Toc28236"/>
      <w:bookmarkStart w:id="4124" w:name="_Toc29251"/>
      <w:r>
        <w:rPr>
          <w:rFonts w:hint="eastAsia" w:ascii="Times New Roman" w:hAnsi="Times New Roman" w:eastAsia="楷体_GB2312" w:cs="楷体_GB2312"/>
          <w:bCs w:val="0"/>
          <w:color w:val="000000" w:themeColor="text1"/>
          <w:kern w:val="2"/>
          <w14:textFill>
            <w14:solidFill>
              <w14:schemeClr w14:val="tx1"/>
            </w14:solidFill>
          </w14:textFill>
        </w:rPr>
        <w:t>（二十七）《医疗机构投诉管理办法》</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55375150">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125" w:name="_Toc11455"/>
      <w:bookmarkStart w:id="4126" w:name="_Toc20570"/>
      <w:bookmarkStart w:id="4127" w:name="_Toc9257"/>
      <w:bookmarkStart w:id="4128" w:name="_Toc17074"/>
      <w:bookmarkStart w:id="4129" w:name="_Toc4893"/>
      <w:bookmarkStart w:id="4130" w:name="_Toc24600"/>
      <w:bookmarkStart w:id="4131" w:name="_Toc17945"/>
      <w:bookmarkStart w:id="4132" w:name="_Toc3144"/>
      <w:bookmarkStart w:id="4133" w:name="_Toc29441"/>
      <w:bookmarkStart w:id="4134" w:name="_Toc8773"/>
      <w:bookmarkStart w:id="4135" w:name="_Toc25518"/>
      <w:r>
        <w:rPr>
          <w:rFonts w:hint="eastAsia" w:cs="仿宋_GB2312"/>
          <w:bCs/>
          <w:color w:val="000000" w:themeColor="text1"/>
          <w14:textFill>
            <w14:solidFill>
              <w14:schemeClr w14:val="tx1"/>
            </w14:solidFill>
          </w14:textFill>
        </w:rPr>
        <w:t>第三百二十七条</w:t>
      </w:r>
      <w:r>
        <w:rPr>
          <w:rFonts w:hint="eastAsia" w:ascii="Times New Roman" w:hAnsi="Times New Roman" w:cs="仿宋_GB2312"/>
          <w:bCs/>
          <w:color w:val="000000" w:themeColor="text1"/>
          <w:kern w:val="0"/>
          <w14:textFill>
            <w14:solidFill>
              <w14:schemeClr w14:val="tx1"/>
            </w14:solidFill>
          </w14:textFill>
        </w:rPr>
        <w:t xml:space="preserve"> 医疗机构未制订重大医疗纠纷事件应急处置预案的</w:t>
      </w:r>
      <w:bookmarkEnd w:id="4125"/>
      <w:bookmarkEnd w:id="4126"/>
      <w:bookmarkEnd w:id="4127"/>
      <w:bookmarkEnd w:id="4128"/>
      <w:bookmarkEnd w:id="4129"/>
      <w:bookmarkEnd w:id="4130"/>
      <w:bookmarkEnd w:id="4131"/>
      <w:bookmarkEnd w:id="4132"/>
      <w:bookmarkEnd w:id="4133"/>
      <w:bookmarkEnd w:id="4134"/>
      <w:bookmarkEnd w:id="4135"/>
    </w:p>
    <w:p w14:paraId="38A0747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383F23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《医疗机构投诉管理办法》第四十四条第（一）项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14:paraId="2420B4E4">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（一）未制订重大医疗纠纷事</w:t>
      </w:r>
      <w:r>
        <w:rPr>
          <w:rFonts w:hint="eastAsia" w:ascii="Times New Roman" w:hAnsi="Times New Roman" w:eastAsia="仿宋_GB2312" w:cs="仿宋"/>
          <w:color w:val="000000" w:themeColor="text1"/>
          <w:sz w:val="32"/>
          <w:szCs w:val="32"/>
          <w14:textFill>
            <w14:solidFill>
              <w14:schemeClr w14:val="tx1"/>
            </w14:solidFill>
          </w14:textFill>
        </w:rPr>
        <w:t>件应急处置预案的；</w:t>
      </w:r>
    </w:p>
    <w:p w14:paraId="30F3813F">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647"/>
        <w:gridCol w:w="3877"/>
      </w:tblGrid>
      <w:tr w14:paraId="6C5A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18" w:type="dxa"/>
            <w:vAlign w:val="center"/>
          </w:tcPr>
          <w:p w14:paraId="5048AC6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647" w:type="dxa"/>
            <w:vAlign w:val="center"/>
          </w:tcPr>
          <w:p w14:paraId="223A8B4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877" w:type="dxa"/>
            <w:vAlign w:val="center"/>
          </w:tcPr>
          <w:p w14:paraId="276AA9A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BB1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418" w:type="dxa"/>
            <w:vAlign w:val="center"/>
          </w:tcPr>
          <w:p w14:paraId="63B1F806">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647" w:type="dxa"/>
            <w:vAlign w:val="center"/>
          </w:tcPr>
          <w:p w14:paraId="57D3338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医疗机构未制定重大医疗纠纷事件应急处置预案，经责令限期整改，逾期不改的。</w:t>
            </w:r>
          </w:p>
        </w:tc>
        <w:tc>
          <w:tcPr>
            <w:tcW w:w="3877" w:type="dxa"/>
            <w:vAlign w:val="center"/>
          </w:tcPr>
          <w:p w14:paraId="1C81A0C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给予警告，并处以一万元以下罚款。</w:t>
            </w:r>
          </w:p>
        </w:tc>
      </w:tr>
      <w:tr w14:paraId="61FF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18" w:type="dxa"/>
            <w:vAlign w:val="center"/>
          </w:tcPr>
          <w:p w14:paraId="3A29483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647" w:type="dxa"/>
            <w:vAlign w:val="center"/>
          </w:tcPr>
          <w:p w14:paraId="22DE9AF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医疗机构未制定重大医疗纠纷事件应急处置预案，造成严重后果的。</w:t>
            </w:r>
          </w:p>
        </w:tc>
        <w:tc>
          <w:tcPr>
            <w:tcW w:w="3877" w:type="dxa"/>
            <w:vAlign w:val="center"/>
          </w:tcPr>
          <w:p w14:paraId="7916DF4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给予警告，处以一万元以上三万元以下罚款。</w:t>
            </w:r>
          </w:p>
        </w:tc>
      </w:tr>
    </w:tbl>
    <w:p w14:paraId="790810E2">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136" w:name="_Toc14520"/>
      <w:bookmarkStart w:id="4137" w:name="_Toc2519"/>
      <w:bookmarkStart w:id="4138" w:name="_Toc16329"/>
      <w:bookmarkStart w:id="4139" w:name="_Toc20874"/>
      <w:bookmarkStart w:id="4140" w:name="_Toc23742"/>
      <w:bookmarkStart w:id="4141" w:name="_Toc10446"/>
      <w:bookmarkStart w:id="4142" w:name="_Toc28956"/>
      <w:bookmarkStart w:id="4143" w:name="_Toc22222"/>
      <w:bookmarkStart w:id="4144" w:name="_Toc3650"/>
      <w:bookmarkStart w:id="4145" w:name="_Toc14190"/>
      <w:bookmarkStart w:id="4146" w:name="_Toc26063"/>
      <w:r>
        <w:rPr>
          <w:rFonts w:hint="eastAsia" w:cs="仿宋_GB2312"/>
          <w:bCs/>
          <w:color w:val="000000" w:themeColor="text1"/>
          <w14:textFill>
            <w14:solidFill>
              <w14:schemeClr w14:val="tx1"/>
            </w14:solidFill>
          </w14:textFill>
        </w:rPr>
        <w:t>第三百二十八条</w:t>
      </w:r>
      <w:r>
        <w:rPr>
          <w:rFonts w:hint="eastAsia" w:ascii="Times New Roman" w:hAnsi="Times New Roman" w:cs="仿宋_GB2312"/>
          <w:bCs/>
          <w:color w:val="000000" w:themeColor="text1"/>
          <w:kern w:val="0"/>
          <w14:textFill>
            <w14:solidFill>
              <w14:schemeClr w14:val="tx1"/>
            </w14:solidFill>
          </w14:textFill>
        </w:rPr>
        <w:t xml:space="preserve"> 医疗机构投诉管理混乱的</w:t>
      </w:r>
      <w:bookmarkEnd w:id="4136"/>
      <w:bookmarkEnd w:id="4137"/>
      <w:bookmarkEnd w:id="4138"/>
      <w:bookmarkEnd w:id="4139"/>
      <w:bookmarkEnd w:id="4140"/>
      <w:bookmarkEnd w:id="4141"/>
      <w:bookmarkEnd w:id="4142"/>
      <w:bookmarkEnd w:id="4143"/>
      <w:bookmarkEnd w:id="4144"/>
      <w:bookmarkEnd w:id="4145"/>
      <w:bookmarkEnd w:id="4146"/>
      <w:r>
        <w:rPr>
          <w:rFonts w:hint="eastAsia" w:ascii="Times New Roman" w:hAnsi="Times New Roman" w:cs="仿宋_GB2312"/>
          <w:bCs/>
          <w:color w:val="000000" w:themeColor="text1"/>
          <w:kern w:val="0"/>
          <w14:textFill>
            <w14:solidFill>
              <w14:schemeClr w14:val="tx1"/>
            </w14:solidFill>
          </w14:textFill>
        </w:rPr>
        <w:t xml:space="preserve"> </w:t>
      </w:r>
    </w:p>
    <w:p w14:paraId="3C75B02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577B3B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《医疗机构投诉管理办法》第四十四条第（二）项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14:paraId="3CA279E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（二）投诉管理混乱的；</w:t>
      </w:r>
    </w:p>
    <w:p w14:paraId="4F79380B">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032"/>
        <w:gridCol w:w="5702"/>
      </w:tblGrid>
      <w:tr w14:paraId="0DE0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tcPr>
          <w:p w14:paraId="0518A81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032" w:type="dxa"/>
          </w:tcPr>
          <w:p w14:paraId="5560DFAB">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702" w:type="dxa"/>
          </w:tcPr>
          <w:p w14:paraId="4B5748A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A73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0" w:type="dxa"/>
          </w:tcPr>
          <w:p w14:paraId="341CFDE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032" w:type="dxa"/>
            <w:vAlign w:val="center"/>
          </w:tcPr>
          <w:p w14:paraId="62B5F57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医疗机构投诉管理混乱，经责令限期整改，逾期不改的。</w:t>
            </w:r>
          </w:p>
        </w:tc>
        <w:tc>
          <w:tcPr>
            <w:tcW w:w="5702" w:type="dxa"/>
            <w:vAlign w:val="center"/>
          </w:tcPr>
          <w:p w14:paraId="64FC46B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给予警告，并处以一万元以下罚款。</w:t>
            </w:r>
          </w:p>
        </w:tc>
      </w:tr>
      <w:tr w14:paraId="7B82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0" w:type="dxa"/>
          </w:tcPr>
          <w:p w14:paraId="2D176FB9">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032" w:type="dxa"/>
            <w:vAlign w:val="center"/>
          </w:tcPr>
          <w:p w14:paraId="1A03AA2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医疗机构投诉管理混乱，造成严重后果的。</w:t>
            </w:r>
          </w:p>
        </w:tc>
        <w:tc>
          <w:tcPr>
            <w:tcW w:w="5702" w:type="dxa"/>
            <w:vAlign w:val="center"/>
          </w:tcPr>
          <w:p w14:paraId="390680B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给予警告，处以一万元以上三万元以下罚款。 </w:t>
            </w:r>
          </w:p>
        </w:tc>
      </w:tr>
    </w:tbl>
    <w:p w14:paraId="3F4EEDD4">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147" w:name="_Toc23231"/>
      <w:bookmarkStart w:id="4148" w:name="_Toc20551"/>
      <w:bookmarkStart w:id="4149" w:name="_Toc585"/>
      <w:bookmarkStart w:id="4150" w:name="_Toc8883"/>
      <w:bookmarkStart w:id="4151" w:name="_Toc32530"/>
      <w:bookmarkStart w:id="4152" w:name="_Toc16054"/>
      <w:bookmarkStart w:id="4153" w:name="_Toc23887"/>
      <w:bookmarkStart w:id="4154" w:name="_Toc13056"/>
      <w:bookmarkStart w:id="4155" w:name="_Toc11802"/>
      <w:bookmarkStart w:id="4156" w:name="_Toc21266"/>
      <w:bookmarkStart w:id="4157" w:name="_Toc11520"/>
      <w:r>
        <w:rPr>
          <w:rFonts w:hint="eastAsia" w:cs="仿宋_GB2312"/>
          <w:bCs/>
          <w:color w:val="000000" w:themeColor="text1"/>
          <w14:textFill>
            <w14:solidFill>
              <w14:schemeClr w14:val="tx1"/>
            </w14:solidFill>
          </w14:textFill>
        </w:rPr>
        <w:t>第三百二十九条</w:t>
      </w:r>
      <w:r>
        <w:rPr>
          <w:rFonts w:hint="eastAsia" w:ascii="Times New Roman" w:hAnsi="Times New Roman" w:cs="仿宋_GB2312"/>
          <w:bCs/>
          <w:color w:val="000000" w:themeColor="text1"/>
          <w:kern w:val="0"/>
          <w14:textFill>
            <w14:solidFill>
              <w14:schemeClr w14:val="tx1"/>
            </w14:solidFill>
          </w14:textFill>
        </w:rPr>
        <w:t xml:space="preserve"> 医疗机构未按规定建立健全医患沟通机制的</w:t>
      </w:r>
      <w:bookmarkEnd w:id="4147"/>
      <w:bookmarkEnd w:id="4148"/>
      <w:bookmarkEnd w:id="4149"/>
      <w:bookmarkEnd w:id="4150"/>
      <w:bookmarkEnd w:id="4151"/>
      <w:bookmarkEnd w:id="4152"/>
      <w:bookmarkEnd w:id="4153"/>
      <w:bookmarkEnd w:id="4154"/>
      <w:bookmarkEnd w:id="4155"/>
      <w:bookmarkEnd w:id="4156"/>
      <w:bookmarkEnd w:id="4157"/>
    </w:p>
    <w:p w14:paraId="5B40463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DD9A5A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《医疗机构投诉管理办法》第四十四条第（三）项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14:paraId="625C422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（三）未按规定建立健全医患沟通机制的；</w:t>
      </w:r>
    </w:p>
    <w:p w14:paraId="69469706">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024"/>
        <w:gridCol w:w="4710"/>
      </w:tblGrid>
      <w:tr w14:paraId="7CE5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 w:type="dxa"/>
          </w:tcPr>
          <w:p w14:paraId="7D41C82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24" w:type="dxa"/>
          </w:tcPr>
          <w:p w14:paraId="41C5CF9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710" w:type="dxa"/>
          </w:tcPr>
          <w:p w14:paraId="2A93A43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EE0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6A2828F4">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024" w:type="dxa"/>
            <w:vAlign w:val="center"/>
          </w:tcPr>
          <w:p w14:paraId="5E8D42E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医疗机构未按规定建立健全医患沟通机制，经责令限期整改，逾期不改的。</w:t>
            </w:r>
          </w:p>
        </w:tc>
        <w:tc>
          <w:tcPr>
            <w:tcW w:w="4710" w:type="dxa"/>
            <w:vAlign w:val="center"/>
          </w:tcPr>
          <w:p w14:paraId="780D674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给予警告，并处以一万元以下罚款。</w:t>
            </w:r>
          </w:p>
        </w:tc>
      </w:tr>
      <w:tr w14:paraId="44DB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40" w:type="dxa"/>
            <w:vAlign w:val="center"/>
          </w:tcPr>
          <w:p w14:paraId="28598ACE">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024" w:type="dxa"/>
            <w:vAlign w:val="center"/>
          </w:tcPr>
          <w:p w14:paraId="5953E2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医疗机构未按规定建立健全医患沟通机制，造成严重后果的。</w:t>
            </w:r>
          </w:p>
        </w:tc>
        <w:tc>
          <w:tcPr>
            <w:tcW w:w="4710" w:type="dxa"/>
            <w:vAlign w:val="center"/>
          </w:tcPr>
          <w:p w14:paraId="5526D6E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给予警告，处以一万元以上三万元以下罚款。 </w:t>
            </w:r>
          </w:p>
        </w:tc>
      </w:tr>
    </w:tbl>
    <w:p w14:paraId="3FA0A412">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158" w:name="_Toc28961"/>
      <w:bookmarkStart w:id="4159" w:name="_Toc14055"/>
      <w:bookmarkStart w:id="4160" w:name="_Toc14902"/>
      <w:bookmarkStart w:id="4161" w:name="_Toc22556"/>
      <w:bookmarkStart w:id="4162" w:name="_Toc1815"/>
      <w:bookmarkStart w:id="4163" w:name="_Toc29701"/>
      <w:bookmarkStart w:id="4164" w:name="_Toc30576"/>
      <w:bookmarkStart w:id="4165" w:name="_Toc30179"/>
      <w:bookmarkStart w:id="4166" w:name="_Toc1548"/>
      <w:bookmarkStart w:id="4167" w:name="_Toc25967"/>
      <w:bookmarkStart w:id="4168" w:name="_Toc390"/>
      <w:r>
        <w:rPr>
          <w:rFonts w:hint="eastAsia" w:cs="仿宋_GB2312"/>
          <w:bCs/>
          <w:color w:val="000000" w:themeColor="text1"/>
          <w14:textFill>
            <w14:solidFill>
              <w14:schemeClr w14:val="tx1"/>
            </w14:solidFill>
          </w14:textFill>
        </w:rPr>
        <w:t>第三百三十条</w:t>
      </w:r>
      <w:r>
        <w:rPr>
          <w:rFonts w:hint="eastAsia" w:ascii="Times New Roman" w:hAnsi="Times New Roman" w:cs="仿宋_GB2312"/>
          <w:bCs/>
          <w:color w:val="000000" w:themeColor="text1"/>
          <w:kern w:val="0"/>
          <w14:textFill>
            <w14:solidFill>
              <w14:schemeClr w14:val="tx1"/>
            </w14:solidFill>
          </w14:textFill>
        </w:rPr>
        <w:t xml:space="preserve"> 医疗机构未按规定及时处理投诉并反馈患者的</w:t>
      </w:r>
      <w:bookmarkEnd w:id="4158"/>
      <w:bookmarkEnd w:id="4159"/>
      <w:bookmarkEnd w:id="4160"/>
      <w:bookmarkEnd w:id="4161"/>
      <w:bookmarkEnd w:id="4162"/>
      <w:bookmarkEnd w:id="4163"/>
      <w:bookmarkEnd w:id="4164"/>
      <w:bookmarkEnd w:id="4165"/>
      <w:bookmarkEnd w:id="4166"/>
      <w:bookmarkEnd w:id="4167"/>
      <w:bookmarkEnd w:id="4168"/>
    </w:p>
    <w:p w14:paraId="4BB7CA5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C35E8F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《医疗机构投诉管理办法》第四十四条第（四）项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14:paraId="293E8454">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（四）未按规定及时处理投诉并反馈患者的</w:t>
      </w:r>
      <w:r>
        <w:rPr>
          <w:rFonts w:hint="eastAsia" w:ascii="Times New Roman" w:hAnsi="Times New Roman" w:eastAsia="仿宋_GB2312" w:cs="仿宋"/>
          <w:color w:val="000000" w:themeColor="text1"/>
          <w:sz w:val="32"/>
          <w:szCs w:val="32"/>
          <w14:textFill>
            <w14:solidFill>
              <w14:schemeClr w14:val="tx1"/>
            </w14:solidFill>
          </w14:textFill>
        </w:rPr>
        <w:t>；</w:t>
      </w:r>
    </w:p>
    <w:p w14:paraId="0FC2D958">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024"/>
        <w:gridCol w:w="4710"/>
      </w:tblGrid>
      <w:tr w14:paraId="3289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3AFC7ED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24" w:type="dxa"/>
          </w:tcPr>
          <w:p w14:paraId="1C6754F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710" w:type="dxa"/>
          </w:tcPr>
          <w:p w14:paraId="5CB054F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23C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2F078B77">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024" w:type="dxa"/>
            <w:vAlign w:val="center"/>
          </w:tcPr>
          <w:p w14:paraId="40AA411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医疗机构未按规定及时处理投诉并反馈患者，经责令限期整改，逾期不改的。</w:t>
            </w:r>
          </w:p>
        </w:tc>
        <w:tc>
          <w:tcPr>
            <w:tcW w:w="4710" w:type="dxa"/>
            <w:vAlign w:val="center"/>
          </w:tcPr>
          <w:p w14:paraId="1BDAA5F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给予警告，并处以一万元以下罚款。</w:t>
            </w:r>
          </w:p>
        </w:tc>
      </w:tr>
      <w:tr w14:paraId="5292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571C3261">
            <w:pPr>
              <w:widowControl w:val="0"/>
              <w:adjustRightInd/>
              <w:snapToGrid/>
              <w:spacing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024" w:type="dxa"/>
            <w:vAlign w:val="center"/>
          </w:tcPr>
          <w:p w14:paraId="3874C6B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医疗机构未按规定及时处理投诉并反馈患者，造成严重后果的。</w:t>
            </w:r>
          </w:p>
        </w:tc>
        <w:tc>
          <w:tcPr>
            <w:tcW w:w="4710" w:type="dxa"/>
            <w:vAlign w:val="center"/>
          </w:tcPr>
          <w:p w14:paraId="726AECF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给予警告，处以一万元以上三万元以下罚款。</w:t>
            </w:r>
          </w:p>
        </w:tc>
      </w:tr>
    </w:tbl>
    <w:p w14:paraId="402F145D">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169" w:name="_Toc29630"/>
      <w:bookmarkStart w:id="4170" w:name="_Toc28856"/>
      <w:bookmarkStart w:id="4171" w:name="_Toc217"/>
      <w:bookmarkStart w:id="4172" w:name="_Toc20920"/>
      <w:bookmarkStart w:id="4173" w:name="_Toc21572"/>
      <w:bookmarkStart w:id="4174" w:name="_Toc30753"/>
      <w:bookmarkStart w:id="4175" w:name="_Toc758"/>
      <w:bookmarkStart w:id="4176" w:name="_Toc1915"/>
      <w:bookmarkStart w:id="4177" w:name="_Toc5296"/>
      <w:bookmarkStart w:id="4178" w:name="_Toc6165"/>
      <w:bookmarkStart w:id="4179" w:name="_Toc28725"/>
      <w:r>
        <w:rPr>
          <w:rFonts w:hint="eastAsia" w:cs="仿宋_GB2312"/>
          <w:bCs/>
          <w:color w:val="000000" w:themeColor="text1"/>
          <w14:textFill>
            <w14:solidFill>
              <w14:schemeClr w14:val="tx1"/>
            </w14:solidFill>
          </w14:textFill>
        </w:rPr>
        <w:t>第三百三十一条</w:t>
      </w:r>
      <w:r>
        <w:rPr>
          <w:rFonts w:hint="eastAsia" w:ascii="Times New Roman" w:hAnsi="Times New Roman" w:cs="仿宋_GB2312"/>
          <w:bCs/>
          <w:color w:val="000000" w:themeColor="text1"/>
          <w:kern w:val="0"/>
          <w14:textFill>
            <w14:solidFill>
              <w14:schemeClr w14:val="tx1"/>
            </w14:solidFill>
          </w14:textFill>
        </w:rPr>
        <w:t xml:space="preserve"> 医疗机构对接待过程中发现的可能激化矛盾，引起治安案件、刑事案件的投诉，未及时向当地公安机关报告的</w:t>
      </w:r>
      <w:bookmarkEnd w:id="4169"/>
      <w:bookmarkEnd w:id="4170"/>
      <w:bookmarkEnd w:id="4171"/>
      <w:bookmarkEnd w:id="4172"/>
      <w:bookmarkEnd w:id="4173"/>
      <w:bookmarkEnd w:id="4174"/>
      <w:bookmarkEnd w:id="4175"/>
      <w:bookmarkEnd w:id="4176"/>
      <w:bookmarkEnd w:id="4177"/>
      <w:bookmarkEnd w:id="4178"/>
      <w:bookmarkEnd w:id="4179"/>
    </w:p>
    <w:p w14:paraId="4915014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173B956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《医疗机构投诉管理办法》第四十四条第（五）项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14:paraId="72811DD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（五）对接待过程中发现的可能激化矛盾，引起治安案件、刑事案件的投诉，未及时向当地公安机关报告的。</w:t>
      </w:r>
    </w:p>
    <w:p w14:paraId="7A65EC76">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599"/>
        <w:gridCol w:w="5135"/>
      </w:tblGrid>
      <w:tr w14:paraId="5EC8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302232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99" w:type="dxa"/>
          </w:tcPr>
          <w:p w14:paraId="2BF0428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135" w:type="dxa"/>
          </w:tcPr>
          <w:p w14:paraId="5433498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E8A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028007A5">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599" w:type="dxa"/>
            <w:vAlign w:val="center"/>
          </w:tcPr>
          <w:p w14:paraId="732BE6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医疗机构对接待过程中发现的可能激化矛盾，引起治安案件、刑事案件的投诉，未及时向当地公安机关报告，经责令限期整改，逾期不改的。</w:t>
            </w:r>
          </w:p>
        </w:tc>
        <w:tc>
          <w:tcPr>
            <w:tcW w:w="5135" w:type="dxa"/>
            <w:vAlign w:val="center"/>
          </w:tcPr>
          <w:p w14:paraId="302FC67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给予警告，并处以一万元以下罚款。</w:t>
            </w:r>
          </w:p>
        </w:tc>
      </w:tr>
      <w:tr w14:paraId="0506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70A70BC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99" w:type="dxa"/>
            <w:vAlign w:val="center"/>
          </w:tcPr>
          <w:p w14:paraId="2461617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医疗机构对接待过程中发现的可能激化矛盾，引起治安案件、刑事案件的投诉，未及时向当地公安机关报告，造成严重后果的。</w:t>
            </w:r>
          </w:p>
        </w:tc>
        <w:tc>
          <w:tcPr>
            <w:tcW w:w="5135" w:type="dxa"/>
            <w:vAlign w:val="center"/>
          </w:tcPr>
          <w:p w14:paraId="3993ACE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给予警告，处以一万元以上三万元以下罚款。</w:t>
            </w:r>
          </w:p>
        </w:tc>
      </w:tr>
    </w:tbl>
    <w:p w14:paraId="5D0B8C5E">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180" w:name="_Toc21380"/>
      <w:bookmarkStart w:id="4181" w:name="_Toc26411"/>
      <w:bookmarkStart w:id="4182" w:name="_Toc10619"/>
      <w:bookmarkStart w:id="4183" w:name="_Toc14525"/>
      <w:bookmarkStart w:id="4184" w:name="_Toc24123"/>
      <w:bookmarkStart w:id="4185" w:name="_Toc18"/>
      <w:bookmarkStart w:id="4186" w:name="_Toc9065"/>
      <w:bookmarkStart w:id="4187" w:name="_Toc4915"/>
      <w:bookmarkStart w:id="4188" w:name="_Toc20530"/>
      <w:bookmarkStart w:id="4189" w:name="_Toc26618"/>
      <w:bookmarkStart w:id="4190" w:name="_Toc1482"/>
      <w:r>
        <w:rPr>
          <w:rFonts w:hint="eastAsia" w:cs="仿宋_GB2312"/>
          <w:bCs/>
          <w:color w:val="000000" w:themeColor="text1"/>
          <w14:textFill>
            <w14:solidFill>
              <w14:schemeClr w14:val="tx1"/>
            </w14:solidFill>
          </w14:textFill>
        </w:rPr>
        <w:t>第三百三十二条</w:t>
      </w:r>
      <w:r>
        <w:rPr>
          <w:rFonts w:hint="eastAsia" w:ascii="Times New Roman" w:hAnsi="Times New Roman" w:cs="仿宋_GB2312"/>
          <w:bCs/>
          <w:color w:val="000000" w:themeColor="text1"/>
          <w:kern w:val="0"/>
          <w14:textFill>
            <w14:solidFill>
              <w14:schemeClr w14:val="tx1"/>
            </w14:solidFill>
          </w14:textFill>
        </w:rPr>
        <w:t xml:space="preserve"> 医疗机构发布违背或者夸大事实、渲染事件处理过程的信息的</w:t>
      </w:r>
      <w:bookmarkEnd w:id="4180"/>
      <w:bookmarkEnd w:id="4181"/>
      <w:bookmarkEnd w:id="4182"/>
      <w:bookmarkEnd w:id="4183"/>
      <w:bookmarkEnd w:id="4184"/>
      <w:bookmarkEnd w:id="4185"/>
      <w:bookmarkEnd w:id="4186"/>
      <w:bookmarkEnd w:id="4187"/>
      <w:bookmarkEnd w:id="4188"/>
      <w:bookmarkEnd w:id="4189"/>
      <w:bookmarkEnd w:id="4190"/>
    </w:p>
    <w:p w14:paraId="0D9A1C1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531D876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《医疗机构投诉管理办法》第四十四条第（六）项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健康主管部门责令限期整改；逾期不改的，给予警告，并处以一万元以下罚款；造成严重后果的，处以一万元以上三万元以下罚款，并对医疗机构主要负责人、直接负责的主管人员和其他直接责任人员依法给予处分：</w:t>
      </w:r>
    </w:p>
    <w:p w14:paraId="060F4B2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（六）发布违背或者夸大事实、渲染事件处理过程的信息的。</w:t>
      </w:r>
    </w:p>
    <w:p w14:paraId="1676405B">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57"/>
        <w:gridCol w:w="5277"/>
      </w:tblGrid>
      <w:tr w14:paraId="3059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3E00FE0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57" w:type="dxa"/>
          </w:tcPr>
          <w:p w14:paraId="17C375F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277" w:type="dxa"/>
          </w:tcPr>
          <w:p w14:paraId="1BBB2A5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82C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0232E4A">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457" w:type="dxa"/>
            <w:vAlign w:val="center"/>
          </w:tcPr>
          <w:p w14:paraId="4AC4922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医疗机构发布违背或者夸大事实、渲染事件处理过程的信息，经责令限期整改，逾期不改的。</w:t>
            </w:r>
          </w:p>
        </w:tc>
        <w:tc>
          <w:tcPr>
            <w:tcW w:w="5277" w:type="dxa"/>
            <w:vAlign w:val="center"/>
          </w:tcPr>
          <w:p w14:paraId="4637192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给予警告，并处以一万元以下罚款。 </w:t>
            </w:r>
          </w:p>
        </w:tc>
      </w:tr>
      <w:tr w14:paraId="393E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E2919C3">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457" w:type="dxa"/>
            <w:vAlign w:val="center"/>
          </w:tcPr>
          <w:p w14:paraId="747D47C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医疗机构发布违背或者夸大事实、渲染事件处理过程的信息，造成严重后果的。</w:t>
            </w:r>
          </w:p>
        </w:tc>
        <w:tc>
          <w:tcPr>
            <w:tcW w:w="5277" w:type="dxa"/>
            <w:vAlign w:val="center"/>
          </w:tcPr>
          <w:p w14:paraId="735749B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给予警告，处以一万元以上三万元以下罚款。 </w:t>
            </w:r>
          </w:p>
        </w:tc>
      </w:tr>
    </w:tbl>
    <w:p w14:paraId="197ABC95">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4191" w:name="_Toc7075"/>
      <w:bookmarkStart w:id="4192" w:name="_Toc32207"/>
      <w:bookmarkStart w:id="4193" w:name="_Toc19885"/>
      <w:bookmarkStart w:id="4194" w:name="_Toc5130"/>
      <w:bookmarkStart w:id="4195" w:name="_Toc19410"/>
      <w:bookmarkStart w:id="4196" w:name="_Toc3580"/>
      <w:bookmarkStart w:id="4197" w:name="_Toc7250"/>
      <w:bookmarkStart w:id="4198" w:name="_Toc4763"/>
      <w:bookmarkStart w:id="4199" w:name="_Toc22170"/>
      <w:bookmarkStart w:id="4200" w:name="_Toc19630"/>
      <w:bookmarkStart w:id="4201" w:name="_Toc12086"/>
      <w:bookmarkStart w:id="4202" w:name="_Toc24259"/>
      <w:bookmarkStart w:id="4203" w:name="_Toc29716"/>
      <w:r>
        <w:rPr>
          <w:rFonts w:hint="eastAsia" w:ascii="Times New Roman" w:hAnsi="Times New Roman" w:eastAsia="楷体_GB2312" w:cs="楷体_GB2312"/>
          <w:bCs w:val="0"/>
          <w:color w:val="000000" w:themeColor="text1"/>
          <w:kern w:val="2"/>
          <w14:textFill>
            <w14:solidFill>
              <w14:schemeClr w14:val="tx1"/>
            </w14:solidFill>
          </w14:textFill>
        </w:rPr>
        <w:t>（二十八）《医疗技术临床应用管理办法》</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14:paraId="460EA2DC">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204" w:name="_Toc6597"/>
      <w:bookmarkStart w:id="4205" w:name="_Toc18129"/>
      <w:bookmarkStart w:id="4206" w:name="_Toc26265"/>
      <w:bookmarkStart w:id="4207" w:name="_Toc28942"/>
      <w:bookmarkStart w:id="4208" w:name="_Toc14205"/>
      <w:bookmarkStart w:id="4209" w:name="_Toc10207"/>
      <w:bookmarkStart w:id="4210" w:name="_Toc26294"/>
      <w:bookmarkStart w:id="4211" w:name="_Toc26228"/>
      <w:bookmarkStart w:id="4212" w:name="_Toc30716"/>
      <w:bookmarkStart w:id="4213" w:name="_Toc1156"/>
      <w:bookmarkStart w:id="4214" w:name="_Toc15053"/>
      <w:r>
        <w:rPr>
          <w:rFonts w:hint="eastAsia" w:cs="仿宋_GB2312"/>
          <w:bCs/>
          <w:color w:val="000000" w:themeColor="text1"/>
          <w14:textFill>
            <w14:solidFill>
              <w14:schemeClr w14:val="tx1"/>
            </w14:solidFill>
          </w14:textFill>
        </w:rPr>
        <w:t>第三百三十三条</w:t>
      </w:r>
      <w:r>
        <w:rPr>
          <w:rFonts w:hint="eastAsia" w:ascii="Times New Roman" w:hAnsi="Times New Roman" w:cs="仿宋_GB2312"/>
          <w:bCs/>
          <w:color w:val="000000" w:themeColor="text1"/>
          <w:kern w:val="0"/>
          <w14:textFill>
            <w14:solidFill>
              <w14:schemeClr w14:val="tx1"/>
            </w14:solidFill>
          </w14:textFill>
        </w:rPr>
        <w:t xml:space="preserve"> 医疗机构未建立医疗技术临床应用管理专门组织或者未指定专（兼）职人员负责具体管理工作的</w:t>
      </w:r>
      <w:bookmarkEnd w:id="4204"/>
      <w:bookmarkEnd w:id="4205"/>
      <w:bookmarkEnd w:id="4206"/>
      <w:bookmarkEnd w:id="4207"/>
      <w:bookmarkEnd w:id="4208"/>
      <w:bookmarkEnd w:id="4209"/>
      <w:bookmarkEnd w:id="4210"/>
      <w:bookmarkEnd w:id="4211"/>
      <w:bookmarkEnd w:id="4212"/>
      <w:bookmarkEnd w:id="4213"/>
      <w:bookmarkEnd w:id="4214"/>
    </w:p>
    <w:p w14:paraId="68F243D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7E39C8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《医疗技术临床应用管理办法》第四十一条第（一）项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14:paraId="720C923B">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（一）未建立医疗技术临床</w:t>
      </w:r>
      <w:r>
        <w:rPr>
          <w:rFonts w:hint="eastAsia" w:ascii="Times New Roman" w:hAnsi="Times New Roman" w:eastAsia="仿宋_GB2312" w:cs="仿宋"/>
          <w:color w:val="000000" w:themeColor="text1"/>
          <w:sz w:val="32"/>
          <w:szCs w:val="32"/>
          <w14:textFill>
            <w14:solidFill>
              <w14:schemeClr w14:val="tx1"/>
            </w14:solidFill>
          </w14:textFill>
        </w:rPr>
        <w:t>应用管理专门组织或者未指定专（兼）职人员负责具体管理工作的；</w:t>
      </w:r>
    </w:p>
    <w:p w14:paraId="23B7D1E4">
      <w:pPr>
        <w:widowControl w:val="0"/>
        <w:adjustRightInd/>
        <w:snapToGrid/>
        <w:spacing w:after="0" w:line="440" w:lineRule="exact"/>
        <w:jc w:val="center"/>
        <w:rPr>
          <w:rFonts w:ascii="Times New Roman" w:hAnsi="Times New Roman" w:eastAsia="宋体" w:cs="Times New Roman"/>
          <w:color w:val="000000" w:themeColor="text1"/>
          <w:kern w:val="2"/>
          <w:sz w:val="24"/>
          <w:szCs w:val="24"/>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079"/>
        <w:gridCol w:w="4451"/>
      </w:tblGrid>
      <w:tr w14:paraId="4D32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40" w:type="dxa"/>
            <w:vAlign w:val="center"/>
          </w:tcPr>
          <w:p w14:paraId="6C75E9C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79" w:type="dxa"/>
            <w:vAlign w:val="center"/>
          </w:tcPr>
          <w:p w14:paraId="034A0DB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451" w:type="dxa"/>
            <w:vAlign w:val="center"/>
          </w:tcPr>
          <w:p w14:paraId="6BB27BC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F8D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40" w:type="dxa"/>
            <w:vAlign w:val="center"/>
          </w:tcPr>
          <w:p w14:paraId="2EA3CA11">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079" w:type="dxa"/>
            <w:vAlign w:val="center"/>
          </w:tcPr>
          <w:p w14:paraId="3000627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医疗机构未建立医疗技术临床应用管理专门组织或者未指定专（兼）职人员负责具体管理工作，经责令限期改正，逾期不改的。</w:t>
            </w:r>
          </w:p>
        </w:tc>
        <w:tc>
          <w:tcPr>
            <w:tcW w:w="4451" w:type="dxa"/>
            <w:vAlign w:val="center"/>
          </w:tcPr>
          <w:p w14:paraId="118DE4F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暂停或者停止相关医疗技术临床应用，予以警告，并处以三千元以下罚款。</w:t>
            </w:r>
          </w:p>
        </w:tc>
      </w:tr>
      <w:tr w14:paraId="5733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40" w:type="dxa"/>
            <w:vAlign w:val="center"/>
          </w:tcPr>
          <w:p w14:paraId="2B3F6AE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079" w:type="dxa"/>
            <w:vAlign w:val="center"/>
          </w:tcPr>
          <w:p w14:paraId="5E469C9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医疗机构未建立医疗技术临床应用管理专门组织或者未指定专（兼）职人员负责具体管理工作，造成严重后果的。</w:t>
            </w:r>
          </w:p>
        </w:tc>
        <w:tc>
          <w:tcPr>
            <w:tcW w:w="4451" w:type="dxa"/>
            <w:vAlign w:val="center"/>
          </w:tcPr>
          <w:p w14:paraId="6113BA6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暂停或者停止相关医疗技术临床应用，给予警告，处以三千元以上三万元以下罚款。</w:t>
            </w:r>
          </w:p>
        </w:tc>
      </w:tr>
    </w:tbl>
    <w:p w14:paraId="2B13AD23">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4215" w:name="_Toc31815"/>
      <w:bookmarkStart w:id="4216" w:name="_Toc7568"/>
      <w:bookmarkStart w:id="4217" w:name="_Toc12759"/>
      <w:bookmarkStart w:id="4218" w:name="_Toc26237"/>
      <w:bookmarkStart w:id="4219" w:name="_Toc11259"/>
      <w:bookmarkStart w:id="4220" w:name="_Toc13677"/>
      <w:bookmarkStart w:id="4221" w:name="_Toc13728"/>
      <w:bookmarkStart w:id="4222" w:name="_Toc21363"/>
      <w:bookmarkStart w:id="4223" w:name="_Toc13038"/>
      <w:bookmarkStart w:id="4224" w:name="_Toc20420"/>
      <w:bookmarkStart w:id="4225" w:name="_Toc1061"/>
      <w:r>
        <w:rPr>
          <w:rFonts w:hint="eastAsia" w:cs="仿宋_GB2312"/>
          <w:bCs/>
          <w:color w:val="000000" w:themeColor="text1"/>
          <w14:textFill>
            <w14:solidFill>
              <w14:schemeClr w14:val="tx1"/>
            </w14:solidFill>
          </w14:textFill>
        </w:rPr>
        <w:t>第三百三十四条</w:t>
      </w:r>
      <w:r>
        <w:rPr>
          <w:rFonts w:hint="eastAsia" w:ascii="Times New Roman" w:hAnsi="Times New Roman" w:cs="仿宋_GB2312"/>
          <w:bCs/>
          <w:color w:val="000000" w:themeColor="text1"/>
          <w:kern w:val="0"/>
          <w14:textFill>
            <w14:solidFill>
              <w14:schemeClr w14:val="tx1"/>
            </w14:solidFill>
          </w14:textFill>
        </w:rPr>
        <w:t xml:space="preserve"> 医疗机构未建立医疗技术临床应用管理相关规章制度的</w:t>
      </w:r>
      <w:bookmarkEnd w:id="4215"/>
      <w:bookmarkEnd w:id="4216"/>
      <w:bookmarkEnd w:id="4217"/>
      <w:bookmarkEnd w:id="4218"/>
      <w:bookmarkEnd w:id="4219"/>
      <w:bookmarkEnd w:id="4220"/>
      <w:bookmarkEnd w:id="4221"/>
      <w:bookmarkEnd w:id="4222"/>
      <w:bookmarkEnd w:id="4223"/>
      <w:bookmarkEnd w:id="4224"/>
      <w:bookmarkEnd w:id="4225"/>
    </w:p>
    <w:p w14:paraId="4E18E52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B36CFA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《医疗技术临床应用管理办法》第四十一条第（二）项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14:paraId="32E0C71B">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（二）未建立医疗技术临床</w:t>
      </w:r>
      <w:r>
        <w:rPr>
          <w:rFonts w:hint="eastAsia" w:ascii="Times New Roman" w:hAnsi="Times New Roman" w:eastAsia="仿宋_GB2312" w:cs="仿宋"/>
          <w:color w:val="000000" w:themeColor="text1"/>
          <w:sz w:val="32"/>
          <w:szCs w:val="32"/>
          <w14:textFill>
            <w14:solidFill>
              <w14:schemeClr w14:val="tx1"/>
            </w14:solidFill>
          </w14:textFill>
        </w:rPr>
        <w:t>应用管理相关规章制度的；</w:t>
      </w:r>
    </w:p>
    <w:p w14:paraId="1CB27D57">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34"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7560"/>
        <w:gridCol w:w="4610"/>
      </w:tblGrid>
      <w:tr w14:paraId="2824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1764" w:type="dxa"/>
            <w:vAlign w:val="center"/>
          </w:tcPr>
          <w:p w14:paraId="38ED67E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60" w:type="dxa"/>
            <w:vAlign w:val="center"/>
          </w:tcPr>
          <w:p w14:paraId="564FDD5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10" w:type="dxa"/>
            <w:vAlign w:val="center"/>
          </w:tcPr>
          <w:p w14:paraId="0E447DD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81D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764" w:type="dxa"/>
            <w:vAlign w:val="center"/>
          </w:tcPr>
          <w:p w14:paraId="2C2A599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560" w:type="dxa"/>
            <w:vAlign w:val="center"/>
          </w:tcPr>
          <w:p w14:paraId="04EE52A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医疗机构建立医疗技术临床应用管理相关规章制度，经责令限期改正，</w:t>
            </w:r>
          </w:p>
          <w:p w14:paraId="0DF385B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逾期不改的。</w:t>
            </w:r>
          </w:p>
        </w:tc>
        <w:tc>
          <w:tcPr>
            <w:tcW w:w="4610" w:type="dxa"/>
            <w:vAlign w:val="center"/>
          </w:tcPr>
          <w:p w14:paraId="22FE3C9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暂停或者停止相关医疗技术临床应用，予以警告，并处以三千元以下罚款。</w:t>
            </w:r>
          </w:p>
        </w:tc>
      </w:tr>
      <w:tr w14:paraId="6FBF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1764" w:type="dxa"/>
            <w:vAlign w:val="center"/>
          </w:tcPr>
          <w:p w14:paraId="7494B085">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60" w:type="dxa"/>
            <w:vAlign w:val="center"/>
          </w:tcPr>
          <w:p w14:paraId="0BD95F1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医疗机构建立医疗技术临床应用管理相关规章制度，造成严重后果的。</w:t>
            </w:r>
          </w:p>
        </w:tc>
        <w:tc>
          <w:tcPr>
            <w:tcW w:w="4610" w:type="dxa"/>
            <w:vAlign w:val="center"/>
          </w:tcPr>
          <w:p w14:paraId="2C3513F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暂停或者停止相关医疗技术临床应用，给予警告，处以三千元以上三万元以下罚款。</w:t>
            </w:r>
          </w:p>
        </w:tc>
      </w:tr>
    </w:tbl>
    <w:p w14:paraId="7B31930F">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226" w:name="_Toc27993"/>
      <w:bookmarkStart w:id="4227" w:name="_Toc25521"/>
      <w:bookmarkStart w:id="4228" w:name="_Toc29437"/>
      <w:bookmarkStart w:id="4229" w:name="_Toc12853"/>
      <w:bookmarkStart w:id="4230" w:name="_Toc3468"/>
      <w:bookmarkStart w:id="4231" w:name="_Toc19545"/>
      <w:bookmarkStart w:id="4232" w:name="_Toc23238"/>
      <w:bookmarkStart w:id="4233" w:name="_Toc28267"/>
      <w:bookmarkStart w:id="4234" w:name="_Toc8874"/>
      <w:bookmarkStart w:id="4235" w:name="_Toc15026"/>
      <w:bookmarkStart w:id="4236" w:name="_Toc25324"/>
      <w:r>
        <w:rPr>
          <w:rFonts w:hint="eastAsia" w:cs="仿宋_GB2312"/>
          <w:bCs/>
          <w:color w:val="000000" w:themeColor="text1"/>
          <w14:textFill>
            <w14:solidFill>
              <w14:schemeClr w14:val="tx1"/>
            </w14:solidFill>
          </w14:textFill>
        </w:rPr>
        <w:t>第三百三十五条</w:t>
      </w:r>
      <w:r>
        <w:rPr>
          <w:rFonts w:hint="eastAsia" w:ascii="Times New Roman" w:hAnsi="Times New Roman" w:cs="仿宋_GB2312"/>
          <w:bCs/>
          <w:color w:val="000000" w:themeColor="text1"/>
          <w:kern w:val="0"/>
          <w14:textFill>
            <w14:solidFill>
              <w14:schemeClr w14:val="tx1"/>
            </w14:solidFill>
          </w14:textFill>
        </w:rPr>
        <w:t xml:space="preserve"> 医疗机构医疗技术临床应用管理混乱，存在医疗质量和医疗安全隐患的</w:t>
      </w:r>
      <w:bookmarkEnd w:id="4226"/>
      <w:bookmarkEnd w:id="4227"/>
      <w:bookmarkEnd w:id="4228"/>
      <w:bookmarkEnd w:id="4229"/>
      <w:bookmarkEnd w:id="4230"/>
      <w:bookmarkEnd w:id="4231"/>
      <w:bookmarkEnd w:id="4232"/>
      <w:bookmarkEnd w:id="4233"/>
      <w:bookmarkEnd w:id="4234"/>
      <w:bookmarkEnd w:id="4235"/>
      <w:bookmarkEnd w:id="4236"/>
    </w:p>
    <w:p w14:paraId="58BA273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3234C2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《医疗技术临床应用管理办法》第四十一条第（三）项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14:paraId="130427E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（三）医疗技术临床应用管理混乱，存在医疗质量和医疗安全隐患的；</w:t>
      </w:r>
    </w:p>
    <w:p w14:paraId="7AEA9665">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463"/>
        <w:gridCol w:w="4678"/>
      </w:tblGrid>
      <w:tr w14:paraId="3C0D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51" w:type="dxa"/>
            <w:vAlign w:val="center"/>
          </w:tcPr>
          <w:p w14:paraId="0503BAE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63" w:type="dxa"/>
            <w:vAlign w:val="center"/>
          </w:tcPr>
          <w:p w14:paraId="3A8B7C3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78" w:type="dxa"/>
            <w:vAlign w:val="center"/>
          </w:tcPr>
          <w:p w14:paraId="10EB8CC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62A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751" w:type="dxa"/>
            <w:vAlign w:val="center"/>
          </w:tcPr>
          <w:p w14:paraId="7EB17C93">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463" w:type="dxa"/>
            <w:vAlign w:val="center"/>
          </w:tcPr>
          <w:p w14:paraId="6BA5241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医疗机构医疗技术临床应用管理混乱，存在医疗质量和医疗安全隐患，经责令限期改正，逾期不改的。</w:t>
            </w:r>
          </w:p>
        </w:tc>
        <w:tc>
          <w:tcPr>
            <w:tcW w:w="4678" w:type="dxa"/>
            <w:vAlign w:val="center"/>
          </w:tcPr>
          <w:p w14:paraId="69DB86F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暂停或者停止相关医疗技术临床应用，予以警告，并处以三千元以下罚款。</w:t>
            </w:r>
          </w:p>
        </w:tc>
      </w:tr>
      <w:tr w14:paraId="04EE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751" w:type="dxa"/>
            <w:vAlign w:val="center"/>
          </w:tcPr>
          <w:p w14:paraId="66433118">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463" w:type="dxa"/>
            <w:vAlign w:val="center"/>
          </w:tcPr>
          <w:p w14:paraId="014B5CA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医疗机构医疗技术临床应用管理混乱，存在医疗质量和医疗安全隐患的，造成严重后果的。</w:t>
            </w:r>
          </w:p>
        </w:tc>
        <w:tc>
          <w:tcPr>
            <w:tcW w:w="4678" w:type="dxa"/>
            <w:vAlign w:val="center"/>
          </w:tcPr>
          <w:p w14:paraId="24BC98E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暂停或者停止相关医疗技术临床应用，给予警告，处以三千元以上三万元以下罚款。</w:t>
            </w:r>
          </w:p>
        </w:tc>
      </w:tr>
    </w:tbl>
    <w:p w14:paraId="53F24E1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237" w:name="_Toc26062"/>
      <w:bookmarkStart w:id="4238" w:name="_Toc18852"/>
      <w:bookmarkStart w:id="4239" w:name="_Toc13987"/>
      <w:bookmarkStart w:id="4240" w:name="_Toc12722"/>
      <w:bookmarkStart w:id="4241" w:name="_Toc3310"/>
      <w:bookmarkStart w:id="4242" w:name="_Toc20299"/>
      <w:bookmarkStart w:id="4243" w:name="_Toc23531"/>
      <w:bookmarkStart w:id="4244" w:name="_Toc19565"/>
      <w:bookmarkStart w:id="4245" w:name="_Toc31156"/>
      <w:bookmarkStart w:id="4246" w:name="_Toc1530"/>
      <w:bookmarkStart w:id="4247" w:name="_Toc15934"/>
      <w:r>
        <w:rPr>
          <w:rFonts w:hint="eastAsia" w:cs="仿宋_GB2312"/>
          <w:bCs/>
          <w:color w:val="000000" w:themeColor="text1"/>
          <w14:textFill>
            <w14:solidFill>
              <w14:schemeClr w14:val="tx1"/>
            </w14:solidFill>
          </w14:textFill>
        </w:rPr>
        <w:t>第三百三十六条</w:t>
      </w:r>
      <w:r>
        <w:rPr>
          <w:rFonts w:hint="eastAsia" w:ascii="Times New Roman" w:hAnsi="Times New Roman" w:cs="仿宋_GB2312"/>
          <w:bCs/>
          <w:color w:val="000000" w:themeColor="text1"/>
          <w:kern w:val="0"/>
          <w14:textFill>
            <w14:solidFill>
              <w14:schemeClr w14:val="tx1"/>
            </w14:solidFill>
          </w14:textFill>
        </w:rPr>
        <w:t xml:space="preserve"> 医疗机构未按照要求向卫生行政部门进行医疗技术临床应用备案的</w:t>
      </w:r>
      <w:bookmarkEnd w:id="4237"/>
      <w:bookmarkEnd w:id="4238"/>
      <w:bookmarkEnd w:id="4239"/>
      <w:bookmarkEnd w:id="4240"/>
      <w:bookmarkEnd w:id="4241"/>
      <w:bookmarkEnd w:id="4242"/>
      <w:bookmarkEnd w:id="4243"/>
      <w:bookmarkEnd w:id="4244"/>
      <w:bookmarkEnd w:id="4245"/>
      <w:bookmarkEnd w:id="4246"/>
      <w:bookmarkEnd w:id="4247"/>
    </w:p>
    <w:p w14:paraId="07EDF0D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736C57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《医疗技术临床应用管理办法》第四十一条第（四）项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14:paraId="54F6E93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（四）未按照要求向卫生行政部门进行医疗技术临床应用备案的；</w:t>
      </w:r>
    </w:p>
    <w:p w14:paraId="35A394BB">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7627"/>
        <w:gridCol w:w="4614"/>
      </w:tblGrid>
      <w:tr w14:paraId="08D1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29" w:type="dxa"/>
            <w:vAlign w:val="center"/>
          </w:tcPr>
          <w:p w14:paraId="0F46BBF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27" w:type="dxa"/>
            <w:vAlign w:val="center"/>
          </w:tcPr>
          <w:p w14:paraId="3D16803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14" w:type="dxa"/>
            <w:vAlign w:val="center"/>
          </w:tcPr>
          <w:p w14:paraId="6542FC0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224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729" w:type="dxa"/>
            <w:vAlign w:val="center"/>
          </w:tcPr>
          <w:p w14:paraId="12173541">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627" w:type="dxa"/>
            <w:vAlign w:val="center"/>
          </w:tcPr>
          <w:p w14:paraId="5FCD6B1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医疗机构未按照要求向卫生行政部门进行医疗技术临床应用备案，经责令限期改正，逾期不改的。</w:t>
            </w:r>
          </w:p>
        </w:tc>
        <w:tc>
          <w:tcPr>
            <w:tcW w:w="4614" w:type="dxa"/>
            <w:vAlign w:val="center"/>
          </w:tcPr>
          <w:p w14:paraId="5289513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暂停或者停止相关医疗技术临床应用，予以警告，并处以三千元以下罚款。</w:t>
            </w:r>
          </w:p>
        </w:tc>
      </w:tr>
      <w:tr w14:paraId="518F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29" w:type="dxa"/>
            <w:vAlign w:val="center"/>
          </w:tcPr>
          <w:p w14:paraId="1599A87E">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627" w:type="dxa"/>
            <w:vAlign w:val="center"/>
          </w:tcPr>
          <w:p w14:paraId="5878673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医疗机构未按照要求向卫生行政部门进行医疗技术临床应用备案，造成严重后果的。</w:t>
            </w:r>
          </w:p>
        </w:tc>
        <w:tc>
          <w:tcPr>
            <w:tcW w:w="4614" w:type="dxa"/>
            <w:vAlign w:val="center"/>
          </w:tcPr>
          <w:p w14:paraId="4E6D2B1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暂停或者停止相关医疗技术临床应用，给予警告，处以三千元以上三万元以下罚款。</w:t>
            </w:r>
          </w:p>
        </w:tc>
      </w:tr>
    </w:tbl>
    <w:p w14:paraId="4013285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248" w:name="_Toc21636"/>
      <w:bookmarkStart w:id="4249" w:name="_Toc19654"/>
      <w:bookmarkStart w:id="4250" w:name="_Toc24782"/>
      <w:bookmarkStart w:id="4251" w:name="_Toc25379"/>
      <w:bookmarkStart w:id="4252" w:name="_Toc1291"/>
      <w:bookmarkStart w:id="4253" w:name="_Toc20485"/>
      <w:bookmarkStart w:id="4254" w:name="_Toc27648"/>
      <w:bookmarkStart w:id="4255" w:name="_Toc14885"/>
      <w:bookmarkStart w:id="4256" w:name="_Toc21386"/>
      <w:bookmarkStart w:id="4257" w:name="_Toc29953"/>
      <w:bookmarkStart w:id="4258" w:name="_Toc21998"/>
      <w:r>
        <w:rPr>
          <w:rFonts w:hint="eastAsia" w:cs="仿宋_GB2312"/>
          <w:bCs/>
          <w:color w:val="000000" w:themeColor="text1"/>
          <w14:textFill>
            <w14:solidFill>
              <w14:schemeClr w14:val="tx1"/>
            </w14:solidFill>
          </w14:textFill>
        </w:rPr>
        <w:t>第三百三十七条</w:t>
      </w:r>
      <w:r>
        <w:rPr>
          <w:rFonts w:hint="eastAsia" w:ascii="Times New Roman" w:hAnsi="Times New Roman" w:cs="仿宋_GB2312"/>
          <w:bCs/>
          <w:color w:val="000000" w:themeColor="text1"/>
          <w:kern w:val="0"/>
          <w14:textFill>
            <w14:solidFill>
              <w14:schemeClr w14:val="tx1"/>
            </w14:solidFill>
          </w14:textFill>
        </w:rPr>
        <w:t xml:space="preserve"> 医疗机构未按照要求报告或者报告不实信息的</w:t>
      </w:r>
      <w:bookmarkEnd w:id="4248"/>
      <w:bookmarkEnd w:id="4249"/>
      <w:bookmarkEnd w:id="4250"/>
      <w:bookmarkEnd w:id="4251"/>
      <w:bookmarkEnd w:id="4252"/>
      <w:bookmarkEnd w:id="4253"/>
      <w:bookmarkEnd w:id="4254"/>
      <w:bookmarkEnd w:id="4255"/>
      <w:bookmarkEnd w:id="4256"/>
      <w:bookmarkEnd w:id="4257"/>
      <w:bookmarkEnd w:id="4258"/>
    </w:p>
    <w:p w14:paraId="29D9917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F131A3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《医疗技术临床应用管理办法》第四十一条第（五）项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14:paraId="5530EBC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（五）未按照要求报告或者报告不实信息的；</w:t>
      </w:r>
    </w:p>
    <w:p w14:paraId="482DCBC0">
      <w:pPr>
        <w:widowControl w:val="0"/>
        <w:adjustRightInd/>
        <w:snapToGrid/>
        <w:spacing w:after="0" w:line="440" w:lineRule="exact"/>
        <w:jc w:val="center"/>
        <w:rPr>
          <w:rFonts w:ascii="Times New Roman" w:hAnsi="Times New Roman" w:eastAsia="宋体" w:cs="Times New Roman"/>
          <w:color w:val="000000" w:themeColor="text1"/>
          <w:kern w:val="2"/>
          <w:sz w:val="24"/>
          <w:szCs w:val="24"/>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560"/>
        <w:gridCol w:w="4928"/>
      </w:tblGrid>
      <w:tr w14:paraId="70FE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08FEC56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60" w:type="dxa"/>
            <w:vAlign w:val="center"/>
          </w:tcPr>
          <w:p w14:paraId="653EED2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928" w:type="dxa"/>
            <w:vAlign w:val="center"/>
          </w:tcPr>
          <w:p w14:paraId="211938A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F10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4D0FB957">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560" w:type="dxa"/>
            <w:vAlign w:val="center"/>
          </w:tcPr>
          <w:p w14:paraId="15E2CA6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医疗机构未按照要求报告或者报告不实信息，经责令限期改正，逾期不改的。</w:t>
            </w:r>
          </w:p>
        </w:tc>
        <w:tc>
          <w:tcPr>
            <w:tcW w:w="4928" w:type="dxa"/>
            <w:vAlign w:val="center"/>
          </w:tcPr>
          <w:p w14:paraId="4BE3CDB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暂停或者停止相关医疗技术临床应用，予以警告，并处以三千元以下罚款。</w:t>
            </w:r>
          </w:p>
        </w:tc>
      </w:tr>
      <w:tr w14:paraId="1328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3677CA9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60" w:type="dxa"/>
            <w:vAlign w:val="center"/>
          </w:tcPr>
          <w:p w14:paraId="3A0643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医疗机构未按照要求报告或者报告不实信息，造成严重后果的。</w:t>
            </w:r>
          </w:p>
        </w:tc>
        <w:tc>
          <w:tcPr>
            <w:tcW w:w="4928" w:type="dxa"/>
            <w:vAlign w:val="center"/>
          </w:tcPr>
          <w:p w14:paraId="5CFC5D8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暂停或者停止相关医疗技术临床应用，给予警告，处以三千元以上三万元以下罚款。</w:t>
            </w:r>
          </w:p>
        </w:tc>
      </w:tr>
    </w:tbl>
    <w:p w14:paraId="26A42EC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259" w:name="_Toc30022"/>
      <w:bookmarkStart w:id="4260" w:name="_Toc12224"/>
      <w:bookmarkStart w:id="4261" w:name="_Toc904"/>
      <w:bookmarkStart w:id="4262" w:name="_Toc9647"/>
      <w:bookmarkStart w:id="4263" w:name="_Toc17244"/>
      <w:bookmarkStart w:id="4264" w:name="_Toc7257"/>
      <w:bookmarkStart w:id="4265" w:name="_Toc26711"/>
      <w:bookmarkStart w:id="4266" w:name="_Toc7128"/>
      <w:bookmarkStart w:id="4267" w:name="_Toc466"/>
      <w:bookmarkStart w:id="4268" w:name="_Toc16733"/>
      <w:bookmarkStart w:id="4269" w:name="_Toc29530"/>
      <w:r>
        <w:rPr>
          <w:rFonts w:hint="eastAsia" w:cs="仿宋_GB2312"/>
          <w:bCs/>
          <w:color w:val="000000" w:themeColor="text1"/>
          <w14:textFill>
            <w14:solidFill>
              <w14:schemeClr w14:val="tx1"/>
            </w14:solidFill>
          </w14:textFill>
        </w:rPr>
        <w:t>第三百三十八条</w:t>
      </w:r>
      <w:r>
        <w:rPr>
          <w:rFonts w:hint="eastAsia" w:ascii="Times New Roman" w:hAnsi="Times New Roman" w:cs="仿宋_GB2312"/>
          <w:bCs/>
          <w:color w:val="000000" w:themeColor="text1"/>
          <w:kern w:val="0"/>
          <w14:textFill>
            <w14:solidFill>
              <w14:schemeClr w14:val="tx1"/>
            </w14:solidFill>
          </w14:textFill>
        </w:rPr>
        <w:t xml:space="preserve"> 医疗机构未按照要求向国家和省级医疗技术临床应用信息化管理平台报送相关信息的</w:t>
      </w:r>
      <w:bookmarkEnd w:id="4259"/>
      <w:bookmarkEnd w:id="4260"/>
      <w:bookmarkEnd w:id="4261"/>
      <w:bookmarkEnd w:id="4262"/>
      <w:bookmarkEnd w:id="4263"/>
      <w:bookmarkEnd w:id="4264"/>
      <w:bookmarkEnd w:id="4265"/>
      <w:bookmarkEnd w:id="4266"/>
      <w:bookmarkEnd w:id="4267"/>
      <w:bookmarkEnd w:id="4268"/>
      <w:bookmarkEnd w:id="4269"/>
    </w:p>
    <w:p w14:paraId="0016F51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7E7B6E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《医疗技术临床应用管理办法》第四十一条第（六）项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14:paraId="7AD19028">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（六）未按照要求向国家和</w:t>
      </w:r>
      <w:r>
        <w:rPr>
          <w:rFonts w:hint="eastAsia" w:ascii="Times New Roman" w:hAnsi="Times New Roman" w:eastAsia="仿宋_GB2312" w:cs="仿宋"/>
          <w:color w:val="000000" w:themeColor="text1"/>
          <w:sz w:val="32"/>
          <w:szCs w:val="32"/>
          <w14:textFill>
            <w14:solidFill>
              <w14:schemeClr w14:val="tx1"/>
            </w14:solidFill>
          </w14:textFill>
        </w:rPr>
        <w:t>省级医疗技术临床应用信息化管理平台报送相关信息的；</w:t>
      </w:r>
    </w:p>
    <w:p w14:paraId="2E1A902D">
      <w:pPr>
        <w:widowControl w:val="0"/>
        <w:adjustRightInd/>
        <w:snapToGrid/>
        <w:spacing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916"/>
        <w:gridCol w:w="4614"/>
      </w:tblGrid>
      <w:tr w14:paraId="7BAF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40" w:type="dxa"/>
            <w:vAlign w:val="center"/>
          </w:tcPr>
          <w:p w14:paraId="0C8B181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16" w:type="dxa"/>
            <w:vAlign w:val="center"/>
          </w:tcPr>
          <w:p w14:paraId="25419CF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14" w:type="dxa"/>
            <w:vAlign w:val="center"/>
          </w:tcPr>
          <w:p w14:paraId="6E43662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B7D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440" w:type="dxa"/>
            <w:vAlign w:val="center"/>
          </w:tcPr>
          <w:p w14:paraId="344B4C26">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916" w:type="dxa"/>
            <w:vAlign w:val="center"/>
          </w:tcPr>
          <w:p w14:paraId="1CD0D67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医疗机构未按照要求向国家和省级医疗技术临床应用信息化管理平台报送相关信息，经责令限期改正，逾期不改的。</w:t>
            </w:r>
          </w:p>
        </w:tc>
        <w:tc>
          <w:tcPr>
            <w:tcW w:w="4614" w:type="dxa"/>
            <w:vAlign w:val="center"/>
          </w:tcPr>
          <w:p w14:paraId="4AB558C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暂停或者停止相关医疗技术临床应用，予以警告，并处以三千元以下罚款。</w:t>
            </w:r>
          </w:p>
        </w:tc>
      </w:tr>
      <w:tr w14:paraId="18B4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440" w:type="dxa"/>
            <w:vAlign w:val="center"/>
          </w:tcPr>
          <w:p w14:paraId="1712E8E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916" w:type="dxa"/>
            <w:vAlign w:val="center"/>
          </w:tcPr>
          <w:p w14:paraId="7436B3D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医疗机构未按照要求向国家和省级医疗技术临床应用信息化管理平台报送相关信息，造成严重后果的。</w:t>
            </w:r>
          </w:p>
        </w:tc>
        <w:tc>
          <w:tcPr>
            <w:tcW w:w="4614" w:type="dxa"/>
            <w:vAlign w:val="center"/>
          </w:tcPr>
          <w:p w14:paraId="746AB77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暂停或者停止相关医疗技术临床应用，给予警告，处以三千元以上三万元以下罚款。</w:t>
            </w:r>
          </w:p>
        </w:tc>
      </w:tr>
    </w:tbl>
    <w:p w14:paraId="723AB010">
      <w:pPr>
        <w:widowControl w:val="0"/>
        <w:adjustRightInd/>
        <w:snapToGrid/>
        <w:spacing w:after="0" w:line="440" w:lineRule="exact"/>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3B9222CD">
      <w:pPr>
        <w:pStyle w:val="4"/>
        <w:widowControl w:val="0"/>
        <w:ind w:firstLine="640"/>
        <w:rPr>
          <w:rFonts w:hint="eastAsia" w:ascii="Times New Roman" w:hAnsi="Times New Roman" w:cs="仿宋_GB2312"/>
          <w:b w:val="0"/>
          <w:color w:val="000000" w:themeColor="text1"/>
          <w:kern w:val="2"/>
          <w14:textFill>
            <w14:solidFill>
              <w14:schemeClr w14:val="tx1"/>
            </w14:solidFill>
          </w14:textFill>
        </w:rPr>
      </w:pPr>
      <w:bookmarkStart w:id="4270" w:name="_Toc9615"/>
      <w:bookmarkStart w:id="4271" w:name="_Toc25835"/>
      <w:bookmarkStart w:id="4272" w:name="_Toc30904"/>
      <w:bookmarkStart w:id="4273" w:name="_Toc23893"/>
      <w:bookmarkStart w:id="4274" w:name="_Toc31009"/>
      <w:bookmarkStart w:id="4275" w:name="_Toc13380"/>
      <w:bookmarkStart w:id="4276" w:name="_Toc20668"/>
      <w:bookmarkStart w:id="4277" w:name="_Toc13662"/>
      <w:bookmarkStart w:id="4278" w:name="_Toc14781"/>
      <w:bookmarkStart w:id="4279" w:name="_Toc27994"/>
      <w:bookmarkStart w:id="4280" w:name="_Toc22535"/>
      <w:r>
        <w:rPr>
          <w:rFonts w:hint="eastAsia"/>
          <w:color w:val="000000" w:themeColor="text1"/>
          <w14:textFill>
            <w14:solidFill>
              <w14:schemeClr w14:val="tx1"/>
            </w14:solidFill>
          </w14:textFill>
        </w:rPr>
        <w:t>第三百三十九条</w:t>
      </w:r>
      <w:r>
        <w:rPr>
          <w:rFonts w:hint="eastAsia" w:ascii="Times New Roman" w:hAnsi="Times New Roman" w:cs="仿宋_GB2312"/>
          <w:color w:val="000000" w:themeColor="text1"/>
          <w:kern w:val="2"/>
          <w14:textFill>
            <w14:solidFill>
              <w14:schemeClr w14:val="tx1"/>
            </w14:solidFill>
          </w14:textFill>
        </w:rPr>
        <w:t xml:space="preserve"> 医疗机构未将相关信息纳入院务公开范围向社会公开的</w:t>
      </w:r>
      <w:bookmarkEnd w:id="4270"/>
      <w:bookmarkEnd w:id="4271"/>
      <w:bookmarkEnd w:id="4272"/>
      <w:bookmarkEnd w:id="4273"/>
      <w:bookmarkEnd w:id="4274"/>
      <w:bookmarkEnd w:id="4275"/>
      <w:bookmarkEnd w:id="4276"/>
      <w:bookmarkEnd w:id="4277"/>
      <w:bookmarkEnd w:id="4278"/>
      <w:bookmarkEnd w:id="4279"/>
      <w:bookmarkEnd w:id="4280"/>
    </w:p>
    <w:p w14:paraId="0053CFB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7A1D02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《医疗技术临床应用管理办法》第四十一条第（七）项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14:paraId="15A07405">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（七）未将相关信息纳入院</w:t>
      </w:r>
      <w:r>
        <w:rPr>
          <w:rFonts w:hint="eastAsia" w:ascii="Times New Roman" w:hAnsi="Times New Roman" w:eastAsia="仿宋_GB2312" w:cs="仿宋"/>
          <w:color w:val="000000" w:themeColor="text1"/>
          <w:sz w:val="32"/>
          <w:szCs w:val="32"/>
          <w14:textFill>
            <w14:solidFill>
              <w14:schemeClr w14:val="tx1"/>
            </w14:solidFill>
          </w14:textFill>
        </w:rPr>
        <w:t>务公开范围向社会公开的；</w:t>
      </w:r>
    </w:p>
    <w:p w14:paraId="06DAC0FE">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632"/>
        <w:gridCol w:w="4898"/>
      </w:tblGrid>
      <w:tr w14:paraId="6A4C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40" w:type="dxa"/>
            <w:vAlign w:val="center"/>
          </w:tcPr>
          <w:p w14:paraId="5ADEFB7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32" w:type="dxa"/>
            <w:vAlign w:val="center"/>
          </w:tcPr>
          <w:p w14:paraId="429B756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898" w:type="dxa"/>
            <w:vAlign w:val="center"/>
          </w:tcPr>
          <w:p w14:paraId="6F74915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B18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40" w:type="dxa"/>
            <w:vAlign w:val="center"/>
          </w:tcPr>
          <w:p w14:paraId="2C60A7F9">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632" w:type="dxa"/>
            <w:vAlign w:val="center"/>
          </w:tcPr>
          <w:p w14:paraId="6E32B59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医疗机构未将相关信息纳入院务公开范围向社会公开，经责令限期改正，逾期不改的。</w:t>
            </w:r>
          </w:p>
        </w:tc>
        <w:tc>
          <w:tcPr>
            <w:tcW w:w="4898" w:type="dxa"/>
            <w:vAlign w:val="center"/>
          </w:tcPr>
          <w:p w14:paraId="5CB3962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暂停或者停止相关医疗技术临床应用，予以警告，并处以三千元以下罚款。</w:t>
            </w:r>
          </w:p>
        </w:tc>
      </w:tr>
      <w:tr w14:paraId="47EF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40" w:type="dxa"/>
            <w:vAlign w:val="center"/>
          </w:tcPr>
          <w:p w14:paraId="1F6F5B3B">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632" w:type="dxa"/>
            <w:vAlign w:val="center"/>
          </w:tcPr>
          <w:p w14:paraId="434CFF8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医疗机构未将相关信息纳入院务公开范围向社会公开，造成严重后果的。</w:t>
            </w:r>
          </w:p>
        </w:tc>
        <w:tc>
          <w:tcPr>
            <w:tcW w:w="4898" w:type="dxa"/>
            <w:vAlign w:val="center"/>
          </w:tcPr>
          <w:p w14:paraId="0E82785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暂停或者停止相关医疗技术临床应用，给予警告，处以三千元以上三万元以下罚款。</w:t>
            </w:r>
          </w:p>
        </w:tc>
      </w:tr>
    </w:tbl>
    <w:p w14:paraId="2D3F841F">
      <w:pPr>
        <w:widowControl w:val="0"/>
        <w:adjustRightInd/>
        <w:snapToGrid/>
        <w:spacing w:after="0" w:line="440" w:lineRule="exact"/>
        <w:jc w:val="both"/>
        <w:rPr>
          <w:rFonts w:hint="eastAsia" w:ascii="Times New Roman" w:hAnsi="Times New Roman" w:eastAsia="仿宋_GB2312" w:cs="仿宋"/>
          <w:b/>
          <w:bCs/>
          <w:color w:val="000000" w:themeColor="text1"/>
          <w:kern w:val="2"/>
          <w:sz w:val="32"/>
          <w:szCs w:val="32"/>
          <w14:textFill>
            <w14:solidFill>
              <w14:schemeClr w14:val="tx1"/>
            </w14:solidFill>
          </w14:textFill>
        </w:rPr>
      </w:pPr>
    </w:p>
    <w:p w14:paraId="15316497">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281" w:name="_Toc10442"/>
      <w:bookmarkStart w:id="4282" w:name="_Toc28482"/>
      <w:bookmarkStart w:id="4283" w:name="_Toc29882"/>
      <w:bookmarkStart w:id="4284" w:name="_Toc9630"/>
      <w:bookmarkStart w:id="4285" w:name="_Toc18702"/>
      <w:bookmarkStart w:id="4286" w:name="_Toc29092"/>
      <w:bookmarkStart w:id="4287" w:name="_Toc5416"/>
      <w:bookmarkStart w:id="4288" w:name="_Toc2956"/>
      <w:bookmarkStart w:id="4289" w:name="_Toc8658"/>
      <w:bookmarkStart w:id="4290" w:name="_Toc15445"/>
      <w:bookmarkStart w:id="4291" w:name="_Toc3060"/>
      <w:r>
        <w:rPr>
          <w:rFonts w:hint="eastAsia" w:cs="仿宋_GB2312"/>
          <w:bCs/>
          <w:color w:val="000000" w:themeColor="text1"/>
          <w14:textFill>
            <w14:solidFill>
              <w14:schemeClr w14:val="tx1"/>
            </w14:solidFill>
          </w14:textFill>
        </w:rPr>
        <w:t>第三百四十条</w:t>
      </w:r>
      <w:r>
        <w:rPr>
          <w:rFonts w:hint="eastAsia" w:ascii="Times New Roman" w:hAnsi="Times New Roman" w:cs="仿宋_GB2312"/>
          <w:bCs/>
          <w:color w:val="000000" w:themeColor="text1"/>
          <w:kern w:val="0"/>
          <w14:textFill>
            <w14:solidFill>
              <w14:schemeClr w14:val="tx1"/>
            </w14:solidFill>
          </w14:textFill>
        </w:rPr>
        <w:t xml:space="preserve"> 医疗机构未按要求保障医务人员接受医疗技术临床应用规范化培训权益的</w:t>
      </w:r>
      <w:bookmarkEnd w:id="4281"/>
      <w:bookmarkEnd w:id="4282"/>
      <w:bookmarkEnd w:id="4283"/>
      <w:bookmarkEnd w:id="4284"/>
      <w:bookmarkEnd w:id="4285"/>
      <w:bookmarkEnd w:id="4286"/>
      <w:bookmarkEnd w:id="4287"/>
      <w:bookmarkEnd w:id="4288"/>
      <w:bookmarkEnd w:id="4289"/>
      <w:bookmarkEnd w:id="4290"/>
      <w:bookmarkEnd w:id="4291"/>
    </w:p>
    <w:p w14:paraId="1E44D58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F35BA1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《医疗技术临床应用管理办法》第四十一条第（八）项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办法规定，有下列情形之一的，由县级以上地方卫生行政部门责令限期改正；逾期不改的，暂停或者停止相关医疗技术临床应用，给予警告，并处以三千元以下罚款；造成严重后果的，处以三千元以上三万元以下罚款，并对医疗机构主要负责人、负有责任的主管人员和其他直接责任人员依法给予处分：</w:t>
      </w:r>
    </w:p>
    <w:p w14:paraId="077A208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（八）未按要求保障医务人员接受医疗技术临床应用规范化培训权益的</w:t>
      </w:r>
    </w:p>
    <w:p w14:paraId="7FB891DD">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916"/>
        <w:gridCol w:w="4536"/>
      </w:tblGrid>
      <w:tr w14:paraId="5300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40" w:type="dxa"/>
            <w:vAlign w:val="center"/>
          </w:tcPr>
          <w:p w14:paraId="534892D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16" w:type="dxa"/>
            <w:vAlign w:val="center"/>
          </w:tcPr>
          <w:p w14:paraId="2C245E5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536" w:type="dxa"/>
            <w:vAlign w:val="center"/>
          </w:tcPr>
          <w:p w14:paraId="1D9D101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B5E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40" w:type="dxa"/>
            <w:vAlign w:val="center"/>
          </w:tcPr>
          <w:p w14:paraId="18987D95">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916" w:type="dxa"/>
            <w:vAlign w:val="center"/>
          </w:tcPr>
          <w:p w14:paraId="6CDC76C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医疗机构未按要求保障医务人员接受医疗技术临床应用规范化培训权益，经责令限期改正，逾期不改的。</w:t>
            </w:r>
          </w:p>
        </w:tc>
        <w:tc>
          <w:tcPr>
            <w:tcW w:w="4536" w:type="dxa"/>
            <w:vAlign w:val="center"/>
          </w:tcPr>
          <w:p w14:paraId="3ADD670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暂停或者停止相关医疗技术临床应用，予以警告，并处以三千元以下罚款。</w:t>
            </w:r>
          </w:p>
        </w:tc>
      </w:tr>
      <w:tr w14:paraId="4FC9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440" w:type="dxa"/>
            <w:vAlign w:val="center"/>
          </w:tcPr>
          <w:p w14:paraId="2BD44235">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916" w:type="dxa"/>
            <w:vAlign w:val="center"/>
          </w:tcPr>
          <w:p w14:paraId="0D92566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医疗机构未按要求保障医务人员接受医疗技术临床应用规范化培训权益，造成严重后果的。</w:t>
            </w:r>
          </w:p>
        </w:tc>
        <w:tc>
          <w:tcPr>
            <w:tcW w:w="4536" w:type="dxa"/>
            <w:vAlign w:val="center"/>
          </w:tcPr>
          <w:p w14:paraId="4BF78EB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暂停或者停止相关医疗技术临床应用，给予警告，处以三千元以上三万元以下罚款。</w:t>
            </w:r>
          </w:p>
        </w:tc>
      </w:tr>
    </w:tbl>
    <w:p w14:paraId="7C5F8341">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292" w:name="_Toc14515"/>
      <w:bookmarkStart w:id="4293" w:name="_Toc28099"/>
      <w:bookmarkStart w:id="4294" w:name="_Toc559"/>
      <w:bookmarkStart w:id="4295" w:name="_Toc13772"/>
      <w:bookmarkStart w:id="4296" w:name="_Toc18101"/>
      <w:bookmarkStart w:id="4297" w:name="_Toc766"/>
      <w:bookmarkStart w:id="4298" w:name="_Toc25179"/>
      <w:bookmarkStart w:id="4299" w:name="_Toc2453"/>
      <w:bookmarkStart w:id="4300" w:name="_Toc20174"/>
      <w:bookmarkStart w:id="4301" w:name="_Toc1833"/>
      <w:bookmarkStart w:id="4302" w:name="_Toc26963"/>
      <w:r>
        <w:rPr>
          <w:rFonts w:hint="eastAsia" w:cs="仿宋_GB2312"/>
          <w:bCs/>
          <w:color w:val="000000" w:themeColor="text1"/>
          <w14:textFill>
            <w14:solidFill>
              <w14:schemeClr w14:val="tx1"/>
            </w14:solidFill>
          </w14:textFill>
        </w:rPr>
        <w:t>第三百四十一条</w:t>
      </w:r>
      <w:r>
        <w:rPr>
          <w:rFonts w:hint="eastAsia" w:ascii="Times New Roman" w:hAnsi="Times New Roman" w:cs="仿宋_GB2312"/>
          <w:bCs/>
          <w:color w:val="000000" w:themeColor="text1"/>
          <w:kern w:val="0"/>
          <w14:textFill>
            <w14:solidFill>
              <w14:schemeClr w14:val="tx1"/>
            </w14:solidFill>
          </w14:textFill>
        </w:rPr>
        <w:t xml:space="preserve"> 医疗机构管理混乱导致医疗技术临床应用造成严重不良后果，并产生重大社会影响的</w:t>
      </w:r>
      <w:bookmarkEnd w:id="4292"/>
      <w:bookmarkEnd w:id="4293"/>
      <w:bookmarkEnd w:id="4294"/>
      <w:bookmarkEnd w:id="4295"/>
      <w:bookmarkEnd w:id="4296"/>
      <w:bookmarkEnd w:id="4297"/>
      <w:bookmarkEnd w:id="4298"/>
      <w:bookmarkEnd w:id="4299"/>
      <w:bookmarkEnd w:id="4300"/>
      <w:bookmarkEnd w:id="4301"/>
      <w:bookmarkEnd w:id="4302"/>
    </w:p>
    <w:p w14:paraId="1916F8B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C3AB64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《医疗技术临床应用管理办法》第四十四条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管理混乱导致医疗技术临床应用造成严重不良后果，并产生重大社会影响的，由县级以上地方卫生行政部门责令限期整改，并给予警告；逾期不改的，给予三万元以下罚款，并对医疗机构主要负责人、负有责任的主管人员和其他直接责任人员依法给予处分。</w:t>
      </w:r>
    </w:p>
    <w:p w14:paraId="422ECF3D">
      <w:pPr>
        <w:widowControl w:val="0"/>
        <w:adjustRightInd/>
        <w:snapToGrid/>
        <w:spacing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483"/>
        <w:gridCol w:w="4005"/>
      </w:tblGrid>
      <w:tr w14:paraId="4BA5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40" w:type="dxa"/>
            <w:vAlign w:val="center"/>
          </w:tcPr>
          <w:p w14:paraId="01DF69F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483" w:type="dxa"/>
            <w:vAlign w:val="center"/>
          </w:tcPr>
          <w:p w14:paraId="4BBB221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005" w:type="dxa"/>
            <w:vAlign w:val="center"/>
          </w:tcPr>
          <w:p w14:paraId="3E8B67A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60D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40" w:type="dxa"/>
            <w:vAlign w:val="center"/>
          </w:tcPr>
          <w:p w14:paraId="5AB2672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483" w:type="dxa"/>
            <w:vAlign w:val="center"/>
          </w:tcPr>
          <w:p w14:paraId="4442750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医疗机构管理混乱导致医疗技术临床应用造成严重不良后果，并产生重大社会影响的。</w:t>
            </w:r>
          </w:p>
        </w:tc>
        <w:tc>
          <w:tcPr>
            <w:tcW w:w="4005" w:type="dxa"/>
            <w:vAlign w:val="center"/>
          </w:tcPr>
          <w:p w14:paraId="6C9729F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由县级以上地方卫生行政部门责令限期整改，并给予警告。</w:t>
            </w:r>
          </w:p>
        </w:tc>
      </w:tr>
      <w:tr w14:paraId="2358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440" w:type="dxa"/>
            <w:vAlign w:val="center"/>
          </w:tcPr>
          <w:p w14:paraId="00252562">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483" w:type="dxa"/>
            <w:vAlign w:val="center"/>
          </w:tcPr>
          <w:p w14:paraId="14780A3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医疗机构管理混乱导致医疗技术临床应用造成严重不良后果，并产生重大社会影响，经责令限期改正，逾期不改的。</w:t>
            </w:r>
          </w:p>
        </w:tc>
        <w:tc>
          <w:tcPr>
            <w:tcW w:w="4005" w:type="dxa"/>
            <w:vAlign w:val="center"/>
          </w:tcPr>
          <w:p w14:paraId="1979BDF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由县级以上地方卫生行政部门责令限期整改，给予警告，给予三万元以下罚款。</w:t>
            </w:r>
          </w:p>
        </w:tc>
      </w:tr>
    </w:tbl>
    <w:p w14:paraId="3D73F88A">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4303" w:name="_Toc12806"/>
      <w:bookmarkStart w:id="4304" w:name="_Toc31595"/>
      <w:bookmarkStart w:id="4305" w:name="_Toc6697"/>
      <w:bookmarkStart w:id="4306" w:name="_Toc6069"/>
      <w:bookmarkStart w:id="4307" w:name="_Toc4199"/>
      <w:bookmarkStart w:id="4308" w:name="_Toc2471"/>
      <w:bookmarkStart w:id="4309" w:name="_Toc28941"/>
      <w:bookmarkStart w:id="4310" w:name="_Toc1856"/>
      <w:bookmarkStart w:id="4311" w:name="_Toc14042"/>
      <w:bookmarkStart w:id="4312" w:name="_Toc23277"/>
      <w:bookmarkStart w:id="4313" w:name="_Toc4623"/>
      <w:bookmarkStart w:id="4314" w:name="_Toc9702"/>
      <w:bookmarkStart w:id="4315" w:name="_Toc14373"/>
      <w:r>
        <w:rPr>
          <w:rFonts w:hint="eastAsia" w:ascii="Times New Roman" w:hAnsi="Times New Roman" w:eastAsia="楷体_GB2312" w:cs="楷体_GB2312"/>
          <w:bCs w:val="0"/>
          <w:color w:val="000000" w:themeColor="text1"/>
          <w:kern w:val="2"/>
          <w14:textFill>
            <w14:solidFill>
              <w14:schemeClr w14:val="tx1"/>
            </w14:solidFill>
          </w14:textFill>
        </w:rPr>
        <w:t>（二十九）《中华人民共和国献血法》</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14:paraId="0C0F7D56">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316" w:name="_Toc862"/>
      <w:bookmarkStart w:id="4317" w:name="_Toc30178"/>
      <w:bookmarkStart w:id="4318" w:name="_Toc8940"/>
      <w:bookmarkStart w:id="4319" w:name="_Toc364"/>
      <w:bookmarkStart w:id="4320" w:name="_Toc11753"/>
      <w:bookmarkStart w:id="4321" w:name="_Toc29311"/>
      <w:bookmarkStart w:id="4322" w:name="_Toc16607"/>
      <w:bookmarkStart w:id="4323" w:name="_Toc23907"/>
      <w:bookmarkStart w:id="4324" w:name="_Toc5156"/>
      <w:bookmarkStart w:id="4325" w:name="_Toc8987"/>
      <w:bookmarkStart w:id="4326" w:name="_Toc4393"/>
      <w:r>
        <w:rPr>
          <w:rFonts w:hint="eastAsia" w:cs="仿宋_GB2312"/>
          <w:bCs/>
          <w:color w:val="000000" w:themeColor="text1"/>
          <w14:textFill>
            <w14:solidFill>
              <w14:schemeClr w14:val="tx1"/>
            </w14:solidFill>
          </w14:textFill>
        </w:rPr>
        <w:t>第三百四十二条</w:t>
      </w:r>
      <w:r>
        <w:rPr>
          <w:rFonts w:hint="eastAsia" w:ascii="Times New Roman" w:hAnsi="Times New Roman" w:cs="仿宋_GB2312"/>
          <w:bCs/>
          <w:color w:val="000000" w:themeColor="text1"/>
          <w:kern w:val="0"/>
          <w14:textFill>
            <w14:solidFill>
              <w14:schemeClr w14:val="tx1"/>
            </w14:solidFill>
          </w14:textFill>
        </w:rPr>
        <w:t xml:space="preserve"> 非法采集血液的</w:t>
      </w:r>
      <w:bookmarkEnd w:id="4316"/>
      <w:bookmarkEnd w:id="4317"/>
      <w:bookmarkEnd w:id="4318"/>
      <w:bookmarkEnd w:id="4319"/>
      <w:bookmarkEnd w:id="4320"/>
      <w:bookmarkEnd w:id="4321"/>
      <w:bookmarkEnd w:id="4322"/>
      <w:bookmarkEnd w:id="4323"/>
      <w:bookmarkEnd w:id="4324"/>
      <w:bookmarkEnd w:id="4325"/>
      <w:bookmarkEnd w:id="4326"/>
    </w:p>
    <w:p w14:paraId="45A60BA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45E4E83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《中华人民共和国献血法》第十八条第（一）项</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有下列行为之一的，由县级以上地方人民政府卫生行政部门予以取缔，没收违法所得，可以并处十万元以下的罚款；构成犯罪的，依法追究刑事责任：</w:t>
      </w:r>
    </w:p>
    <w:p w14:paraId="5CB0316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 非法采集血液的；</w:t>
      </w:r>
    </w:p>
    <w:p w14:paraId="74060D3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2.《中华人民共和国传染病防治法》第七十条第二款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非法采集血液或者组织他人出卖血液的，由县级以上人民政府卫生行政部门予以取缔，没收违法所得，可以并处十万元以下的罚款；构成犯罪的，依法追究刑事责任。</w:t>
      </w:r>
    </w:p>
    <w:p w14:paraId="458326D2">
      <w:pPr>
        <w:widowControl w:val="0"/>
        <w:adjustRightInd/>
        <w:snapToGrid/>
        <w:spacing w:after="0" w:line="440" w:lineRule="exact"/>
        <w:ind w:firstLine="640"/>
        <w:jc w:val="both"/>
        <w:rPr>
          <w:rFonts w:hint="eastAsia" w:ascii="Times New Roman" w:hAnsi="Times New Roman" w:eastAsia="仿宋_GB2312" w:cs="仿宋_GB2312"/>
          <w:color w:val="000000" w:themeColor="text1"/>
          <w:spacing w:val="-6"/>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3.</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《血站管理办法》第五十九条</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有下列行为之一的，属于非法采集血液，由县级以上地方人民政府卫生计生行政部门按照《献血法》第十八条的有关规定予以处罚；构成犯罪的，依法追究刑事责任：</w:t>
      </w:r>
    </w:p>
    <w:p w14:paraId="7DEF151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（一）未经批准，擅自设置血站，开展采供血活动的；</w:t>
      </w:r>
    </w:p>
    <w:p w14:paraId="009F0AE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（二）已被注销的血站，仍开展采供血活动的；</w:t>
      </w:r>
    </w:p>
    <w:p w14:paraId="3AFFA4A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（三）已取得设置批准但尚未取得《血站执业许可证》即开展采供血活动，或者《血站执业许可证》有效期满未再次登记仍开展采供血活动的；</w:t>
      </w:r>
    </w:p>
    <w:p w14:paraId="02128DC3">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（四）租用、借用、出租、出借、</w:t>
      </w:r>
      <w:r>
        <w:rPr>
          <w:rFonts w:hint="eastAsia" w:ascii="Times New Roman" w:hAnsi="Times New Roman" w:eastAsia="仿宋_GB2312" w:cs="仿宋"/>
          <w:color w:val="000000" w:themeColor="text1"/>
          <w:sz w:val="32"/>
          <w:szCs w:val="32"/>
          <w14:textFill>
            <w14:solidFill>
              <w14:schemeClr w14:val="tx1"/>
            </w14:solidFill>
          </w14:textFill>
        </w:rPr>
        <w:t>变造、伪造《血站执业许可证》开展采供血活动的。</w:t>
      </w:r>
    </w:p>
    <w:p w14:paraId="563E8B32">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740"/>
        <w:gridCol w:w="4994"/>
      </w:tblGrid>
      <w:tr w14:paraId="4863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3529BE4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40" w:type="dxa"/>
            <w:vAlign w:val="center"/>
          </w:tcPr>
          <w:p w14:paraId="64E364B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4994" w:type="dxa"/>
            <w:vAlign w:val="center"/>
          </w:tcPr>
          <w:p w14:paraId="17C50CB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C81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40" w:type="dxa"/>
            <w:vAlign w:val="center"/>
          </w:tcPr>
          <w:p w14:paraId="44F2C750">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740" w:type="dxa"/>
            <w:vAlign w:val="center"/>
          </w:tcPr>
          <w:p w14:paraId="3562D23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020401E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A.已取得设置批准但尚未取得《血站执业许可证》即开展采供血活动。</w:t>
            </w:r>
          </w:p>
          <w:p w14:paraId="130D2E9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B.《血站执业许可证》有效期满未再次登记仍开展采供血活动的。</w:t>
            </w:r>
          </w:p>
        </w:tc>
        <w:tc>
          <w:tcPr>
            <w:tcW w:w="4994" w:type="dxa"/>
            <w:vAlign w:val="center"/>
          </w:tcPr>
          <w:p w14:paraId="610C218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予以取缔，没收违法所得，可以并处五万元以下的罚款。</w:t>
            </w:r>
          </w:p>
        </w:tc>
      </w:tr>
      <w:tr w14:paraId="10BE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706C0A3">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740" w:type="dxa"/>
            <w:vAlign w:val="center"/>
          </w:tcPr>
          <w:p w14:paraId="3353786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6369671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A.未经批准，擅自设置血站，开展采供血活动的；</w:t>
            </w:r>
          </w:p>
          <w:p w14:paraId="61D92CC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B.已被注销的血站，仍开展采供血活动的；</w:t>
            </w:r>
          </w:p>
          <w:p w14:paraId="25832FB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C.租用、借用、出租、出借、变造、伪造《血站执业许可证》开展采供血活动的。</w:t>
            </w:r>
          </w:p>
        </w:tc>
        <w:tc>
          <w:tcPr>
            <w:tcW w:w="4994" w:type="dxa"/>
            <w:vAlign w:val="center"/>
          </w:tcPr>
          <w:p w14:paraId="205A1B2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予以取缔，没收违法所得，可以并处五万元以上十万元以下的罚款。</w:t>
            </w:r>
          </w:p>
        </w:tc>
      </w:tr>
      <w:tr w14:paraId="2119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5615C74">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7740" w:type="dxa"/>
            <w:vAlign w:val="center"/>
          </w:tcPr>
          <w:p w14:paraId="02052EC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非法采集的血液不符合国家规定标准，足以危害人体健康的。</w:t>
            </w:r>
          </w:p>
        </w:tc>
        <w:tc>
          <w:tcPr>
            <w:tcW w:w="4994" w:type="dxa"/>
            <w:vAlign w:val="center"/>
          </w:tcPr>
          <w:p w14:paraId="724D4EF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予以取缔，没收违法所得，可以并处十万元罚款。</w:t>
            </w:r>
          </w:p>
        </w:tc>
      </w:tr>
    </w:tbl>
    <w:p w14:paraId="413A2DC7">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327" w:name="_Toc4624"/>
      <w:bookmarkStart w:id="4328" w:name="_Toc16287"/>
      <w:bookmarkStart w:id="4329" w:name="_Toc13178"/>
      <w:bookmarkStart w:id="4330" w:name="_Toc16483"/>
      <w:bookmarkStart w:id="4331" w:name="_Toc31131"/>
      <w:bookmarkStart w:id="4332" w:name="_Toc7066"/>
      <w:bookmarkStart w:id="4333" w:name="_Toc3527"/>
      <w:bookmarkStart w:id="4334" w:name="_Toc22541"/>
      <w:bookmarkStart w:id="4335" w:name="_Toc27352"/>
      <w:bookmarkStart w:id="4336" w:name="_Toc1159"/>
      <w:bookmarkStart w:id="4337" w:name="_Toc17407"/>
      <w:r>
        <w:rPr>
          <w:rFonts w:hint="eastAsia" w:cs="仿宋_GB2312"/>
          <w:bCs/>
          <w:color w:val="000000" w:themeColor="text1"/>
          <w14:textFill>
            <w14:solidFill>
              <w14:schemeClr w14:val="tx1"/>
            </w14:solidFill>
          </w14:textFill>
        </w:rPr>
        <w:t>第三百四十三条</w:t>
      </w:r>
      <w:r>
        <w:rPr>
          <w:rFonts w:hint="eastAsia" w:ascii="Times New Roman" w:hAnsi="Times New Roman" w:cs="仿宋_GB2312"/>
          <w:bCs/>
          <w:color w:val="000000" w:themeColor="text1"/>
          <w:kern w:val="0"/>
          <w14:textFill>
            <w14:solidFill>
              <w14:schemeClr w14:val="tx1"/>
            </w14:solidFill>
          </w14:textFill>
        </w:rPr>
        <w:t xml:space="preserve"> 血站、医疗机构出售无偿献血的血液的</w:t>
      </w:r>
      <w:bookmarkEnd w:id="4327"/>
      <w:bookmarkEnd w:id="4328"/>
      <w:bookmarkEnd w:id="4329"/>
      <w:bookmarkEnd w:id="4330"/>
      <w:bookmarkEnd w:id="4331"/>
      <w:bookmarkEnd w:id="4332"/>
      <w:bookmarkEnd w:id="4333"/>
      <w:bookmarkEnd w:id="4334"/>
      <w:bookmarkEnd w:id="4335"/>
      <w:bookmarkEnd w:id="4336"/>
      <w:bookmarkEnd w:id="4337"/>
    </w:p>
    <w:p w14:paraId="3D27B44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5A450657">
      <w:pPr>
        <w:widowControl w:val="0"/>
        <w:adjustRightInd/>
        <w:snapToGrid/>
        <w:spacing w:after="0" w:line="440" w:lineRule="exact"/>
        <w:ind w:firstLine="640"/>
        <w:jc w:val="both"/>
        <w:rPr>
          <w:rFonts w:hint="eastAsia" w:ascii="Times New Roman" w:hAnsi="Times New Roman" w:eastAsia="仿宋_GB2312" w:cs="仿宋_GB2312"/>
          <w:color w:val="000000" w:themeColor="text1"/>
          <w:spacing w:val="-6"/>
          <w:kern w:val="2"/>
          <w:sz w:val="32"/>
          <w:szCs w:val="32"/>
          <w14:textFill>
            <w14:solidFill>
              <w14:schemeClr w14:val="tx1"/>
            </w14:solidFill>
          </w14:textFill>
        </w:rPr>
      </w:pP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《中华人民共和国献血法》第十八条第（二）项</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有下列行为之一的，由县级以上地方人民政府卫生行政部门予以取缔，没收违法所得，可以并处十万元以下的罚款；构成犯罪的，依法追究刑事责任：</w:t>
      </w:r>
    </w:p>
    <w:p w14:paraId="10542003">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（二）血站、医疗机构出售无偿</w:t>
      </w:r>
      <w:r>
        <w:rPr>
          <w:rFonts w:hint="eastAsia" w:ascii="Times New Roman" w:hAnsi="Times New Roman" w:eastAsia="仿宋_GB2312" w:cs="仿宋"/>
          <w:color w:val="000000" w:themeColor="text1"/>
          <w:sz w:val="32"/>
          <w:szCs w:val="32"/>
          <w14:textFill>
            <w14:solidFill>
              <w14:schemeClr w14:val="tx1"/>
            </w14:solidFill>
          </w14:textFill>
        </w:rPr>
        <w:t>献血的血液的；</w:t>
      </w:r>
    </w:p>
    <w:p w14:paraId="161C3E73">
      <w:pPr>
        <w:widowControl w:val="0"/>
        <w:adjustRightInd/>
        <w:snapToGrid/>
        <w:spacing w:after="0"/>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57"/>
        <w:gridCol w:w="5245"/>
      </w:tblGrid>
      <w:tr w14:paraId="62BB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55E5799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57" w:type="dxa"/>
          </w:tcPr>
          <w:p w14:paraId="54A2460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245" w:type="dxa"/>
          </w:tcPr>
          <w:p w14:paraId="252B6A7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719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067A3C0">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轻微</w:t>
            </w:r>
          </w:p>
        </w:tc>
        <w:tc>
          <w:tcPr>
            <w:tcW w:w="7457" w:type="dxa"/>
            <w:vAlign w:val="center"/>
          </w:tcPr>
          <w:p w14:paraId="4BF45D8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血站、医疗机构出售无偿献血的血液的，违法所得5000元以下的。</w:t>
            </w:r>
          </w:p>
        </w:tc>
        <w:tc>
          <w:tcPr>
            <w:tcW w:w="5245" w:type="dxa"/>
            <w:vAlign w:val="center"/>
          </w:tcPr>
          <w:p w14:paraId="4488E6E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予以取缔，没收违法所得，可以并处三万元以下罚款。</w:t>
            </w:r>
          </w:p>
        </w:tc>
      </w:tr>
      <w:tr w14:paraId="0F55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2BD32251">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457" w:type="dxa"/>
            <w:vAlign w:val="center"/>
          </w:tcPr>
          <w:p w14:paraId="52E266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血站、医疗机构出售无偿献血的血液的，违法所得5000元以上1 万元以下的。</w:t>
            </w:r>
          </w:p>
        </w:tc>
        <w:tc>
          <w:tcPr>
            <w:tcW w:w="5245" w:type="dxa"/>
            <w:vAlign w:val="center"/>
          </w:tcPr>
          <w:p w14:paraId="621EA55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予以取缔，没收违法所得，可以并处三万元以上五万元以下罚款。</w:t>
            </w:r>
          </w:p>
        </w:tc>
      </w:tr>
      <w:tr w14:paraId="45DE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1CD9BFBD">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457" w:type="dxa"/>
            <w:vAlign w:val="center"/>
          </w:tcPr>
          <w:p w14:paraId="09BAACD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血站、医疗机构出售无偿献血的血液的，违法所得1 万元以上2万元以下的。</w:t>
            </w:r>
          </w:p>
        </w:tc>
        <w:tc>
          <w:tcPr>
            <w:tcW w:w="5245" w:type="dxa"/>
            <w:vAlign w:val="center"/>
          </w:tcPr>
          <w:p w14:paraId="48C4174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予以取缔，没收违法所得，可以并处五万元以上八万元以下罚款。</w:t>
            </w:r>
          </w:p>
        </w:tc>
      </w:tr>
      <w:tr w14:paraId="73B4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F3929B5">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457" w:type="dxa"/>
            <w:vAlign w:val="center"/>
          </w:tcPr>
          <w:p w14:paraId="0278363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7E7B53D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A.血站、医疗机构出售无偿献血的血液的，违法所得2万元以上的；</w:t>
            </w:r>
          </w:p>
          <w:p w14:paraId="1D9C785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B.血站、医疗机构出售无偿献血的血液受过处罚的。 </w:t>
            </w:r>
          </w:p>
        </w:tc>
        <w:tc>
          <w:tcPr>
            <w:tcW w:w="5245" w:type="dxa"/>
            <w:vAlign w:val="center"/>
          </w:tcPr>
          <w:p w14:paraId="4DA6F10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予以取缔，没收违法所得，可以并处八万元以上十万元以下的罚款。</w:t>
            </w:r>
          </w:p>
        </w:tc>
      </w:tr>
      <w:tr w14:paraId="6857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64B3CDB0">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7457" w:type="dxa"/>
            <w:vAlign w:val="center"/>
          </w:tcPr>
          <w:p w14:paraId="31B12DA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血站、医疗机构出售无偿献血的血液，不符合国家规定标准，足以危害人体健康的。</w:t>
            </w:r>
          </w:p>
        </w:tc>
        <w:tc>
          <w:tcPr>
            <w:tcW w:w="5245" w:type="dxa"/>
            <w:vAlign w:val="center"/>
          </w:tcPr>
          <w:p w14:paraId="24886B7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予以取缔，没收违法所得，可以并处十万元罚款。</w:t>
            </w:r>
          </w:p>
        </w:tc>
      </w:tr>
    </w:tbl>
    <w:p w14:paraId="15D3A73C">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338" w:name="_Toc30954"/>
      <w:bookmarkStart w:id="4339" w:name="_Toc5541"/>
      <w:bookmarkStart w:id="4340" w:name="_Toc11993"/>
      <w:bookmarkStart w:id="4341" w:name="_Toc19981"/>
      <w:bookmarkStart w:id="4342" w:name="_Toc5898"/>
      <w:bookmarkStart w:id="4343" w:name="_Toc6364"/>
      <w:bookmarkStart w:id="4344" w:name="_Toc26517"/>
      <w:bookmarkStart w:id="4345" w:name="_Toc14703"/>
      <w:bookmarkStart w:id="4346" w:name="_Toc27800"/>
      <w:bookmarkStart w:id="4347" w:name="_Toc23213"/>
      <w:bookmarkStart w:id="4348" w:name="_Toc15087"/>
      <w:r>
        <w:rPr>
          <w:rFonts w:hint="eastAsia" w:cs="仿宋_GB2312"/>
          <w:bCs/>
          <w:color w:val="000000" w:themeColor="text1"/>
          <w14:textFill>
            <w14:solidFill>
              <w14:schemeClr w14:val="tx1"/>
            </w14:solidFill>
          </w14:textFill>
        </w:rPr>
        <w:t>第三百四十四条</w:t>
      </w:r>
      <w:r>
        <w:rPr>
          <w:rFonts w:hint="eastAsia" w:ascii="Times New Roman" w:hAnsi="Times New Roman" w:cs="仿宋_GB2312"/>
          <w:bCs/>
          <w:color w:val="000000" w:themeColor="text1"/>
          <w:kern w:val="0"/>
          <w14:textFill>
            <w14:solidFill>
              <w14:schemeClr w14:val="tx1"/>
            </w14:solidFill>
          </w14:textFill>
        </w:rPr>
        <w:t xml:space="preserve"> 非法组织他人出卖血液的</w:t>
      </w:r>
      <w:bookmarkEnd w:id="4338"/>
      <w:bookmarkEnd w:id="4339"/>
      <w:bookmarkEnd w:id="4340"/>
      <w:bookmarkEnd w:id="4341"/>
      <w:bookmarkEnd w:id="4342"/>
      <w:bookmarkEnd w:id="4343"/>
      <w:bookmarkEnd w:id="4344"/>
      <w:bookmarkEnd w:id="4345"/>
      <w:bookmarkEnd w:id="4346"/>
      <w:bookmarkEnd w:id="4347"/>
      <w:bookmarkEnd w:id="4348"/>
    </w:p>
    <w:p w14:paraId="51A4494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4B95809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《中华人民共和国献血法》第十八条第（三）项</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有下列行为之一的，由县级以上地方人民政府卫生行政部门予以取缔，没收违法所得，可以并处十万元以下的罚款；构成犯罪的，依法追究刑事责任：</w:t>
      </w:r>
    </w:p>
    <w:p w14:paraId="7863788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（三）非法组织他人出卖血液的。</w:t>
      </w:r>
    </w:p>
    <w:p w14:paraId="68A5AF35">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237"/>
        <w:gridCol w:w="6553"/>
      </w:tblGrid>
      <w:tr w14:paraId="6D2C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5DAF080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237" w:type="dxa"/>
          </w:tcPr>
          <w:p w14:paraId="1507D5C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553" w:type="dxa"/>
          </w:tcPr>
          <w:p w14:paraId="5C1D690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8BA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84" w:type="dxa"/>
            <w:vAlign w:val="center"/>
          </w:tcPr>
          <w:p w14:paraId="386F155C">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237" w:type="dxa"/>
            <w:vAlign w:val="center"/>
          </w:tcPr>
          <w:p w14:paraId="49D0B8A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违法所得1000 元以下或1人次的。</w:t>
            </w:r>
          </w:p>
        </w:tc>
        <w:tc>
          <w:tcPr>
            <w:tcW w:w="6553" w:type="dxa"/>
            <w:vAlign w:val="center"/>
          </w:tcPr>
          <w:p w14:paraId="23E4C9D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没收违法所得，可以并处5 万元以下罚款。</w:t>
            </w:r>
          </w:p>
        </w:tc>
      </w:tr>
      <w:tr w14:paraId="5394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384" w:type="dxa"/>
            <w:vAlign w:val="center"/>
          </w:tcPr>
          <w:p w14:paraId="63244613">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6237" w:type="dxa"/>
            <w:vAlign w:val="center"/>
          </w:tcPr>
          <w:p w14:paraId="29F01CB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违法所得1000 元以上或2 人次以上的。</w:t>
            </w:r>
          </w:p>
        </w:tc>
        <w:tc>
          <w:tcPr>
            <w:tcW w:w="6553" w:type="dxa"/>
            <w:vAlign w:val="center"/>
          </w:tcPr>
          <w:p w14:paraId="382CABC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没收违法所得，可以并处5 万元以上10 万元以下的罚款。</w:t>
            </w:r>
          </w:p>
        </w:tc>
      </w:tr>
    </w:tbl>
    <w:p w14:paraId="75FC33AA">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349" w:name="_Toc27794"/>
      <w:bookmarkStart w:id="4350" w:name="_Toc26703"/>
      <w:bookmarkStart w:id="4351" w:name="_Toc8533"/>
      <w:bookmarkStart w:id="4352" w:name="_Toc15860"/>
      <w:bookmarkStart w:id="4353" w:name="_Toc363"/>
      <w:bookmarkStart w:id="4354" w:name="_Toc30111"/>
      <w:bookmarkStart w:id="4355" w:name="_Toc19102"/>
      <w:bookmarkStart w:id="4356" w:name="_Toc22892"/>
      <w:bookmarkStart w:id="4357" w:name="_Toc12187"/>
      <w:bookmarkStart w:id="4358" w:name="_Toc5665"/>
      <w:bookmarkStart w:id="4359" w:name="_Toc24705"/>
      <w:r>
        <w:rPr>
          <w:rFonts w:hint="eastAsia" w:cs="仿宋_GB2312"/>
          <w:bCs/>
          <w:color w:val="000000" w:themeColor="text1"/>
          <w14:textFill>
            <w14:solidFill>
              <w14:schemeClr w14:val="tx1"/>
            </w14:solidFill>
          </w14:textFill>
        </w:rPr>
        <w:t>第三百四十五条</w:t>
      </w:r>
      <w:r>
        <w:rPr>
          <w:rFonts w:hint="eastAsia" w:ascii="Times New Roman" w:hAnsi="Times New Roman" w:cs="仿宋_GB2312"/>
          <w:bCs/>
          <w:color w:val="000000" w:themeColor="text1"/>
          <w:kern w:val="0"/>
          <w14:textFill>
            <w14:solidFill>
              <w14:schemeClr w14:val="tx1"/>
            </w14:solidFill>
          </w14:textFill>
        </w:rPr>
        <w:t xml:space="preserve"> 临床用血的包装、储存、运输，不符合国家规定的卫生标准和要求的</w:t>
      </w:r>
      <w:bookmarkEnd w:id="4349"/>
      <w:bookmarkEnd w:id="4350"/>
      <w:bookmarkEnd w:id="4351"/>
      <w:bookmarkEnd w:id="4352"/>
      <w:bookmarkEnd w:id="4353"/>
      <w:bookmarkEnd w:id="4354"/>
      <w:bookmarkEnd w:id="4355"/>
      <w:bookmarkEnd w:id="4356"/>
      <w:bookmarkEnd w:id="4357"/>
      <w:bookmarkEnd w:id="4358"/>
      <w:bookmarkEnd w:id="4359"/>
    </w:p>
    <w:p w14:paraId="3DCCAAE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4E8E5403">
      <w:pPr>
        <w:widowControl w:val="0"/>
        <w:adjustRightInd/>
        <w:snapToGrid/>
        <w:spacing w:after="0" w:line="440" w:lineRule="exact"/>
        <w:ind w:firstLine="640"/>
        <w:jc w:val="both"/>
        <w:rPr>
          <w:rFonts w:hint="eastAsia" w:ascii="Times New Roman" w:hAnsi="Times New Roman" w:eastAsia="仿宋_GB2312" w:cs="仿宋_GB2312"/>
          <w:color w:val="000000" w:themeColor="text1"/>
          <w:spacing w:val="-6"/>
          <w:kern w:val="2"/>
          <w:sz w:val="32"/>
          <w:szCs w:val="32"/>
          <w14:textFill>
            <w14:solidFill>
              <w14:schemeClr w14:val="tx1"/>
            </w14:solidFill>
          </w14:textFill>
        </w:rPr>
      </w:pP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《中华人民共和国献血法》第二十条</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临床用血的包装、储存、运输，不符合国家规定的卫生标准和要求的，由县级以上地方人民政府卫生行政部门责令改正，给予警告，可以并处一万元以下的罚款。</w:t>
      </w:r>
    </w:p>
    <w:p w14:paraId="3B25EA80">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173"/>
        <w:gridCol w:w="5561"/>
      </w:tblGrid>
      <w:tr w14:paraId="4EC3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7B371EF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173" w:type="dxa"/>
          </w:tcPr>
          <w:p w14:paraId="217198A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561" w:type="dxa"/>
          </w:tcPr>
          <w:p w14:paraId="5AA6E1C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156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06AAEA0">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173" w:type="dxa"/>
            <w:vAlign w:val="center"/>
          </w:tcPr>
          <w:p w14:paraId="612DB69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临床用血的包装、储存、运输，不符合国家规定的卫生标准和要求的。</w:t>
            </w:r>
          </w:p>
        </w:tc>
        <w:tc>
          <w:tcPr>
            <w:tcW w:w="5561" w:type="dxa"/>
            <w:vAlign w:val="center"/>
          </w:tcPr>
          <w:p w14:paraId="780B2EA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责令改正，给予警告，可以并处五千元以下的罚款。</w:t>
            </w:r>
          </w:p>
          <w:p w14:paraId="186B62D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r w14:paraId="592B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53FA165D">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173" w:type="dxa"/>
            <w:vAlign w:val="center"/>
          </w:tcPr>
          <w:p w14:paraId="35A242C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因临床用血的包装、储存、运输，不符合国家规定的卫生标准和要求受过卫生行政处罚仍未改正的。</w:t>
            </w:r>
          </w:p>
        </w:tc>
        <w:tc>
          <w:tcPr>
            <w:tcW w:w="5561" w:type="dxa"/>
            <w:vAlign w:val="center"/>
          </w:tcPr>
          <w:p w14:paraId="458B02F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责令改正，给予警告，可以并处五千元以上一万元以下的罚款。</w:t>
            </w:r>
          </w:p>
        </w:tc>
      </w:tr>
      <w:tr w14:paraId="3332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52DC9657">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7173" w:type="dxa"/>
            <w:vAlign w:val="center"/>
          </w:tcPr>
          <w:p w14:paraId="28D7D70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因临床用血的包装、储存、运输，不符合国家规定的卫生标准和要求，造成传染病传播或人身伤害等严重后果的。</w:t>
            </w:r>
          </w:p>
        </w:tc>
        <w:tc>
          <w:tcPr>
            <w:tcW w:w="5561" w:type="dxa"/>
            <w:vAlign w:val="center"/>
          </w:tcPr>
          <w:p w14:paraId="014EA58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责令改正，警告，可以并处一万元罚款。</w:t>
            </w:r>
          </w:p>
        </w:tc>
      </w:tr>
    </w:tbl>
    <w:p w14:paraId="1B1E4429">
      <w:pPr>
        <w:pStyle w:val="3"/>
        <w:keepNext w:val="0"/>
        <w:keepLines w:val="0"/>
        <w:widowControl w:val="0"/>
        <w:spacing w:before="157" w:beforeLines="50" w:after="157" w:afterLines="50" w:line="480" w:lineRule="exact"/>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4360" w:name="_Toc18392"/>
      <w:bookmarkStart w:id="4361" w:name="_Toc31739"/>
      <w:bookmarkStart w:id="4362" w:name="_Toc251"/>
      <w:bookmarkStart w:id="4363" w:name="_Toc401"/>
      <w:bookmarkStart w:id="4364" w:name="_Toc8282"/>
      <w:bookmarkStart w:id="4365" w:name="_Toc7959"/>
      <w:bookmarkStart w:id="4366" w:name="_Toc31941"/>
      <w:bookmarkStart w:id="4367" w:name="_Toc26630"/>
      <w:bookmarkStart w:id="4368" w:name="_Toc7785"/>
      <w:bookmarkStart w:id="4369" w:name="_Toc6577"/>
      <w:bookmarkStart w:id="4370" w:name="_Toc1124"/>
      <w:bookmarkStart w:id="4371" w:name="_Toc15297"/>
      <w:bookmarkStart w:id="4372" w:name="_Toc7824"/>
      <w:r>
        <w:rPr>
          <w:rFonts w:hint="eastAsia" w:ascii="Times New Roman" w:hAnsi="Times New Roman" w:eastAsia="楷体_GB2312" w:cs="楷体_GB2312"/>
          <w:bCs w:val="0"/>
          <w:color w:val="000000" w:themeColor="text1"/>
          <w:kern w:val="2"/>
          <w14:textFill>
            <w14:solidFill>
              <w14:schemeClr w14:val="tx1"/>
            </w14:solidFill>
          </w14:textFill>
        </w:rPr>
        <w:t>（三十）《血液制品管理条例》</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14:paraId="5F72B0FC">
      <w:pPr>
        <w:pStyle w:val="4"/>
        <w:widowControl w:val="0"/>
        <w:spacing w:line="480" w:lineRule="exact"/>
        <w:ind w:firstLine="640"/>
        <w:jc w:val="both"/>
        <w:rPr>
          <w:rFonts w:hint="eastAsia" w:ascii="Times New Roman" w:hAnsi="Times New Roman" w:cs="仿宋_GB2312"/>
          <w:b/>
          <w:bCs/>
          <w:color w:val="000000" w:themeColor="text1"/>
          <w:kern w:val="0"/>
          <w14:textFill>
            <w14:solidFill>
              <w14:schemeClr w14:val="tx1"/>
            </w14:solidFill>
          </w14:textFill>
        </w:rPr>
      </w:pPr>
      <w:bookmarkStart w:id="4373" w:name="_Toc9238"/>
      <w:bookmarkStart w:id="4374" w:name="_Toc23601"/>
      <w:bookmarkStart w:id="4375" w:name="_Toc4553"/>
      <w:bookmarkStart w:id="4376" w:name="_Toc14828"/>
      <w:bookmarkStart w:id="4377" w:name="_Toc10972"/>
      <w:bookmarkStart w:id="4378" w:name="_Toc16013"/>
      <w:bookmarkStart w:id="4379" w:name="_Toc27707"/>
      <w:bookmarkStart w:id="4380" w:name="_Toc30020"/>
      <w:bookmarkStart w:id="4381" w:name="_Toc21041"/>
      <w:bookmarkStart w:id="4382" w:name="_Toc14232"/>
      <w:bookmarkStart w:id="4383" w:name="_Toc13689"/>
      <w:r>
        <w:rPr>
          <w:rFonts w:hint="eastAsia" w:cs="仿宋_GB2312"/>
          <w:bCs/>
          <w:color w:val="000000" w:themeColor="text1"/>
          <w14:textFill>
            <w14:solidFill>
              <w14:schemeClr w14:val="tx1"/>
            </w14:solidFill>
          </w14:textFill>
        </w:rPr>
        <w:t>第三百四十六条</w:t>
      </w:r>
      <w:r>
        <w:rPr>
          <w:rFonts w:hint="eastAsia" w:ascii="Times New Roman" w:hAnsi="Times New Roman" w:cs="仿宋_GB2312"/>
          <w:bCs/>
          <w:color w:val="000000" w:themeColor="text1"/>
          <w:kern w:val="0"/>
          <w14:textFill>
            <w14:solidFill>
              <w14:schemeClr w14:val="tx1"/>
            </w14:solidFill>
          </w14:textFill>
        </w:rPr>
        <w:t xml:space="preserve"> 未取得省、自治区、直辖市人民政府卫生行政部门核发的《单采血浆许可证》，非法从事组织、采集、供应、倒卖原料血浆活动的</w:t>
      </w:r>
      <w:bookmarkEnd w:id="4373"/>
      <w:bookmarkEnd w:id="4374"/>
      <w:bookmarkEnd w:id="4375"/>
      <w:bookmarkEnd w:id="4376"/>
      <w:bookmarkEnd w:id="4377"/>
      <w:bookmarkEnd w:id="4378"/>
      <w:bookmarkEnd w:id="4379"/>
      <w:bookmarkEnd w:id="4380"/>
      <w:bookmarkEnd w:id="4381"/>
      <w:bookmarkEnd w:id="4382"/>
      <w:bookmarkEnd w:id="4383"/>
    </w:p>
    <w:p w14:paraId="5A6B010F">
      <w:pPr>
        <w:widowControl w:val="0"/>
        <w:adjustRightInd/>
        <w:snapToGrid/>
        <w:spacing w:after="0" w:line="48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1C7C86BF">
      <w:pPr>
        <w:widowControl w:val="0"/>
        <w:adjustRightInd/>
        <w:snapToGrid/>
        <w:spacing w:after="0" w:line="48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1.《血液制品管理条例》第三十四条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规定，未取得省、自治区、直辖市人民政府卫生行政部门核发的《单采血浆许可证》，非法从事组织、采集、供应、倒卖原料血浆活动的，由县级以上地方人民政府卫生行政部门予以取缔，没收违法所得和从事违法活动的器材、设备，并处违法所得5 倍以上10 倍以下的罚款，没有违法所得的，并处5 万元以上10 万元以下的罚款；造成经血液途径传播的疾病传播、人身伤害等危害，构成犯罪的，依法追究刑事责任。</w:t>
      </w:r>
    </w:p>
    <w:p w14:paraId="134EFB86">
      <w:pPr>
        <w:widowControl w:val="0"/>
        <w:adjustRightInd/>
        <w:snapToGrid/>
        <w:spacing w:after="0" w:line="48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2.《单采血浆站管理办法》第六十一条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计生行政部门依据《血液制品管理条例》第三十四条的有关规定予以处罚：（一）未取得《单采血浆许可证》开展采供血浆活动的；（二）《单采血浆许可证》已被注销或者吊销仍开展采供血浆活动的；（三）租用</w:t>
      </w:r>
      <w:r>
        <w:rPr>
          <w:rFonts w:hint="eastAsia" w:ascii="Times New Roman" w:hAnsi="Times New Roman" w:eastAsia="仿宋_GB2312" w:cs="仿宋"/>
          <w:color w:val="000000" w:themeColor="text1"/>
          <w:sz w:val="32"/>
          <w:szCs w:val="32"/>
          <w14:textFill>
            <w14:solidFill>
              <w14:schemeClr w14:val="tx1"/>
            </w14:solidFill>
          </w14:textFill>
        </w:rPr>
        <w:t>、借用、出租、出借、变造、伪造《单采血浆许可证》开展采供血浆活动的。</w:t>
      </w:r>
    </w:p>
    <w:p w14:paraId="45400B6E">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888"/>
        <w:gridCol w:w="3846"/>
      </w:tblGrid>
      <w:tr w14:paraId="38FA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4132D794">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888" w:type="dxa"/>
            <w:vAlign w:val="center"/>
          </w:tcPr>
          <w:p w14:paraId="28C041A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3846" w:type="dxa"/>
            <w:vAlign w:val="center"/>
          </w:tcPr>
          <w:p w14:paraId="55E3085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E09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1440" w:type="dxa"/>
            <w:vAlign w:val="center"/>
          </w:tcPr>
          <w:p w14:paraId="35BE298C">
            <w:pPr>
              <w:widowControl w:val="0"/>
              <w:adjustRightInd/>
              <w:snapToGrid/>
              <w:spacing w:before="156" w:beforeLines="50"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8888" w:type="dxa"/>
          </w:tcPr>
          <w:p w14:paraId="403F8ED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有下列情形之一，没有违法所得的或违法所得难以认定的：</w:t>
            </w:r>
          </w:p>
          <w:p w14:paraId="26F2FE8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A.未取得省、自治区、直辖市人民政府卫生行政部门核发的《单采血浆许可证》，非法从事组织、采集、供应、倒卖原料血浆活动的；</w:t>
            </w:r>
          </w:p>
          <w:p w14:paraId="33A9379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B.《单采血浆许可证》已被注销或者吊销仍开展采供血浆活动的；</w:t>
            </w:r>
          </w:p>
          <w:p w14:paraId="47674F6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 租用、借用、出租、出借、变造、伪造《单采血浆许可证》开展采供血浆活动的。</w:t>
            </w:r>
          </w:p>
        </w:tc>
        <w:tc>
          <w:tcPr>
            <w:tcW w:w="3846" w:type="dxa"/>
            <w:vAlign w:val="center"/>
          </w:tcPr>
          <w:p w14:paraId="6E01E8D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予以取缔，没收从事活动的器材、设备，并处5 万元以上10万元以下的罚款。</w:t>
            </w:r>
          </w:p>
        </w:tc>
      </w:tr>
      <w:tr w14:paraId="39E4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440" w:type="dxa"/>
            <w:vAlign w:val="center"/>
          </w:tcPr>
          <w:p w14:paraId="69807B2B">
            <w:pPr>
              <w:widowControl w:val="0"/>
              <w:adjustRightInd/>
              <w:snapToGrid/>
              <w:spacing w:before="156" w:beforeLines="50"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8888" w:type="dxa"/>
          </w:tcPr>
          <w:p w14:paraId="1B15A73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有下列情形之一，且违法所得一万元以下的：</w:t>
            </w:r>
          </w:p>
          <w:p w14:paraId="4DD1577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A.未取得省、自治区、直辖市人民政府卫生行政部门核发的《单采血浆许可证》，非法从事组织、采集、供应、倒卖原料血浆活动的；</w:t>
            </w:r>
          </w:p>
          <w:p w14:paraId="35F6550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B.《单采血浆许可证》已被注销或者吊销仍；</w:t>
            </w:r>
          </w:p>
          <w:p w14:paraId="26CC9A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C.租用、借用、出租、出借、变造、伪造《单采血浆许可证》开展采供血浆活动的。</w:t>
            </w:r>
          </w:p>
        </w:tc>
        <w:tc>
          <w:tcPr>
            <w:tcW w:w="3846" w:type="dxa"/>
            <w:vAlign w:val="center"/>
          </w:tcPr>
          <w:p w14:paraId="18AB1F4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p w14:paraId="29AA30E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予以取缔，没收违法所得和从事违法活动的器材、设备，并处违法所</w:t>
            </w:r>
          </w:p>
          <w:p w14:paraId="4CF7543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得5 倍以上10倍以下罚款。</w:t>
            </w:r>
          </w:p>
        </w:tc>
      </w:tr>
      <w:tr w14:paraId="48F8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680595C">
            <w:pPr>
              <w:widowControl w:val="0"/>
              <w:adjustRightInd/>
              <w:snapToGrid/>
              <w:spacing w:before="156" w:beforeLines="50"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888" w:type="dxa"/>
          </w:tcPr>
          <w:p w14:paraId="5FAB891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有下列情形之一，且违法所得一万元以上的。</w:t>
            </w:r>
          </w:p>
          <w:p w14:paraId="3B719B7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A.未取得省、自治区、直辖市人民政府卫生行政部门核发的《单采血浆许可证》，非法从事组织、采集、供应、倒卖原料血浆活动的；</w:t>
            </w:r>
          </w:p>
          <w:p w14:paraId="1941CCA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B.《单采血浆许可证》已被注销或者吊销仍开展采供血浆活动的；</w:t>
            </w:r>
          </w:p>
          <w:p w14:paraId="25488A2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 租用、借用、出租、出借、变造、伪造《单采血浆许可证》开展采供血浆活动的。</w:t>
            </w:r>
          </w:p>
        </w:tc>
        <w:tc>
          <w:tcPr>
            <w:tcW w:w="3846" w:type="dxa"/>
            <w:vAlign w:val="center"/>
          </w:tcPr>
          <w:p w14:paraId="30AE099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予以取缔，没收违法所得和从事违法活动的器材、设备，并处违法所</w:t>
            </w:r>
          </w:p>
          <w:p w14:paraId="3D53026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得10 倍罚款。</w:t>
            </w:r>
          </w:p>
        </w:tc>
      </w:tr>
    </w:tbl>
    <w:p w14:paraId="5ED504DA">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384" w:name="_Toc20319"/>
      <w:bookmarkStart w:id="4385" w:name="_Toc23605"/>
      <w:bookmarkStart w:id="4386" w:name="_Toc2366"/>
      <w:bookmarkStart w:id="4387" w:name="_Toc19954"/>
      <w:bookmarkStart w:id="4388" w:name="_Toc29922"/>
      <w:bookmarkStart w:id="4389" w:name="_Toc28777"/>
      <w:bookmarkStart w:id="4390" w:name="_Toc16217"/>
      <w:bookmarkStart w:id="4391" w:name="_Toc449"/>
      <w:bookmarkStart w:id="4392" w:name="_Toc9538"/>
      <w:bookmarkStart w:id="4393" w:name="_Toc13019"/>
      <w:bookmarkStart w:id="4394" w:name="_Toc13103"/>
      <w:r>
        <w:rPr>
          <w:rFonts w:hint="eastAsia" w:cs="仿宋_GB2312"/>
          <w:bCs/>
          <w:color w:val="000000" w:themeColor="text1"/>
          <w14:textFill>
            <w14:solidFill>
              <w14:schemeClr w14:val="tx1"/>
            </w14:solidFill>
          </w14:textFill>
        </w:rPr>
        <w:t>第三百四十七条</w:t>
      </w:r>
      <w:r>
        <w:rPr>
          <w:rFonts w:hint="eastAsia" w:ascii="Times New Roman" w:hAnsi="Times New Roman" w:cs="仿宋_GB2312"/>
          <w:bCs/>
          <w:color w:val="000000" w:themeColor="text1"/>
          <w:kern w:val="0"/>
          <w14:textFill>
            <w14:solidFill>
              <w14:schemeClr w14:val="tx1"/>
            </w14:solidFill>
          </w14:textFill>
        </w:rPr>
        <w:t xml:space="preserve"> 采集血浆前，未按照国务院卫生行政部门颁布的健康检查标准对供血浆者进行健康检查和血液化验的</w:t>
      </w:r>
      <w:bookmarkEnd w:id="4384"/>
      <w:bookmarkEnd w:id="4385"/>
      <w:bookmarkEnd w:id="4386"/>
      <w:bookmarkEnd w:id="4387"/>
      <w:bookmarkEnd w:id="4388"/>
      <w:bookmarkEnd w:id="4389"/>
      <w:bookmarkEnd w:id="4390"/>
      <w:bookmarkEnd w:id="4391"/>
      <w:bookmarkEnd w:id="4392"/>
      <w:bookmarkEnd w:id="4393"/>
      <w:bookmarkEnd w:id="4394"/>
    </w:p>
    <w:p w14:paraId="5E26E96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5D78E90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 万元以上10 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6D02FAE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（一）采集血浆前，未按照国务院卫生行政部门颁布的健康检查标准对供血浆者进行健康检查和血液化验的；</w:t>
      </w:r>
    </w:p>
    <w:p w14:paraId="04D2324D">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890"/>
        <w:gridCol w:w="5844"/>
      </w:tblGrid>
      <w:tr w14:paraId="3B2E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71419F4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890" w:type="dxa"/>
          </w:tcPr>
          <w:p w14:paraId="17740FA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844" w:type="dxa"/>
          </w:tcPr>
          <w:p w14:paraId="4C849C1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A6C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F3EBFAD">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890" w:type="dxa"/>
          </w:tcPr>
          <w:p w14:paraId="29D4FE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单采血浆站采集血浆前未按照国务院卫生行政部门颁布的健康检查标准进行健康检查和血液化验的供血浆者不足10名的。</w:t>
            </w:r>
          </w:p>
        </w:tc>
        <w:tc>
          <w:tcPr>
            <w:tcW w:w="5844" w:type="dxa"/>
            <w:vAlign w:val="center"/>
          </w:tcPr>
          <w:p w14:paraId="3496618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责令限期改正，处5万元以上8万元以下的罚款。</w:t>
            </w:r>
          </w:p>
        </w:tc>
      </w:tr>
      <w:tr w14:paraId="78A4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DBB9C4B">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890" w:type="dxa"/>
          </w:tcPr>
          <w:p w14:paraId="796E3A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单采血浆站采集血浆前未按照国务院卫生行政部门颁布的健康检查标准进行健康检查和血液化验的供血浆者10名以上的。</w:t>
            </w:r>
          </w:p>
        </w:tc>
        <w:tc>
          <w:tcPr>
            <w:tcW w:w="5844" w:type="dxa"/>
            <w:vAlign w:val="center"/>
          </w:tcPr>
          <w:p w14:paraId="7AAE846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责令限期改正，处8万元以上10万元以下的罚款。</w:t>
            </w:r>
          </w:p>
        </w:tc>
      </w:tr>
      <w:tr w14:paraId="3C9E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47404FC">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890" w:type="dxa"/>
          </w:tcPr>
          <w:p w14:paraId="35CE441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单采血浆站采集血浆前未按照国务院卫生行政部门颁布的健康检查标准进行健康检查和血液化验有下列情形之一的：（一）12 个月内2次发生该违法行为的；（二）卫生行政部门责令限期改正而拒不改正的；（三）造成经血液途径传播的疾病传播或者造成其他严重伤害后果的；（四）同时有《血液制品管理条例》第三十五条3 项以上违法行为的。</w:t>
            </w:r>
          </w:p>
        </w:tc>
        <w:tc>
          <w:tcPr>
            <w:tcW w:w="5844" w:type="dxa"/>
            <w:vAlign w:val="center"/>
          </w:tcPr>
          <w:p w14:paraId="61ADFEC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责令限期改正，处10万元罚款，吊销《单采血浆许可证》。</w:t>
            </w:r>
          </w:p>
        </w:tc>
      </w:tr>
    </w:tbl>
    <w:p w14:paraId="7D2C3E81">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395" w:name="_Toc9338"/>
      <w:bookmarkStart w:id="4396" w:name="_Toc11705"/>
      <w:bookmarkStart w:id="4397" w:name="_Toc16172"/>
      <w:bookmarkStart w:id="4398" w:name="_Toc24364"/>
      <w:bookmarkStart w:id="4399" w:name="_Toc48"/>
      <w:bookmarkStart w:id="4400" w:name="_Toc18029"/>
      <w:bookmarkStart w:id="4401" w:name="_Toc22050"/>
      <w:bookmarkStart w:id="4402" w:name="_Toc480"/>
      <w:bookmarkStart w:id="4403" w:name="_Toc29283"/>
      <w:bookmarkStart w:id="4404" w:name="_Toc23083"/>
      <w:bookmarkStart w:id="4405" w:name="_Toc7995"/>
      <w:r>
        <w:rPr>
          <w:rFonts w:hint="eastAsia" w:cs="仿宋_GB2312"/>
          <w:bCs/>
          <w:color w:val="000000" w:themeColor="text1"/>
          <w14:textFill>
            <w14:solidFill>
              <w14:schemeClr w14:val="tx1"/>
            </w14:solidFill>
          </w14:textFill>
        </w:rPr>
        <w:t>第三百四十八条</w:t>
      </w:r>
      <w:r>
        <w:rPr>
          <w:rFonts w:hint="eastAsia" w:ascii="Times New Roman" w:hAnsi="Times New Roman" w:cs="仿宋_GB2312"/>
          <w:bCs/>
          <w:color w:val="000000" w:themeColor="text1"/>
          <w:kern w:val="0"/>
          <w14:textFill>
            <w14:solidFill>
              <w14:schemeClr w14:val="tx1"/>
            </w14:solidFill>
          </w14:textFill>
        </w:rPr>
        <w:t xml:space="preserve"> 采集非划定区域内的供血浆者或者其他人员血浆的；或者不对供血浆者进行身份识别，采集冒名顶替者、健康检查不合格者或者无《供血浆证》者的血浆的</w:t>
      </w:r>
      <w:bookmarkEnd w:id="4395"/>
      <w:bookmarkEnd w:id="4396"/>
      <w:bookmarkEnd w:id="4397"/>
      <w:bookmarkEnd w:id="4398"/>
      <w:bookmarkEnd w:id="4399"/>
      <w:bookmarkEnd w:id="4400"/>
      <w:bookmarkEnd w:id="4401"/>
      <w:bookmarkEnd w:id="4402"/>
      <w:bookmarkEnd w:id="4403"/>
      <w:bookmarkEnd w:id="4404"/>
      <w:bookmarkEnd w:id="4405"/>
    </w:p>
    <w:p w14:paraId="02D4267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60F21C1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 万元以上10 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5CF0CEC6">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（二）采集非划定区域内的供血浆者或者其他人员的血浆的，或者不对供血浆者进行身份识别，采集冒名顶替者、健康检查</w:t>
      </w:r>
      <w:r>
        <w:rPr>
          <w:rFonts w:hint="eastAsia" w:ascii="Times New Roman" w:hAnsi="Times New Roman" w:eastAsia="仿宋_GB2312" w:cs="仿宋"/>
          <w:color w:val="000000" w:themeColor="text1"/>
          <w:sz w:val="32"/>
          <w:szCs w:val="32"/>
          <w14:textFill>
            <w14:solidFill>
              <w14:schemeClr w14:val="tx1"/>
            </w14:solidFill>
          </w14:textFill>
        </w:rPr>
        <w:t>不合格者或者无《供血浆证》者的血浆的；</w:t>
      </w:r>
    </w:p>
    <w:p w14:paraId="7C23DE33">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549"/>
        <w:gridCol w:w="5241"/>
      </w:tblGrid>
      <w:tr w14:paraId="3336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1C145E4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49" w:type="dxa"/>
          </w:tcPr>
          <w:p w14:paraId="772700A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241" w:type="dxa"/>
          </w:tcPr>
          <w:p w14:paraId="14ADC10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ADF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1117D48F">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549" w:type="dxa"/>
            <w:vAlign w:val="center"/>
          </w:tcPr>
          <w:p w14:paraId="14212A4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有下列情形之一，人数在 3 人以下的：</w:t>
            </w:r>
          </w:p>
          <w:p w14:paraId="26EACF6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A.单采血浆站采集非划定区域内的供血浆者或者其他人员的血浆的；</w:t>
            </w:r>
          </w:p>
          <w:p w14:paraId="7A2D10D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B.不对供血浆者进行身份识别，采集冒名顶替者或健康检查不合格者；</w:t>
            </w:r>
          </w:p>
          <w:p w14:paraId="56E219A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C.采集无《供血浆证》者的血浆。</w:t>
            </w:r>
          </w:p>
        </w:tc>
        <w:tc>
          <w:tcPr>
            <w:tcW w:w="5241" w:type="dxa"/>
            <w:vAlign w:val="center"/>
          </w:tcPr>
          <w:p w14:paraId="56D5F2E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责令限期改正，处5万元以上8万元以下的罚款。</w:t>
            </w:r>
          </w:p>
        </w:tc>
      </w:tr>
      <w:tr w14:paraId="4392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4" w:type="dxa"/>
            <w:vAlign w:val="center"/>
          </w:tcPr>
          <w:p w14:paraId="08786CFC">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549" w:type="dxa"/>
            <w:vAlign w:val="center"/>
          </w:tcPr>
          <w:p w14:paraId="4A13893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有上述情形之一，人数在3人以上10人以下的。</w:t>
            </w:r>
          </w:p>
        </w:tc>
        <w:tc>
          <w:tcPr>
            <w:tcW w:w="5241" w:type="dxa"/>
            <w:vAlign w:val="center"/>
          </w:tcPr>
          <w:p w14:paraId="57C1DEB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责令限期改正，处8万元以上10万元以下的罚款。</w:t>
            </w:r>
          </w:p>
        </w:tc>
      </w:tr>
      <w:tr w14:paraId="794B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16534BD1">
            <w:pPr>
              <w:widowControl w:val="0"/>
              <w:adjustRightInd/>
              <w:snapToGrid/>
              <w:spacing w:before="156" w:beforeLines="5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49" w:type="dxa"/>
            <w:vAlign w:val="center"/>
          </w:tcPr>
          <w:p w14:paraId="0C88061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有上述情形之一，人数在10人以上或者造成经血途径疾病传播、人身</w:t>
            </w:r>
          </w:p>
          <w:p w14:paraId="5B003A2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伤害、死亡等严重后果的；或12个月内发生两次该违法行为的；或卫生行政部门责令限期改正而拒不改正的；或同时有《血液制品管理条例》第三十五条 3 项以上违法行为的。</w:t>
            </w:r>
          </w:p>
        </w:tc>
        <w:tc>
          <w:tcPr>
            <w:tcW w:w="5241" w:type="dxa"/>
            <w:vAlign w:val="center"/>
          </w:tcPr>
          <w:p w14:paraId="19E4B87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责令限期改正，处10万元罚款，吊销《单采血浆许可证》。</w:t>
            </w:r>
          </w:p>
        </w:tc>
      </w:tr>
    </w:tbl>
    <w:p w14:paraId="4EADE4EE">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406" w:name="_Toc16511"/>
      <w:bookmarkStart w:id="4407" w:name="_Toc26036"/>
      <w:bookmarkStart w:id="4408" w:name="_Toc17598"/>
      <w:bookmarkStart w:id="4409" w:name="_Toc16596"/>
      <w:bookmarkStart w:id="4410" w:name="_Toc19741"/>
      <w:bookmarkStart w:id="4411" w:name="_Toc6211"/>
      <w:bookmarkStart w:id="4412" w:name="_Toc10426"/>
      <w:bookmarkStart w:id="4413" w:name="_Toc10336"/>
      <w:bookmarkStart w:id="4414" w:name="_Toc17021"/>
      <w:bookmarkStart w:id="4415" w:name="_Toc22061"/>
      <w:bookmarkStart w:id="4416" w:name="_Toc7982"/>
      <w:r>
        <w:rPr>
          <w:rFonts w:hint="eastAsia" w:cs="仿宋_GB2312"/>
          <w:bCs/>
          <w:color w:val="000000" w:themeColor="text1"/>
          <w14:textFill>
            <w14:solidFill>
              <w14:schemeClr w14:val="tx1"/>
            </w14:solidFill>
          </w14:textFill>
        </w:rPr>
        <w:t>第三百四十九条</w:t>
      </w:r>
      <w:r>
        <w:rPr>
          <w:rFonts w:hint="eastAsia" w:ascii="Times New Roman" w:hAnsi="Times New Roman" w:cs="仿宋_GB2312"/>
          <w:bCs/>
          <w:color w:val="000000" w:themeColor="text1"/>
          <w:kern w:val="0"/>
          <w14:textFill>
            <w14:solidFill>
              <w14:schemeClr w14:val="tx1"/>
            </w14:solidFill>
          </w14:textFill>
        </w:rPr>
        <w:t xml:space="preserve"> 违反国务院卫生行政部门制定的血浆采集技术操作标准和程序，过频过量采集血浆的</w:t>
      </w:r>
      <w:bookmarkEnd w:id="4406"/>
      <w:bookmarkEnd w:id="4407"/>
      <w:bookmarkEnd w:id="4408"/>
      <w:bookmarkEnd w:id="4409"/>
      <w:bookmarkEnd w:id="4410"/>
      <w:bookmarkEnd w:id="4411"/>
      <w:bookmarkEnd w:id="4412"/>
      <w:bookmarkEnd w:id="4413"/>
      <w:bookmarkEnd w:id="4414"/>
      <w:bookmarkEnd w:id="4415"/>
      <w:bookmarkEnd w:id="4416"/>
    </w:p>
    <w:p w14:paraId="50A6655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8FFD5D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万元以上10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1600CCD9">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（三）违反国务院卫</w:t>
      </w:r>
      <w:r>
        <w:rPr>
          <w:rFonts w:hint="eastAsia" w:ascii="Times New Roman" w:hAnsi="Times New Roman" w:eastAsia="仿宋_GB2312" w:cs="仿宋"/>
          <w:color w:val="000000" w:themeColor="text1"/>
          <w:sz w:val="32"/>
          <w:szCs w:val="32"/>
          <w14:textFill>
            <w14:solidFill>
              <w14:schemeClr w14:val="tx1"/>
            </w14:solidFill>
          </w14:textFill>
        </w:rPr>
        <w:t>生行政部门制定的血浆采集技术操作标准和程序，过频过量采集血浆的；</w:t>
      </w:r>
    </w:p>
    <w:p w14:paraId="2BDA81DB">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457"/>
        <w:gridCol w:w="5277"/>
      </w:tblGrid>
      <w:tr w14:paraId="30BA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2F53B39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57" w:type="dxa"/>
          </w:tcPr>
          <w:p w14:paraId="747449B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277" w:type="dxa"/>
          </w:tcPr>
          <w:p w14:paraId="3C386F0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642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5C45E70">
            <w:pPr>
              <w:widowControl w:val="0"/>
              <w:adjustRightInd/>
              <w:snapToGrid/>
              <w:spacing w:before="0" w:beforeLines="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457" w:type="dxa"/>
            <w:vAlign w:val="center"/>
          </w:tcPr>
          <w:p w14:paraId="032CD27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单采血浆站违反国务院卫生行政部门制定的血浆采集技术操作标准和程序，过频过量采集血浆的供浆员人数在3 人次以下的。</w:t>
            </w:r>
          </w:p>
        </w:tc>
        <w:tc>
          <w:tcPr>
            <w:tcW w:w="5277" w:type="dxa"/>
            <w:vAlign w:val="center"/>
          </w:tcPr>
          <w:p w14:paraId="10D82A1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责令限期改正，处5万元以上8万元以下的罚款。</w:t>
            </w:r>
          </w:p>
        </w:tc>
      </w:tr>
      <w:tr w14:paraId="6593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F88B47E">
            <w:pPr>
              <w:widowControl w:val="0"/>
              <w:adjustRightInd/>
              <w:snapToGrid/>
              <w:spacing w:before="0" w:beforeLines="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457" w:type="dxa"/>
            <w:vAlign w:val="center"/>
          </w:tcPr>
          <w:p w14:paraId="6C69395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单采血浆站违反国务院卫生行政部门制定的血浆采集技术操作标准和程序，过频过量采集血浆的供浆员人数在3 人次以上10 人次以下的。</w:t>
            </w:r>
          </w:p>
        </w:tc>
        <w:tc>
          <w:tcPr>
            <w:tcW w:w="5277" w:type="dxa"/>
            <w:vAlign w:val="center"/>
          </w:tcPr>
          <w:p w14:paraId="016B2AA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责令限期改正，处8万元以上10万元以下的罚款。</w:t>
            </w:r>
          </w:p>
        </w:tc>
      </w:tr>
      <w:tr w14:paraId="4B5D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0814DA7">
            <w:pPr>
              <w:widowControl w:val="0"/>
              <w:adjustRightInd/>
              <w:snapToGrid/>
              <w:spacing w:before="0" w:beforeLines="0"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457" w:type="dxa"/>
            <w:vAlign w:val="center"/>
          </w:tcPr>
          <w:p w14:paraId="2E53CF9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单采血浆站违反国务院卫生行政部门制定的血浆采集技术操作标准和程序，过频过量采集血浆的供浆员人数在10 人次以上或造成经血途径疾病传播、人身伤害、死亡等严重后果的；或12 个月内发生两次该违法行为的；或卫生行政部门责令限期改正而拒不改正的；或同时有《血液制品管理条例》第三十五条3 项以上违法行为的。</w:t>
            </w:r>
          </w:p>
        </w:tc>
        <w:tc>
          <w:tcPr>
            <w:tcW w:w="5277" w:type="dxa"/>
            <w:vAlign w:val="center"/>
          </w:tcPr>
          <w:p w14:paraId="0DCC9D1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责令限期改正，处10万元罚款，吊销《单采血浆许可证》。</w:t>
            </w:r>
          </w:p>
        </w:tc>
      </w:tr>
    </w:tbl>
    <w:p w14:paraId="47A86E26">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417" w:name="_Toc8240"/>
      <w:bookmarkStart w:id="4418" w:name="_Toc314"/>
      <w:bookmarkStart w:id="4419" w:name="_Toc13889"/>
      <w:bookmarkStart w:id="4420" w:name="_Toc23532"/>
      <w:bookmarkStart w:id="4421" w:name="_Toc23946"/>
      <w:bookmarkStart w:id="4422" w:name="_Toc28285"/>
      <w:bookmarkStart w:id="4423" w:name="_Toc12533"/>
      <w:bookmarkStart w:id="4424" w:name="_Toc12757"/>
      <w:bookmarkStart w:id="4425" w:name="_Toc10423"/>
      <w:bookmarkStart w:id="4426" w:name="_Toc6492"/>
      <w:bookmarkStart w:id="4427" w:name="_Toc26480"/>
      <w:r>
        <w:rPr>
          <w:rFonts w:hint="eastAsia" w:ascii="Times New Roman" w:hAnsi="Times New Roman" w:cs="仿宋_GB2312"/>
          <w:bCs/>
          <w:color w:val="000000" w:themeColor="text1"/>
          <w:kern w:val="0"/>
          <w14:textFill>
            <w14:solidFill>
              <w14:schemeClr w14:val="tx1"/>
            </w14:solidFill>
          </w14:textFill>
        </w:rPr>
        <w:t>第三百五十条 单采血浆站向医疗机构直接供应原料血浆或者擅自采集血液的</w:t>
      </w:r>
      <w:bookmarkEnd w:id="4417"/>
      <w:bookmarkEnd w:id="4418"/>
      <w:bookmarkEnd w:id="4419"/>
      <w:bookmarkEnd w:id="4420"/>
      <w:bookmarkEnd w:id="4421"/>
      <w:bookmarkEnd w:id="4422"/>
      <w:bookmarkEnd w:id="4423"/>
      <w:bookmarkEnd w:id="4424"/>
      <w:bookmarkEnd w:id="4425"/>
      <w:bookmarkEnd w:id="4426"/>
      <w:bookmarkEnd w:id="4427"/>
    </w:p>
    <w:p w14:paraId="4CC7D3B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72677E6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 万元以上10 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12F7831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（四）向医疗机构直接供应原料血浆或擅自采集血液的；</w:t>
      </w:r>
    </w:p>
    <w:p w14:paraId="7C0D2FA1">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568"/>
        <w:gridCol w:w="5166"/>
      </w:tblGrid>
      <w:tr w14:paraId="4643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555899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68" w:type="dxa"/>
          </w:tcPr>
          <w:p w14:paraId="6E0D47D5">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166" w:type="dxa"/>
          </w:tcPr>
          <w:p w14:paraId="237FF4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CD8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440" w:type="dxa"/>
            <w:vAlign w:val="center"/>
          </w:tcPr>
          <w:p w14:paraId="110A7420">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568" w:type="dxa"/>
            <w:vAlign w:val="center"/>
          </w:tcPr>
          <w:p w14:paraId="2EB7849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单采血浆站向医疗机构直接供应原料血浆在500 克以下或擅自采集血液人数3 人次以下的。</w:t>
            </w:r>
          </w:p>
        </w:tc>
        <w:tc>
          <w:tcPr>
            <w:tcW w:w="5166" w:type="dxa"/>
            <w:vAlign w:val="center"/>
          </w:tcPr>
          <w:p w14:paraId="1FD740A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 万元以上8 万元以下的罚款。</w:t>
            </w:r>
          </w:p>
        </w:tc>
      </w:tr>
      <w:tr w14:paraId="2EF3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070A209">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568" w:type="dxa"/>
            <w:vAlign w:val="center"/>
          </w:tcPr>
          <w:p w14:paraId="4581250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向医疗机构直接供应原料血浆在500 克以上5 千克以下或者擅自采集血液人数在3 人次以上10 人次以下的。</w:t>
            </w:r>
          </w:p>
        </w:tc>
        <w:tc>
          <w:tcPr>
            <w:tcW w:w="5166" w:type="dxa"/>
            <w:vAlign w:val="center"/>
          </w:tcPr>
          <w:p w14:paraId="026A925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 万元以上10 万元以下的罚款。</w:t>
            </w:r>
          </w:p>
        </w:tc>
      </w:tr>
      <w:tr w14:paraId="2619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440" w:type="dxa"/>
            <w:vAlign w:val="center"/>
          </w:tcPr>
          <w:p w14:paraId="04271735">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68" w:type="dxa"/>
            <w:vAlign w:val="center"/>
          </w:tcPr>
          <w:p w14:paraId="44B6373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720FB30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A.向医疗机构直接供应原料血浆在 5 千克以上；</w:t>
            </w:r>
          </w:p>
          <w:p w14:paraId="38B823C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B.擅自采集血液 10 人次以上的；</w:t>
            </w:r>
          </w:p>
          <w:p w14:paraId="5832E1F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C.造成经血途径疾病传播、人身伤害、死亡等严重后果的；</w:t>
            </w:r>
          </w:p>
          <w:p w14:paraId="747E1D7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D.12 个月内发生两次以上违法行为的；</w:t>
            </w:r>
          </w:p>
          <w:p w14:paraId="036D6EB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E.卫生行政部门责令限期改正而拒不改正的；</w:t>
            </w:r>
          </w:p>
          <w:p w14:paraId="1EACCE1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F.或同时有《血液制品管理条例》第三十五条 3 项以上违法行为的。</w:t>
            </w:r>
          </w:p>
        </w:tc>
        <w:tc>
          <w:tcPr>
            <w:tcW w:w="5166" w:type="dxa"/>
            <w:vAlign w:val="center"/>
          </w:tcPr>
          <w:p w14:paraId="253BD4F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 万元罚款，吊销《单采血浆许可证》。</w:t>
            </w:r>
          </w:p>
        </w:tc>
      </w:tr>
    </w:tbl>
    <w:p w14:paraId="757FE4BD">
      <w:pPr>
        <w:pStyle w:val="4"/>
        <w:widowControl w:val="0"/>
        <w:ind w:firstLine="640" w:firstLineChars="0"/>
        <w:jc w:val="both"/>
        <w:rPr>
          <w:rFonts w:hint="eastAsia" w:ascii="Times New Roman" w:hAnsi="Times New Roman" w:cs="仿宋_GB2312"/>
          <w:b/>
          <w:bCs/>
          <w:color w:val="000000" w:themeColor="text1"/>
          <w:kern w:val="0"/>
          <w14:textFill>
            <w14:solidFill>
              <w14:schemeClr w14:val="tx1"/>
            </w14:solidFill>
          </w14:textFill>
        </w:rPr>
      </w:pPr>
      <w:bookmarkStart w:id="4428" w:name="_Toc26721"/>
      <w:bookmarkStart w:id="4429" w:name="_Toc31449"/>
      <w:bookmarkStart w:id="4430" w:name="_Toc18755"/>
      <w:bookmarkStart w:id="4431" w:name="_Toc5046"/>
      <w:bookmarkStart w:id="4432" w:name="_Toc32541"/>
      <w:bookmarkStart w:id="4433" w:name="_Toc31968"/>
      <w:bookmarkStart w:id="4434" w:name="_Toc22079"/>
      <w:bookmarkStart w:id="4435" w:name="_Toc3941"/>
      <w:bookmarkStart w:id="4436" w:name="_Toc10587"/>
      <w:bookmarkStart w:id="4437" w:name="_Toc10553"/>
      <w:bookmarkStart w:id="4438" w:name="_Toc24622"/>
      <w:r>
        <w:rPr>
          <w:rFonts w:hint="eastAsia" w:ascii="Times New Roman" w:hAnsi="Times New Roman" w:cs="仿宋_GB2312"/>
          <w:bCs/>
          <w:color w:val="000000" w:themeColor="text1"/>
          <w:kern w:val="0"/>
          <w14:textFill>
            <w14:solidFill>
              <w14:schemeClr w14:val="tx1"/>
            </w14:solidFill>
          </w14:textFill>
        </w:rPr>
        <w:t>第三百五十一条 单采血浆站未使用单采血浆机械进行血浆采集的</w:t>
      </w:r>
      <w:bookmarkEnd w:id="4428"/>
      <w:bookmarkEnd w:id="4429"/>
      <w:bookmarkEnd w:id="4430"/>
      <w:bookmarkEnd w:id="4431"/>
      <w:bookmarkEnd w:id="4432"/>
      <w:bookmarkEnd w:id="4433"/>
      <w:bookmarkEnd w:id="4434"/>
      <w:bookmarkEnd w:id="4435"/>
      <w:bookmarkEnd w:id="4436"/>
      <w:bookmarkEnd w:id="4437"/>
      <w:bookmarkEnd w:id="4438"/>
    </w:p>
    <w:p w14:paraId="0DB40BF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14D0BC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万元以上10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001C36F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（五）未使用单采血浆机械进行血浆采集的；</w:t>
      </w:r>
    </w:p>
    <w:p w14:paraId="0A2CEFD8">
      <w:pPr>
        <w:widowControl w:val="0"/>
        <w:adjustRightInd/>
        <w:snapToGrid/>
        <w:spacing w:after="0"/>
        <w:jc w:val="center"/>
        <w:rPr>
          <w:rFonts w:hint="eastAsia" w:ascii="Times New Roman" w:hAnsi="Times New Roman" w:eastAsia="仿宋_GB2312" w:cs="方正小标宋简体"/>
          <w:color w:val="000000" w:themeColor="text1"/>
          <w:sz w:val="32"/>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599"/>
        <w:gridCol w:w="5135"/>
      </w:tblGrid>
      <w:tr w14:paraId="0EC2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68DEAB8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99" w:type="dxa"/>
          </w:tcPr>
          <w:p w14:paraId="4B206D0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135" w:type="dxa"/>
          </w:tcPr>
          <w:p w14:paraId="34C1BB2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A92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62EC6A6C">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599" w:type="dxa"/>
            <w:vAlign w:val="center"/>
          </w:tcPr>
          <w:p w14:paraId="16D43D3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单采血浆站未使用单采血浆机械进行血浆采集，人数在3 人次以下的。</w:t>
            </w:r>
          </w:p>
        </w:tc>
        <w:tc>
          <w:tcPr>
            <w:tcW w:w="5135" w:type="dxa"/>
            <w:vAlign w:val="center"/>
          </w:tcPr>
          <w:p w14:paraId="09FE764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 万元以上8 万元以下的罚款。</w:t>
            </w:r>
          </w:p>
        </w:tc>
      </w:tr>
      <w:tr w14:paraId="405A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6EAC50C">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599" w:type="dxa"/>
            <w:vAlign w:val="center"/>
          </w:tcPr>
          <w:p w14:paraId="5E5CD28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单采血浆站未使用单采血浆机械进行血浆采集，人数在3 人次以上10人次以下的。</w:t>
            </w:r>
          </w:p>
        </w:tc>
        <w:tc>
          <w:tcPr>
            <w:tcW w:w="5135" w:type="dxa"/>
            <w:vAlign w:val="center"/>
          </w:tcPr>
          <w:p w14:paraId="54483DD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 万元以上10 万元以下的罚款。</w:t>
            </w:r>
          </w:p>
        </w:tc>
      </w:tr>
      <w:tr w14:paraId="299D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4AAFE1E">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99" w:type="dxa"/>
            <w:vAlign w:val="center"/>
          </w:tcPr>
          <w:p w14:paraId="3FE2488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未使用单采血浆机械进行血浆采集，人数在10 人次以上的；或造成经血途径疾病传播、人身伤害、死亡等严重后果的；或12 个月内发生两次该违法行为的；或卫生行政部门责令限期改正而拒不改正的；或同时有《血液制品管理条例》第三十五条3项以上违法行为的。</w:t>
            </w:r>
          </w:p>
        </w:tc>
        <w:tc>
          <w:tcPr>
            <w:tcW w:w="5135" w:type="dxa"/>
            <w:vAlign w:val="center"/>
          </w:tcPr>
          <w:p w14:paraId="339058D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 万元罚款，吊销《单采血浆许可证》。</w:t>
            </w:r>
          </w:p>
        </w:tc>
      </w:tr>
    </w:tbl>
    <w:p w14:paraId="1A47BA02">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439" w:name="_Toc30846"/>
      <w:bookmarkStart w:id="4440" w:name="_Toc9930"/>
      <w:bookmarkStart w:id="4441" w:name="_Toc23770"/>
      <w:bookmarkStart w:id="4442" w:name="_Toc24968"/>
      <w:bookmarkStart w:id="4443" w:name="_Toc23502"/>
      <w:bookmarkStart w:id="4444" w:name="_Toc14323"/>
      <w:bookmarkStart w:id="4445" w:name="_Toc32378"/>
      <w:bookmarkStart w:id="4446" w:name="_Toc18927"/>
      <w:bookmarkStart w:id="4447" w:name="_Toc16479"/>
      <w:bookmarkStart w:id="4448" w:name="_Toc21125"/>
      <w:bookmarkStart w:id="4449" w:name="_Toc29287"/>
      <w:r>
        <w:rPr>
          <w:rFonts w:hint="eastAsia" w:ascii="Times New Roman" w:hAnsi="Times New Roman" w:cs="仿宋_GB2312"/>
          <w:bCs/>
          <w:color w:val="000000" w:themeColor="text1"/>
          <w:kern w:val="0"/>
          <w14:textFill>
            <w14:solidFill>
              <w14:schemeClr w14:val="tx1"/>
            </w14:solidFill>
          </w14:textFill>
        </w:rPr>
        <w:t>第三百五十二条 单采血浆站未使用有产品批准文号并经国家药品生物制品检定机构逐批检定合格的体外诊断试剂以及合格的一次性采血浆器材的</w:t>
      </w:r>
      <w:bookmarkEnd w:id="4439"/>
      <w:bookmarkEnd w:id="4440"/>
      <w:bookmarkEnd w:id="4441"/>
      <w:bookmarkEnd w:id="4442"/>
      <w:bookmarkEnd w:id="4443"/>
      <w:bookmarkEnd w:id="4444"/>
      <w:bookmarkEnd w:id="4445"/>
      <w:bookmarkEnd w:id="4446"/>
      <w:bookmarkEnd w:id="4447"/>
      <w:bookmarkEnd w:id="4448"/>
      <w:bookmarkEnd w:id="4449"/>
    </w:p>
    <w:p w14:paraId="4367835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194158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《血液制品管理条例》第三十五条第（六）项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 万元以上10 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793DFC0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（六）未使用有产品批准文号并经国家药品生物制品检定机构逐批检定合格的体外诊断试剂以及合格的一次性采血浆器材的；</w:t>
      </w:r>
    </w:p>
    <w:p w14:paraId="4EC89D53">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193"/>
        <w:gridCol w:w="5541"/>
      </w:tblGrid>
      <w:tr w14:paraId="53CB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4E41D0C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193" w:type="dxa"/>
          </w:tcPr>
          <w:p w14:paraId="2B2F22D3">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541" w:type="dxa"/>
          </w:tcPr>
          <w:p w14:paraId="42A8126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638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953CDB6">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193" w:type="dxa"/>
          </w:tcPr>
          <w:p w14:paraId="199B1A5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单采血浆站未使用有产品批准文号并经国家药品生物制品检定机构逐批检定合格的体外诊断试剂以及合格的一次性采血浆器材，在3 人次以下的。</w:t>
            </w:r>
          </w:p>
        </w:tc>
        <w:tc>
          <w:tcPr>
            <w:tcW w:w="5541" w:type="dxa"/>
            <w:vAlign w:val="center"/>
          </w:tcPr>
          <w:p w14:paraId="23B5B4A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 万元以上8 万元以下的罚款。</w:t>
            </w:r>
          </w:p>
        </w:tc>
      </w:tr>
      <w:tr w14:paraId="1930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9DABCC5">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193" w:type="dxa"/>
          </w:tcPr>
          <w:p w14:paraId="2182026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未使用有产品批准文号并经国家药品生物制品检定机构逐批检定合格的体外诊断试剂以及合格的一次性采血浆器材，在3 人次以上10 人次以下的。</w:t>
            </w:r>
          </w:p>
        </w:tc>
        <w:tc>
          <w:tcPr>
            <w:tcW w:w="5541" w:type="dxa"/>
            <w:vAlign w:val="center"/>
          </w:tcPr>
          <w:p w14:paraId="74FC17D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 万元以上10 万元以下的罚款。</w:t>
            </w:r>
          </w:p>
        </w:tc>
      </w:tr>
      <w:tr w14:paraId="20F6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83436B1">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193" w:type="dxa"/>
          </w:tcPr>
          <w:p w14:paraId="2BDF1BE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未使用有产品批准文号并经国家药品生物制品检定机构逐批检定合格的体外诊断试剂以及合格的一次性采血浆器材的，在10 人次以上的；或造成经血途径疾病传播、人身伤害、死亡等严重后果的；或12 个月内发生两次该违法行为的；或卫生行政部门责令限期改正而拒不改正的；或同时有《血液制品管理条例》第三十五条3 项以上违法行为的。</w:t>
            </w:r>
          </w:p>
        </w:tc>
        <w:tc>
          <w:tcPr>
            <w:tcW w:w="5541" w:type="dxa"/>
            <w:vAlign w:val="center"/>
          </w:tcPr>
          <w:p w14:paraId="1198470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 万元罚款，吊销《单采血浆许可证》。</w:t>
            </w:r>
          </w:p>
        </w:tc>
      </w:tr>
    </w:tbl>
    <w:p w14:paraId="79441A4F">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450" w:name="_Toc12373"/>
      <w:bookmarkStart w:id="4451" w:name="_Toc29790"/>
      <w:bookmarkStart w:id="4452" w:name="_Toc21444"/>
      <w:bookmarkStart w:id="4453" w:name="_Toc29151"/>
      <w:bookmarkStart w:id="4454" w:name="_Toc20437"/>
      <w:bookmarkStart w:id="4455" w:name="_Toc17490"/>
      <w:bookmarkStart w:id="4456" w:name="_Toc9051"/>
      <w:bookmarkStart w:id="4457" w:name="_Toc22087"/>
      <w:bookmarkStart w:id="4458" w:name="_Toc27429"/>
      <w:bookmarkStart w:id="4459" w:name="_Toc14545"/>
      <w:bookmarkStart w:id="4460" w:name="_Toc32223"/>
      <w:r>
        <w:rPr>
          <w:rFonts w:hint="eastAsia" w:ascii="Times New Roman" w:hAnsi="Times New Roman" w:cs="仿宋_GB2312"/>
          <w:bCs/>
          <w:color w:val="000000" w:themeColor="text1"/>
          <w:kern w:val="0"/>
          <w14:textFill>
            <w14:solidFill>
              <w14:schemeClr w14:val="tx1"/>
            </w14:solidFill>
          </w14:textFill>
        </w:rPr>
        <w:t>第三百五十三条 单采血浆站未按照国家规定的卫生标准和要求包装、储存、运输原料血浆的</w:t>
      </w:r>
      <w:bookmarkEnd w:id="4450"/>
      <w:bookmarkEnd w:id="4451"/>
      <w:bookmarkEnd w:id="4452"/>
      <w:bookmarkEnd w:id="4453"/>
      <w:bookmarkEnd w:id="4454"/>
      <w:bookmarkEnd w:id="4455"/>
      <w:bookmarkEnd w:id="4456"/>
      <w:bookmarkEnd w:id="4457"/>
      <w:bookmarkEnd w:id="4458"/>
      <w:bookmarkEnd w:id="4459"/>
      <w:bookmarkEnd w:id="4460"/>
    </w:p>
    <w:p w14:paraId="6D82F47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286BB3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《血液制品管理条例》第三十五条第（七）项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 万元以上10 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6A42052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（七）未按照国家规定的卫生标准和要求包装、储存、运输原料血浆的；</w:t>
      </w:r>
    </w:p>
    <w:p w14:paraId="190FA5DC">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890"/>
        <w:gridCol w:w="5670"/>
      </w:tblGrid>
      <w:tr w14:paraId="4403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tcPr>
          <w:p w14:paraId="52D2847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890" w:type="dxa"/>
          </w:tcPr>
          <w:p w14:paraId="7D9AAAB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670" w:type="dxa"/>
          </w:tcPr>
          <w:p w14:paraId="559A1B7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449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3273FDAA">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890" w:type="dxa"/>
            <w:vAlign w:val="center"/>
          </w:tcPr>
          <w:p w14:paraId="2BD0E04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单采血浆站有未按照国家规定的卫生标准和要求包装、储存、运输原料血料血浆情形之一的。</w:t>
            </w:r>
          </w:p>
        </w:tc>
        <w:tc>
          <w:tcPr>
            <w:tcW w:w="5670" w:type="dxa"/>
            <w:vAlign w:val="center"/>
          </w:tcPr>
          <w:p w14:paraId="3A44112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 万元以上8 万元以下的罚款。</w:t>
            </w:r>
          </w:p>
        </w:tc>
      </w:tr>
      <w:tr w14:paraId="17D2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2F21A087">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890" w:type="dxa"/>
            <w:vAlign w:val="center"/>
          </w:tcPr>
          <w:p w14:paraId="158CE52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单采血浆站有未按照国家规定的卫生标准和要求包装、储存、运输原料血浆，两种及以上情形的。</w:t>
            </w:r>
          </w:p>
        </w:tc>
        <w:tc>
          <w:tcPr>
            <w:tcW w:w="5670" w:type="dxa"/>
            <w:vAlign w:val="center"/>
          </w:tcPr>
          <w:p w14:paraId="11472E0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 万元以上10 万元以下的罚款。</w:t>
            </w:r>
          </w:p>
        </w:tc>
      </w:tr>
      <w:tr w14:paraId="4673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1440" w:type="dxa"/>
            <w:vAlign w:val="center"/>
          </w:tcPr>
          <w:p w14:paraId="17190C6E">
            <w:pPr>
              <w:widowControl w:val="0"/>
              <w:adjustRightInd/>
              <w:snapToGrid/>
              <w:spacing w:before="0"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890" w:type="dxa"/>
            <w:vAlign w:val="center"/>
          </w:tcPr>
          <w:p w14:paraId="567B343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未按照国家规定的卫生标准和要求包装、储存、运输原料血浆，造成经血途径疾病传播、人身伤害、死亡等严重后果的；或12 个月内发生两次该违法行为的；或卫生行政部门责令限期改正而拒不改正的；或同时有《血液制品管理条例》第三十五条3 项以上违法行为的。</w:t>
            </w:r>
          </w:p>
        </w:tc>
        <w:tc>
          <w:tcPr>
            <w:tcW w:w="5670" w:type="dxa"/>
            <w:vAlign w:val="center"/>
          </w:tcPr>
          <w:p w14:paraId="1BDA8B8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 万元罚款，吊销《单采血浆许可证》。</w:t>
            </w:r>
          </w:p>
        </w:tc>
      </w:tr>
    </w:tbl>
    <w:p w14:paraId="1957A738">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461" w:name="_Toc30562"/>
      <w:bookmarkStart w:id="4462" w:name="_Toc15661"/>
      <w:bookmarkStart w:id="4463" w:name="_Toc28170"/>
      <w:bookmarkStart w:id="4464" w:name="_Toc23057"/>
      <w:bookmarkStart w:id="4465" w:name="_Toc19595"/>
      <w:bookmarkStart w:id="4466" w:name="_Toc17445"/>
      <w:bookmarkStart w:id="4467" w:name="_Toc1676"/>
      <w:bookmarkStart w:id="4468" w:name="_Toc25085"/>
      <w:bookmarkStart w:id="4469" w:name="_Toc11702"/>
      <w:bookmarkStart w:id="4470" w:name="_Toc10677"/>
      <w:bookmarkStart w:id="4471" w:name="_Toc17975"/>
      <w:r>
        <w:rPr>
          <w:rFonts w:hint="eastAsia" w:ascii="Times New Roman" w:hAnsi="Times New Roman" w:cs="仿宋_GB2312"/>
          <w:bCs/>
          <w:color w:val="000000" w:themeColor="text1"/>
          <w:kern w:val="0"/>
          <w14:textFill>
            <w14:solidFill>
              <w14:schemeClr w14:val="tx1"/>
            </w14:solidFill>
          </w14:textFill>
        </w:rPr>
        <w:t>第三百五十四条 单采血浆站对国家规定检测项目检测结果呈阳性的血浆不清除、不及时上报的</w:t>
      </w:r>
      <w:bookmarkEnd w:id="4461"/>
      <w:bookmarkEnd w:id="4462"/>
      <w:bookmarkEnd w:id="4463"/>
      <w:bookmarkEnd w:id="4464"/>
      <w:bookmarkEnd w:id="4465"/>
      <w:bookmarkEnd w:id="4466"/>
      <w:bookmarkEnd w:id="4467"/>
      <w:bookmarkEnd w:id="4468"/>
      <w:bookmarkEnd w:id="4469"/>
      <w:bookmarkEnd w:id="4470"/>
      <w:bookmarkEnd w:id="4471"/>
    </w:p>
    <w:p w14:paraId="4DF206D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3FD43F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《血液制品管理条例》第三十五条第（八）项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万元以上10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7BE231E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（八）对国家规定检测项目检测结果呈阳性的血浆不清除、不及时上报的；</w:t>
      </w:r>
    </w:p>
    <w:p w14:paraId="32027C5A">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890"/>
        <w:gridCol w:w="5670"/>
      </w:tblGrid>
      <w:tr w14:paraId="1934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3F27B4F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890" w:type="dxa"/>
          </w:tcPr>
          <w:p w14:paraId="355C5E6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670" w:type="dxa"/>
          </w:tcPr>
          <w:p w14:paraId="438A31F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C78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F5201CD">
            <w:pPr>
              <w:widowControl w:val="0"/>
              <w:adjustRightInd/>
              <w:snapToGrid/>
              <w:spacing w:after="0" w:line="400" w:lineRule="exact"/>
              <w:jc w:val="center"/>
              <w:rPr>
                <w:rFonts w:hint="eastAsia" w:ascii="Times New Roman" w:hAnsi="Times New Roman" w:eastAsia="仿宋" w:cs="华文中宋"/>
                <w:color w:val="000000" w:themeColor="text1"/>
                <w:kern w:val="2"/>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890" w:type="dxa"/>
            <w:vAlign w:val="center"/>
          </w:tcPr>
          <w:p w14:paraId="1B156BD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对国家规定检测项目检测结果呈阳性的血浆不清除、不及时上报的。</w:t>
            </w:r>
          </w:p>
        </w:tc>
        <w:tc>
          <w:tcPr>
            <w:tcW w:w="5670" w:type="dxa"/>
            <w:vAlign w:val="center"/>
          </w:tcPr>
          <w:p w14:paraId="3F6F86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责令限期改正，处10万元罚款，吊销《单采血浆许可证》。</w:t>
            </w:r>
          </w:p>
        </w:tc>
      </w:tr>
    </w:tbl>
    <w:p w14:paraId="12986CB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472" w:name="_Toc14158"/>
      <w:bookmarkStart w:id="4473" w:name="_Toc31787"/>
      <w:bookmarkStart w:id="4474" w:name="_Toc26168"/>
      <w:bookmarkStart w:id="4475" w:name="_Toc3919"/>
      <w:bookmarkStart w:id="4476" w:name="_Toc28321"/>
      <w:bookmarkStart w:id="4477" w:name="_Toc9912"/>
      <w:bookmarkStart w:id="4478" w:name="_Toc9846"/>
      <w:bookmarkStart w:id="4479" w:name="_Toc29440"/>
      <w:bookmarkStart w:id="4480" w:name="_Toc17459"/>
      <w:bookmarkStart w:id="4481" w:name="_Toc9131"/>
      <w:bookmarkStart w:id="4482" w:name="_Toc17397"/>
      <w:r>
        <w:rPr>
          <w:rFonts w:hint="eastAsia" w:ascii="Times New Roman" w:hAnsi="Times New Roman" w:cs="仿宋_GB2312"/>
          <w:bCs/>
          <w:color w:val="000000" w:themeColor="text1"/>
          <w:kern w:val="0"/>
          <w14:textFill>
            <w14:solidFill>
              <w14:schemeClr w14:val="tx1"/>
            </w14:solidFill>
          </w14:textFill>
        </w:rPr>
        <w:t>第三百五十五条 单采血浆站对污染的注射器、采血浆器材及不合格血浆等不经消毒处理，擅自倾倒，污染环境，造成社会危害的</w:t>
      </w:r>
      <w:bookmarkEnd w:id="4472"/>
      <w:bookmarkEnd w:id="4473"/>
      <w:bookmarkEnd w:id="4474"/>
      <w:bookmarkEnd w:id="4475"/>
      <w:bookmarkEnd w:id="4476"/>
      <w:bookmarkEnd w:id="4477"/>
      <w:bookmarkEnd w:id="4478"/>
      <w:bookmarkEnd w:id="4479"/>
      <w:bookmarkEnd w:id="4480"/>
      <w:bookmarkEnd w:id="4481"/>
      <w:bookmarkEnd w:id="4482"/>
    </w:p>
    <w:p w14:paraId="145C2E3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C48408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《血液制品管理条例》第三十五条第（九）项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万元以上10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78AF5F0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（九）对污染的注射器、采血浆器材及不合格血浆等不经消毒处理，擅自倾倒，污染环境，造成社会危害的；</w:t>
      </w:r>
    </w:p>
    <w:p w14:paraId="3024DB59">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890"/>
        <w:gridCol w:w="5670"/>
      </w:tblGrid>
      <w:tr w14:paraId="2DBD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B74271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890" w:type="dxa"/>
          </w:tcPr>
          <w:p w14:paraId="30837AB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670" w:type="dxa"/>
          </w:tcPr>
          <w:p w14:paraId="13BA584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F75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D9B7689">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890" w:type="dxa"/>
          </w:tcPr>
          <w:p w14:paraId="6F1C693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单采血浆站对污染的注射器、采血浆器材未按照相关要求处理，擅自倾倒，污染环境，造成社会危害的。</w:t>
            </w:r>
          </w:p>
        </w:tc>
        <w:tc>
          <w:tcPr>
            <w:tcW w:w="5670" w:type="dxa"/>
            <w:vAlign w:val="center"/>
          </w:tcPr>
          <w:p w14:paraId="5045383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责令限期改正，处5万元以上8万元以下的罚款。</w:t>
            </w:r>
          </w:p>
        </w:tc>
      </w:tr>
      <w:tr w14:paraId="7B51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0B745D9">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890" w:type="dxa"/>
          </w:tcPr>
          <w:p w14:paraId="61A75A2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对不合格血浆不经消毒处理，擅自倾倒，污染环境，造成社会危害，情节严重的。</w:t>
            </w:r>
          </w:p>
        </w:tc>
        <w:tc>
          <w:tcPr>
            <w:tcW w:w="5670" w:type="dxa"/>
            <w:vAlign w:val="center"/>
          </w:tcPr>
          <w:p w14:paraId="553F39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责令限期改正，处8万元以上10万元以下的罚款。</w:t>
            </w:r>
          </w:p>
        </w:tc>
      </w:tr>
      <w:tr w14:paraId="3FCA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AAFE3FA">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890" w:type="dxa"/>
          </w:tcPr>
          <w:p w14:paraId="2AE6C60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对污染的注射器、采血浆器材及不合格血浆等不经消毒处理，擅自倾倒，污染环境，造成社会危害，有下列情形之一的：（一）12 个月内2 次发生该违法行为的；（二）卫生行政部门责令限期改正而拒不改正的；（三）造成经血液途径传播的疾病传播或者造成其他严重伤害后果的；（四）同时有《血液制品管理条例》第三十五条3 项以上违法行为的。</w:t>
            </w:r>
          </w:p>
        </w:tc>
        <w:tc>
          <w:tcPr>
            <w:tcW w:w="5670" w:type="dxa"/>
            <w:vAlign w:val="center"/>
          </w:tcPr>
          <w:p w14:paraId="52E33D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责令限期改正，处10万元罚款，吊销《单采血浆许可证》。</w:t>
            </w:r>
          </w:p>
        </w:tc>
      </w:tr>
    </w:tbl>
    <w:p w14:paraId="614A7D0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483" w:name="_Toc7246"/>
      <w:bookmarkStart w:id="4484" w:name="_Toc24168"/>
      <w:bookmarkStart w:id="4485" w:name="_Toc24350"/>
      <w:bookmarkStart w:id="4486" w:name="_Toc17905"/>
      <w:bookmarkStart w:id="4487" w:name="_Toc2645"/>
      <w:bookmarkStart w:id="4488" w:name="_Toc18270"/>
      <w:bookmarkStart w:id="4489" w:name="_Toc10873"/>
      <w:bookmarkStart w:id="4490" w:name="_Toc8329"/>
      <w:bookmarkStart w:id="4491" w:name="_Toc4977"/>
      <w:bookmarkStart w:id="4492" w:name="_Toc7293"/>
      <w:bookmarkStart w:id="4493" w:name="_Toc6099"/>
      <w:r>
        <w:rPr>
          <w:rFonts w:hint="eastAsia" w:ascii="Times New Roman" w:hAnsi="Times New Roman" w:cs="仿宋_GB2312"/>
          <w:bCs/>
          <w:color w:val="000000" w:themeColor="text1"/>
          <w:kern w:val="0"/>
          <w14:textFill>
            <w14:solidFill>
              <w14:schemeClr w14:val="tx1"/>
            </w14:solidFill>
          </w14:textFill>
        </w:rPr>
        <w:t>第三百五十六条 单采血浆站重复使用一次性采血浆器材的</w:t>
      </w:r>
      <w:bookmarkEnd w:id="4483"/>
      <w:bookmarkEnd w:id="4484"/>
      <w:bookmarkEnd w:id="4485"/>
      <w:bookmarkEnd w:id="4486"/>
      <w:bookmarkEnd w:id="4487"/>
      <w:bookmarkEnd w:id="4488"/>
      <w:bookmarkEnd w:id="4489"/>
      <w:bookmarkEnd w:id="4490"/>
      <w:bookmarkEnd w:id="4491"/>
      <w:bookmarkEnd w:id="4492"/>
      <w:bookmarkEnd w:id="4493"/>
    </w:p>
    <w:p w14:paraId="49DE3FA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EF7609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《血液制品管理条例》第三十五条第（十）项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 万元以上10 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72A7072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（十）重复使用一次性采血浆器材的；</w:t>
      </w:r>
    </w:p>
    <w:p w14:paraId="60A608F3">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713"/>
        <w:gridCol w:w="5989"/>
      </w:tblGrid>
      <w:tr w14:paraId="7B97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270CD82C">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713" w:type="dxa"/>
          </w:tcPr>
          <w:p w14:paraId="63D5DC2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989" w:type="dxa"/>
          </w:tcPr>
          <w:p w14:paraId="382CEC9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2D7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7B5A1E81">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713" w:type="dxa"/>
            <w:vAlign w:val="center"/>
          </w:tcPr>
          <w:p w14:paraId="37E3DC2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单采血浆站重复使用一次性采血浆器材的。</w:t>
            </w:r>
          </w:p>
        </w:tc>
        <w:tc>
          <w:tcPr>
            <w:tcW w:w="5989" w:type="dxa"/>
            <w:vAlign w:val="center"/>
          </w:tcPr>
          <w:p w14:paraId="1A67909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责令限期改正，处5万元以上8万元以下的罚款。</w:t>
            </w:r>
          </w:p>
        </w:tc>
      </w:tr>
      <w:tr w14:paraId="535C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F2560F3">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713" w:type="dxa"/>
          </w:tcPr>
          <w:p w14:paraId="4123CE4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重复使用一次性采血浆器材，数量较大、次数较多，情节严重的。</w:t>
            </w:r>
          </w:p>
        </w:tc>
        <w:tc>
          <w:tcPr>
            <w:tcW w:w="5989" w:type="dxa"/>
            <w:vAlign w:val="center"/>
          </w:tcPr>
          <w:p w14:paraId="02D58F9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责令限期改正，处8万元以上10万元以下的罚款。</w:t>
            </w:r>
          </w:p>
        </w:tc>
      </w:tr>
      <w:tr w14:paraId="774D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3D09A91">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6713" w:type="dxa"/>
          </w:tcPr>
          <w:p w14:paraId="4CADD5E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重复使用一次性采血浆器材的，造成经血途径疾病传播、人身伤害、死亡等严重后果的；或12 个月内发生两次该违法行为的；或卫生行政部门责令限期改正而拒不改正的；或同时有《血液制品管理条例》第三十五条3 项以上违法行为的。</w:t>
            </w:r>
          </w:p>
        </w:tc>
        <w:tc>
          <w:tcPr>
            <w:tcW w:w="5989" w:type="dxa"/>
            <w:vAlign w:val="center"/>
          </w:tcPr>
          <w:p w14:paraId="77C6F9A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责令限期改正，处10万元罚款，吊销《单采血浆许可证》。</w:t>
            </w:r>
          </w:p>
        </w:tc>
      </w:tr>
    </w:tbl>
    <w:p w14:paraId="59A3753D">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494" w:name="_Toc26870"/>
      <w:bookmarkStart w:id="4495" w:name="_Toc27351"/>
      <w:bookmarkStart w:id="4496" w:name="_Toc24707"/>
      <w:bookmarkStart w:id="4497" w:name="_Toc1882"/>
      <w:bookmarkStart w:id="4498" w:name="_Toc30275"/>
      <w:bookmarkStart w:id="4499" w:name="_Toc17757"/>
      <w:bookmarkStart w:id="4500" w:name="_Toc30404"/>
      <w:bookmarkStart w:id="4501" w:name="_Toc23058"/>
      <w:bookmarkStart w:id="4502" w:name="_Toc29707"/>
      <w:bookmarkStart w:id="4503" w:name="_Toc16622"/>
      <w:bookmarkStart w:id="4504" w:name="_Toc12407"/>
      <w:r>
        <w:rPr>
          <w:rFonts w:hint="eastAsia" w:ascii="Times New Roman" w:hAnsi="Times New Roman" w:cs="仿宋_GB2312"/>
          <w:bCs/>
          <w:color w:val="000000" w:themeColor="text1"/>
          <w:kern w:val="0"/>
          <w14:textFill>
            <w14:solidFill>
              <w14:schemeClr w14:val="tx1"/>
            </w14:solidFill>
          </w14:textFill>
        </w:rPr>
        <w:t>第三百五十七条 单采血浆站向与其签订质量责任书的血液制品生产单位以外的其他单位供应原料血浆的</w:t>
      </w:r>
      <w:bookmarkEnd w:id="4494"/>
      <w:bookmarkEnd w:id="4495"/>
      <w:bookmarkEnd w:id="4496"/>
      <w:bookmarkEnd w:id="4497"/>
      <w:bookmarkEnd w:id="4498"/>
      <w:bookmarkEnd w:id="4499"/>
      <w:bookmarkEnd w:id="4500"/>
      <w:bookmarkEnd w:id="4501"/>
      <w:bookmarkEnd w:id="4502"/>
      <w:bookmarkEnd w:id="4503"/>
      <w:bookmarkEnd w:id="4504"/>
    </w:p>
    <w:p w14:paraId="1F22BFB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246B59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《血液制品管理条例》第三十五条第（十一）项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单采血浆站有下列行为之一的，由县级以上地方人民政府卫生行政部门责令限期改正，处5万元以上10 万元以下的罚款；有第八项所列行为的，或者有下列其他行为并且情节严重的，由省、自治区、直辖市人民政府卫生行政部门吊销《单采血浆许可证》；构成犯罪的，对负有直接责任的主管人员和其他直接责任人员依法追究刑事责任：</w:t>
      </w:r>
    </w:p>
    <w:p w14:paraId="3CE42EB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（十一）向与其签订质量责任书的血液制品生产单位以外的其他单位供应原料血浆的。</w:t>
      </w:r>
    </w:p>
    <w:p w14:paraId="55DA8D17">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323"/>
        <w:gridCol w:w="6379"/>
      </w:tblGrid>
      <w:tr w14:paraId="163B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0D583F4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23" w:type="dxa"/>
          </w:tcPr>
          <w:p w14:paraId="7517EF18">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379" w:type="dxa"/>
          </w:tcPr>
          <w:p w14:paraId="770108E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0E5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66FAD524">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323" w:type="dxa"/>
            <w:vAlign w:val="center"/>
          </w:tcPr>
          <w:p w14:paraId="5F3473E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向与其签订质量责任书的血液制品生产单位以外的其他单位供应原料血浆的。</w:t>
            </w:r>
          </w:p>
        </w:tc>
        <w:tc>
          <w:tcPr>
            <w:tcW w:w="6379" w:type="dxa"/>
            <w:vAlign w:val="center"/>
          </w:tcPr>
          <w:p w14:paraId="588F155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责令限期改正，处5万元以上8万元以下的罚款。</w:t>
            </w:r>
          </w:p>
        </w:tc>
      </w:tr>
      <w:tr w14:paraId="3882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6B75EFB2">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323" w:type="dxa"/>
            <w:vAlign w:val="center"/>
          </w:tcPr>
          <w:p w14:paraId="50289CD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向与其签订质量责任书的血液制品生产单位以外的其他单位供应原料血浆，数量较大、次数较多，情节严重的。</w:t>
            </w:r>
          </w:p>
        </w:tc>
        <w:tc>
          <w:tcPr>
            <w:tcW w:w="6379" w:type="dxa"/>
            <w:vAlign w:val="center"/>
          </w:tcPr>
          <w:p w14:paraId="2F0CB6F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责令限期改正，处8万元以上10万元以下的罚款。</w:t>
            </w:r>
          </w:p>
        </w:tc>
      </w:tr>
      <w:tr w14:paraId="4818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440" w:type="dxa"/>
            <w:vAlign w:val="center"/>
          </w:tcPr>
          <w:p w14:paraId="2F17F486">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6323" w:type="dxa"/>
            <w:vAlign w:val="center"/>
          </w:tcPr>
          <w:p w14:paraId="5284114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向与其签订质量责任书的血液制品生产单位以外的其他单位供应原料血浆的，造成经血途径疾病传播、人身伤害、死亡等严重后果的；或12个月内发生两次该违法行为的；或卫生行政部门责令限期改正而拒不改正的；或同时有《血液制品管理条例》第三十五条3 项以上违法行为的。</w:t>
            </w:r>
          </w:p>
        </w:tc>
        <w:tc>
          <w:tcPr>
            <w:tcW w:w="6379" w:type="dxa"/>
            <w:vAlign w:val="center"/>
          </w:tcPr>
          <w:p w14:paraId="6F9B874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责令限期改正，处10万元罚款，吊销《单采血浆许可证》。</w:t>
            </w:r>
          </w:p>
        </w:tc>
      </w:tr>
    </w:tbl>
    <w:p w14:paraId="74357CAB">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505" w:name="_Toc25355"/>
      <w:bookmarkStart w:id="4506" w:name="_Toc29923"/>
      <w:bookmarkStart w:id="4507" w:name="_Toc16119"/>
      <w:bookmarkStart w:id="4508" w:name="_Toc11687"/>
      <w:bookmarkStart w:id="4509" w:name="_Toc27419"/>
      <w:bookmarkStart w:id="4510" w:name="_Toc9334"/>
      <w:bookmarkStart w:id="4511" w:name="_Toc25851"/>
      <w:bookmarkStart w:id="4512" w:name="_Toc32392"/>
      <w:bookmarkStart w:id="4513" w:name="_Toc428"/>
      <w:bookmarkStart w:id="4514" w:name="_Toc20549"/>
      <w:bookmarkStart w:id="4515" w:name="_Toc22036"/>
      <w:r>
        <w:rPr>
          <w:rFonts w:hint="eastAsia" w:ascii="Times New Roman" w:hAnsi="Times New Roman" w:cs="仿宋_GB2312"/>
          <w:bCs/>
          <w:color w:val="000000" w:themeColor="text1"/>
          <w:kern w:val="0"/>
          <w14:textFill>
            <w14:solidFill>
              <w14:schemeClr w14:val="tx1"/>
            </w14:solidFill>
          </w14:textFill>
        </w:rPr>
        <w:t>第三百五十八条 单采血浆站已知其采集的血浆检测结果呈阳性，仍向血液制品生产单位供应的</w:t>
      </w:r>
      <w:bookmarkEnd w:id="4505"/>
      <w:bookmarkEnd w:id="4506"/>
      <w:bookmarkEnd w:id="4507"/>
      <w:bookmarkEnd w:id="4508"/>
      <w:bookmarkEnd w:id="4509"/>
      <w:bookmarkEnd w:id="4510"/>
      <w:bookmarkEnd w:id="4511"/>
      <w:bookmarkEnd w:id="4512"/>
      <w:bookmarkEnd w:id="4513"/>
      <w:bookmarkEnd w:id="4514"/>
      <w:bookmarkEnd w:id="4515"/>
    </w:p>
    <w:p w14:paraId="0BADE3F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1710E1A">
      <w:pPr>
        <w:widowControl w:val="0"/>
        <w:adjustRightInd/>
        <w:snapToGrid/>
        <w:spacing w:after="0" w:line="440" w:lineRule="exact"/>
        <w:ind w:firstLine="640"/>
        <w:jc w:val="both"/>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已知其采集的血浆检测结果呈阳性，仍向血液制品生产单位供应的，由省、自治区、直辖市人民政府卫生行政部门吊销《单采血浆许可证》，由县级以上地方人民政府卫生行政部门没收违法所得，并处10 万元以上30万元以下的罚款；造成经血液途径传播的疾病传播、人身伤害等危害，构成犯罪的，对负有直接责任的主管人员和其他直接责任人员依法追究刑事责任。</w:t>
      </w:r>
    </w:p>
    <w:p w14:paraId="6DA4795F">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323"/>
        <w:gridCol w:w="6379"/>
      </w:tblGrid>
      <w:tr w14:paraId="66CC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7EB6E2B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23" w:type="dxa"/>
          </w:tcPr>
          <w:p w14:paraId="75682F6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379" w:type="dxa"/>
          </w:tcPr>
          <w:p w14:paraId="77A96FB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DCB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40" w:type="dxa"/>
            <w:vAlign w:val="center"/>
          </w:tcPr>
          <w:p w14:paraId="42D43849">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323" w:type="dxa"/>
            <w:vAlign w:val="center"/>
          </w:tcPr>
          <w:p w14:paraId="5339CDC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单采血浆站已知其采集的血浆检测结果呈阳性，仍向血液制品生产单位供应，尚未造成人员感染的。</w:t>
            </w:r>
          </w:p>
        </w:tc>
        <w:tc>
          <w:tcPr>
            <w:tcW w:w="6379" w:type="dxa"/>
            <w:vAlign w:val="center"/>
          </w:tcPr>
          <w:p w14:paraId="7239441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由自治区人民政府卫生行政部门吊销《单采血浆许可证》，由县级以上地方人民政府卫生行政部门没收违法所得，并处10万元以上20 万元以下的罚款。</w:t>
            </w:r>
          </w:p>
        </w:tc>
      </w:tr>
      <w:tr w14:paraId="7B3D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40" w:type="dxa"/>
            <w:vAlign w:val="center"/>
          </w:tcPr>
          <w:p w14:paraId="0F4B09AD">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323" w:type="dxa"/>
            <w:vAlign w:val="center"/>
          </w:tcPr>
          <w:p w14:paraId="536F642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单采血浆站已知其采集的血浆检测结果呈阳性，仍向血液制品生产单位供应，数量较大、次数较多，情节严重的。</w:t>
            </w:r>
          </w:p>
        </w:tc>
        <w:tc>
          <w:tcPr>
            <w:tcW w:w="6379" w:type="dxa"/>
            <w:vAlign w:val="center"/>
          </w:tcPr>
          <w:p w14:paraId="06A94FF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由自治区人民政府卫生行政部门吊销《单采血浆许可证》，由县级以上地方人民政府卫生行政部门没收违法所得，并处20万元以上30万元以下的罚款。</w:t>
            </w:r>
          </w:p>
        </w:tc>
      </w:tr>
    </w:tbl>
    <w:p w14:paraId="5AD74D77">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516" w:name="_Toc28700"/>
      <w:bookmarkStart w:id="4517" w:name="_Toc517"/>
      <w:bookmarkStart w:id="4518" w:name="_Toc2129"/>
      <w:bookmarkStart w:id="4519" w:name="_Toc21622"/>
      <w:bookmarkStart w:id="4520" w:name="_Toc959"/>
      <w:bookmarkStart w:id="4521" w:name="_Toc20289"/>
      <w:bookmarkStart w:id="4522" w:name="_Toc18268"/>
      <w:bookmarkStart w:id="4523" w:name="_Toc29721"/>
      <w:bookmarkStart w:id="4524" w:name="_Toc27382"/>
      <w:bookmarkStart w:id="4525" w:name="_Toc16216"/>
      <w:bookmarkStart w:id="4526" w:name="_Toc8185"/>
      <w:r>
        <w:rPr>
          <w:rFonts w:hint="eastAsia" w:ascii="Times New Roman" w:hAnsi="Times New Roman" w:cs="仿宋_GB2312"/>
          <w:bCs/>
          <w:color w:val="000000" w:themeColor="text1"/>
          <w:kern w:val="0"/>
          <w14:textFill>
            <w14:solidFill>
              <w14:schemeClr w14:val="tx1"/>
            </w14:solidFill>
          </w14:textFill>
        </w:rPr>
        <w:t>第三百五十九条 涂改、伪造、转让《供血浆证》的</w:t>
      </w:r>
      <w:bookmarkEnd w:id="4516"/>
      <w:bookmarkEnd w:id="4517"/>
      <w:bookmarkEnd w:id="4518"/>
      <w:bookmarkEnd w:id="4519"/>
      <w:bookmarkEnd w:id="4520"/>
      <w:bookmarkEnd w:id="4521"/>
      <w:bookmarkEnd w:id="4522"/>
      <w:bookmarkEnd w:id="4523"/>
      <w:bookmarkEnd w:id="4524"/>
      <w:bookmarkEnd w:id="4525"/>
      <w:bookmarkEnd w:id="4526"/>
    </w:p>
    <w:p w14:paraId="400086A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676EBA6">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《血液制品管理条例》第三十七条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涂改、伪造、转让《供血浆证》的，由县级人民政府卫生行政部门收缴《供血浆证》，没收违法所得，并处违法所得３倍以上５倍以下的罚款，没有违法所得的，并处１万元以下的罚款；构成犯</w:t>
      </w:r>
      <w:r>
        <w:rPr>
          <w:rFonts w:hint="eastAsia" w:ascii="Times New Roman" w:hAnsi="Times New Roman" w:eastAsia="仿宋_GB2312" w:cs="仿宋"/>
          <w:color w:val="000000" w:themeColor="text1"/>
          <w:sz w:val="32"/>
          <w:szCs w:val="32"/>
          <w14:textFill>
            <w14:solidFill>
              <w14:schemeClr w14:val="tx1"/>
            </w14:solidFill>
          </w14:textFill>
        </w:rPr>
        <w:t>罪的，依法追究刑事责任。</w:t>
      </w:r>
    </w:p>
    <w:p w14:paraId="1A24C14A">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323"/>
        <w:gridCol w:w="6379"/>
      </w:tblGrid>
      <w:tr w14:paraId="21BA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19AA211E">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23" w:type="dxa"/>
          </w:tcPr>
          <w:p w14:paraId="5310687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6379" w:type="dxa"/>
          </w:tcPr>
          <w:p w14:paraId="76E683D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3C2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3802BAC1">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323" w:type="dxa"/>
            <w:vAlign w:val="center"/>
          </w:tcPr>
          <w:p w14:paraId="46CF6A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涂改、伪造、转让《供血浆证》，无违法所得的。</w:t>
            </w:r>
          </w:p>
        </w:tc>
        <w:tc>
          <w:tcPr>
            <w:tcW w:w="6379" w:type="dxa"/>
            <w:vAlign w:val="center"/>
          </w:tcPr>
          <w:p w14:paraId="112CF55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由县级人民政府卫生行政部门收缴其《供血浆证》，并处以1 万元以下罚款。</w:t>
            </w:r>
          </w:p>
        </w:tc>
      </w:tr>
      <w:tr w14:paraId="005B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584C6FF6">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323" w:type="dxa"/>
            <w:vAlign w:val="center"/>
          </w:tcPr>
          <w:p w14:paraId="2D3ADD8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涂改、伪造、转让《供血浆证》，违法所得在5000 元以下的。</w:t>
            </w:r>
          </w:p>
        </w:tc>
        <w:tc>
          <w:tcPr>
            <w:tcW w:w="6379" w:type="dxa"/>
            <w:vAlign w:val="center"/>
          </w:tcPr>
          <w:p w14:paraId="62D9EB6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由县级人民政府卫生行政部门收缴其《供血浆证》，没收违法所得，并处违法所得3 倍罚款。</w:t>
            </w:r>
          </w:p>
        </w:tc>
      </w:tr>
      <w:tr w14:paraId="074F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vAlign w:val="center"/>
          </w:tcPr>
          <w:p w14:paraId="116E362C">
            <w:pPr>
              <w:widowControl w:val="0"/>
              <w:adjustRightInd/>
              <w:snapToGrid/>
              <w:spacing w:beforeLines="0" w:after="0" w:line="4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323" w:type="dxa"/>
            <w:vAlign w:val="center"/>
          </w:tcPr>
          <w:p w14:paraId="4E824FF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涂改、伪造、转让《供血浆证》，违法所得在5000 元以上的。</w:t>
            </w:r>
          </w:p>
        </w:tc>
        <w:tc>
          <w:tcPr>
            <w:tcW w:w="6379" w:type="dxa"/>
            <w:vAlign w:val="center"/>
          </w:tcPr>
          <w:p w14:paraId="2804D58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由县级人民政府卫生行政部门收缴其《供血浆证》，没收违法所得，并处违法所得3 倍以上5 倍以下罚款。</w:t>
            </w:r>
          </w:p>
        </w:tc>
      </w:tr>
    </w:tbl>
    <w:p w14:paraId="1B48522B">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527" w:name="_Toc4308"/>
      <w:bookmarkStart w:id="4528" w:name="_Toc21631"/>
      <w:bookmarkStart w:id="4529" w:name="_Toc17939"/>
      <w:bookmarkStart w:id="4530" w:name="_Toc2860"/>
      <w:bookmarkStart w:id="4531" w:name="_Toc23149"/>
      <w:bookmarkStart w:id="4532" w:name="_Toc23060"/>
      <w:bookmarkStart w:id="4533" w:name="_Toc14270"/>
      <w:bookmarkStart w:id="4534" w:name="_Toc31938"/>
      <w:bookmarkStart w:id="4535" w:name="_Toc1793"/>
      <w:bookmarkStart w:id="4536" w:name="_Toc19603"/>
      <w:bookmarkStart w:id="4537" w:name="_Toc23162"/>
      <w:r>
        <w:rPr>
          <w:rFonts w:hint="eastAsia" w:ascii="Times New Roman" w:hAnsi="Times New Roman" w:cs="仿宋_GB2312"/>
          <w:bCs/>
          <w:color w:val="000000" w:themeColor="text1"/>
          <w:kern w:val="0"/>
          <w14:textFill>
            <w14:solidFill>
              <w14:schemeClr w14:val="tx1"/>
            </w14:solidFill>
          </w14:textFill>
        </w:rPr>
        <w:t>第三百六十条 血液制品生产经营单位生产、包装、储存、运输、经营血液制品不符合国家规定的卫生标准和要求的</w:t>
      </w:r>
      <w:bookmarkEnd w:id="4527"/>
      <w:bookmarkEnd w:id="4528"/>
      <w:bookmarkEnd w:id="4529"/>
      <w:bookmarkEnd w:id="4530"/>
      <w:bookmarkEnd w:id="4531"/>
      <w:bookmarkEnd w:id="4532"/>
      <w:bookmarkEnd w:id="4533"/>
      <w:bookmarkEnd w:id="4534"/>
      <w:bookmarkEnd w:id="4535"/>
      <w:bookmarkEnd w:id="4536"/>
      <w:bookmarkEnd w:id="4537"/>
    </w:p>
    <w:p w14:paraId="4AF4DE9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3868105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《血液制品管理条例》第四十条　违反本条例规定，血液制品生产经营单位生产、包装、储存、运输、经营血液制品不符合国家规定的卫生标准和要求的，由省、自治区、直辖市人民政府卫生行政部门责令改正，可以处１万元以下的罚款。</w:t>
      </w:r>
    </w:p>
    <w:p w14:paraId="4440F03F">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8417"/>
        <w:gridCol w:w="3974"/>
      </w:tblGrid>
      <w:tr w14:paraId="267F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38" w:type="dxa"/>
            <w:vAlign w:val="center"/>
          </w:tcPr>
          <w:p w14:paraId="23DD0DA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417" w:type="dxa"/>
            <w:vAlign w:val="center"/>
          </w:tcPr>
          <w:p w14:paraId="3B2371F0">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974" w:type="dxa"/>
            <w:vAlign w:val="center"/>
          </w:tcPr>
          <w:p w14:paraId="0D932AC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B52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vAlign w:val="center"/>
          </w:tcPr>
          <w:p w14:paraId="5D68DDB4">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417" w:type="dxa"/>
            <w:vAlign w:val="center"/>
          </w:tcPr>
          <w:p w14:paraId="476436D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发现血液制品生产企业生产、包装、储存、运输、经营上述血液制品不符合国家规定的卫生标准和要求的。</w:t>
            </w:r>
          </w:p>
        </w:tc>
        <w:tc>
          <w:tcPr>
            <w:tcW w:w="3974" w:type="dxa"/>
            <w:vAlign w:val="center"/>
          </w:tcPr>
          <w:p w14:paraId="683EA69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自治区人民政府卫生行政部门责令整改，可以</w:t>
            </w: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处１万元以下的罚款。</w:t>
            </w:r>
          </w:p>
        </w:tc>
      </w:tr>
    </w:tbl>
    <w:p w14:paraId="263E3ED8">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538" w:name="_Toc11817"/>
      <w:bookmarkStart w:id="4539" w:name="_Toc16906"/>
      <w:bookmarkStart w:id="4540" w:name="_Toc27306"/>
      <w:bookmarkStart w:id="4541" w:name="_Toc9546"/>
      <w:bookmarkStart w:id="4542" w:name="_Toc30934"/>
      <w:bookmarkStart w:id="4543" w:name="_Toc31897"/>
      <w:bookmarkStart w:id="4544" w:name="_Toc23108"/>
      <w:bookmarkStart w:id="4545" w:name="_Toc15916"/>
      <w:bookmarkStart w:id="4546" w:name="_Toc19980"/>
      <w:bookmarkStart w:id="4547" w:name="_Toc11689"/>
      <w:bookmarkStart w:id="4548" w:name="_Toc8593"/>
      <w:r>
        <w:rPr>
          <w:rFonts w:hint="eastAsia" w:ascii="Times New Roman" w:hAnsi="Times New Roman" w:cs="仿宋_GB2312"/>
          <w:bCs/>
          <w:color w:val="000000" w:themeColor="text1"/>
          <w:kern w:val="0"/>
          <w14:textFill>
            <w14:solidFill>
              <w14:schemeClr w14:val="tx1"/>
            </w14:solidFill>
          </w14:textFill>
        </w:rPr>
        <w:t>第三百六十一条 擅自进出口血液制品或者出口原料血浆的</w:t>
      </w:r>
      <w:bookmarkEnd w:id="4538"/>
      <w:bookmarkEnd w:id="4539"/>
      <w:bookmarkEnd w:id="4540"/>
      <w:bookmarkEnd w:id="4541"/>
      <w:bookmarkEnd w:id="4542"/>
      <w:bookmarkEnd w:id="4543"/>
      <w:bookmarkEnd w:id="4544"/>
      <w:bookmarkEnd w:id="4545"/>
      <w:bookmarkEnd w:id="4546"/>
      <w:bookmarkEnd w:id="4547"/>
      <w:bookmarkEnd w:id="4548"/>
    </w:p>
    <w:p w14:paraId="0AD4A03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8944739">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《血液制品管理条例》第四十二条　违反本条例规定，擅自进出口血液制品或者出口原料血浆的，由省级以上人民政府卫生行政部门没收所进出口的血液制品或者所出口的原料血浆和违法所得，并处所进出口的血液制品或者所出口</w:t>
      </w:r>
      <w:r>
        <w:rPr>
          <w:rFonts w:hint="eastAsia" w:ascii="Times New Roman" w:hAnsi="Times New Roman" w:eastAsia="仿宋_GB2312" w:cs="仿宋"/>
          <w:color w:val="000000" w:themeColor="text1"/>
          <w:sz w:val="32"/>
          <w:szCs w:val="32"/>
          <w14:textFill>
            <w14:solidFill>
              <w14:schemeClr w14:val="tx1"/>
            </w14:solidFill>
          </w14:textFill>
        </w:rPr>
        <w:t>的原料血浆总值3倍以上5倍以下的罚款。</w:t>
      </w:r>
    </w:p>
    <w:p w14:paraId="10FC4650">
      <w:pPr>
        <w:widowControl w:val="0"/>
        <w:adjustRightInd/>
        <w:snapToGrid/>
        <w:spacing w:before="156" w:beforeLines="50"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372"/>
        <w:gridCol w:w="5976"/>
      </w:tblGrid>
      <w:tr w14:paraId="33E7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440" w:type="dxa"/>
            <w:vAlign w:val="center"/>
          </w:tcPr>
          <w:p w14:paraId="7F1DADE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72" w:type="dxa"/>
            <w:vAlign w:val="center"/>
          </w:tcPr>
          <w:p w14:paraId="067D25B2">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976" w:type="dxa"/>
            <w:vAlign w:val="center"/>
          </w:tcPr>
          <w:p w14:paraId="0E1371D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5CD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440" w:type="dxa"/>
            <w:vAlign w:val="center"/>
          </w:tcPr>
          <w:p w14:paraId="0EBE959E">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372" w:type="dxa"/>
            <w:vAlign w:val="center"/>
          </w:tcPr>
          <w:p w14:paraId="37709B2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擅自进出口血液制品或者出口原料血浆的。</w:t>
            </w:r>
          </w:p>
        </w:tc>
        <w:tc>
          <w:tcPr>
            <w:tcW w:w="5976" w:type="dxa"/>
            <w:vAlign w:val="center"/>
          </w:tcPr>
          <w:p w14:paraId="5444C45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由省级以上人民政府卫生行政部门没收进出口的血液制品或者所出口的原料血浆和违法所得，并</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处货值的3倍以上5倍以下罚款。</w:t>
            </w:r>
          </w:p>
        </w:tc>
      </w:tr>
    </w:tbl>
    <w:p w14:paraId="421262EF">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val="0"/>
          <w:color w:val="000000" w:themeColor="text1"/>
          <w:kern w:val="2"/>
          <w14:textFill>
            <w14:solidFill>
              <w14:schemeClr w14:val="tx1"/>
            </w14:solidFill>
          </w14:textFill>
        </w:rPr>
      </w:pPr>
      <w:bookmarkStart w:id="4549" w:name="_Toc12275"/>
      <w:bookmarkStart w:id="4550" w:name="_Toc31230"/>
      <w:bookmarkStart w:id="4551" w:name="_Toc4180"/>
      <w:bookmarkStart w:id="4552" w:name="_Toc22891"/>
      <w:bookmarkStart w:id="4553" w:name="_Toc30595"/>
      <w:bookmarkStart w:id="4554" w:name="_Toc17181"/>
      <w:bookmarkStart w:id="4555" w:name="_Toc7853"/>
      <w:bookmarkStart w:id="4556" w:name="_Toc24666"/>
      <w:bookmarkStart w:id="4557" w:name="_Toc28806"/>
      <w:bookmarkStart w:id="4558" w:name="_Toc28526"/>
      <w:bookmarkStart w:id="4559" w:name="_Toc5107"/>
      <w:bookmarkStart w:id="4560" w:name="_Toc23509"/>
      <w:bookmarkStart w:id="4561" w:name="_Toc26871"/>
      <w:r>
        <w:rPr>
          <w:rFonts w:hint="eastAsia" w:ascii="Times New Roman" w:hAnsi="Times New Roman" w:eastAsia="楷体_GB2312" w:cs="楷体_GB2312"/>
          <w:bCs w:val="0"/>
          <w:color w:val="000000" w:themeColor="text1"/>
          <w:kern w:val="2"/>
          <w14:textFill>
            <w14:solidFill>
              <w14:schemeClr w14:val="tx1"/>
            </w14:solidFill>
          </w14:textFill>
        </w:rPr>
        <w:t>（三十一）《单采血浆站管理办法》</w:t>
      </w:r>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14:paraId="2FE0823D">
      <w:pPr>
        <w:pStyle w:val="4"/>
        <w:widowControl w:val="0"/>
        <w:ind w:firstLine="640"/>
        <w:jc w:val="both"/>
        <w:rPr>
          <w:rFonts w:hint="eastAsia" w:ascii="Times New Roman" w:hAnsi="Times New Roman" w:cs="仿宋_GB2312"/>
          <w:b/>
          <w:bCs/>
          <w:color w:val="000000" w:themeColor="text1"/>
          <w:spacing w:val="-6"/>
          <w:kern w:val="0"/>
          <w14:textFill>
            <w14:solidFill>
              <w14:schemeClr w14:val="tx1"/>
            </w14:solidFill>
          </w14:textFill>
        </w:rPr>
      </w:pPr>
      <w:bookmarkStart w:id="4562" w:name="_Toc5887"/>
      <w:bookmarkStart w:id="4563" w:name="_Toc12589"/>
      <w:bookmarkStart w:id="4564" w:name="_Toc29522"/>
      <w:bookmarkStart w:id="4565" w:name="_Toc11977"/>
      <w:bookmarkStart w:id="4566" w:name="_Toc14666"/>
      <w:bookmarkStart w:id="4567" w:name="_Toc18463"/>
      <w:bookmarkStart w:id="4568" w:name="_Toc5732"/>
      <w:bookmarkStart w:id="4569" w:name="_Toc25695"/>
      <w:bookmarkStart w:id="4570" w:name="_Toc6649"/>
      <w:bookmarkStart w:id="4571" w:name="_Toc27344"/>
      <w:bookmarkStart w:id="4572" w:name="_Toc24893"/>
      <w:r>
        <w:rPr>
          <w:rFonts w:hint="eastAsia" w:ascii="Times New Roman" w:hAnsi="Times New Roman" w:cs="仿宋_GB2312"/>
          <w:bCs/>
          <w:color w:val="000000" w:themeColor="text1"/>
          <w:kern w:val="0"/>
          <w14:textFill>
            <w14:solidFill>
              <w14:schemeClr w14:val="tx1"/>
            </w14:solidFill>
          </w14:textFill>
        </w:rPr>
        <w:t xml:space="preserve">第三百六十二条 </w:t>
      </w:r>
      <w:r>
        <w:rPr>
          <w:rFonts w:hint="eastAsia" w:ascii="Times New Roman" w:hAnsi="Times New Roman" w:cs="仿宋_GB2312"/>
          <w:bCs/>
          <w:color w:val="000000" w:themeColor="text1"/>
          <w:spacing w:val="-6"/>
          <w:kern w:val="0"/>
          <w14:textFill>
            <w14:solidFill>
              <w14:schemeClr w14:val="tx1"/>
            </w14:solidFill>
          </w14:textFill>
        </w:rPr>
        <w:t>单采血浆站隐瞒、阻碍、拒绝卫生行政部门监督检查或者不如实提供有关资料的</w:t>
      </w:r>
      <w:bookmarkEnd w:id="4562"/>
      <w:bookmarkEnd w:id="4563"/>
      <w:bookmarkEnd w:id="4564"/>
      <w:bookmarkEnd w:id="4565"/>
      <w:bookmarkEnd w:id="4566"/>
      <w:bookmarkEnd w:id="4567"/>
      <w:bookmarkEnd w:id="4568"/>
      <w:bookmarkEnd w:id="4569"/>
      <w:bookmarkEnd w:id="4570"/>
      <w:bookmarkEnd w:id="4571"/>
      <w:bookmarkEnd w:id="4572"/>
    </w:p>
    <w:p w14:paraId="5599F96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72CF653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《单采血浆站管理办法》第六十二条第（一）项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单采血浆站违反本办法有关规定，有下列行为之一的，由县级以上地方人民政府卫生计生行政部门予以警告，并处3 万元以下的罚款。</w:t>
      </w:r>
    </w:p>
    <w:p w14:paraId="23D0255A">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（一）隐瞒、阻碍、拒绝</w:t>
      </w:r>
      <w:r>
        <w:rPr>
          <w:rFonts w:hint="eastAsia" w:ascii="Times New Roman" w:hAnsi="Times New Roman" w:eastAsia="仿宋_GB2312" w:cs="仿宋"/>
          <w:color w:val="000000" w:themeColor="text1"/>
          <w:sz w:val="32"/>
          <w:szCs w:val="32"/>
          <w14:textFill>
            <w14:solidFill>
              <w14:schemeClr w14:val="tx1"/>
            </w14:solidFill>
          </w14:textFill>
        </w:rPr>
        <w:t>卫生行政部门监督检查或者不如实提供有关资料的；</w:t>
      </w:r>
    </w:p>
    <w:p w14:paraId="645F0FCE">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605"/>
        <w:gridCol w:w="6129"/>
      </w:tblGrid>
      <w:tr w14:paraId="611C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0" w:type="dxa"/>
            <w:vAlign w:val="center"/>
          </w:tcPr>
          <w:p w14:paraId="24ABEA9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605" w:type="dxa"/>
            <w:vAlign w:val="center"/>
          </w:tcPr>
          <w:p w14:paraId="2B7F9AF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129" w:type="dxa"/>
            <w:vAlign w:val="center"/>
          </w:tcPr>
          <w:p w14:paraId="27116E4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04E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0" w:type="dxa"/>
          </w:tcPr>
          <w:p w14:paraId="65B14AB3">
            <w:pPr>
              <w:widowControl w:val="0"/>
              <w:adjustRightInd/>
              <w:snapToGrid/>
              <w:spacing w:after="0" w:line="40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一般</w:t>
            </w:r>
          </w:p>
        </w:tc>
        <w:tc>
          <w:tcPr>
            <w:tcW w:w="6605" w:type="dxa"/>
            <w:vAlign w:val="center"/>
          </w:tcPr>
          <w:p w14:paraId="0B65D78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不如实提供有关资料，或隐瞒卫生行政部门监督检查的。</w:t>
            </w:r>
          </w:p>
        </w:tc>
        <w:tc>
          <w:tcPr>
            <w:tcW w:w="6129" w:type="dxa"/>
            <w:vAlign w:val="center"/>
          </w:tcPr>
          <w:p w14:paraId="42F3E24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予以警告，并处2万元以下的罚款。</w:t>
            </w:r>
          </w:p>
        </w:tc>
      </w:tr>
      <w:tr w14:paraId="7943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0" w:type="dxa"/>
          </w:tcPr>
          <w:p w14:paraId="0D07C136">
            <w:pPr>
              <w:widowControl w:val="0"/>
              <w:adjustRightInd/>
              <w:snapToGrid/>
              <w:spacing w:after="0" w:line="40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较重</w:t>
            </w:r>
          </w:p>
        </w:tc>
        <w:tc>
          <w:tcPr>
            <w:tcW w:w="6605" w:type="dxa"/>
            <w:vAlign w:val="center"/>
          </w:tcPr>
          <w:p w14:paraId="30E4216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阻碍、拒绝卫生行政部门监督检查的。</w:t>
            </w:r>
          </w:p>
        </w:tc>
        <w:tc>
          <w:tcPr>
            <w:tcW w:w="6129" w:type="dxa"/>
            <w:vAlign w:val="center"/>
          </w:tcPr>
          <w:p w14:paraId="199C35F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予以警告，并处2万元以上3万元以下的罚款。</w:t>
            </w:r>
          </w:p>
        </w:tc>
      </w:tr>
      <w:tr w14:paraId="577D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0" w:type="dxa"/>
          </w:tcPr>
          <w:p w14:paraId="20A129AC">
            <w:pPr>
              <w:widowControl w:val="0"/>
              <w:adjustRightInd/>
              <w:snapToGrid/>
              <w:spacing w:after="0" w:line="40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6605" w:type="dxa"/>
            <w:vAlign w:val="center"/>
          </w:tcPr>
          <w:p w14:paraId="6B57E0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拒绝卫生行政部门监督检查，情节严重的。</w:t>
            </w:r>
          </w:p>
        </w:tc>
        <w:tc>
          <w:tcPr>
            <w:tcW w:w="6129" w:type="dxa"/>
            <w:vAlign w:val="center"/>
          </w:tcPr>
          <w:p w14:paraId="11C83CD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予以警告，并处3万元的罚款。</w:t>
            </w:r>
          </w:p>
        </w:tc>
      </w:tr>
    </w:tbl>
    <w:p w14:paraId="390F1F3F">
      <w:pPr>
        <w:pStyle w:val="4"/>
        <w:widowControl w:val="0"/>
        <w:ind w:firstLine="640"/>
        <w:jc w:val="both"/>
        <w:rPr>
          <w:rFonts w:hint="eastAsia" w:ascii="Times New Roman" w:hAnsi="Times New Roman" w:cs="仿宋_GB2312"/>
          <w:b/>
          <w:bCs/>
          <w:color w:val="000000" w:themeColor="text1"/>
          <w:spacing w:val="-6"/>
          <w:kern w:val="0"/>
          <w14:textFill>
            <w14:solidFill>
              <w14:schemeClr w14:val="tx1"/>
            </w14:solidFill>
          </w14:textFill>
        </w:rPr>
      </w:pPr>
      <w:bookmarkStart w:id="4573" w:name="_Toc3969"/>
      <w:bookmarkStart w:id="4574" w:name="_Toc2407"/>
      <w:bookmarkStart w:id="4575" w:name="_Toc25905"/>
      <w:bookmarkStart w:id="4576" w:name="_Toc7998"/>
      <w:bookmarkStart w:id="4577" w:name="_Toc25473"/>
      <w:bookmarkStart w:id="4578" w:name="_Toc9252"/>
      <w:bookmarkStart w:id="4579" w:name="_Toc18607"/>
      <w:bookmarkStart w:id="4580" w:name="_Toc23009"/>
      <w:bookmarkStart w:id="4581" w:name="_Toc1241"/>
      <w:bookmarkStart w:id="4582" w:name="_Toc31082"/>
      <w:bookmarkStart w:id="4583" w:name="_Toc25904"/>
      <w:r>
        <w:rPr>
          <w:rFonts w:hint="eastAsia" w:ascii="Times New Roman" w:hAnsi="Times New Roman" w:cs="仿宋_GB2312"/>
          <w:bCs/>
          <w:color w:val="000000" w:themeColor="text1"/>
          <w:kern w:val="0"/>
          <w14:textFill>
            <w14:solidFill>
              <w14:schemeClr w14:val="tx1"/>
            </w14:solidFill>
          </w14:textFill>
        </w:rPr>
        <w:t xml:space="preserve">第三百六十三条 </w:t>
      </w:r>
      <w:r>
        <w:rPr>
          <w:rFonts w:hint="eastAsia" w:ascii="Times New Roman" w:hAnsi="Times New Roman" w:cs="仿宋_GB2312"/>
          <w:bCs/>
          <w:color w:val="000000" w:themeColor="text1"/>
          <w:spacing w:val="-6"/>
          <w:kern w:val="0"/>
          <w14:textFill>
            <w14:solidFill>
              <w14:schemeClr w14:val="tx1"/>
            </w14:solidFill>
          </w14:textFill>
        </w:rPr>
        <w:t>单采血浆站对供血浆者未履行事先告知义务，未经供血浆者同意开展特殊免疫的</w:t>
      </w:r>
      <w:bookmarkEnd w:id="4573"/>
      <w:bookmarkEnd w:id="4574"/>
      <w:bookmarkEnd w:id="4575"/>
      <w:bookmarkEnd w:id="4576"/>
      <w:bookmarkEnd w:id="4577"/>
      <w:bookmarkEnd w:id="4578"/>
      <w:bookmarkEnd w:id="4579"/>
      <w:bookmarkEnd w:id="4580"/>
      <w:bookmarkEnd w:id="4581"/>
      <w:bookmarkEnd w:id="4582"/>
      <w:bookmarkEnd w:id="4583"/>
    </w:p>
    <w:p w14:paraId="5BB0326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53AD103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《单采血浆站管理办法》第六十二条第（二）项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单采血浆站违反本办法有关规定，有下列行为之一的，由县级以上地方人民政府卫生计生行政部门予以警告，并处3万元以下的罚款：</w:t>
      </w:r>
    </w:p>
    <w:p w14:paraId="5E78170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（二）对供血浆者未履行事先告知义务，未经供血浆者同意开展特殊免疫的；</w:t>
      </w:r>
    </w:p>
    <w:p w14:paraId="2EEE108C">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465"/>
        <w:gridCol w:w="6269"/>
      </w:tblGrid>
      <w:tr w14:paraId="6999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0" w:type="dxa"/>
            <w:vAlign w:val="center"/>
          </w:tcPr>
          <w:p w14:paraId="157BE83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465" w:type="dxa"/>
            <w:vAlign w:val="center"/>
          </w:tcPr>
          <w:p w14:paraId="1B1835C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269" w:type="dxa"/>
            <w:vAlign w:val="center"/>
          </w:tcPr>
          <w:p w14:paraId="592A7CB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397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2704B51">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465" w:type="dxa"/>
            <w:vAlign w:val="center"/>
          </w:tcPr>
          <w:p w14:paraId="62009E8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单采血浆站对供血浆者未履行事先告知义务，未经供血浆者同意开展特殊免疫，人数在3 人以下。</w:t>
            </w:r>
          </w:p>
        </w:tc>
        <w:tc>
          <w:tcPr>
            <w:tcW w:w="6269" w:type="dxa"/>
            <w:vAlign w:val="center"/>
          </w:tcPr>
          <w:p w14:paraId="7809C22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予以警告，并处2万元以下的罚款。</w:t>
            </w:r>
          </w:p>
        </w:tc>
      </w:tr>
      <w:tr w14:paraId="6005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BA867E1">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465" w:type="dxa"/>
            <w:vAlign w:val="center"/>
          </w:tcPr>
          <w:p w14:paraId="69102AB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单采血浆站对供血浆者未履行事先告知义务，未经供血浆者同意开展特殊免疫，人数在3 人以上10 人以下的或者因同一违法事实受过处罚的。</w:t>
            </w:r>
          </w:p>
        </w:tc>
        <w:tc>
          <w:tcPr>
            <w:tcW w:w="6269" w:type="dxa"/>
            <w:vAlign w:val="center"/>
          </w:tcPr>
          <w:p w14:paraId="38EF6DE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予以警告，并处2万元以上3 万元以下的罚款。</w:t>
            </w:r>
          </w:p>
        </w:tc>
      </w:tr>
      <w:tr w14:paraId="4C8E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EBD84F9">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465" w:type="dxa"/>
            <w:vAlign w:val="center"/>
          </w:tcPr>
          <w:p w14:paraId="448D021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未履行事先告知义务，未经供血浆者同意开展特殊免疫的人数在10人以上或造成严重后果的。</w:t>
            </w:r>
          </w:p>
        </w:tc>
        <w:tc>
          <w:tcPr>
            <w:tcW w:w="6269" w:type="dxa"/>
            <w:vAlign w:val="center"/>
          </w:tcPr>
          <w:p w14:paraId="0B80088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予以警告，并处3 万元的罚款。</w:t>
            </w:r>
          </w:p>
        </w:tc>
      </w:tr>
    </w:tbl>
    <w:p w14:paraId="6C77C802">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584" w:name="_Toc19177"/>
      <w:bookmarkStart w:id="4585" w:name="_Toc27692"/>
      <w:bookmarkStart w:id="4586" w:name="_Toc2207"/>
      <w:bookmarkStart w:id="4587" w:name="_Toc6595"/>
      <w:bookmarkStart w:id="4588" w:name="_Toc25953"/>
      <w:bookmarkStart w:id="4589" w:name="_Toc26584"/>
      <w:bookmarkStart w:id="4590" w:name="_Toc12176"/>
      <w:bookmarkStart w:id="4591" w:name="_Toc8060"/>
      <w:bookmarkStart w:id="4592" w:name="_Toc31752"/>
      <w:bookmarkStart w:id="4593" w:name="_Toc14447"/>
      <w:bookmarkStart w:id="4594" w:name="_Toc4636"/>
      <w:r>
        <w:rPr>
          <w:rFonts w:hint="eastAsia" w:ascii="Times New Roman" w:hAnsi="Times New Roman" w:cs="仿宋_GB2312"/>
          <w:bCs/>
          <w:color w:val="000000" w:themeColor="text1"/>
          <w:kern w:val="0"/>
          <w14:textFill>
            <w14:solidFill>
              <w14:schemeClr w14:val="tx1"/>
            </w14:solidFill>
          </w14:textFill>
        </w:rPr>
        <w:t>第三百六十四条 单采血浆站未按照规定建立供血浆者档案管理及屏蔽、淘汰制度的</w:t>
      </w:r>
      <w:bookmarkEnd w:id="4584"/>
      <w:bookmarkEnd w:id="4585"/>
      <w:bookmarkEnd w:id="4586"/>
      <w:bookmarkEnd w:id="4587"/>
      <w:bookmarkEnd w:id="4588"/>
      <w:bookmarkEnd w:id="4589"/>
      <w:bookmarkEnd w:id="4590"/>
      <w:bookmarkEnd w:id="4591"/>
      <w:bookmarkEnd w:id="4592"/>
      <w:bookmarkEnd w:id="4593"/>
      <w:bookmarkEnd w:id="4594"/>
    </w:p>
    <w:p w14:paraId="43F21BE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3D5D4B7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《单采血浆站管理办法》第六十二条第（三）项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单采血浆站违反本办法有关规定，有下列行为之一的，由县级以上地方人民政府卫生计生行政部门予以警告，并处3 万元以下的罚款：</w:t>
      </w:r>
    </w:p>
    <w:p w14:paraId="13E240DC">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（三）未按照规定建立供血</w:t>
      </w:r>
      <w:r>
        <w:rPr>
          <w:rFonts w:hint="eastAsia" w:ascii="Times New Roman" w:hAnsi="Times New Roman" w:eastAsia="仿宋_GB2312" w:cs="仿宋"/>
          <w:color w:val="000000" w:themeColor="text1"/>
          <w:sz w:val="32"/>
          <w:szCs w:val="32"/>
          <w14:textFill>
            <w14:solidFill>
              <w14:schemeClr w14:val="tx1"/>
            </w14:solidFill>
          </w14:textFill>
        </w:rPr>
        <w:t>浆者档案管理及屏蔽、淘汰制度的；</w:t>
      </w:r>
    </w:p>
    <w:p w14:paraId="13D7FECC">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237"/>
        <w:gridCol w:w="6553"/>
      </w:tblGrid>
      <w:tr w14:paraId="2264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1C48FD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237" w:type="dxa"/>
            <w:vAlign w:val="center"/>
          </w:tcPr>
          <w:p w14:paraId="377FDDE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553" w:type="dxa"/>
            <w:vAlign w:val="center"/>
          </w:tcPr>
          <w:p w14:paraId="5714AA9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A75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B3052B7">
            <w:pPr>
              <w:widowControl w:val="0"/>
              <w:adjustRightInd/>
              <w:snapToGrid/>
              <w:spacing w:after="0" w:line="40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237" w:type="dxa"/>
            <w:vAlign w:val="center"/>
          </w:tcPr>
          <w:p w14:paraId="69F283A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单采血浆站未按照规定建立供血浆者档案管理及屏蔽、淘汰制度。</w:t>
            </w:r>
          </w:p>
        </w:tc>
        <w:tc>
          <w:tcPr>
            <w:tcW w:w="6553" w:type="dxa"/>
            <w:vAlign w:val="center"/>
          </w:tcPr>
          <w:p w14:paraId="2323355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予以警告，并处2万元以下的罚款</w:t>
            </w:r>
          </w:p>
        </w:tc>
      </w:tr>
      <w:tr w14:paraId="6F1C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4" w:type="dxa"/>
            <w:vAlign w:val="center"/>
          </w:tcPr>
          <w:p w14:paraId="5FFFF5E5">
            <w:pPr>
              <w:widowControl w:val="0"/>
              <w:adjustRightInd/>
              <w:snapToGrid/>
              <w:spacing w:after="0" w:line="40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237" w:type="dxa"/>
            <w:vAlign w:val="center"/>
          </w:tcPr>
          <w:p w14:paraId="3C0DA1B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单采血浆站未按照规定建立供血浆者档案管理及屏蔽、淘汰制度，曾受过处罚的。</w:t>
            </w:r>
          </w:p>
        </w:tc>
        <w:tc>
          <w:tcPr>
            <w:tcW w:w="6553" w:type="dxa"/>
            <w:vAlign w:val="center"/>
          </w:tcPr>
          <w:p w14:paraId="4D5283D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予以警告，并处2万元以上3万元以下的罚款。</w:t>
            </w:r>
          </w:p>
        </w:tc>
      </w:tr>
      <w:tr w14:paraId="7074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A6444CF">
            <w:pPr>
              <w:widowControl w:val="0"/>
              <w:adjustRightInd/>
              <w:snapToGrid/>
              <w:spacing w:after="0" w:line="40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237" w:type="dxa"/>
            <w:vAlign w:val="center"/>
          </w:tcPr>
          <w:p w14:paraId="75857C2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未按照规定建立供血浆者档案管理及屏蔽、淘汰制度，造成严重后果的。</w:t>
            </w:r>
          </w:p>
        </w:tc>
        <w:tc>
          <w:tcPr>
            <w:tcW w:w="6553" w:type="dxa"/>
            <w:vAlign w:val="center"/>
          </w:tcPr>
          <w:p w14:paraId="6B9147A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予以警告，并处3万元罚款。</w:t>
            </w:r>
          </w:p>
        </w:tc>
      </w:tr>
    </w:tbl>
    <w:p w14:paraId="15D2AEF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595" w:name="_Toc16680"/>
      <w:bookmarkStart w:id="4596" w:name="_Toc25602"/>
      <w:bookmarkStart w:id="4597" w:name="_Toc25469"/>
      <w:bookmarkStart w:id="4598" w:name="_Toc23346"/>
      <w:bookmarkStart w:id="4599" w:name="_Toc23029"/>
      <w:bookmarkStart w:id="4600" w:name="_Toc22322"/>
      <w:bookmarkStart w:id="4601" w:name="_Toc26259"/>
      <w:bookmarkStart w:id="4602" w:name="_Toc10986"/>
      <w:bookmarkStart w:id="4603" w:name="_Toc27156"/>
      <w:bookmarkStart w:id="4604" w:name="_Toc25281"/>
      <w:bookmarkStart w:id="4605" w:name="_Toc22939"/>
      <w:r>
        <w:rPr>
          <w:rFonts w:hint="eastAsia" w:ascii="Times New Roman" w:hAnsi="Times New Roman" w:cs="仿宋_GB2312"/>
          <w:bCs/>
          <w:color w:val="000000" w:themeColor="text1"/>
          <w:kern w:val="0"/>
          <w14:textFill>
            <w14:solidFill>
              <w14:schemeClr w14:val="tx1"/>
            </w14:solidFill>
          </w14:textFill>
        </w:rPr>
        <w:t>第三百六十五条 单采血浆站未按照规定制订各项工作制度或者不落实的</w:t>
      </w:r>
      <w:bookmarkEnd w:id="4595"/>
      <w:bookmarkEnd w:id="4596"/>
      <w:bookmarkEnd w:id="4597"/>
      <w:bookmarkEnd w:id="4598"/>
      <w:bookmarkEnd w:id="4599"/>
      <w:bookmarkEnd w:id="4600"/>
      <w:bookmarkEnd w:id="4601"/>
      <w:bookmarkEnd w:id="4602"/>
      <w:bookmarkEnd w:id="4603"/>
      <w:bookmarkEnd w:id="4604"/>
      <w:bookmarkEnd w:id="4605"/>
    </w:p>
    <w:p w14:paraId="0098CCE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DBB9B4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《单采血浆站管理办法》第六十二条第（四）项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单采血浆站违反本办法有关规定，有下列行为之一的，由县级以上地方人民政府卫生计生行政部门予以警告，并处3 万元以下的罚款：</w:t>
      </w:r>
    </w:p>
    <w:p w14:paraId="6FE55E1F">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（四）未按照规定制订</w:t>
      </w:r>
      <w:r>
        <w:rPr>
          <w:rFonts w:hint="eastAsia" w:ascii="Times New Roman" w:hAnsi="Times New Roman" w:eastAsia="仿宋_GB2312" w:cs="仿宋"/>
          <w:color w:val="000000" w:themeColor="text1"/>
          <w:sz w:val="32"/>
          <w:szCs w:val="32"/>
          <w14:textFill>
            <w14:solidFill>
              <w14:schemeClr w14:val="tx1"/>
            </w14:solidFill>
          </w14:textFill>
        </w:rPr>
        <w:t>各项工作制度或者不落实的；</w:t>
      </w:r>
    </w:p>
    <w:p w14:paraId="4C0AE252">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465"/>
        <w:gridCol w:w="6269"/>
      </w:tblGrid>
      <w:tr w14:paraId="670E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D1E11F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465" w:type="dxa"/>
            <w:vAlign w:val="center"/>
          </w:tcPr>
          <w:p w14:paraId="6DD1BFD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269" w:type="dxa"/>
            <w:vAlign w:val="center"/>
          </w:tcPr>
          <w:p w14:paraId="3B498AD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6CB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40" w:type="dxa"/>
            <w:vAlign w:val="center"/>
          </w:tcPr>
          <w:p w14:paraId="7692E14D">
            <w:pPr>
              <w:widowControl w:val="0"/>
              <w:adjustRightInd/>
              <w:snapToGrid/>
              <w:spacing w:after="0" w:line="40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465" w:type="dxa"/>
            <w:vAlign w:val="center"/>
          </w:tcPr>
          <w:p w14:paraId="1833CCF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单采血浆站未按照规定制订各项工作制度或者不落实的。</w:t>
            </w:r>
          </w:p>
        </w:tc>
        <w:tc>
          <w:tcPr>
            <w:tcW w:w="6269" w:type="dxa"/>
            <w:vAlign w:val="center"/>
          </w:tcPr>
          <w:p w14:paraId="2A76BA7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予以警告，并处2万元以下的罚款。</w:t>
            </w:r>
          </w:p>
        </w:tc>
      </w:tr>
      <w:tr w14:paraId="096F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C5C990D">
            <w:pPr>
              <w:widowControl w:val="0"/>
              <w:adjustRightInd/>
              <w:snapToGrid/>
              <w:spacing w:after="0" w:line="40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465" w:type="dxa"/>
            <w:vAlign w:val="center"/>
          </w:tcPr>
          <w:p w14:paraId="63423C8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单采血浆站未按照规定制订各项工作制度或者不落实，情节严重或者曾受过处罚的。</w:t>
            </w:r>
          </w:p>
        </w:tc>
        <w:tc>
          <w:tcPr>
            <w:tcW w:w="6269" w:type="dxa"/>
            <w:vAlign w:val="center"/>
          </w:tcPr>
          <w:p w14:paraId="6CE25BC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予以警告，并处2万元以上3万元以下的罚款。</w:t>
            </w:r>
          </w:p>
        </w:tc>
      </w:tr>
      <w:tr w14:paraId="63A9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8A4644B">
            <w:pPr>
              <w:widowControl w:val="0"/>
              <w:adjustRightInd/>
              <w:snapToGrid/>
              <w:spacing w:after="0" w:line="40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465" w:type="dxa"/>
            <w:vAlign w:val="center"/>
          </w:tcPr>
          <w:p w14:paraId="0046CAA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单采血浆站未按照规定制订各项工作制度或者不落实，造成严重后果的。</w:t>
            </w:r>
          </w:p>
        </w:tc>
        <w:tc>
          <w:tcPr>
            <w:tcW w:w="6269" w:type="dxa"/>
            <w:vAlign w:val="center"/>
          </w:tcPr>
          <w:p w14:paraId="6C8C486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予以警告，并处3万元罚款。</w:t>
            </w:r>
          </w:p>
        </w:tc>
      </w:tr>
    </w:tbl>
    <w:p w14:paraId="2DBD1012">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606" w:name="_Toc31809"/>
      <w:bookmarkStart w:id="4607" w:name="_Toc13487"/>
      <w:bookmarkStart w:id="4608" w:name="_Toc19805"/>
      <w:bookmarkStart w:id="4609" w:name="_Toc30412"/>
      <w:bookmarkStart w:id="4610" w:name="_Toc8337"/>
      <w:bookmarkStart w:id="4611" w:name="_Toc12943"/>
      <w:bookmarkStart w:id="4612" w:name="_Toc1734"/>
      <w:bookmarkStart w:id="4613" w:name="_Toc4357"/>
      <w:bookmarkStart w:id="4614" w:name="_Toc15418"/>
      <w:bookmarkStart w:id="4615" w:name="_Toc18720"/>
      <w:bookmarkStart w:id="4616" w:name="_Toc29774"/>
      <w:r>
        <w:rPr>
          <w:rFonts w:hint="eastAsia" w:ascii="Times New Roman" w:hAnsi="Times New Roman" w:cs="仿宋_GB2312"/>
          <w:bCs/>
          <w:color w:val="000000" w:themeColor="text1"/>
          <w:kern w:val="0"/>
          <w14:textFill>
            <w14:solidFill>
              <w14:schemeClr w14:val="tx1"/>
            </w14:solidFill>
          </w14:textFill>
        </w:rPr>
        <w:t>第三百六十六条 单采血浆站工作人员未取得相关岗位执业资格或者未经执业注册从事采供血浆工作的</w:t>
      </w:r>
      <w:bookmarkEnd w:id="4606"/>
      <w:bookmarkEnd w:id="4607"/>
      <w:bookmarkEnd w:id="4608"/>
      <w:bookmarkEnd w:id="4609"/>
      <w:bookmarkEnd w:id="4610"/>
      <w:bookmarkEnd w:id="4611"/>
      <w:bookmarkEnd w:id="4612"/>
      <w:bookmarkEnd w:id="4613"/>
      <w:bookmarkEnd w:id="4614"/>
      <w:bookmarkEnd w:id="4615"/>
      <w:bookmarkEnd w:id="4616"/>
    </w:p>
    <w:p w14:paraId="0EB4266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698E4C7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《单采血浆站管理办法》第六十二条第（五）项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单采血浆站违反本办法有关规定，有下列行为之一的，由县级以上地方人民政府卫生计生行政部门予以警告，并处3 万元以下的罚款：</w:t>
      </w:r>
    </w:p>
    <w:p w14:paraId="4D29C467">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（五）工作人员未取得相关岗位执业资格或者未</w:t>
      </w:r>
      <w:r>
        <w:rPr>
          <w:rFonts w:hint="eastAsia" w:ascii="Times New Roman" w:hAnsi="Times New Roman" w:eastAsia="仿宋_GB2312" w:cs="仿宋"/>
          <w:color w:val="000000" w:themeColor="text1"/>
          <w:sz w:val="32"/>
          <w:szCs w:val="32"/>
          <w14:textFill>
            <w14:solidFill>
              <w14:schemeClr w14:val="tx1"/>
            </w14:solidFill>
          </w14:textFill>
        </w:rPr>
        <w:t>经执业注册从事采供血浆工作的；</w:t>
      </w:r>
    </w:p>
    <w:p w14:paraId="18907D14">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315"/>
        <w:gridCol w:w="5419"/>
      </w:tblGrid>
      <w:tr w14:paraId="41BF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4EC7C3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315" w:type="dxa"/>
            <w:vAlign w:val="center"/>
          </w:tcPr>
          <w:p w14:paraId="23AF36C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419" w:type="dxa"/>
            <w:vAlign w:val="center"/>
          </w:tcPr>
          <w:p w14:paraId="032CA77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844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40" w:type="dxa"/>
            <w:vAlign w:val="center"/>
          </w:tcPr>
          <w:p w14:paraId="17BF8496">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315" w:type="dxa"/>
            <w:vAlign w:val="center"/>
          </w:tcPr>
          <w:p w14:paraId="7697AA6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单采血浆站工作人员未取得相关岗位执业资格或者未经执业注册从事采供血浆工作，数量在2 人以下的。</w:t>
            </w:r>
          </w:p>
        </w:tc>
        <w:tc>
          <w:tcPr>
            <w:tcW w:w="5419" w:type="dxa"/>
            <w:vAlign w:val="center"/>
          </w:tcPr>
          <w:p w14:paraId="74BDABD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予以警告，并处2万元以下的罚款。</w:t>
            </w:r>
          </w:p>
        </w:tc>
      </w:tr>
      <w:tr w14:paraId="538E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76FDD8C">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315" w:type="dxa"/>
            <w:vAlign w:val="center"/>
          </w:tcPr>
          <w:p w14:paraId="2A22E58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单采血浆站工作人员未取得相关岗位执业资格或者未经执业注册从事采供血浆工作，数量在3人或曾受过处罚的。</w:t>
            </w:r>
          </w:p>
        </w:tc>
        <w:tc>
          <w:tcPr>
            <w:tcW w:w="5419" w:type="dxa"/>
            <w:vAlign w:val="center"/>
          </w:tcPr>
          <w:p w14:paraId="3C3EF5C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予以警告，并处2万元以上3万元以下的罚。</w:t>
            </w:r>
          </w:p>
        </w:tc>
      </w:tr>
      <w:tr w14:paraId="51D7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1AA5F02">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315" w:type="dxa"/>
            <w:vAlign w:val="center"/>
          </w:tcPr>
          <w:p w14:paraId="1D829EF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单采血浆站工作人员未取得相关岗位执业资格或者未经执业注册从事采供血浆工作，数量在4 人以上或造成严重后果的。</w:t>
            </w:r>
          </w:p>
        </w:tc>
        <w:tc>
          <w:tcPr>
            <w:tcW w:w="5419" w:type="dxa"/>
            <w:vAlign w:val="center"/>
          </w:tcPr>
          <w:p w14:paraId="382A86A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予以警告，并处3万元罚款。</w:t>
            </w:r>
          </w:p>
        </w:tc>
      </w:tr>
    </w:tbl>
    <w:p w14:paraId="5E8889B4">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617" w:name="_Toc3897"/>
      <w:bookmarkStart w:id="4618" w:name="_Toc25192"/>
      <w:bookmarkStart w:id="4619" w:name="_Toc8471"/>
      <w:bookmarkStart w:id="4620" w:name="_Toc29268"/>
      <w:bookmarkStart w:id="4621" w:name="_Toc1730"/>
      <w:bookmarkStart w:id="4622" w:name="_Toc7090"/>
      <w:bookmarkStart w:id="4623" w:name="_Toc2162"/>
      <w:bookmarkStart w:id="4624" w:name="_Toc947"/>
      <w:bookmarkStart w:id="4625" w:name="_Toc27726"/>
      <w:bookmarkStart w:id="4626" w:name="_Toc30791"/>
      <w:bookmarkStart w:id="4627" w:name="_Toc22901"/>
      <w:r>
        <w:rPr>
          <w:rFonts w:hint="eastAsia" w:ascii="Times New Roman" w:hAnsi="Times New Roman" w:cs="仿宋_GB2312"/>
          <w:bCs/>
          <w:color w:val="000000" w:themeColor="text1"/>
          <w:kern w:val="0"/>
          <w14:textFill>
            <w14:solidFill>
              <w14:schemeClr w14:val="tx1"/>
            </w14:solidFill>
          </w14:textFill>
        </w:rPr>
        <w:t>第三百六十七条 单采血浆站不按照规定记录或者保存工作记录的</w:t>
      </w:r>
      <w:bookmarkEnd w:id="4617"/>
      <w:bookmarkEnd w:id="4618"/>
      <w:bookmarkEnd w:id="4619"/>
      <w:bookmarkEnd w:id="4620"/>
      <w:bookmarkEnd w:id="4621"/>
      <w:bookmarkEnd w:id="4622"/>
      <w:bookmarkEnd w:id="4623"/>
      <w:bookmarkEnd w:id="4624"/>
      <w:bookmarkEnd w:id="4625"/>
      <w:bookmarkEnd w:id="4626"/>
      <w:bookmarkEnd w:id="4627"/>
    </w:p>
    <w:p w14:paraId="3D96F39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7AD36A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《单采血浆站管理办法》第六十二条第（六）项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单采血浆站违反本法有关规定，有下列行为之一的，由县级以上地方人民政府卫生计生行政部门予以警告，并处3 万元以下的罚款：</w:t>
      </w:r>
    </w:p>
    <w:p w14:paraId="1C8447B1">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（六）不按照规定记录或者</w:t>
      </w:r>
      <w:r>
        <w:rPr>
          <w:rFonts w:hint="eastAsia" w:ascii="Times New Roman" w:hAnsi="Times New Roman" w:eastAsia="仿宋_GB2312" w:cs="仿宋"/>
          <w:color w:val="000000" w:themeColor="text1"/>
          <w:sz w:val="32"/>
          <w:szCs w:val="32"/>
          <w14:textFill>
            <w14:solidFill>
              <w14:schemeClr w14:val="tx1"/>
            </w14:solidFill>
          </w14:textFill>
        </w:rPr>
        <w:t>保存工作记录的；</w:t>
      </w:r>
    </w:p>
    <w:p w14:paraId="66EE5328">
      <w:pPr>
        <w:widowControl w:val="0"/>
        <w:adjustRightInd/>
        <w:snapToGrid/>
        <w:spacing w:after="0"/>
        <w:jc w:val="center"/>
        <w:rPr>
          <w:rFonts w:hint="eastAsia" w:ascii="Times New Roman" w:hAnsi="Times New Roman" w:eastAsia="仿宋_GB2312" w:cs="方正小标宋简体"/>
          <w:color w:val="000000" w:themeColor="text1"/>
          <w:sz w:val="32"/>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315"/>
        <w:gridCol w:w="5419"/>
      </w:tblGrid>
      <w:tr w14:paraId="7979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C287C8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315" w:type="dxa"/>
            <w:vAlign w:val="center"/>
          </w:tcPr>
          <w:p w14:paraId="2281B13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419" w:type="dxa"/>
            <w:vAlign w:val="center"/>
          </w:tcPr>
          <w:p w14:paraId="33E9D59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61F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440" w:type="dxa"/>
            <w:vAlign w:val="center"/>
          </w:tcPr>
          <w:p w14:paraId="094554B1">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315" w:type="dxa"/>
            <w:vAlign w:val="center"/>
          </w:tcPr>
          <w:p w14:paraId="47E5766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单采血浆站不按照规定记录或者保存工作记录的。</w:t>
            </w:r>
          </w:p>
        </w:tc>
        <w:tc>
          <w:tcPr>
            <w:tcW w:w="5419" w:type="dxa"/>
            <w:vAlign w:val="center"/>
          </w:tcPr>
          <w:p w14:paraId="152D64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予以警告，并处2万元以下的罚款。</w:t>
            </w:r>
          </w:p>
        </w:tc>
      </w:tr>
      <w:tr w14:paraId="2B26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8231AF4">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315" w:type="dxa"/>
            <w:vAlign w:val="center"/>
          </w:tcPr>
          <w:p w14:paraId="180379A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单采血浆站不按照规定记录或者保存工作记录，情节严重或者曾受过处罚的。</w:t>
            </w:r>
          </w:p>
        </w:tc>
        <w:tc>
          <w:tcPr>
            <w:tcW w:w="5419" w:type="dxa"/>
            <w:vAlign w:val="center"/>
          </w:tcPr>
          <w:p w14:paraId="3894425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予以警告，并处2万元以上3万元以下的罚款。</w:t>
            </w:r>
          </w:p>
          <w:p w14:paraId="460E7D4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p>
        </w:tc>
      </w:tr>
      <w:tr w14:paraId="59E1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55FF2E0">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315" w:type="dxa"/>
          </w:tcPr>
          <w:p w14:paraId="061F232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单采血浆站不按照规定记录或者保存工作记录，造成严重后果的。</w:t>
            </w:r>
          </w:p>
        </w:tc>
        <w:tc>
          <w:tcPr>
            <w:tcW w:w="5419" w:type="dxa"/>
          </w:tcPr>
          <w:p w14:paraId="082CF82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予以警告，并处3万元罚款。</w:t>
            </w:r>
          </w:p>
        </w:tc>
      </w:tr>
    </w:tbl>
    <w:p w14:paraId="3B1831F8">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628" w:name="_Toc22663"/>
      <w:bookmarkStart w:id="4629" w:name="_Toc15405"/>
      <w:bookmarkStart w:id="4630" w:name="_Toc4276"/>
      <w:bookmarkStart w:id="4631" w:name="_Toc13167"/>
      <w:bookmarkStart w:id="4632" w:name="_Toc20069"/>
      <w:bookmarkStart w:id="4633" w:name="_Toc15340"/>
      <w:bookmarkStart w:id="4634" w:name="_Toc611"/>
      <w:bookmarkStart w:id="4635" w:name="_Toc4562"/>
      <w:bookmarkStart w:id="4636" w:name="_Toc9815"/>
      <w:bookmarkStart w:id="4637" w:name="_Toc14584"/>
      <w:bookmarkStart w:id="4638" w:name="_Toc9271"/>
      <w:r>
        <w:rPr>
          <w:rFonts w:hint="eastAsia" w:ascii="Times New Roman" w:hAnsi="Times New Roman" w:cs="仿宋_GB2312"/>
          <w:bCs/>
          <w:color w:val="000000" w:themeColor="text1"/>
          <w:kern w:val="0"/>
          <w14:textFill>
            <w14:solidFill>
              <w14:schemeClr w14:val="tx1"/>
            </w14:solidFill>
          </w14:textFill>
        </w:rPr>
        <w:t>第三百六十八条 单采血浆站未按照规定保存血浆标本的</w:t>
      </w:r>
      <w:bookmarkEnd w:id="4628"/>
      <w:bookmarkEnd w:id="4629"/>
      <w:bookmarkEnd w:id="4630"/>
      <w:bookmarkEnd w:id="4631"/>
      <w:bookmarkEnd w:id="4632"/>
      <w:bookmarkEnd w:id="4633"/>
      <w:bookmarkEnd w:id="4634"/>
      <w:bookmarkEnd w:id="4635"/>
      <w:bookmarkEnd w:id="4636"/>
      <w:bookmarkEnd w:id="4637"/>
      <w:bookmarkEnd w:id="4638"/>
    </w:p>
    <w:p w14:paraId="50F11F1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4DF5944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《单采血浆站管理办法》第六十二条第（七）项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单采血浆站违反本办法有关规定，有下列行为之一的，由县级以上地方人民政府卫生计生行政部门予以警告，并处3 万元以下的罚款：</w:t>
      </w:r>
    </w:p>
    <w:p w14:paraId="1575A2B2">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（七）未按照规定</w:t>
      </w:r>
      <w:r>
        <w:rPr>
          <w:rFonts w:hint="eastAsia" w:ascii="Times New Roman" w:hAnsi="Times New Roman" w:eastAsia="仿宋_GB2312" w:cs="仿宋"/>
          <w:color w:val="000000" w:themeColor="text1"/>
          <w:sz w:val="32"/>
          <w:szCs w:val="32"/>
          <w14:textFill>
            <w14:solidFill>
              <w14:schemeClr w14:val="tx1"/>
            </w14:solidFill>
          </w14:textFill>
        </w:rPr>
        <w:t>保存血浆标本的。</w:t>
      </w:r>
    </w:p>
    <w:p w14:paraId="369ACE14">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465"/>
        <w:gridCol w:w="6269"/>
      </w:tblGrid>
      <w:tr w14:paraId="20D0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81E3E0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465" w:type="dxa"/>
            <w:vAlign w:val="center"/>
          </w:tcPr>
          <w:p w14:paraId="408C0B8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269" w:type="dxa"/>
            <w:vAlign w:val="center"/>
          </w:tcPr>
          <w:p w14:paraId="3C69947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C5A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440" w:type="dxa"/>
            <w:vAlign w:val="center"/>
          </w:tcPr>
          <w:p w14:paraId="55FE4BD9">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465" w:type="dxa"/>
            <w:vAlign w:val="center"/>
          </w:tcPr>
          <w:p w14:paraId="6B9BC5C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单采血浆站未按照规定保存血浆标本。</w:t>
            </w:r>
          </w:p>
        </w:tc>
        <w:tc>
          <w:tcPr>
            <w:tcW w:w="6269" w:type="dxa"/>
            <w:vAlign w:val="center"/>
          </w:tcPr>
          <w:p w14:paraId="46A6C97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予以警告，并处2万元以下的罚款。</w:t>
            </w:r>
          </w:p>
        </w:tc>
      </w:tr>
      <w:tr w14:paraId="14BB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2121DAC">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465" w:type="dxa"/>
            <w:vAlign w:val="center"/>
          </w:tcPr>
          <w:p w14:paraId="544426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单采血浆站未按照规定保存血浆标本，情节严重或曾受过处罚的。</w:t>
            </w:r>
          </w:p>
        </w:tc>
        <w:tc>
          <w:tcPr>
            <w:tcW w:w="6269" w:type="dxa"/>
            <w:vAlign w:val="center"/>
          </w:tcPr>
          <w:p w14:paraId="4FED4FE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予以警告，并处2万元以上3万元以下的罚款。</w:t>
            </w:r>
          </w:p>
        </w:tc>
      </w:tr>
      <w:tr w14:paraId="564B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440" w:type="dxa"/>
            <w:vAlign w:val="center"/>
          </w:tcPr>
          <w:p w14:paraId="5EAF582B">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465" w:type="dxa"/>
            <w:vAlign w:val="center"/>
          </w:tcPr>
          <w:p w14:paraId="6DA5739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单采血浆站未按照规定保存血浆标本，造成严重后果的。</w:t>
            </w:r>
          </w:p>
        </w:tc>
        <w:tc>
          <w:tcPr>
            <w:tcW w:w="6269" w:type="dxa"/>
            <w:vAlign w:val="center"/>
          </w:tcPr>
          <w:p w14:paraId="4F26983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予以警告，并处3万元罚款。</w:t>
            </w:r>
          </w:p>
        </w:tc>
      </w:tr>
    </w:tbl>
    <w:p w14:paraId="3C5236A9">
      <w:pPr>
        <w:pStyle w:val="4"/>
        <w:widowControl w:val="0"/>
        <w:ind w:firstLine="640"/>
        <w:jc w:val="both"/>
        <w:rPr>
          <w:rFonts w:hint="eastAsia" w:ascii="Times New Roman" w:hAnsi="Times New Roman" w:cs="仿宋_GB2312"/>
          <w:b w:val="0"/>
          <w:color w:val="000000" w:themeColor="text1"/>
          <w:kern w:val="2"/>
          <w14:textFill>
            <w14:solidFill>
              <w14:schemeClr w14:val="tx1"/>
            </w14:solidFill>
          </w14:textFill>
        </w:rPr>
      </w:pPr>
      <w:bookmarkStart w:id="4639" w:name="_Toc12697"/>
      <w:bookmarkStart w:id="4640" w:name="_Toc13386"/>
      <w:bookmarkStart w:id="4641" w:name="_Toc6383"/>
      <w:bookmarkStart w:id="4642" w:name="_Toc1991"/>
      <w:bookmarkStart w:id="4643" w:name="_Toc1276"/>
      <w:bookmarkStart w:id="4644" w:name="_Toc25363"/>
      <w:bookmarkStart w:id="4645" w:name="_Toc4956"/>
      <w:bookmarkStart w:id="4646" w:name="_Toc15628"/>
      <w:bookmarkStart w:id="4647" w:name="_Toc3023"/>
      <w:bookmarkStart w:id="4648" w:name="_Toc7775"/>
      <w:bookmarkStart w:id="4649" w:name="_Toc30348"/>
      <w:r>
        <w:rPr>
          <w:rFonts w:hint="eastAsia" w:ascii="Times New Roman" w:hAnsi="Times New Roman" w:cs="仿宋_GB2312"/>
          <w:bCs/>
          <w:color w:val="000000" w:themeColor="text1"/>
          <w:kern w:val="0"/>
          <w14:textFill>
            <w14:solidFill>
              <w14:schemeClr w14:val="tx1"/>
            </w14:solidFill>
          </w14:textFill>
        </w:rPr>
        <w:t>第三百六十九条 擅自出口原料血浆的</w:t>
      </w:r>
      <w:bookmarkEnd w:id="4639"/>
      <w:bookmarkEnd w:id="4640"/>
      <w:bookmarkEnd w:id="4641"/>
      <w:bookmarkEnd w:id="4642"/>
      <w:bookmarkEnd w:id="4643"/>
      <w:bookmarkEnd w:id="4644"/>
      <w:bookmarkEnd w:id="4645"/>
      <w:bookmarkEnd w:id="4646"/>
      <w:bookmarkEnd w:id="4647"/>
      <w:bookmarkEnd w:id="4648"/>
      <w:bookmarkEnd w:id="4649"/>
    </w:p>
    <w:p w14:paraId="2E7B5BD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54D6C8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1.《血液制品管理条例》第四十二条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违反本条例规定，擅自进出口血液制品或者出口原料血浆的，由省级以上人民政府卫生行政部门没收所进出口的血液制品或者所出口的原料血浆和违法所得，并处所进出口的血液制品或者所出口的原料血浆总值3 倍以上5 倍以下的罚款。</w:t>
      </w:r>
    </w:p>
    <w:p w14:paraId="705D085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2.《单采血浆站管理办法》第六十六条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违反《血液制品管理条例》和本办法规定，擅自出口原料血浆的，按照《血液制品管理条例》第四十二条规定予以处罚。</w:t>
      </w:r>
    </w:p>
    <w:p w14:paraId="696C6A53">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465"/>
        <w:gridCol w:w="6269"/>
      </w:tblGrid>
      <w:tr w14:paraId="4A63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440" w:type="dxa"/>
            <w:vAlign w:val="center"/>
          </w:tcPr>
          <w:p w14:paraId="32DBA8E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465" w:type="dxa"/>
            <w:vAlign w:val="center"/>
          </w:tcPr>
          <w:p w14:paraId="1E24BA0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269" w:type="dxa"/>
            <w:vAlign w:val="center"/>
          </w:tcPr>
          <w:p w14:paraId="63D266D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DCC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7E83EA5">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465" w:type="dxa"/>
          </w:tcPr>
          <w:p w14:paraId="5EDFD2E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违反《血液制品管理条例》和《单采血浆站管理办法》规定，擅自出口原料血浆的，货值在1 万元以下的。</w:t>
            </w:r>
          </w:p>
        </w:tc>
        <w:tc>
          <w:tcPr>
            <w:tcW w:w="6269" w:type="dxa"/>
          </w:tcPr>
          <w:p w14:paraId="6E73DB0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没收所出口的原料血浆和违法所得，并处所出口的原料血浆总值3 倍的罚款。</w:t>
            </w:r>
          </w:p>
        </w:tc>
      </w:tr>
      <w:tr w14:paraId="1638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3272CC9">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465" w:type="dxa"/>
          </w:tcPr>
          <w:p w14:paraId="60074FE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违反《血液制品管理条例》和《单采血浆站管理办法》规定，擅自出口原料血浆的，货值在1 万元以上5 万元以下的。</w:t>
            </w:r>
          </w:p>
        </w:tc>
        <w:tc>
          <w:tcPr>
            <w:tcW w:w="6269" w:type="dxa"/>
          </w:tcPr>
          <w:p w14:paraId="57F9435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没收所出口的原料血浆和违法所得，并处所出口的原料血浆总值3倍以上5 倍以下的罚款。</w:t>
            </w:r>
          </w:p>
        </w:tc>
      </w:tr>
      <w:tr w14:paraId="7E52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05158BC">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465" w:type="dxa"/>
          </w:tcPr>
          <w:p w14:paraId="51CB537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违反《血液制品管理条例》和《单采血浆站管理办法》规定，擅自出口原料血浆的，货值在5 万元以上的。</w:t>
            </w:r>
          </w:p>
        </w:tc>
        <w:tc>
          <w:tcPr>
            <w:tcW w:w="6269" w:type="dxa"/>
          </w:tcPr>
          <w:p w14:paraId="2384FAC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没收所出口的原料血浆和违法所得，并处所出口的原料血浆总值5 倍的罚款。</w:t>
            </w:r>
          </w:p>
        </w:tc>
      </w:tr>
    </w:tbl>
    <w:p w14:paraId="0003FE3E">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650" w:name="_Toc32387"/>
      <w:bookmarkStart w:id="4651" w:name="_Toc13933"/>
      <w:bookmarkStart w:id="4652" w:name="_Toc16260"/>
      <w:bookmarkStart w:id="4653" w:name="_Toc23989"/>
      <w:bookmarkStart w:id="4654" w:name="_Toc22053"/>
      <w:bookmarkStart w:id="4655" w:name="_Toc13236"/>
      <w:bookmarkStart w:id="4656" w:name="_Toc12079"/>
      <w:bookmarkStart w:id="4657" w:name="_Toc1208"/>
      <w:bookmarkStart w:id="4658" w:name="_Toc32082"/>
      <w:bookmarkStart w:id="4659" w:name="_Toc6941"/>
      <w:bookmarkStart w:id="4660" w:name="_Toc24272"/>
      <w:r>
        <w:rPr>
          <w:rFonts w:hint="eastAsia" w:ascii="Times New Roman" w:hAnsi="Times New Roman" w:cs="仿宋_GB2312"/>
          <w:bCs/>
          <w:color w:val="000000" w:themeColor="text1"/>
          <w:kern w:val="0"/>
          <w14:textFill>
            <w14:solidFill>
              <w14:schemeClr w14:val="tx1"/>
            </w14:solidFill>
          </w14:textFill>
        </w:rPr>
        <w:t>第三百七十条 承担单采血浆站技术评价、检测的技术机构出具虚假证明文件的</w:t>
      </w:r>
      <w:bookmarkEnd w:id="4650"/>
      <w:bookmarkEnd w:id="4651"/>
      <w:bookmarkEnd w:id="4652"/>
      <w:bookmarkEnd w:id="4653"/>
      <w:bookmarkEnd w:id="4654"/>
      <w:bookmarkEnd w:id="4655"/>
      <w:bookmarkEnd w:id="4656"/>
      <w:bookmarkEnd w:id="4657"/>
      <w:bookmarkEnd w:id="4658"/>
      <w:bookmarkEnd w:id="4659"/>
      <w:bookmarkEnd w:id="4660"/>
      <w:r>
        <w:rPr>
          <w:rFonts w:hint="eastAsia" w:ascii="Times New Roman" w:hAnsi="Times New Roman" w:cs="仿宋_GB2312"/>
          <w:bCs/>
          <w:color w:val="000000" w:themeColor="text1"/>
          <w:kern w:val="0"/>
          <w14:textFill>
            <w14:solidFill>
              <w14:schemeClr w14:val="tx1"/>
            </w14:solidFill>
          </w14:textFill>
        </w:rPr>
        <w:t xml:space="preserve"> </w:t>
      </w:r>
    </w:p>
    <w:p w14:paraId="7E23814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F8DA84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《单采血浆站管理办法》第六十七条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承担单采血浆站技术评价、检测的技术机构出具虚假证明文件的，由卫生计生行政部门责令改正，给予警告，并可处2 万元以下的罚款；对直接负责的主管人员和其他直接责任人员，依法给予处分；情节严重，构成犯罪的，依法追究刑事责任。</w:t>
      </w:r>
    </w:p>
    <w:p w14:paraId="5FDFB7F4">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465"/>
        <w:gridCol w:w="6269"/>
      </w:tblGrid>
      <w:tr w14:paraId="63A7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 w:type="dxa"/>
            <w:vAlign w:val="center"/>
          </w:tcPr>
          <w:p w14:paraId="5C5C523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465" w:type="dxa"/>
            <w:vAlign w:val="center"/>
          </w:tcPr>
          <w:p w14:paraId="0AB0B49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269" w:type="dxa"/>
            <w:vAlign w:val="center"/>
          </w:tcPr>
          <w:p w14:paraId="255F643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17E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7268A6F9">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465" w:type="dxa"/>
            <w:vAlign w:val="center"/>
          </w:tcPr>
          <w:p w14:paraId="35DFEE0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承担单采血浆站技术评价、检测的技术机构出具虚假证明文件的。</w:t>
            </w:r>
          </w:p>
        </w:tc>
        <w:tc>
          <w:tcPr>
            <w:tcW w:w="6269" w:type="dxa"/>
            <w:vAlign w:val="center"/>
          </w:tcPr>
          <w:p w14:paraId="10304A0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责令改正，给予警告，并可处1 万元以下的罚款。</w:t>
            </w:r>
          </w:p>
        </w:tc>
      </w:tr>
      <w:tr w14:paraId="02BE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55C9C6FA">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6465" w:type="dxa"/>
            <w:vAlign w:val="center"/>
          </w:tcPr>
          <w:p w14:paraId="7D10BA4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承担单采血浆站技术评价、检测的技术机构出具虚假证明文件，情节严重的。</w:t>
            </w:r>
          </w:p>
        </w:tc>
        <w:tc>
          <w:tcPr>
            <w:tcW w:w="6269" w:type="dxa"/>
            <w:vAlign w:val="center"/>
          </w:tcPr>
          <w:p w14:paraId="438EDF5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责令改正，给予警告，并可处1 万元以上2 万元以下的罚款。</w:t>
            </w:r>
          </w:p>
        </w:tc>
      </w:tr>
      <w:tr w14:paraId="2916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0" w:type="dxa"/>
            <w:vAlign w:val="center"/>
          </w:tcPr>
          <w:p w14:paraId="55C78CDD">
            <w:pPr>
              <w:widowControl w:val="0"/>
              <w:adjustRightInd/>
              <w:snapToGrid/>
              <w:spacing w:after="0" w:line="40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465" w:type="dxa"/>
            <w:vAlign w:val="center"/>
          </w:tcPr>
          <w:p w14:paraId="38E77F2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承担单采血浆站技术评价、检测的技术机构出具虚假证明文件，造成严重后果的。</w:t>
            </w:r>
          </w:p>
        </w:tc>
        <w:tc>
          <w:tcPr>
            <w:tcW w:w="6269" w:type="dxa"/>
            <w:vAlign w:val="center"/>
          </w:tcPr>
          <w:p w14:paraId="139890E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责令改正，给予警告，并可处2 万元的罚款。</w:t>
            </w:r>
          </w:p>
        </w:tc>
      </w:tr>
    </w:tbl>
    <w:p w14:paraId="00E01ACE">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4661" w:name="_Toc26242"/>
      <w:bookmarkStart w:id="4662" w:name="_Toc17386"/>
      <w:bookmarkStart w:id="4663" w:name="_Toc21490"/>
      <w:bookmarkStart w:id="4664" w:name="_Toc2187"/>
      <w:bookmarkStart w:id="4665" w:name="_Toc21039"/>
      <w:bookmarkStart w:id="4666" w:name="_Toc30151"/>
      <w:bookmarkStart w:id="4667" w:name="_Toc16175"/>
      <w:bookmarkStart w:id="4668" w:name="_Toc5936"/>
      <w:bookmarkStart w:id="4669" w:name="_Toc30049"/>
      <w:bookmarkStart w:id="4670" w:name="_Toc3671"/>
      <w:bookmarkStart w:id="4671" w:name="_Toc4632"/>
      <w:bookmarkStart w:id="4672" w:name="_Toc26744"/>
      <w:bookmarkStart w:id="4673" w:name="_Toc25378"/>
      <w:r>
        <w:rPr>
          <w:rFonts w:hint="eastAsia" w:ascii="Times New Roman" w:hAnsi="Times New Roman" w:eastAsia="楷体_GB2312" w:cs="楷体_GB2312"/>
          <w:color w:val="000000" w:themeColor="text1"/>
          <w14:textFill>
            <w14:solidFill>
              <w14:schemeClr w14:val="tx1"/>
            </w14:solidFill>
          </w14:textFill>
        </w:rPr>
        <w:t>（三十二）《血站管理办法》</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14:paraId="6736D570">
      <w:pPr>
        <w:pStyle w:val="4"/>
        <w:widowControl w:val="0"/>
        <w:ind w:firstLine="640"/>
        <w:jc w:val="both"/>
        <w:rPr>
          <w:rFonts w:hint="eastAsia" w:cs="仿宋_GB2312"/>
          <w:bCs/>
          <w:color w:val="000000" w:themeColor="text1"/>
          <w14:textFill>
            <w14:solidFill>
              <w14:schemeClr w14:val="tx1"/>
            </w14:solidFill>
          </w14:textFill>
        </w:rPr>
      </w:pPr>
      <w:bookmarkStart w:id="4674" w:name="_Toc31970"/>
      <w:bookmarkStart w:id="4675" w:name="_Toc25946"/>
      <w:bookmarkStart w:id="4676" w:name="_Toc26534"/>
      <w:bookmarkStart w:id="4677" w:name="_Toc1956"/>
      <w:bookmarkStart w:id="4678" w:name="_Toc27303"/>
      <w:bookmarkStart w:id="4679" w:name="_Toc21588"/>
      <w:bookmarkStart w:id="4680" w:name="_Toc14382"/>
      <w:bookmarkStart w:id="4681" w:name="_Toc4998"/>
      <w:bookmarkStart w:id="4682" w:name="_Toc26929"/>
      <w:bookmarkStart w:id="4683" w:name="_Toc16297"/>
      <w:bookmarkStart w:id="4684" w:name="_Toc2810"/>
      <w:r>
        <w:rPr>
          <w:rFonts w:hint="eastAsia" w:ascii="Times New Roman" w:hAnsi="Times New Roman" w:cs="仿宋_GB2312"/>
          <w:bCs/>
          <w:color w:val="000000" w:themeColor="text1"/>
          <w:kern w:val="0"/>
          <w14:textFill>
            <w14:solidFill>
              <w14:schemeClr w14:val="tx1"/>
            </w14:solidFill>
          </w14:textFill>
        </w:rPr>
        <w:t>第三百七十一条</w:t>
      </w:r>
      <w:r>
        <w:rPr>
          <w:rFonts w:hint="eastAsia" w:cs="仿宋_GB2312"/>
          <w:bCs/>
          <w:color w:val="000000" w:themeColor="text1"/>
          <w14:textFill>
            <w14:solidFill>
              <w14:schemeClr w14:val="tx1"/>
            </w14:solidFill>
          </w14:textFill>
        </w:rPr>
        <w:t xml:space="preserve"> 血站超出执业登记的项目、内容、范围开展业务活动的</w:t>
      </w:r>
      <w:bookmarkEnd w:id="4674"/>
      <w:bookmarkEnd w:id="4675"/>
      <w:bookmarkEnd w:id="4676"/>
      <w:bookmarkEnd w:id="4677"/>
      <w:bookmarkEnd w:id="4678"/>
      <w:bookmarkEnd w:id="4679"/>
      <w:bookmarkEnd w:id="4680"/>
      <w:bookmarkEnd w:id="4681"/>
      <w:bookmarkEnd w:id="4682"/>
      <w:bookmarkEnd w:id="4683"/>
      <w:bookmarkEnd w:id="4684"/>
    </w:p>
    <w:p w14:paraId="6F8C420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E5ABF9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4F921D1E">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（一）超出执业登记的</w:t>
      </w:r>
      <w:r>
        <w:rPr>
          <w:rFonts w:hint="eastAsia" w:ascii="Times New Roman" w:hAnsi="Times New Roman" w:eastAsia="仿宋_GB2312" w:cs="仿宋"/>
          <w:color w:val="000000" w:themeColor="text1"/>
          <w:sz w:val="32"/>
          <w:szCs w:val="32"/>
          <w14:textFill>
            <w14:solidFill>
              <w14:schemeClr w14:val="tx1"/>
            </w14:solidFill>
          </w14:textFill>
        </w:rPr>
        <w:t xml:space="preserve">项目、内容、范围开展业务活动的； </w:t>
      </w:r>
    </w:p>
    <w:p w14:paraId="17E908BE">
      <w:pPr>
        <w:widowControl w:val="0"/>
        <w:adjustRightInd/>
        <w:snapToGrid/>
        <w:spacing w:after="0"/>
        <w:ind w:firstLine="6443" w:firstLineChars="2300"/>
        <w:jc w:val="both"/>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181"/>
        <w:gridCol w:w="6553"/>
      </w:tblGrid>
      <w:tr w14:paraId="66AE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4BF2AD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181" w:type="dxa"/>
            <w:vAlign w:val="center"/>
          </w:tcPr>
          <w:p w14:paraId="54A0727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553" w:type="dxa"/>
            <w:vAlign w:val="center"/>
          </w:tcPr>
          <w:p w14:paraId="4537E59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A07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40" w:type="dxa"/>
            <w:vAlign w:val="center"/>
          </w:tcPr>
          <w:p w14:paraId="78DE1B66">
            <w:pPr>
              <w:widowControl w:val="0"/>
              <w:adjustRightInd/>
              <w:snapToGrid/>
              <w:spacing w:after="0"/>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181" w:type="dxa"/>
            <w:vAlign w:val="center"/>
          </w:tcPr>
          <w:p w14:paraId="199D75C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血站超出执业登记的项目、内容、范围开展业务活动的。</w:t>
            </w:r>
          </w:p>
        </w:tc>
        <w:tc>
          <w:tcPr>
            <w:tcW w:w="6553" w:type="dxa"/>
            <w:vAlign w:val="center"/>
          </w:tcPr>
          <w:p w14:paraId="65A6C4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7EEF3A51">
      <w:pPr>
        <w:pStyle w:val="4"/>
        <w:widowControl w:val="0"/>
        <w:ind w:firstLine="640"/>
        <w:jc w:val="both"/>
        <w:rPr>
          <w:rFonts w:hint="eastAsia" w:cs="仿宋_GB2312"/>
          <w:bCs/>
          <w:color w:val="000000" w:themeColor="text1"/>
          <w:spacing w:val="-6"/>
          <w14:textFill>
            <w14:solidFill>
              <w14:schemeClr w14:val="tx1"/>
            </w14:solidFill>
          </w14:textFill>
        </w:rPr>
      </w:pPr>
      <w:bookmarkStart w:id="4685" w:name="_Toc27206"/>
      <w:bookmarkStart w:id="4686" w:name="_Toc24343"/>
      <w:bookmarkStart w:id="4687" w:name="_Toc18910"/>
      <w:bookmarkStart w:id="4688" w:name="_Toc9041"/>
      <w:bookmarkStart w:id="4689" w:name="_Toc21310"/>
      <w:bookmarkStart w:id="4690" w:name="_Toc24286"/>
      <w:bookmarkStart w:id="4691" w:name="_Toc17990"/>
      <w:bookmarkStart w:id="4692" w:name="_Toc14036"/>
      <w:bookmarkStart w:id="4693" w:name="_Toc2395"/>
      <w:bookmarkStart w:id="4694" w:name="_Toc6824"/>
      <w:bookmarkStart w:id="4695" w:name="_Toc9049"/>
      <w:r>
        <w:rPr>
          <w:rFonts w:hint="eastAsia" w:cs="仿宋_GB2312"/>
          <w:bCs/>
          <w:color w:val="000000" w:themeColor="text1"/>
          <w14:textFill>
            <w14:solidFill>
              <w14:schemeClr w14:val="tx1"/>
            </w14:solidFill>
          </w14:textFill>
        </w:rPr>
        <w:t xml:space="preserve">第三百七十二条 </w:t>
      </w:r>
      <w:r>
        <w:rPr>
          <w:rFonts w:hint="eastAsia" w:cs="仿宋_GB2312"/>
          <w:bCs/>
          <w:color w:val="000000" w:themeColor="text1"/>
          <w:spacing w:val="-6"/>
          <w14:textFill>
            <w14:solidFill>
              <w14:schemeClr w14:val="tx1"/>
            </w14:solidFill>
          </w14:textFill>
        </w:rPr>
        <w:t>血站工作人员未取得相关岗位执业资格或者未经执业注册而从事采供血工作的</w:t>
      </w:r>
      <w:bookmarkEnd w:id="4685"/>
      <w:bookmarkEnd w:id="4686"/>
      <w:bookmarkEnd w:id="4687"/>
      <w:bookmarkEnd w:id="4688"/>
      <w:bookmarkEnd w:id="4689"/>
      <w:bookmarkEnd w:id="4690"/>
      <w:bookmarkEnd w:id="4691"/>
      <w:bookmarkEnd w:id="4692"/>
      <w:bookmarkEnd w:id="4693"/>
      <w:bookmarkEnd w:id="4694"/>
      <w:bookmarkEnd w:id="4695"/>
    </w:p>
    <w:p w14:paraId="3983323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33BD674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056BC40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（二）工作人员未取得相关岗位执业资格或者未经执业注册而从事采供血工作的； </w:t>
      </w:r>
    </w:p>
    <w:p w14:paraId="45CA0EE9">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2184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0B1526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50C15B9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22B05C3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6ED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84B56EA">
            <w:pPr>
              <w:widowControl w:val="0"/>
              <w:adjustRightInd/>
              <w:snapToGrid/>
              <w:spacing w:after="0"/>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5291D31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血站工作人员未取得相关岗位执业资格或者未经执业注册而从事采供血工作的。</w:t>
            </w:r>
          </w:p>
        </w:tc>
        <w:tc>
          <w:tcPr>
            <w:tcW w:w="7139" w:type="dxa"/>
            <w:vAlign w:val="center"/>
          </w:tcPr>
          <w:p w14:paraId="27189B1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30A71195">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696" w:name="_Toc15573"/>
      <w:bookmarkStart w:id="4697" w:name="_Toc26157"/>
      <w:bookmarkStart w:id="4698" w:name="_Toc1890"/>
      <w:bookmarkStart w:id="4699" w:name="_Toc303"/>
      <w:bookmarkStart w:id="4700" w:name="_Toc17637"/>
      <w:bookmarkStart w:id="4701" w:name="_Toc817"/>
      <w:bookmarkStart w:id="4702" w:name="_Toc7988"/>
      <w:bookmarkStart w:id="4703" w:name="_Toc20514"/>
      <w:bookmarkStart w:id="4704" w:name="_Toc5100"/>
      <w:bookmarkStart w:id="4705" w:name="_Toc17847"/>
      <w:bookmarkStart w:id="4706" w:name="_Toc21803"/>
      <w:r>
        <w:rPr>
          <w:rFonts w:hint="eastAsia" w:cs="仿宋_GB2312"/>
          <w:bCs/>
          <w:color w:val="000000" w:themeColor="text1"/>
          <w14:textFill>
            <w14:solidFill>
              <w14:schemeClr w14:val="tx1"/>
            </w14:solidFill>
          </w14:textFill>
        </w:rPr>
        <w:t>第三百七十三条</w:t>
      </w:r>
      <w:r>
        <w:rPr>
          <w:rFonts w:hint="eastAsia" w:ascii="Times New Roman" w:hAnsi="Times New Roman" w:cs="仿宋_GB2312"/>
          <w:bCs/>
          <w:color w:val="000000" w:themeColor="text1"/>
          <w:kern w:val="0"/>
          <w14:textFill>
            <w14:solidFill>
              <w14:schemeClr w14:val="tx1"/>
            </w14:solidFill>
          </w14:textFill>
        </w:rPr>
        <w:t xml:space="preserve"> 血站血液检测实验室未取得相应资格即进行检测的</w:t>
      </w:r>
      <w:bookmarkEnd w:id="4696"/>
      <w:bookmarkEnd w:id="4697"/>
      <w:bookmarkEnd w:id="4698"/>
      <w:bookmarkEnd w:id="4699"/>
      <w:bookmarkEnd w:id="4700"/>
      <w:bookmarkEnd w:id="4701"/>
      <w:bookmarkEnd w:id="4702"/>
      <w:bookmarkEnd w:id="4703"/>
      <w:bookmarkEnd w:id="4704"/>
      <w:bookmarkEnd w:id="4705"/>
      <w:bookmarkEnd w:id="4706"/>
    </w:p>
    <w:p w14:paraId="05F826F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 法律依据：</w:t>
      </w:r>
    </w:p>
    <w:p w14:paraId="7E43D65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54484B1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（三）血液检测实验室未取得相应资格即进行检测的；</w:t>
      </w:r>
    </w:p>
    <w:p w14:paraId="3F7C03AF">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039"/>
        <w:gridCol w:w="6695"/>
      </w:tblGrid>
      <w:tr w14:paraId="1E02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 w:type="dxa"/>
            <w:vAlign w:val="center"/>
          </w:tcPr>
          <w:p w14:paraId="664F473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039" w:type="dxa"/>
            <w:vAlign w:val="center"/>
          </w:tcPr>
          <w:p w14:paraId="786978D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695" w:type="dxa"/>
            <w:vAlign w:val="center"/>
          </w:tcPr>
          <w:p w14:paraId="5C138B0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DDE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1AEC1B8B">
            <w:pPr>
              <w:widowControl w:val="0"/>
              <w:adjustRightInd/>
              <w:snapToGrid/>
              <w:spacing w:after="0"/>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039" w:type="dxa"/>
            <w:vAlign w:val="center"/>
          </w:tcPr>
          <w:p w14:paraId="275E046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血站血液检测实验室未取得相应资格即进行检测的。</w:t>
            </w:r>
          </w:p>
        </w:tc>
        <w:tc>
          <w:tcPr>
            <w:tcW w:w="6695" w:type="dxa"/>
            <w:vAlign w:val="center"/>
          </w:tcPr>
          <w:p w14:paraId="415B996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3C93407D">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707" w:name="_Toc9781"/>
      <w:bookmarkStart w:id="4708" w:name="_Toc2535"/>
      <w:bookmarkStart w:id="4709" w:name="_Toc29956"/>
      <w:bookmarkStart w:id="4710" w:name="_Toc15926"/>
      <w:bookmarkStart w:id="4711" w:name="_Toc12950"/>
      <w:bookmarkStart w:id="4712" w:name="_Toc1772"/>
      <w:bookmarkStart w:id="4713" w:name="_Toc23699"/>
      <w:bookmarkStart w:id="4714" w:name="_Toc90"/>
      <w:bookmarkStart w:id="4715" w:name="_Toc19290"/>
      <w:bookmarkStart w:id="4716" w:name="_Toc2798"/>
      <w:bookmarkStart w:id="4717" w:name="_Toc2608"/>
      <w:r>
        <w:rPr>
          <w:rFonts w:hint="eastAsia" w:cs="仿宋_GB2312"/>
          <w:bCs/>
          <w:color w:val="000000" w:themeColor="text1"/>
          <w14:textFill>
            <w14:solidFill>
              <w14:schemeClr w14:val="tx1"/>
            </w14:solidFill>
          </w14:textFill>
        </w:rPr>
        <w:t>第三百七十四条 血站擅自采集原料血浆、买卖血液的</w:t>
      </w:r>
      <w:bookmarkEnd w:id="4707"/>
      <w:bookmarkEnd w:id="4708"/>
      <w:bookmarkEnd w:id="4709"/>
      <w:bookmarkEnd w:id="4710"/>
      <w:bookmarkEnd w:id="4711"/>
      <w:bookmarkEnd w:id="4712"/>
      <w:bookmarkEnd w:id="4713"/>
      <w:bookmarkEnd w:id="4714"/>
      <w:bookmarkEnd w:id="4715"/>
      <w:bookmarkEnd w:id="4716"/>
      <w:bookmarkEnd w:id="4717"/>
    </w:p>
    <w:p w14:paraId="70920DE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8E18F3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6ED20111">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（四）擅自采集原料血</w:t>
      </w:r>
      <w:r>
        <w:rPr>
          <w:rFonts w:hint="eastAsia" w:ascii="Times New Roman" w:hAnsi="Times New Roman" w:eastAsia="仿宋_GB2312" w:cs="仿宋"/>
          <w:color w:val="000000" w:themeColor="text1"/>
          <w:sz w:val="32"/>
          <w:szCs w:val="32"/>
          <w14:textFill>
            <w14:solidFill>
              <w14:schemeClr w14:val="tx1"/>
            </w14:solidFill>
          </w14:textFill>
        </w:rPr>
        <w:t xml:space="preserve">浆、买卖血液的； </w:t>
      </w:r>
    </w:p>
    <w:p w14:paraId="4B8ED765">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5B69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370321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3AD649B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664D713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BF9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vAlign w:val="center"/>
          </w:tcPr>
          <w:p w14:paraId="0BF58EE3">
            <w:pPr>
              <w:widowControl w:val="0"/>
              <w:adjustRightInd/>
              <w:snapToGrid/>
              <w:spacing w:after="0"/>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5653E6A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血站擅自采集原料血浆、买卖血液的。</w:t>
            </w:r>
          </w:p>
        </w:tc>
        <w:tc>
          <w:tcPr>
            <w:tcW w:w="7139" w:type="dxa"/>
            <w:vAlign w:val="center"/>
          </w:tcPr>
          <w:p w14:paraId="42D5C49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1614CB71">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718" w:name="_Toc23632"/>
      <w:bookmarkStart w:id="4719" w:name="_Toc13247"/>
      <w:bookmarkStart w:id="4720" w:name="_Toc1470"/>
      <w:bookmarkStart w:id="4721" w:name="_Toc17194"/>
      <w:bookmarkStart w:id="4722" w:name="_Toc2665"/>
      <w:bookmarkStart w:id="4723" w:name="_Toc21018"/>
      <w:bookmarkStart w:id="4724" w:name="_Toc13120"/>
      <w:bookmarkStart w:id="4725" w:name="_Toc20083"/>
      <w:bookmarkStart w:id="4726" w:name="_Toc18820"/>
      <w:bookmarkStart w:id="4727" w:name="_Toc31926"/>
      <w:bookmarkStart w:id="4728" w:name="_Toc27422"/>
      <w:r>
        <w:rPr>
          <w:rFonts w:hint="eastAsia" w:cs="仿宋_GB2312"/>
          <w:bCs/>
          <w:color w:val="000000" w:themeColor="text1"/>
          <w14:textFill>
            <w14:solidFill>
              <w14:schemeClr w14:val="tx1"/>
            </w14:solidFill>
          </w14:textFill>
        </w:rPr>
        <w:t>第三百七十五条</w:t>
      </w:r>
      <w:r>
        <w:rPr>
          <w:rFonts w:hint="eastAsia" w:ascii="Times New Roman" w:hAnsi="Times New Roman" w:cs="仿宋_GB2312"/>
          <w:bCs/>
          <w:color w:val="000000" w:themeColor="text1"/>
          <w:kern w:val="0"/>
          <w14:textFill>
            <w14:solidFill>
              <w14:schemeClr w14:val="tx1"/>
            </w14:solidFill>
          </w14:textFill>
        </w:rPr>
        <w:t xml:space="preserve"> 血站采集血液前，未按照国家颁布的献血者健康检查要求对献血者进行健康检查、检测的</w:t>
      </w:r>
      <w:bookmarkEnd w:id="4718"/>
      <w:bookmarkEnd w:id="4719"/>
      <w:bookmarkEnd w:id="4720"/>
      <w:bookmarkEnd w:id="4721"/>
      <w:bookmarkEnd w:id="4722"/>
      <w:bookmarkEnd w:id="4723"/>
      <w:bookmarkEnd w:id="4724"/>
      <w:bookmarkEnd w:id="4725"/>
      <w:bookmarkEnd w:id="4726"/>
      <w:bookmarkEnd w:id="4727"/>
      <w:bookmarkEnd w:id="4728"/>
      <w:r>
        <w:rPr>
          <w:rFonts w:hint="eastAsia" w:ascii="Times New Roman" w:hAnsi="Times New Roman" w:cs="仿宋_GB2312"/>
          <w:bCs/>
          <w:color w:val="000000" w:themeColor="text1"/>
          <w:kern w:val="0"/>
          <w14:textFill>
            <w14:solidFill>
              <w14:schemeClr w14:val="tx1"/>
            </w14:solidFill>
          </w14:textFill>
        </w:rPr>
        <w:t xml:space="preserve"> </w:t>
      </w:r>
    </w:p>
    <w:p w14:paraId="70562F9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5087A5E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0B58CCEE">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（五）采集血液前，</w:t>
      </w:r>
      <w:r>
        <w:rPr>
          <w:rFonts w:hint="eastAsia" w:ascii="Times New Roman" w:hAnsi="Times New Roman" w:eastAsia="仿宋_GB2312" w:cs="仿宋"/>
          <w:color w:val="000000" w:themeColor="text1"/>
          <w:sz w:val="32"/>
          <w:szCs w:val="32"/>
          <w14:textFill>
            <w14:solidFill>
              <w14:schemeClr w14:val="tx1"/>
            </w14:solidFill>
          </w14:textFill>
        </w:rPr>
        <w:t>未按照国家颁布的献血者健康检查要求对献血者进行健康检查、检测的；</w:t>
      </w:r>
    </w:p>
    <w:p w14:paraId="31AB79EC">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5A74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3387B0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14E63D3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72AEF17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1FB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40" w:type="dxa"/>
            <w:vAlign w:val="center"/>
          </w:tcPr>
          <w:p w14:paraId="11492D7F">
            <w:pPr>
              <w:widowControl w:val="0"/>
              <w:adjustRightInd/>
              <w:snapToGrid/>
              <w:spacing w:after="0"/>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725354B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血站采集血液前，未按照国家颁布的献血者健康检查要求对献血者进行健康检查、检测的。</w:t>
            </w:r>
          </w:p>
        </w:tc>
        <w:tc>
          <w:tcPr>
            <w:tcW w:w="7139" w:type="dxa"/>
            <w:vAlign w:val="center"/>
          </w:tcPr>
          <w:p w14:paraId="5D6BCC0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317FE11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729" w:name="_Toc10349"/>
      <w:bookmarkStart w:id="4730" w:name="_Toc11031"/>
      <w:bookmarkStart w:id="4731" w:name="_Toc20231"/>
      <w:bookmarkStart w:id="4732" w:name="_Toc14040"/>
      <w:bookmarkStart w:id="4733" w:name="_Toc5169"/>
      <w:bookmarkStart w:id="4734" w:name="_Toc30361"/>
      <w:bookmarkStart w:id="4735" w:name="_Toc8667"/>
      <w:bookmarkStart w:id="4736" w:name="_Toc22281"/>
      <w:bookmarkStart w:id="4737" w:name="_Toc19064"/>
      <w:bookmarkStart w:id="4738" w:name="_Toc29152"/>
      <w:bookmarkStart w:id="4739" w:name="_Toc25129"/>
      <w:r>
        <w:rPr>
          <w:rFonts w:hint="eastAsia" w:cs="仿宋_GB2312"/>
          <w:bCs/>
          <w:color w:val="000000" w:themeColor="text1"/>
          <w14:textFill>
            <w14:solidFill>
              <w14:schemeClr w14:val="tx1"/>
            </w14:solidFill>
          </w14:textFill>
        </w:rPr>
        <w:t>第三百七十六条 血站采集冒名顶替者、健康检查不合格者血液以及超量、频繁采集血液的</w:t>
      </w:r>
      <w:bookmarkEnd w:id="4729"/>
      <w:bookmarkEnd w:id="4730"/>
      <w:bookmarkEnd w:id="4731"/>
      <w:bookmarkEnd w:id="4732"/>
      <w:bookmarkEnd w:id="4733"/>
      <w:bookmarkEnd w:id="4734"/>
      <w:bookmarkEnd w:id="4735"/>
      <w:bookmarkEnd w:id="4736"/>
      <w:bookmarkEnd w:id="4737"/>
      <w:bookmarkEnd w:id="4738"/>
      <w:bookmarkEnd w:id="4739"/>
    </w:p>
    <w:p w14:paraId="0DD3F8F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6B2F52F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《血站管理办法》第六十一条第（六）项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1A66AA5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（六）采集冒名顶替者、健康检查不合格者血液以及超量、频繁采集血液的；</w:t>
      </w:r>
    </w:p>
    <w:p w14:paraId="5E3FC8B8">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7B2A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9C80EC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1F51C26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2E35661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9E2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13BA0C0">
            <w:pPr>
              <w:widowControl w:val="0"/>
              <w:adjustRightInd/>
              <w:snapToGrid/>
              <w:spacing w:after="0"/>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3DAF3EB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血站采集冒名顶替者、健康检查不合格者血液以及超量、频繁采集血液的。</w:t>
            </w:r>
          </w:p>
        </w:tc>
        <w:tc>
          <w:tcPr>
            <w:tcW w:w="7139" w:type="dxa"/>
            <w:vAlign w:val="center"/>
          </w:tcPr>
          <w:p w14:paraId="768D8C0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31D33F05">
      <w:pPr>
        <w:pStyle w:val="4"/>
        <w:widowControl w:val="0"/>
        <w:ind w:firstLine="640"/>
        <w:jc w:val="both"/>
        <w:rPr>
          <w:rFonts w:hint="eastAsia" w:cs="仿宋_GB2312"/>
          <w:bCs/>
          <w:color w:val="000000" w:themeColor="text1"/>
          <w14:textFill>
            <w14:solidFill>
              <w14:schemeClr w14:val="tx1"/>
            </w14:solidFill>
          </w14:textFill>
        </w:rPr>
      </w:pPr>
      <w:bookmarkStart w:id="4740" w:name="_Toc6737"/>
      <w:bookmarkStart w:id="4741" w:name="_Toc12009"/>
      <w:bookmarkStart w:id="4742" w:name="_Toc17196"/>
      <w:bookmarkStart w:id="4743" w:name="_Toc30837"/>
      <w:bookmarkStart w:id="4744" w:name="_Toc3431"/>
      <w:bookmarkStart w:id="4745" w:name="_Toc8440"/>
      <w:bookmarkStart w:id="4746" w:name="_Toc23545"/>
      <w:bookmarkStart w:id="4747" w:name="_Toc21913"/>
      <w:bookmarkStart w:id="4748" w:name="_Toc28177"/>
      <w:bookmarkStart w:id="4749" w:name="_Toc5710"/>
      <w:bookmarkStart w:id="4750" w:name="_Toc19422"/>
      <w:r>
        <w:rPr>
          <w:rFonts w:hint="eastAsia" w:cs="仿宋_GB2312"/>
          <w:bCs/>
          <w:color w:val="000000" w:themeColor="text1"/>
          <w14:textFill>
            <w14:solidFill>
              <w14:schemeClr w14:val="tx1"/>
            </w14:solidFill>
          </w14:textFill>
        </w:rPr>
        <w:t>第三百七十七条 血站违反输血技术操作规程、有关质量规范和标准的</w:t>
      </w:r>
      <w:bookmarkEnd w:id="4740"/>
      <w:bookmarkEnd w:id="4741"/>
      <w:bookmarkEnd w:id="4742"/>
      <w:bookmarkEnd w:id="4743"/>
      <w:bookmarkEnd w:id="4744"/>
      <w:bookmarkEnd w:id="4745"/>
      <w:bookmarkEnd w:id="4746"/>
      <w:bookmarkEnd w:id="4747"/>
      <w:bookmarkEnd w:id="4748"/>
      <w:bookmarkEnd w:id="4749"/>
      <w:bookmarkEnd w:id="4750"/>
    </w:p>
    <w:p w14:paraId="4C1D5A4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0BD3969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血站管理办法》第六十一条第（七）项</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3F529DA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（七）违反输血技术操作规程、有关质量规范和标准的； </w:t>
      </w:r>
    </w:p>
    <w:p w14:paraId="31F14B1B">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76F2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84D0C4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2701462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4B7F0B1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7E6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26CC7CE">
            <w:pPr>
              <w:widowControl w:val="0"/>
              <w:adjustRightInd/>
              <w:snapToGrid/>
              <w:spacing w:after="0"/>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6364E1F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血站违反输血技术操作规程、有关质量规范和标准的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tc>
        <w:tc>
          <w:tcPr>
            <w:tcW w:w="7139" w:type="dxa"/>
            <w:vAlign w:val="center"/>
          </w:tcPr>
          <w:p w14:paraId="7201C2B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1FFE1951">
      <w:pPr>
        <w:pStyle w:val="4"/>
        <w:widowControl w:val="0"/>
        <w:ind w:firstLine="640"/>
        <w:jc w:val="both"/>
        <w:rPr>
          <w:rFonts w:hint="eastAsia" w:cs="仿宋_GB2312"/>
          <w:bCs/>
          <w:color w:val="000000" w:themeColor="text1"/>
          <w14:textFill>
            <w14:solidFill>
              <w14:schemeClr w14:val="tx1"/>
            </w14:solidFill>
          </w14:textFill>
        </w:rPr>
      </w:pPr>
      <w:bookmarkStart w:id="4751" w:name="_Toc23882"/>
      <w:bookmarkStart w:id="4752" w:name="_Toc8503"/>
      <w:bookmarkStart w:id="4753" w:name="_Toc23235"/>
      <w:bookmarkStart w:id="4754" w:name="_Toc7743"/>
      <w:bookmarkStart w:id="4755" w:name="_Toc4424"/>
      <w:bookmarkStart w:id="4756" w:name="_Toc30185"/>
      <w:bookmarkStart w:id="4757" w:name="_Toc14458"/>
      <w:bookmarkStart w:id="4758" w:name="_Toc28861"/>
      <w:bookmarkStart w:id="4759" w:name="_Toc30806"/>
      <w:bookmarkStart w:id="4760" w:name="_Toc8007"/>
      <w:bookmarkStart w:id="4761" w:name="_Toc2521"/>
      <w:r>
        <w:rPr>
          <w:rFonts w:hint="eastAsia" w:cs="仿宋_GB2312"/>
          <w:bCs/>
          <w:color w:val="000000" w:themeColor="text1"/>
          <w14:textFill>
            <w14:solidFill>
              <w14:schemeClr w14:val="tx1"/>
            </w14:solidFill>
          </w14:textFill>
        </w:rPr>
        <w:t>第三百七十八条 血站采血前未向献血者、特殊血液成分捐赠者履行规定的告知义务的</w:t>
      </w:r>
      <w:bookmarkEnd w:id="4751"/>
      <w:bookmarkEnd w:id="4752"/>
      <w:bookmarkEnd w:id="4753"/>
      <w:bookmarkEnd w:id="4754"/>
      <w:bookmarkEnd w:id="4755"/>
      <w:bookmarkEnd w:id="4756"/>
      <w:bookmarkEnd w:id="4757"/>
      <w:bookmarkEnd w:id="4758"/>
      <w:bookmarkEnd w:id="4759"/>
      <w:bookmarkEnd w:id="4760"/>
      <w:bookmarkEnd w:id="4761"/>
    </w:p>
    <w:p w14:paraId="565F28E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02CD540A">
      <w:pPr>
        <w:widowControl w:val="0"/>
        <w:adjustRightInd/>
        <w:snapToGrid/>
        <w:spacing w:after="0" w:line="440" w:lineRule="exact"/>
        <w:ind w:firstLine="640"/>
        <w:jc w:val="both"/>
        <w:rPr>
          <w:rFonts w:hint="eastAsia" w:ascii="Times New Roman" w:hAnsi="Times New Roman" w:eastAsia="仿宋_GB2312" w:cs="仿宋_GB2312"/>
          <w:color w:val="000000" w:themeColor="text1"/>
          <w:spacing w:val="-6"/>
          <w:kern w:val="2"/>
          <w:sz w:val="32"/>
          <w:szCs w:val="32"/>
          <w14:textFill>
            <w14:solidFill>
              <w14:schemeClr w14:val="tx1"/>
            </w14:solidFill>
          </w14:textFill>
        </w:rPr>
      </w:pP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《血站管理办法》第六十一条第（八）项</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2183485E">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（八）采血前未</w:t>
      </w:r>
      <w:r>
        <w:rPr>
          <w:rFonts w:hint="eastAsia" w:ascii="Times New Roman" w:hAnsi="Times New Roman" w:eastAsia="仿宋_GB2312" w:cs="仿宋"/>
          <w:color w:val="000000" w:themeColor="text1"/>
          <w:sz w:val="32"/>
          <w:szCs w:val="32"/>
          <w14:textFill>
            <w14:solidFill>
              <w14:schemeClr w14:val="tx1"/>
            </w14:solidFill>
          </w14:textFill>
        </w:rPr>
        <w:t>向献血者、特殊血液成分捐赠者履行规定的告知义务的；</w:t>
      </w:r>
    </w:p>
    <w:p w14:paraId="515EF8B6">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38F4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1A5C99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7481937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64377D3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B3E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1442A76">
            <w:pPr>
              <w:widowControl w:val="0"/>
              <w:adjustRightInd/>
              <w:snapToGrid/>
              <w:spacing w:after="0"/>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3ABB66E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血站采血前未向献血者、特殊血液成分捐赠者履行规定的告知义务的。</w:t>
            </w:r>
          </w:p>
        </w:tc>
        <w:tc>
          <w:tcPr>
            <w:tcW w:w="7139" w:type="dxa"/>
            <w:vAlign w:val="center"/>
          </w:tcPr>
          <w:p w14:paraId="734CDBC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7C885500">
      <w:pPr>
        <w:pStyle w:val="4"/>
        <w:widowControl w:val="0"/>
        <w:ind w:firstLine="964" w:firstLineChars="300"/>
        <w:jc w:val="both"/>
        <w:rPr>
          <w:rFonts w:hint="eastAsia" w:cs="仿宋_GB2312"/>
          <w:bCs/>
          <w:color w:val="000000" w:themeColor="text1"/>
          <w14:textFill>
            <w14:solidFill>
              <w14:schemeClr w14:val="tx1"/>
            </w14:solidFill>
          </w14:textFill>
        </w:rPr>
      </w:pPr>
      <w:bookmarkStart w:id="4762" w:name="_Toc25900"/>
      <w:bookmarkStart w:id="4763" w:name="_Toc27466"/>
      <w:bookmarkStart w:id="4764" w:name="_Toc8228"/>
      <w:bookmarkStart w:id="4765" w:name="_Toc29828"/>
      <w:bookmarkStart w:id="4766" w:name="_Toc12601"/>
      <w:bookmarkStart w:id="4767" w:name="_Toc22803"/>
      <w:bookmarkStart w:id="4768" w:name="_Toc5498"/>
      <w:bookmarkStart w:id="4769" w:name="_Toc13959"/>
      <w:bookmarkStart w:id="4770" w:name="_Toc6596"/>
      <w:bookmarkStart w:id="4771" w:name="_Toc13629"/>
      <w:bookmarkStart w:id="4772" w:name="_Toc10822"/>
      <w:r>
        <w:rPr>
          <w:rFonts w:hint="eastAsia" w:cs="仿宋_GB2312"/>
          <w:bCs/>
          <w:color w:val="000000" w:themeColor="text1"/>
          <w14:textFill>
            <w14:solidFill>
              <w14:schemeClr w14:val="tx1"/>
            </w14:solidFill>
          </w14:textFill>
        </w:rPr>
        <w:t>第三百七十九条 血站擅自涂改、毁损或者不按规定保存工作记录的</w:t>
      </w:r>
      <w:bookmarkEnd w:id="4762"/>
      <w:bookmarkEnd w:id="4763"/>
      <w:bookmarkEnd w:id="4764"/>
      <w:bookmarkEnd w:id="4765"/>
      <w:bookmarkEnd w:id="4766"/>
      <w:bookmarkEnd w:id="4767"/>
      <w:bookmarkEnd w:id="4768"/>
      <w:bookmarkEnd w:id="4769"/>
      <w:bookmarkEnd w:id="4770"/>
      <w:bookmarkEnd w:id="4771"/>
      <w:bookmarkEnd w:id="4772"/>
    </w:p>
    <w:p w14:paraId="7523EB0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4483D4E8">
      <w:pPr>
        <w:widowControl w:val="0"/>
        <w:adjustRightInd/>
        <w:snapToGrid/>
        <w:spacing w:after="0" w:line="440" w:lineRule="exact"/>
        <w:ind w:firstLine="640"/>
        <w:jc w:val="both"/>
        <w:rPr>
          <w:rFonts w:hint="eastAsia" w:ascii="Times New Roman" w:hAnsi="Times New Roman" w:eastAsia="仿宋_GB2312" w:cs="仿宋_GB2312"/>
          <w:color w:val="000000" w:themeColor="text1"/>
          <w:spacing w:val="-6"/>
          <w:kern w:val="2"/>
          <w:sz w:val="32"/>
          <w:szCs w:val="32"/>
          <w14:textFill>
            <w14:solidFill>
              <w14:schemeClr w14:val="tx1"/>
            </w14:solidFill>
          </w14:textFill>
        </w:rPr>
      </w:pP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《血站管理办法》第六十一条第（九）项</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680DABE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（九）擅自涂改、毁损或者不按规定保存工作记录的；</w:t>
      </w:r>
    </w:p>
    <w:p w14:paraId="7CBC4FF1">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135C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155FFA0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15C141A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59C62E6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3B2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440" w:type="dxa"/>
            <w:vAlign w:val="center"/>
          </w:tcPr>
          <w:p w14:paraId="35FFD3AC">
            <w:pPr>
              <w:widowControl w:val="0"/>
              <w:adjustRightInd/>
              <w:snapToGrid/>
              <w:spacing w:after="0"/>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1B68F05A">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血站擅自涂改、毁损或者不按规定保存工作记录的。</w:t>
            </w:r>
          </w:p>
        </w:tc>
        <w:tc>
          <w:tcPr>
            <w:tcW w:w="7139" w:type="dxa"/>
            <w:vAlign w:val="center"/>
          </w:tcPr>
          <w:p w14:paraId="4722926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由县级以上地方人民政府卫生行政部门予以警告、责令改正。 </w:t>
            </w:r>
          </w:p>
        </w:tc>
      </w:tr>
    </w:tbl>
    <w:p w14:paraId="479E22A4">
      <w:pPr>
        <w:pStyle w:val="4"/>
        <w:widowControl w:val="0"/>
        <w:ind w:firstLine="640"/>
        <w:jc w:val="both"/>
        <w:rPr>
          <w:rFonts w:hint="eastAsia" w:cs="仿宋_GB2312"/>
          <w:bCs/>
          <w:color w:val="000000" w:themeColor="text1"/>
          <w14:textFill>
            <w14:solidFill>
              <w14:schemeClr w14:val="tx1"/>
            </w14:solidFill>
          </w14:textFill>
        </w:rPr>
      </w:pPr>
      <w:bookmarkStart w:id="4773" w:name="_Toc19171"/>
      <w:bookmarkStart w:id="4774" w:name="_Toc24850"/>
      <w:bookmarkStart w:id="4775" w:name="_Toc24663"/>
      <w:bookmarkStart w:id="4776" w:name="_Toc16780"/>
      <w:bookmarkStart w:id="4777" w:name="_Toc27381"/>
      <w:bookmarkStart w:id="4778" w:name="_Toc19904"/>
      <w:bookmarkStart w:id="4779" w:name="_Toc20359"/>
      <w:bookmarkStart w:id="4780" w:name="_Toc11805"/>
      <w:bookmarkStart w:id="4781" w:name="_Toc4766"/>
      <w:bookmarkStart w:id="4782" w:name="_Toc16885"/>
      <w:bookmarkStart w:id="4783" w:name="_Toc18674"/>
      <w:r>
        <w:rPr>
          <w:rFonts w:hint="eastAsia" w:cs="仿宋_GB2312"/>
          <w:bCs/>
          <w:color w:val="000000" w:themeColor="text1"/>
          <w14:textFill>
            <w14:solidFill>
              <w14:schemeClr w14:val="tx1"/>
            </w14:solidFill>
          </w14:textFill>
        </w:rPr>
        <w:t>第三百八十条 血站使用的药品、体外诊断试剂、一次性卫生器材不符合国家有关规定的</w:t>
      </w:r>
      <w:bookmarkEnd w:id="4773"/>
      <w:bookmarkEnd w:id="4774"/>
      <w:bookmarkEnd w:id="4775"/>
      <w:bookmarkEnd w:id="4776"/>
      <w:bookmarkEnd w:id="4777"/>
      <w:bookmarkEnd w:id="4778"/>
      <w:bookmarkEnd w:id="4779"/>
      <w:bookmarkEnd w:id="4780"/>
      <w:bookmarkEnd w:id="4781"/>
      <w:bookmarkEnd w:id="4782"/>
      <w:bookmarkEnd w:id="4783"/>
    </w:p>
    <w:p w14:paraId="7FAA4C2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1F50B1C5">
      <w:pPr>
        <w:widowControl w:val="0"/>
        <w:adjustRightInd/>
        <w:snapToGrid/>
        <w:spacing w:after="0" w:line="440" w:lineRule="exact"/>
        <w:ind w:firstLine="640"/>
        <w:jc w:val="both"/>
        <w:rPr>
          <w:rFonts w:hint="eastAsia" w:ascii="Times New Roman" w:hAnsi="Times New Roman" w:eastAsia="仿宋_GB2312" w:cs="仿宋_GB2312"/>
          <w:color w:val="000000" w:themeColor="text1"/>
          <w:spacing w:val="-6"/>
          <w:kern w:val="2"/>
          <w:sz w:val="32"/>
          <w:szCs w:val="32"/>
          <w14:textFill>
            <w14:solidFill>
              <w14:schemeClr w14:val="tx1"/>
            </w14:solidFill>
          </w14:textFill>
        </w:rPr>
      </w:pP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《血站管理办法》第六十一条第（十）项</w:t>
      </w:r>
      <w:r>
        <w:rPr>
          <w:rFonts w:hint="eastAsia" w:ascii="Times New Roman" w:hAnsi="Times New Roman" w:eastAsia="仿宋_GB2312" w:cs="仿宋_GB2312"/>
          <w:color w:val="000000" w:themeColor="text1"/>
          <w:spacing w:val="-6"/>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410345D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（十）使用的药品、体外诊断试剂、一次性卫生器材不符合国家有关规定的；</w:t>
      </w:r>
    </w:p>
    <w:p w14:paraId="4D7BC996">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548"/>
        <w:gridCol w:w="6186"/>
      </w:tblGrid>
      <w:tr w14:paraId="7E38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1A79BE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548" w:type="dxa"/>
            <w:vAlign w:val="center"/>
          </w:tcPr>
          <w:p w14:paraId="4BDD0A8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186" w:type="dxa"/>
            <w:vAlign w:val="center"/>
          </w:tcPr>
          <w:p w14:paraId="6586FD8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740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E62477E">
            <w:pPr>
              <w:widowControl w:val="0"/>
              <w:adjustRightInd/>
              <w:snapToGrid/>
              <w:spacing w:after="0"/>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548" w:type="dxa"/>
          </w:tcPr>
          <w:p w14:paraId="1DBA80B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血站使用的药品、体外诊断试剂、一次性卫生器材不符合国家有关规定的。</w:t>
            </w:r>
          </w:p>
        </w:tc>
        <w:tc>
          <w:tcPr>
            <w:tcW w:w="6186" w:type="dxa"/>
          </w:tcPr>
          <w:p w14:paraId="377DB73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47A7D3D2">
      <w:pPr>
        <w:pStyle w:val="4"/>
        <w:widowControl w:val="0"/>
        <w:ind w:firstLine="640"/>
        <w:jc w:val="both"/>
        <w:rPr>
          <w:rFonts w:hint="eastAsia" w:cs="仿宋_GB2312"/>
          <w:bCs/>
          <w:color w:val="000000" w:themeColor="text1"/>
          <w14:textFill>
            <w14:solidFill>
              <w14:schemeClr w14:val="tx1"/>
            </w14:solidFill>
          </w14:textFill>
        </w:rPr>
      </w:pPr>
      <w:bookmarkStart w:id="4784" w:name="_Toc9576"/>
      <w:bookmarkStart w:id="4785" w:name="_Toc15640"/>
      <w:bookmarkStart w:id="4786" w:name="_Toc14267"/>
      <w:bookmarkStart w:id="4787" w:name="_Toc19060"/>
      <w:bookmarkStart w:id="4788" w:name="_Toc13169"/>
      <w:bookmarkStart w:id="4789" w:name="_Toc20448"/>
      <w:bookmarkStart w:id="4790" w:name="_Toc25965"/>
      <w:bookmarkStart w:id="4791" w:name="_Toc16810"/>
      <w:bookmarkStart w:id="4792" w:name="_Toc13504"/>
      <w:bookmarkStart w:id="4793" w:name="_Toc51"/>
      <w:bookmarkStart w:id="4794" w:name="_Toc32403"/>
      <w:r>
        <w:rPr>
          <w:rFonts w:hint="eastAsia" w:cs="仿宋_GB2312"/>
          <w:bCs/>
          <w:color w:val="000000" w:themeColor="text1"/>
          <w14:textFill>
            <w14:solidFill>
              <w14:schemeClr w14:val="tx1"/>
            </w14:solidFill>
          </w14:textFill>
        </w:rPr>
        <w:t>第三百八十一条 血站重复使用一次性卫生器材的</w:t>
      </w:r>
      <w:bookmarkEnd w:id="4784"/>
      <w:bookmarkEnd w:id="4785"/>
      <w:bookmarkEnd w:id="4786"/>
      <w:bookmarkEnd w:id="4787"/>
      <w:bookmarkEnd w:id="4788"/>
      <w:bookmarkEnd w:id="4789"/>
      <w:bookmarkEnd w:id="4790"/>
      <w:bookmarkEnd w:id="4791"/>
      <w:bookmarkEnd w:id="4792"/>
      <w:bookmarkEnd w:id="4793"/>
      <w:bookmarkEnd w:id="4794"/>
      <w:r>
        <w:rPr>
          <w:rFonts w:hint="eastAsia" w:cs="仿宋_GB2312"/>
          <w:bCs/>
          <w:color w:val="000000" w:themeColor="text1"/>
          <w14:textFill>
            <w14:solidFill>
              <w14:schemeClr w14:val="tx1"/>
            </w14:solidFill>
          </w14:textFill>
        </w:rPr>
        <w:t xml:space="preserve"> </w:t>
      </w:r>
    </w:p>
    <w:p w14:paraId="70239F3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426ECCA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《血站管理办法》第六十一条第（十一）项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2B953AF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（十一）重复使用一次性卫生器材的；</w:t>
      </w:r>
    </w:p>
    <w:p w14:paraId="3007014D">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06B8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8A8047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4AF4B17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063880E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DD2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0" w:type="dxa"/>
            <w:vAlign w:val="center"/>
          </w:tcPr>
          <w:p w14:paraId="7FC7CF92">
            <w:pPr>
              <w:widowControl w:val="0"/>
              <w:adjustRightInd/>
              <w:snapToGrid/>
              <w:spacing w:after="0"/>
              <w:jc w:val="center"/>
              <w:rPr>
                <w:rFonts w:hint="eastAsia" w:ascii="Times New Roman" w:hAnsi="Times New Roman" w:eastAsia="仿宋" w:cs="仿宋"/>
                <w:b/>
                <w:bCs/>
                <w:color w:val="000000" w:themeColor="text1"/>
                <w:kern w:val="2"/>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31A0787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血站重复使用一次性卫生器材的。</w:t>
            </w:r>
          </w:p>
        </w:tc>
        <w:tc>
          <w:tcPr>
            <w:tcW w:w="7139" w:type="dxa"/>
            <w:vAlign w:val="center"/>
          </w:tcPr>
          <w:p w14:paraId="3BD8F12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7E6CEE98">
      <w:pPr>
        <w:pStyle w:val="4"/>
        <w:widowControl w:val="0"/>
        <w:ind w:firstLine="640"/>
        <w:jc w:val="both"/>
        <w:rPr>
          <w:rFonts w:hint="eastAsia" w:cs="仿宋_GB2312"/>
          <w:bCs/>
          <w:color w:val="000000" w:themeColor="text1"/>
          <w14:textFill>
            <w14:solidFill>
              <w14:schemeClr w14:val="tx1"/>
            </w14:solidFill>
          </w14:textFill>
        </w:rPr>
      </w:pPr>
      <w:bookmarkStart w:id="4795" w:name="_Toc23471"/>
      <w:bookmarkStart w:id="4796" w:name="_Toc10603"/>
      <w:bookmarkStart w:id="4797" w:name="_Toc9196"/>
      <w:bookmarkStart w:id="4798" w:name="_Toc28744"/>
      <w:bookmarkStart w:id="4799" w:name="_Toc32489"/>
      <w:bookmarkStart w:id="4800" w:name="_Toc21992"/>
      <w:bookmarkStart w:id="4801" w:name="_Toc22995"/>
      <w:bookmarkStart w:id="4802" w:name="_Toc25114"/>
      <w:bookmarkStart w:id="4803" w:name="_Toc25541"/>
      <w:bookmarkStart w:id="4804" w:name="_Toc8280"/>
      <w:bookmarkStart w:id="4805" w:name="_Toc839"/>
      <w:r>
        <w:rPr>
          <w:rFonts w:hint="eastAsia" w:cs="仿宋_GB2312"/>
          <w:bCs/>
          <w:color w:val="000000" w:themeColor="text1"/>
          <w14:textFill>
            <w14:solidFill>
              <w14:schemeClr w14:val="tx1"/>
            </w14:solidFill>
          </w14:textFill>
        </w:rPr>
        <w:t>第三百八十二条 血站对检测不合格或者报废的血液，未按有关规定处理的</w:t>
      </w:r>
      <w:bookmarkEnd w:id="4795"/>
      <w:bookmarkEnd w:id="4796"/>
      <w:bookmarkEnd w:id="4797"/>
      <w:bookmarkEnd w:id="4798"/>
      <w:bookmarkEnd w:id="4799"/>
      <w:bookmarkEnd w:id="4800"/>
      <w:bookmarkEnd w:id="4801"/>
      <w:bookmarkEnd w:id="4802"/>
      <w:bookmarkEnd w:id="4803"/>
      <w:bookmarkEnd w:id="4804"/>
      <w:bookmarkEnd w:id="4805"/>
    </w:p>
    <w:p w14:paraId="20C4A22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3CC7530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《血站管理办法》第六十一条第（十二）项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1EC1908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（十二）对检测不合格或者报废的血液，未按有关规定处理的；</w:t>
      </w:r>
    </w:p>
    <w:p w14:paraId="7C3AACE3">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323"/>
        <w:gridCol w:w="6411"/>
      </w:tblGrid>
      <w:tr w14:paraId="64CD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226AE0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23" w:type="dxa"/>
            <w:vAlign w:val="center"/>
          </w:tcPr>
          <w:p w14:paraId="566396F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411" w:type="dxa"/>
            <w:vAlign w:val="center"/>
          </w:tcPr>
          <w:p w14:paraId="26F9B1F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2FE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440" w:type="dxa"/>
            <w:vAlign w:val="center"/>
          </w:tcPr>
          <w:p w14:paraId="715BD3C0">
            <w:pPr>
              <w:widowControl w:val="0"/>
              <w:adjustRightInd/>
              <w:snapToGrid/>
              <w:spacing w:after="0"/>
              <w:jc w:val="center"/>
              <w:rPr>
                <w:rFonts w:hint="eastAsia" w:ascii="Times New Roman" w:hAnsi="Times New Roman" w:eastAsia="仿宋" w:cs="仿宋"/>
                <w:b/>
                <w:bCs/>
                <w:color w:val="000000" w:themeColor="text1"/>
                <w:kern w:val="2"/>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323" w:type="dxa"/>
            <w:vAlign w:val="center"/>
          </w:tcPr>
          <w:p w14:paraId="3DCE965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血站对检测不合格或者报废的血液，未按有关规定处理的。</w:t>
            </w:r>
          </w:p>
        </w:tc>
        <w:tc>
          <w:tcPr>
            <w:tcW w:w="6411" w:type="dxa"/>
            <w:vAlign w:val="center"/>
          </w:tcPr>
          <w:p w14:paraId="6A1F0DC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72063F24">
      <w:pPr>
        <w:pStyle w:val="4"/>
        <w:widowControl w:val="0"/>
        <w:ind w:firstLine="640"/>
        <w:jc w:val="both"/>
        <w:rPr>
          <w:rFonts w:hint="eastAsia" w:cs="仿宋_GB2312"/>
          <w:bCs/>
          <w:color w:val="000000" w:themeColor="text1"/>
          <w14:textFill>
            <w14:solidFill>
              <w14:schemeClr w14:val="tx1"/>
            </w14:solidFill>
          </w14:textFill>
        </w:rPr>
      </w:pPr>
      <w:bookmarkStart w:id="4806" w:name="_Toc22181"/>
      <w:bookmarkStart w:id="4807" w:name="_Toc16274"/>
      <w:bookmarkStart w:id="4808" w:name="_Toc29205"/>
      <w:bookmarkStart w:id="4809" w:name="_Toc18529"/>
      <w:bookmarkStart w:id="4810" w:name="_Toc25428"/>
      <w:bookmarkStart w:id="4811" w:name="_Toc21840"/>
      <w:bookmarkStart w:id="4812" w:name="_Toc29062"/>
      <w:bookmarkStart w:id="4813" w:name="_Toc24070"/>
      <w:bookmarkStart w:id="4814" w:name="_Toc14745"/>
      <w:bookmarkStart w:id="4815" w:name="_Toc27067"/>
      <w:bookmarkStart w:id="4816" w:name="_Toc22885"/>
      <w:r>
        <w:rPr>
          <w:rFonts w:hint="eastAsia" w:cs="仿宋_GB2312"/>
          <w:bCs/>
          <w:color w:val="000000" w:themeColor="text1"/>
          <w14:textFill>
            <w14:solidFill>
              <w14:schemeClr w14:val="tx1"/>
            </w14:solidFill>
          </w14:textFill>
        </w:rPr>
        <w:t>第三百八十三条 血站未经批准擅自与外省、自治区、直辖市调配血液的</w:t>
      </w:r>
      <w:bookmarkEnd w:id="4806"/>
      <w:bookmarkEnd w:id="4807"/>
      <w:bookmarkEnd w:id="4808"/>
      <w:bookmarkEnd w:id="4809"/>
      <w:bookmarkEnd w:id="4810"/>
      <w:bookmarkEnd w:id="4811"/>
      <w:bookmarkEnd w:id="4812"/>
      <w:bookmarkEnd w:id="4813"/>
      <w:bookmarkEnd w:id="4814"/>
      <w:bookmarkEnd w:id="4815"/>
      <w:bookmarkEnd w:id="4816"/>
      <w:r>
        <w:rPr>
          <w:rFonts w:hint="eastAsia" w:cs="仿宋_GB2312"/>
          <w:bCs/>
          <w:color w:val="000000" w:themeColor="text1"/>
          <w14:textFill>
            <w14:solidFill>
              <w14:schemeClr w14:val="tx1"/>
            </w14:solidFill>
          </w14:textFill>
        </w:rPr>
        <w:t xml:space="preserve"> </w:t>
      </w:r>
    </w:p>
    <w:p w14:paraId="509A505F">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6F09AA2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《血站管理办法》第六十一条第（十三）项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30172C7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（十三）未经批准擅自与外省、自治区、直辖市调配血液的； </w:t>
      </w:r>
    </w:p>
    <w:p w14:paraId="1E0F3724">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181"/>
        <w:gridCol w:w="6553"/>
      </w:tblGrid>
      <w:tr w14:paraId="55D8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0E4BDC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181" w:type="dxa"/>
            <w:vAlign w:val="center"/>
          </w:tcPr>
          <w:p w14:paraId="7DFEB2A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553" w:type="dxa"/>
            <w:vAlign w:val="center"/>
          </w:tcPr>
          <w:p w14:paraId="7AEC57C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F03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440" w:type="dxa"/>
            <w:vAlign w:val="center"/>
          </w:tcPr>
          <w:p w14:paraId="5FB41475">
            <w:pPr>
              <w:widowControl w:val="0"/>
              <w:adjustRightInd/>
              <w:snapToGrid/>
              <w:spacing w:after="0"/>
              <w:jc w:val="center"/>
              <w:rPr>
                <w:rFonts w:hint="eastAsia" w:ascii="Times New Roman" w:hAnsi="Times New Roman" w:eastAsia="仿宋" w:cs="仿宋"/>
                <w:b/>
                <w:bCs/>
                <w:color w:val="000000" w:themeColor="text1"/>
                <w:kern w:val="2"/>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181" w:type="dxa"/>
            <w:vAlign w:val="center"/>
          </w:tcPr>
          <w:p w14:paraId="39E9619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血站未经批准擅自与外省、自治区、直辖市调配血液的。</w:t>
            </w:r>
          </w:p>
        </w:tc>
        <w:tc>
          <w:tcPr>
            <w:tcW w:w="6553" w:type="dxa"/>
            <w:vAlign w:val="center"/>
          </w:tcPr>
          <w:p w14:paraId="4910A6A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419E5D4F">
      <w:pPr>
        <w:pStyle w:val="4"/>
        <w:widowControl w:val="0"/>
        <w:ind w:firstLine="640"/>
        <w:jc w:val="both"/>
        <w:rPr>
          <w:rFonts w:hint="eastAsia" w:cs="仿宋_GB2312"/>
          <w:bCs/>
          <w:color w:val="000000" w:themeColor="text1"/>
          <w14:textFill>
            <w14:solidFill>
              <w14:schemeClr w14:val="tx1"/>
            </w14:solidFill>
          </w14:textFill>
        </w:rPr>
      </w:pPr>
      <w:bookmarkStart w:id="4817" w:name="_Toc14575"/>
      <w:bookmarkStart w:id="4818" w:name="_Toc27180"/>
      <w:bookmarkStart w:id="4819" w:name="_Toc27213"/>
      <w:bookmarkStart w:id="4820" w:name="_Toc30300"/>
      <w:bookmarkStart w:id="4821" w:name="_Toc4709"/>
      <w:bookmarkStart w:id="4822" w:name="_Toc11688"/>
      <w:bookmarkStart w:id="4823" w:name="_Toc21080"/>
      <w:bookmarkStart w:id="4824" w:name="_Toc13137"/>
      <w:bookmarkStart w:id="4825" w:name="_Toc25856"/>
      <w:bookmarkStart w:id="4826" w:name="_Toc2588"/>
      <w:bookmarkStart w:id="4827" w:name="_Toc21832"/>
      <w:r>
        <w:rPr>
          <w:rFonts w:hint="eastAsia" w:cs="仿宋_GB2312"/>
          <w:bCs/>
          <w:color w:val="000000" w:themeColor="text1"/>
          <w14:textFill>
            <w14:solidFill>
              <w14:schemeClr w14:val="tx1"/>
            </w14:solidFill>
          </w14:textFill>
        </w:rPr>
        <w:t>第三百八十四条 血站未经批准向境外医疗机构提供血液或者特殊血液成分的</w:t>
      </w:r>
      <w:bookmarkEnd w:id="4817"/>
      <w:bookmarkEnd w:id="4818"/>
      <w:bookmarkEnd w:id="4819"/>
      <w:bookmarkEnd w:id="4820"/>
      <w:bookmarkEnd w:id="4821"/>
      <w:bookmarkEnd w:id="4822"/>
      <w:bookmarkEnd w:id="4823"/>
      <w:bookmarkEnd w:id="4824"/>
      <w:bookmarkEnd w:id="4825"/>
      <w:bookmarkEnd w:id="4826"/>
      <w:bookmarkEnd w:id="4827"/>
      <w:r>
        <w:rPr>
          <w:rFonts w:hint="eastAsia" w:cs="仿宋_GB2312"/>
          <w:bCs/>
          <w:color w:val="000000" w:themeColor="text1"/>
          <w14:textFill>
            <w14:solidFill>
              <w14:schemeClr w14:val="tx1"/>
            </w14:solidFill>
          </w14:textFill>
        </w:rPr>
        <w:t xml:space="preserve"> </w:t>
      </w:r>
    </w:p>
    <w:p w14:paraId="513B150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135C7F6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《血站管理办法》第六十一条第（十四）项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十四）未经批准向境外医疗机构提供血液或者特殊血液成分的；</w:t>
      </w:r>
    </w:p>
    <w:p w14:paraId="137EC6C5">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7582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956A2E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2A165C1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4B77A2C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FDC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C612DEE">
            <w:pPr>
              <w:widowControl w:val="0"/>
              <w:adjustRightInd/>
              <w:snapToGrid/>
              <w:spacing w:after="0"/>
              <w:jc w:val="center"/>
              <w:rPr>
                <w:rFonts w:hint="eastAsia" w:ascii="Times New Roman" w:hAnsi="Times New Roman" w:eastAsia="仿宋" w:cs="仿宋"/>
                <w:b/>
                <w:bCs/>
                <w:color w:val="000000" w:themeColor="text1"/>
                <w:kern w:val="2"/>
                <w:sz w:val="28"/>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4AEFF26B">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血站未经批准向境外医疗机构提供血液或者特殊血液成分的。</w:t>
            </w:r>
          </w:p>
        </w:tc>
        <w:tc>
          <w:tcPr>
            <w:tcW w:w="7139" w:type="dxa"/>
            <w:vAlign w:val="center"/>
          </w:tcPr>
          <w:p w14:paraId="2A50EEA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5DD46C34">
      <w:pPr>
        <w:pStyle w:val="4"/>
        <w:widowControl w:val="0"/>
        <w:ind w:firstLine="640"/>
        <w:rPr>
          <w:color w:val="000000" w:themeColor="text1"/>
          <w14:textFill>
            <w14:solidFill>
              <w14:schemeClr w14:val="tx1"/>
            </w14:solidFill>
          </w14:textFill>
        </w:rPr>
      </w:pPr>
      <w:bookmarkStart w:id="4828" w:name="_Toc2597"/>
      <w:bookmarkStart w:id="4829" w:name="_Toc7570"/>
      <w:bookmarkStart w:id="4830" w:name="_Toc13997"/>
      <w:bookmarkStart w:id="4831" w:name="_Toc6707"/>
      <w:bookmarkStart w:id="4832" w:name="_Toc27755"/>
      <w:bookmarkStart w:id="4833" w:name="_Toc20335"/>
      <w:bookmarkStart w:id="4834" w:name="_Toc9766"/>
      <w:bookmarkStart w:id="4835" w:name="_Toc2756"/>
      <w:bookmarkStart w:id="4836" w:name="_Toc22494"/>
      <w:bookmarkStart w:id="4837" w:name="_Toc31458"/>
      <w:bookmarkStart w:id="4838" w:name="_Toc27407"/>
      <w:r>
        <w:rPr>
          <w:rFonts w:hint="eastAsia" w:cs="仿宋_GB2312"/>
          <w:bCs/>
          <w:color w:val="000000" w:themeColor="text1"/>
          <w14:textFill>
            <w14:solidFill>
              <w14:schemeClr w14:val="tx1"/>
            </w14:solidFill>
          </w14:textFill>
        </w:rPr>
        <w:t>第三百八十五条 血站未按规定保存血液标本的</w:t>
      </w:r>
      <w:bookmarkEnd w:id="4828"/>
      <w:bookmarkEnd w:id="4829"/>
      <w:bookmarkEnd w:id="4830"/>
      <w:bookmarkEnd w:id="4831"/>
      <w:bookmarkEnd w:id="4832"/>
      <w:bookmarkEnd w:id="4833"/>
      <w:bookmarkEnd w:id="4834"/>
      <w:bookmarkEnd w:id="4835"/>
      <w:bookmarkEnd w:id="4836"/>
      <w:bookmarkEnd w:id="4837"/>
      <w:bookmarkEnd w:id="4838"/>
      <w:r>
        <w:rPr>
          <w:rFonts w:hint="eastAsia"/>
          <w:color w:val="000000" w:themeColor="text1"/>
          <w14:textFill>
            <w14:solidFill>
              <w14:schemeClr w14:val="tx1"/>
            </w14:solidFill>
          </w14:textFill>
        </w:rPr>
        <w:t xml:space="preserve"> </w:t>
      </w:r>
    </w:p>
    <w:p w14:paraId="100E01D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573A423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《血站管理办法》第六十一条第（十五）项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1B684DF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（十五）未按规定保存血液标本的； </w:t>
      </w:r>
    </w:p>
    <w:p w14:paraId="499067C7">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3DED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18A4B0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498A601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7C8B34B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F70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40" w:type="dxa"/>
            <w:vAlign w:val="center"/>
          </w:tcPr>
          <w:p w14:paraId="5FB1B87C">
            <w:pPr>
              <w:widowControl w:val="0"/>
              <w:adjustRightInd/>
              <w:snapToGrid/>
              <w:spacing w:after="0"/>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18E8997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血站未按规定保存血液标本的。</w:t>
            </w:r>
          </w:p>
        </w:tc>
        <w:tc>
          <w:tcPr>
            <w:tcW w:w="7139" w:type="dxa"/>
            <w:vAlign w:val="center"/>
          </w:tcPr>
          <w:p w14:paraId="29C815B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54A2655F">
      <w:pPr>
        <w:pStyle w:val="4"/>
        <w:widowControl w:val="0"/>
        <w:ind w:firstLine="640"/>
        <w:jc w:val="both"/>
        <w:rPr>
          <w:rFonts w:hint="eastAsia" w:cs="仿宋_GB2312"/>
          <w:bCs/>
          <w:color w:val="000000" w:themeColor="text1"/>
          <w14:textFill>
            <w14:solidFill>
              <w14:schemeClr w14:val="tx1"/>
            </w14:solidFill>
          </w14:textFill>
        </w:rPr>
      </w:pPr>
      <w:bookmarkStart w:id="4839" w:name="_Toc4654"/>
      <w:bookmarkStart w:id="4840" w:name="_Toc24660"/>
      <w:bookmarkStart w:id="4841" w:name="_Toc15654"/>
      <w:bookmarkStart w:id="4842" w:name="_Toc20154"/>
      <w:bookmarkStart w:id="4843" w:name="_Toc17044"/>
      <w:bookmarkStart w:id="4844" w:name="_Toc22243"/>
      <w:bookmarkStart w:id="4845" w:name="_Toc18642"/>
      <w:bookmarkStart w:id="4846" w:name="_Toc29083"/>
      <w:bookmarkStart w:id="4847" w:name="_Toc20639"/>
      <w:bookmarkStart w:id="4848" w:name="_Toc7323"/>
      <w:bookmarkStart w:id="4849" w:name="_Toc8375"/>
      <w:r>
        <w:rPr>
          <w:rFonts w:hint="eastAsia" w:cs="仿宋_GB2312"/>
          <w:bCs/>
          <w:color w:val="000000" w:themeColor="text1"/>
          <w14:textFill>
            <w14:solidFill>
              <w14:schemeClr w14:val="tx1"/>
            </w14:solidFill>
          </w14:textFill>
        </w:rPr>
        <w:t>第三百八十六条 脐带血造血干细胞库等特殊血站违反有关技术规范的</w:t>
      </w:r>
      <w:bookmarkEnd w:id="4839"/>
      <w:bookmarkEnd w:id="4840"/>
      <w:bookmarkEnd w:id="4841"/>
      <w:bookmarkEnd w:id="4842"/>
      <w:bookmarkEnd w:id="4843"/>
      <w:bookmarkEnd w:id="4844"/>
      <w:bookmarkEnd w:id="4845"/>
      <w:bookmarkEnd w:id="4846"/>
      <w:bookmarkEnd w:id="4847"/>
      <w:bookmarkEnd w:id="4848"/>
      <w:bookmarkEnd w:id="4849"/>
    </w:p>
    <w:p w14:paraId="6609968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 ：</w:t>
      </w:r>
    </w:p>
    <w:p w14:paraId="2D53A26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《血站管理办法》第六十一条第（十六）项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血站有下列行为之一的，由县级以上地方人民政府卫生计生行政部门予以警告、责令改正；逾期不改正，或者造成经血液传播疾病发生，或者其他严重后果的，对负有责任的主管人员和其他直接负责人员，依法给予行政处分；构成犯罪的，依法追究刑事责任：</w:t>
      </w:r>
    </w:p>
    <w:p w14:paraId="38AEA323">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（十六）脐带血造血干细胞库等特</w:t>
      </w:r>
      <w:r>
        <w:rPr>
          <w:rFonts w:hint="eastAsia" w:ascii="Times New Roman" w:hAnsi="Times New Roman" w:eastAsia="仿宋_GB2312" w:cs="仿宋"/>
          <w:color w:val="000000" w:themeColor="text1"/>
          <w:sz w:val="32"/>
          <w:szCs w:val="32"/>
          <w14:textFill>
            <w14:solidFill>
              <w14:schemeClr w14:val="tx1"/>
            </w14:solidFill>
          </w14:textFill>
        </w:rPr>
        <w:t>殊血站违反有关技术规范的；</w:t>
      </w:r>
    </w:p>
    <w:p w14:paraId="6E0CF25D">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173"/>
        <w:gridCol w:w="6561"/>
      </w:tblGrid>
      <w:tr w14:paraId="04E2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440" w:type="dxa"/>
            <w:vAlign w:val="center"/>
          </w:tcPr>
          <w:p w14:paraId="0DBE6F2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173" w:type="dxa"/>
            <w:vAlign w:val="center"/>
          </w:tcPr>
          <w:p w14:paraId="40EA47D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561" w:type="dxa"/>
            <w:vAlign w:val="center"/>
          </w:tcPr>
          <w:p w14:paraId="361D5EB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703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40" w:type="dxa"/>
            <w:vAlign w:val="center"/>
          </w:tcPr>
          <w:p w14:paraId="207EA68D">
            <w:pPr>
              <w:widowControl w:val="0"/>
              <w:adjustRightInd/>
              <w:snapToGrid/>
              <w:spacing w:after="0"/>
              <w:jc w:val="center"/>
              <w:rPr>
                <w:rFonts w:hint="eastAsia" w:ascii="Times New Roman" w:hAnsi="Times New Roman" w:eastAsia="仿宋_GB2312" w:cs="华文中宋"/>
                <w:color w:val="000000" w:themeColor="text1"/>
                <w:kern w:val="2"/>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173" w:type="dxa"/>
            <w:vAlign w:val="center"/>
          </w:tcPr>
          <w:p w14:paraId="6328789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脐带血造血干细胞库等特殊血站违反有关技术规范的。 </w:t>
            </w:r>
          </w:p>
        </w:tc>
        <w:tc>
          <w:tcPr>
            <w:tcW w:w="6561" w:type="dxa"/>
            <w:vAlign w:val="center"/>
          </w:tcPr>
          <w:p w14:paraId="2818A96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由县级以上地方人民政府卫生行政部门予以警告、责令改正。</w:t>
            </w:r>
          </w:p>
        </w:tc>
      </w:tr>
    </w:tbl>
    <w:p w14:paraId="0F7CE4F3">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kern w:val="0"/>
          <w14:textFill>
            <w14:solidFill>
              <w14:schemeClr w14:val="tx1"/>
            </w14:solidFill>
          </w14:textFill>
        </w:rPr>
      </w:pPr>
      <w:bookmarkStart w:id="4850" w:name="_Toc16862"/>
      <w:bookmarkStart w:id="4851" w:name="_Toc32142"/>
      <w:bookmarkStart w:id="4852" w:name="_Toc3834"/>
      <w:bookmarkStart w:id="4853" w:name="_Toc31055"/>
      <w:bookmarkStart w:id="4854" w:name="_Toc23811"/>
      <w:bookmarkStart w:id="4855" w:name="_Toc1420"/>
      <w:bookmarkStart w:id="4856" w:name="_Toc6130"/>
      <w:bookmarkStart w:id="4857" w:name="_Toc6833"/>
      <w:bookmarkStart w:id="4858" w:name="_Toc28096"/>
      <w:bookmarkStart w:id="4859" w:name="_Toc8368"/>
      <w:bookmarkStart w:id="4860" w:name="_Toc24062"/>
      <w:bookmarkStart w:id="4861" w:name="_Toc11987"/>
      <w:bookmarkStart w:id="4862" w:name="_Toc14314"/>
      <w:r>
        <w:rPr>
          <w:rFonts w:hint="eastAsia" w:ascii="Times New Roman" w:hAnsi="Times New Roman" w:eastAsia="楷体_GB2312" w:cs="楷体_GB2312"/>
          <w:color w:val="000000" w:themeColor="text1"/>
          <w:kern w:val="0"/>
          <w14:textFill>
            <w14:solidFill>
              <w14:schemeClr w14:val="tx1"/>
            </w14:solidFill>
          </w14:textFill>
        </w:rPr>
        <w:t>（三十三）《医疗机构临床用血管理办法》</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14:paraId="110399CC">
      <w:pPr>
        <w:pStyle w:val="4"/>
        <w:widowControl w:val="0"/>
        <w:ind w:firstLine="640"/>
        <w:jc w:val="both"/>
        <w:rPr>
          <w:rFonts w:hint="eastAsia" w:cs="仿宋_GB2312"/>
          <w:bCs/>
          <w:color w:val="000000" w:themeColor="text1"/>
          <w14:textFill>
            <w14:solidFill>
              <w14:schemeClr w14:val="tx1"/>
            </w14:solidFill>
          </w14:textFill>
        </w:rPr>
      </w:pPr>
      <w:bookmarkStart w:id="4863" w:name="_Toc4452"/>
      <w:bookmarkStart w:id="4864" w:name="_Toc5510"/>
      <w:bookmarkStart w:id="4865" w:name="_Toc15554"/>
      <w:bookmarkStart w:id="4866" w:name="_Toc15019"/>
      <w:bookmarkStart w:id="4867" w:name="_Toc13834"/>
      <w:bookmarkStart w:id="4868" w:name="_Toc26461"/>
      <w:bookmarkStart w:id="4869" w:name="_Toc13021"/>
      <w:bookmarkStart w:id="4870" w:name="_Toc4586"/>
      <w:bookmarkStart w:id="4871" w:name="_Toc10651"/>
      <w:bookmarkStart w:id="4872" w:name="_Toc14674"/>
      <w:bookmarkStart w:id="4873" w:name="_Toc24962"/>
      <w:r>
        <w:rPr>
          <w:rFonts w:hint="eastAsia" w:cs="仿宋_GB2312"/>
          <w:bCs/>
          <w:color w:val="000000" w:themeColor="text1"/>
          <w14:textFill>
            <w14:solidFill>
              <w14:schemeClr w14:val="tx1"/>
            </w14:solidFill>
          </w14:textFill>
        </w:rPr>
        <w:t>第三百八十七条 医疗机构未设立临床用血管理委员会或者工作组的</w:t>
      </w:r>
      <w:bookmarkEnd w:id="4863"/>
      <w:bookmarkEnd w:id="4864"/>
      <w:bookmarkEnd w:id="4865"/>
      <w:bookmarkEnd w:id="4866"/>
      <w:bookmarkEnd w:id="4867"/>
      <w:bookmarkEnd w:id="4868"/>
      <w:bookmarkEnd w:id="4869"/>
      <w:bookmarkEnd w:id="4870"/>
      <w:bookmarkEnd w:id="4871"/>
      <w:bookmarkEnd w:id="4872"/>
      <w:bookmarkEnd w:id="4873"/>
    </w:p>
    <w:p w14:paraId="446235B7">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4F3B75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《医疗机构临床用血管理办法》第三十五条第（一）项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医疗机构有下列情形之一的，由县级以上人民政府卫生行政部门责令限期改正；逾期不改的，进行通报批评，并予以警告；情节严重或者造成严重后果的，可处 3 万元以下的罚款，对负有责任的主管人员和其他直接责任人员依法给予处分：</w:t>
      </w:r>
    </w:p>
    <w:p w14:paraId="04FDBBA8">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（一）未设立临床用血管理委员会或者</w:t>
      </w:r>
      <w:r>
        <w:rPr>
          <w:rFonts w:hint="eastAsia" w:ascii="Times New Roman" w:hAnsi="Times New Roman" w:eastAsia="仿宋_GB2312" w:cs="仿宋"/>
          <w:color w:val="000000" w:themeColor="text1"/>
          <w:sz w:val="32"/>
          <w:szCs w:val="32"/>
          <w14:textFill>
            <w14:solidFill>
              <w14:schemeClr w14:val="tx1"/>
            </w14:solidFill>
          </w14:textFill>
        </w:rPr>
        <w:t>工作组的；</w:t>
      </w:r>
    </w:p>
    <w:p w14:paraId="5AC53322">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263"/>
        <w:gridCol w:w="5471"/>
      </w:tblGrid>
      <w:tr w14:paraId="0D06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8049B0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263" w:type="dxa"/>
            <w:vAlign w:val="center"/>
          </w:tcPr>
          <w:p w14:paraId="379DE25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471" w:type="dxa"/>
            <w:vAlign w:val="center"/>
          </w:tcPr>
          <w:p w14:paraId="24A743B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03B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22E0ECF">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263" w:type="dxa"/>
            <w:vAlign w:val="center"/>
          </w:tcPr>
          <w:p w14:paraId="5385A42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医疗机构未设立临床用血管理委员会或者工作组，经责令限期改正，逾期不改的。</w:t>
            </w:r>
          </w:p>
        </w:tc>
        <w:tc>
          <w:tcPr>
            <w:tcW w:w="5471" w:type="dxa"/>
            <w:vAlign w:val="center"/>
          </w:tcPr>
          <w:p w14:paraId="73EB1DE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通报批评，予以警告。</w:t>
            </w:r>
          </w:p>
        </w:tc>
      </w:tr>
      <w:tr w14:paraId="557E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5C0E0D7">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263" w:type="dxa"/>
            <w:vAlign w:val="center"/>
          </w:tcPr>
          <w:p w14:paraId="7799383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医疗机构未设立临床用血管理委员会或者工作组情节严重或者造成严重后果的。</w:t>
            </w:r>
          </w:p>
        </w:tc>
        <w:tc>
          <w:tcPr>
            <w:tcW w:w="5471" w:type="dxa"/>
            <w:vAlign w:val="center"/>
          </w:tcPr>
          <w:p w14:paraId="62253D4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可处 3 万元以下的罚款。</w:t>
            </w:r>
          </w:p>
        </w:tc>
      </w:tr>
    </w:tbl>
    <w:p w14:paraId="09E23140">
      <w:pPr>
        <w:pStyle w:val="4"/>
        <w:widowControl w:val="0"/>
        <w:ind w:firstLine="640"/>
        <w:jc w:val="both"/>
        <w:rPr>
          <w:rFonts w:hint="eastAsia" w:ascii="Times New Roman" w:hAnsi="Times New Roman" w:cs="仿宋_GB2312"/>
          <w:b/>
          <w:bCs/>
          <w:color w:val="000000" w:themeColor="text1"/>
          <w:spacing w:val="-6"/>
          <w:kern w:val="0"/>
          <w14:textFill>
            <w14:solidFill>
              <w14:schemeClr w14:val="tx1"/>
            </w14:solidFill>
          </w14:textFill>
        </w:rPr>
      </w:pPr>
      <w:bookmarkStart w:id="4874" w:name="_Toc17875"/>
      <w:bookmarkStart w:id="4875" w:name="_Toc23061"/>
      <w:bookmarkStart w:id="4876" w:name="_Toc32761"/>
      <w:bookmarkStart w:id="4877" w:name="_Toc18757"/>
      <w:bookmarkStart w:id="4878" w:name="_Toc12255"/>
      <w:bookmarkStart w:id="4879" w:name="_Toc12563"/>
      <w:bookmarkStart w:id="4880" w:name="_Toc8409"/>
      <w:bookmarkStart w:id="4881" w:name="_Toc27882"/>
      <w:bookmarkStart w:id="4882" w:name="_Toc16319"/>
      <w:bookmarkStart w:id="4883" w:name="_Toc22327"/>
      <w:bookmarkStart w:id="4884" w:name="_Toc25370"/>
      <w:r>
        <w:rPr>
          <w:rFonts w:hint="eastAsia" w:cs="仿宋_GB2312"/>
          <w:bCs/>
          <w:color w:val="000000" w:themeColor="text1"/>
          <w14:textFill>
            <w14:solidFill>
              <w14:schemeClr w14:val="tx1"/>
            </w14:solidFill>
          </w14:textFill>
        </w:rPr>
        <w:t>第三百八十八条</w:t>
      </w:r>
      <w:r>
        <w:rPr>
          <w:rFonts w:hint="eastAsia" w:ascii="Times New Roman" w:hAnsi="Times New Roman" w:cs="仿宋_GB2312"/>
          <w:bCs/>
          <w:color w:val="000000" w:themeColor="text1"/>
          <w:spacing w:val="-6"/>
          <w:kern w:val="0"/>
          <w14:textFill>
            <w14:solidFill>
              <w14:schemeClr w14:val="tx1"/>
            </w14:solidFill>
          </w14:textFill>
        </w:rPr>
        <w:t xml:space="preserve"> 医疗机构未拟定临床用血计划或者一年内未对计划实施情况进行评估和考核的</w:t>
      </w:r>
      <w:bookmarkEnd w:id="4874"/>
      <w:bookmarkEnd w:id="4875"/>
      <w:bookmarkEnd w:id="4876"/>
      <w:bookmarkEnd w:id="4877"/>
      <w:bookmarkEnd w:id="4878"/>
      <w:bookmarkEnd w:id="4879"/>
      <w:bookmarkEnd w:id="4880"/>
      <w:bookmarkEnd w:id="4881"/>
      <w:bookmarkEnd w:id="4882"/>
      <w:bookmarkEnd w:id="4883"/>
      <w:bookmarkEnd w:id="4884"/>
    </w:p>
    <w:p w14:paraId="23B6ED7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D88BF0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《医疗机构临床用血管理办法》第三十五条第（二）项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医疗机构有下列情形之一的，由县级以上人民政府卫生行政部门责令限期改正；逾期不改的，进行通报批评，并予以警告；情节严重或者造成严重后果的，可处 3 万元以下的罚款，对负有责任的主管人员和其他直接责任人员依法给予处分：</w:t>
      </w:r>
    </w:p>
    <w:p w14:paraId="57EDF1A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（二）未拟定临床用血计划或者一年内未对计划实施情况进行评估和考核的；</w:t>
      </w:r>
    </w:p>
    <w:p w14:paraId="7BB0FCC9">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315"/>
        <w:gridCol w:w="5419"/>
      </w:tblGrid>
      <w:tr w14:paraId="5319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E47439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315" w:type="dxa"/>
            <w:vAlign w:val="center"/>
          </w:tcPr>
          <w:p w14:paraId="210DE50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419" w:type="dxa"/>
            <w:vAlign w:val="center"/>
          </w:tcPr>
          <w:p w14:paraId="4137373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784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63EF9359">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315" w:type="dxa"/>
          </w:tcPr>
          <w:p w14:paraId="63C7BDF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医疗机构未拟定临床用血计划或者一年内未对计划实施情况进行评估和考核，经责令限期改正，逾期不改的。</w:t>
            </w:r>
          </w:p>
        </w:tc>
        <w:tc>
          <w:tcPr>
            <w:tcW w:w="5419" w:type="dxa"/>
            <w:vAlign w:val="center"/>
          </w:tcPr>
          <w:p w14:paraId="495C886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通报批评，予以警告。</w:t>
            </w:r>
          </w:p>
        </w:tc>
      </w:tr>
      <w:tr w14:paraId="43C6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6CAB6B2D">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315" w:type="dxa"/>
          </w:tcPr>
          <w:p w14:paraId="693E921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医疗机构未拟定临床用血计划或者一年内未对计划实施情况进行评估和考核情节严重的或者造成严重后果的。</w:t>
            </w:r>
          </w:p>
        </w:tc>
        <w:tc>
          <w:tcPr>
            <w:tcW w:w="5419" w:type="dxa"/>
            <w:vAlign w:val="center"/>
          </w:tcPr>
          <w:p w14:paraId="77B0936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可处 3 万元以下的罚款。</w:t>
            </w:r>
          </w:p>
        </w:tc>
      </w:tr>
    </w:tbl>
    <w:p w14:paraId="479F0F16">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885" w:name="_Toc9679"/>
      <w:bookmarkStart w:id="4886" w:name="_Toc24970"/>
      <w:bookmarkStart w:id="4887" w:name="_Toc17300"/>
      <w:bookmarkStart w:id="4888" w:name="_Toc19117"/>
      <w:bookmarkStart w:id="4889" w:name="_Toc19265"/>
      <w:bookmarkStart w:id="4890" w:name="_Toc22252"/>
      <w:bookmarkStart w:id="4891" w:name="_Toc18225"/>
      <w:bookmarkStart w:id="4892" w:name="_Toc14814"/>
      <w:bookmarkStart w:id="4893" w:name="_Toc12529"/>
      <w:bookmarkStart w:id="4894" w:name="_Toc19844"/>
      <w:bookmarkStart w:id="4895" w:name="_Toc29819"/>
      <w:r>
        <w:rPr>
          <w:rFonts w:hint="eastAsia" w:cs="仿宋_GB2312"/>
          <w:bCs/>
          <w:color w:val="000000" w:themeColor="text1"/>
          <w14:textFill>
            <w14:solidFill>
              <w14:schemeClr w14:val="tx1"/>
            </w14:solidFill>
          </w14:textFill>
        </w:rPr>
        <w:t>第三百八十九条</w:t>
      </w:r>
      <w:r>
        <w:rPr>
          <w:rFonts w:hint="eastAsia" w:ascii="Times New Roman" w:hAnsi="Times New Roman" w:cs="仿宋_GB2312"/>
          <w:bCs/>
          <w:color w:val="000000" w:themeColor="text1"/>
          <w:kern w:val="0"/>
          <w14:textFill>
            <w14:solidFill>
              <w14:schemeClr w14:val="tx1"/>
            </w14:solidFill>
          </w14:textFill>
        </w:rPr>
        <w:t xml:space="preserve"> 医疗机构未建立血液发放和输血核对制度的</w:t>
      </w:r>
      <w:bookmarkEnd w:id="4885"/>
      <w:bookmarkEnd w:id="4886"/>
      <w:bookmarkEnd w:id="4887"/>
      <w:bookmarkEnd w:id="4888"/>
      <w:bookmarkEnd w:id="4889"/>
      <w:bookmarkEnd w:id="4890"/>
      <w:bookmarkEnd w:id="4891"/>
      <w:bookmarkEnd w:id="4892"/>
      <w:bookmarkEnd w:id="4893"/>
      <w:bookmarkEnd w:id="4894"/>
      <w:bookmarkEnd w:id="4895"/>
    </w:p>
    <w:p w14:paraId="54195FC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CA03F3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《医疗机构临床用血管理办法》第三十五条第（三）项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医疗机构有下列情形之一的，由县级以上人民政府卫生行政部门责令限期改正；逾期不改的，进行通报批评，并予以警告；情节严重或者造成严重后果的，可处 3 万元以下的罚款，对负有责任的主管人员和其他直接责任人员依法给予处分：</w:t>
      </w:r>
    </w:p>
    <w:p w14:paraId="0BA7B909">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（三）未建立血液发放和输</w:t>
      </w:r>
      <w:r>
        <w:rPr>
          <w:rFonts w:hint="eastAsia" w:ascii="Times New Roman" w:hAnsi="Times New Roman" w:eastAsia="仿宋_GB2312" w:cs="仿宋"/>
          <w:color w:val="000000" w:themeColor="text1"/>
          <w:sz w:val="32"/>
          <w:szCs w:val="32"/>
          <w14:textFill>
            <w14:solidFill>
              <w14:schemeClr w14:val="tx1"/>
            </w14:solidFill>
          </w14:textFill>
        </w:rPr>
        <w:t>血核对制度的；</w:t>
      </w:r>
    </w:p>
    <w:p w14:paraId="08588A46">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663"/>
        <w:gridCol w:w="6071"/>
      </w:tblGrid>
      <w:tr w14:paraId="3204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01A167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663" w:type="dxa"/>
            <w:vAlign w:val="center"/>
          </w:tcPr>
          <w:p w14:paraId="27F8B58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071" w:type="dxa"/>
            <w:vAlign w:val="center"/>
          </w:tcPr>
          <w:p w14:paraId="446EF3E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7F4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28AFA3F">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663" w:type="dxa"/>
          </w:tcPr>
          <w:p w14:paraId="48B919E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医疗机构未建立血液发放和输血核对制度，经责令限期改正，逾期不改的。</w:t>
            </w:r>
          </w:p>
        </w:tc>
        <w:tc>
          <w:tcPr>
            <w:tcW w:w="6071" w:type="dxa"/>
            <w:vAlign w:val="center"/>
          </w:tcPr>
          <w:p w14:paraId="55292C4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通报批评，予以警告。</w:t>
            </w:r>
          </w:p>
        </w:tc>
      </w:tr>
      <w:tr w14:paraId="2201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26C37A8">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663" w:type="dxa"/>
          </w:tcPr>
          <w:p w14:paraId="2B925777">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医疗机构未建立血液发放和输血核对制度情节严重或者造成严重后果的。</w:t>
            </w:r>
          </w:p>
        </w:tc>
        <w:tc>
          <w:tcPr>
            <w:tcW w:w="6071" w:type="dxa"/>
            <w:vAlign w:val="center"/>
          </w:tcPr>
          <w:p w14:paraId="1B259FB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可处 3 万元以下的罚款。</w:t>
            </w:r>
          </w:p>
        </w:tc>
      </w:tr>
    </w:tbl>
    <w:p w14:paraId="4C9D2427">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896" w:name="_Toc11980"/>
      <w:bookmarkStart w:id="4897" w:name="_Toc7813"/>
      <w:bookmarkStart w:id="4898" w:name="_Toc785"/>
      <w:bookmarkStart w:id="4899" w:name="_Toc7322"/>
      <w:bookmarkStart w:id="4900" w:name="_Toc25278"/>
      <w:bookmarkStart w:id="4901" w:name="_Toc17900"/>
      <w:bookmarkStart w:id="4902" w:name="_Toc17836"/>
      <w:bookmarkStart w:id="4903" w:name="_Toc12454"/>
      <w:bookmarkStart w:id="4904" w:name="_Toc4416"/>
      <w:bookmarkStart w:id="4905" w:name="_Toc25360"/>
      <w:bookmarkStart w:id="4906" w:name="_Toc6279"/>
      <w:r>
        <w:rPr>
          <w:rFonts w:hint="eastAsia" w:cs="仿宋_GB2312"/>
          <w:bCs/>
          <w:color w:val="000000" w:themeColor="text1"/>
          <w14:textFill>
            <w14:solidFill>
              <w14:schemeClr w14:val="tx1"/>
            </w14:solidFill>
          </w14:textFill>
        </w:rPr>
        <w:t>第三百九十条</w:t>
      </w:r>
      <w:r>
        <w:rPr>
          <w:rFonts w:hint="eastAsia" w:ascii="Times New Roman" w:hAnsi="Times New Roman" w:cs="仿宋_GB2312"/>
          <w:bCs/>
          <w:color w:val="000000" w:themeColor="text1"/>
          <w:kern w:val="0"/>
          <w14:textFill>
            <w14:solidFill>
              <w14:schemeClr w14:val="tx1"/>
            </w14:solidFill>
          </w14:textFill>
        </w:rPr>
        <w:t xml:space="preserve"> 医疗机构未建立临床用血申请管理制度的</w:t>
      </w:r>
      <w:bookmarkEnd w:id="4896"/>
      <w:bookmarkEnd w:id="4897"/>
      <w:bookmarkEnd w:id="4898"/>
      <w:bookmarkEnd w:id="4899"/>
      <w:bookmarkEnd w:id="4900"/>
      <w:bookmarkEnd w:id="4901"/>
      <w:bookmarkEnd w:id="4902"/>
      <w:bookmarkEnd w:id="4903"/>
      <w:bookmarkEnd w:id="4904"/>
      <w:bookmarkEnd w:id="4905"/>
      <w:bookmarkEnd w:id="4906"/>
    </w:p>
    <w:p w14:paraId="3ABCC280">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726619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《医疗机构临床用血管理办法》第三十五条第（四）项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医疗机构有下列情形之一的，由县级以上人民政府卫生行政部门责令限期改正；逾期不改的，进行通报批评，并予以警告；情节严重或者造成严重后果的，可处 3 万元以下的罚款，对负有责任的主管人员和其他直接责任人员依法给予处分：</w:t>
      </w:r>
    </w:p>
    <w:p w14:paraId="1D26830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（四）未建立临床用血申请管理制度的；</w:t>
      </w:r>
    </w:p>
    <w:p w14:paraId="7B9F9455">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953"/>
        <w:gridCol w:w="5781"/>
      </w:tblGrid>
      <w:tr w14:paraId="6547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8AA10B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953" w:type="dxa"/>
            <w:vAlign w:val="center"/>
          </w:tcPr>
          <w:p w14:paraId="346E351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781" w:type="dxa"/>
            <w:vAlign w:val="center"/>
          </w:tcPr>
          <w:p w14:paraId="7270FCB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D1B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8E2BA20">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953" w:type="dxa"/>
            <w:vAlign w:val="center"/>
          </w:tcPr>
          <w:p w14:paraId="3F5B865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医疗机构未建立临床用血申请管理制度，经责令限期改正，逾期不改的。</w:t>
            </w:r>
          </w:p>
        </w:tc>
        <w:tc>
          <w:tcPr>
            <w:tcW w:w="5781" w:type="dxa"/>
            <w:vAlign w:val="center"/>
          </w:tcPr>
          <w:p w14:paraId="6689DCC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通报批评，予以警告。</w:t>
            </w:r>
          </w:p>
        </w:tc>
      </w:tr>
      <w:tr w14:paraId="6F6A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EFA28F3">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953" w:type="dxa"/>
            <w:vAlign w:val="center"/>
          </w:tcPr>
          <w:p w14:paraId="1919486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医疗机构未建立临床用血申请管理制度情节严重或者造成严重后果的。</w:t>
            </w:r>
          </w:p>
        </w:tc>
        <w:tc>
          <w:tcPr>
            <w:tcW w:w="5781" w:type="dxa"/>
            <w:vAlign w:val="center"/>
          </w:tcPr>
          <w:p w14:paraId="3FA742B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可处3万元以下的罚款。 </w:t>
            </w:r>
          </w:p>
        </w:tc>
      </w:tr>
    </w:tbl>
    <w:p w14:paraId="5BE33EEE">
      <w:pPr>
        <w:pStyle w:val="4"/>
        <w:widowControl w:val="0"/>
        <w:ind w:firstLine="640" w:firstLineChars="0"/>
        <w:jc w:val="both"/>
        <w:rPr>
          <w:rFonts w:hint="eastAsia" w:ascii="Times New Roman" w:hAnsi="Times New Roman" w:cs="仿宋_GB2312"/>
          <w:b/>
          <w:bCs/>
          <w:color w:val="000000" w:themeColor="text1"/>
          <w:kern w:val="0"/>
          <w14:textFill>
            <w14:solidFill>
              <w14:schemeClr w14:val="tx1"/>
            </w14:solidFill>
          </w14:textFill>
        </w:rPr>
      </w:pPr>
      <w:bookmarkStart w:id="4907" w:name="_Toc7151"/>
      <w:bookmarkStart w:id="4908" w:name="_Toc24223"/>
      <w:bookmarkStart w:id="4909" w:name="_Toc24128"/>
      <w:bookmarkStart w:id="4910" w:name="_Toc11579"/>
      <w:bookmarkStart w:id="4911" w:name="_Toc14224"/>
      <w:bookmarkStart w:id="4912" w:name="_Toc21401"/>
      <w:bookmarkStart w:id="4913" w:name="_Toc11195"/>
      <w:bookmarkStart w:id="4914" w:name="_Toc12720"/>
      <w:bookmarkStart w:id="4915" w:name="_Toc12235"/>
      <w:bookmarkStart w:id="4916" w:name="_Toc20589"/>
      <w:bookmarkStart w:id="4917" w:name="_Toc12690"/>
      <w:r>
        <w:rPr>
          <w:rFonts w:hint="eastAsia" w:cs="仿宋_GB2312"/>
          <w:bCs/>
          <w:color w:val="000000" w:themeColor="text1"/>
          <w14:textFill>
            <w14:solidFill>
              <w14:schemeClr w14:val="tx1"/>
            </w14:solidFill>
          </w14:textFill>
        </w:rPr>
        <w:t>第三百九十一条</w:t>
      </w:r>
      <w:r>
        <w:rPr>
          <w:rFonts w:hint="eastAsia" w:ascii="Times New Roman" w:hAnsi="Times New Roman" w:cs="仿宋_GB2312"/>
          <w:bCs/>
          <w:color w:val="000000" w:themeColor="text1"/>
          <w:kern w:val="0"/>
          <w14:textFill>
            <w14:solidFill>
              <w14:schemeClr w14:val="tx1"/>
            </w14:solidFill>
          </w14:textFill>
        </w:rPr>
        <w:t xml:space="preserve"> 医疗机构未建立医务人员临床用血和无偿献血知识培训制度的</w:t>
      </w:r>
      <w:bookmarkEnd w:id="4907"/>
      <w:bookmarkEnd w:id="4908"/>
      <w:bookmarkEnd w:id="4909"/>
      <w:bookmarkEnd w:id="4910"/>
      <w:bookmarkEnd w:id="4911"/>
      <w:bookmarkEnd w:id="4912"/>
      <w:bookmarkEnd w:id="4913"/>
      <w:bookmarkEnd w:id="4914"/>
      <w:bookmarkEnd w:id="4915"/>
      <w:bookmarkEnd w:id="4916"/>
      <w:bookmarkEnd w:id="4917"/>
    </w:p>
    <w:p w14:paraId="42277B8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B4089A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《医疗机构临床用血管理办法》第三十五条第（五）项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医疗机构有下列情形之一的，由县级以上人民政府卫生行政部门责令限期改正；逾期不改的，进行通报批评，并予以警告；情节严重或者造成严重后果的，可处 3 万元以下的罚款，对负有责任的主管人员和其他直接责任人员依法给予处分：</w:t>
      </w:r>
    </w:p>
    <w:p w14:paraId="6DBEAF9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（五）未建立医务人员临床用血和无偿献血知识培训制度的；</w:t>
      </w:r>
    </w:p>
    <w:p w14:paraId="15F80200">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953"/>
        <w:gridCol w:w="5781"/>
      </w:tblGrid>
      <w:tr w14:paraId="4C12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43CDC6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953" w:type="dxa"/>
            <w:vAlign w:val="center"/>
          </w:tcPr>
          <w:p w14:paraId="65B646B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781" w:type="dxa"/>
            <w:vAlign w:val="center"/>
          </w:tcPr>
          <w:p w14:paraId="564CAFE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26E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40" w:type="dxa"/>
            <w:vAlign w:val="center"/>
          </w:tcPr>
          <w:p w14:paraId="0A95C491">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953" w:type="dxa"/>
            <w:vAlign w:val="center"/>
          </w:tcPr>
          <w:p w14:paraId="5EEA4CF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医疗机构未建立医务人员临床用血和无偿献血知识培训制度，经责令限期改正，逾期不改的。</w:t>
            </w:r>
          </w:p>
        </w:tc>
        <w:tc>
          <w:tcPr>
            <w:tcW w:w="5781" w:type="dxa"/>
            <w:vAlign w:val="center"/>
          </w:tcPr>
          <w:p w14:paraId="53CF1CD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予通报批评，予以警告。</w:t>
            </w:r>
          </w:p>
        </w:tc>
      </w:tr>
      <w:tr w14:paraId="0C07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40" w:type="dxa"/>
            <w:vAlign w:val="center"/>
          </w:tcPr>
          <w:p w14:paraId="4CD943CB">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953" w:type="dxa"/>
            <w:vAlign w:val="center"/>
          </w:tcPr>
          <w:p w14:paraId="3855E133">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医疗机构未建立医务人员临床用血和无偿献血知识培训制度情节严重或者造成严重后果的。</w:t>
            </w:r>
          </w:p>
        </w:tc>
        <w:tc>
          <w:tcPr>
            <w:tcW w:w="5781" w:type="dxa"/>
            <w:vAlign w:val="center"/>
          </w:tcPr>
          <w:p w14:paraId="7CCACECF">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可处3万元以下的罚款。</w:t>
            </w:r>
          </w:p>
        </w:tc>
      </w:tr>
    </w:tbl>
    <w:p w14:paraId="72404E20">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918" w:name="_Toc12429"/>
      <w:bookmarkStart w:id="4919" w:name="_Toc16736"/>
      <w:bookmarkStart w:id="4920" w:name="_Toc14749"/>
      <w:bookmarkStart w:id="4921" w:name="_Toc6593"/>
      <w:bookmarkStart w:id="4922" w:name="_Toc20524"/>
      <w:bookmarkStart w:id="4923" w:name="_Toc17597"/>
      <w:bookmarkStart w:id="4924" w:name="_Toc25736"/>
      <w:bookmarkStart w:id="4925" w:name="_Toc9227"/>
      <w:bookmarkStart w:id="4926" w:name="_Toc17833"/>
      <w:bookmarkStart w:id="4927" w:name="_Toc12878"/>
      <w:bookmarkStart w:id="4928" w:name="_Toc16660"/>
      <w:r>
        <w:rPr>
          <w:rFonts w:hint="eastAsia" w:cs="仿宋_GB2312"/>
          <w:bCs/>
          <w:color w:val="000000" w:themeColor="text1"/>
          <w14:textFill>
            <w14:solidFill>
              <w14:schemeClr w14:val="tx1"/>
            </w14:solidFill>
          </w14:textFill>
        </w:rPr>
        <w:t>第三百九十二条</w:t>
      </w:r>
      <w:r>
        <w:rPr>
          <w:rFonts w:hint="eastAsia" w:ascii="Times New Roman" w:hAnsi="Times New Roman" w:cs="仿宋_GB2312"/>
          <w:bCs/>
          <w:color w:val="000000" w:themeColor="text1"/>
          <w:kern w:val="0"/>
          <w14:textFill>
            <w14:solidFill>
              <w14:schemeClr w14:val="tx1"/>
            </w14:solidFill>
          </w14:textFill>
        </w:rPr>
        <w:t xml:space="preserve"> 医疗机构未建立科室和医师临床用血评价及公示制度的</w:t>
      </w:r>
      <w:bookmarkEnd w:id="4918"/>
      <w:bookmarkEnd w:id="4919"/>
      <w:bookmarkEnd w:id="4920"/>
      <w:bookmarkEnd w:id="4921"/>
      <w:bookmarkEnd w:id="4922"/>
      <w:bookmarkEnd w:id="4923"/>
      <w:bookmarkEnd w:id="4924"/>
      <w:bookmarkEnd w:id="4925"/>
      <w:bookmarkEnd w:id="4926"/>
      <w:bookmarkEnd w:id="4927"/>
      <w:bookmarkEnd w:id="4928"/>
    </w:p>
    <w:p w14:paraId="4E19088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C2046C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《医疗机构临床用血管理办法》第三十五条第（六）项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医疗机构有下列情形之一的，由县级以上人民政府卫生行政部门责令限期改正；逾期不改的，进行通报批评，并予以警告；情节严重或者造成严重后果的，可处 3 万元以下的罚款，对负有责任的主管人员和其他直接责任人员依法给予处分：</w:t>
      </w:r>
    </w:p>
    <w:p w14:paraId="2F695477">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（六）未建立科室和医师临床用血评价</w:t>
      </w:r>
      <w:r>
        <w:rPr>
          <w:rFonts w:hint="eastAsia" w:ascii="Times New Roman" w:hAnsi="Times New Roman" w:eastAsia="仿宋_GB2312" w:cs="仿宋"/>
          <w:color w:val="000000" w:themeColor="text1"/>
          <w:sz w:val="32"/>
          <w:szCs w:val="32"/>
          <w14:textFill>
            <w14:solidFill>
              <w14:schemeClr w14:val="tx1"/>
            </w14:solidFill>
          </w14:textFill>
        </w:rPr>
        <w:t xml:space="preserve">及公示制度的； </w:t>
      </w:r>
    </w:p>
    <w:p w14:paraId="4BE29E1D">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983"/>
        <w:gridCol w:w="5751"/>
      </w:tblGrid>
      <w:tr w14:paraId="011F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9E7363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983" w:type="dxa"/>
            <w:vAlign w:val="center"/>
          </w:tcPr>
          <w:p w14:paraId="33D6A45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751" w:type="dxa"/>
            <w:vAlign w:val="center"/>
          </w:tcPr>
          <w:p w14:paraId="4D1EE86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477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8DD94E0">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983" w:type="dxa"/>
          </w:tcPr>
          <w:p w14:paraId="50A7A9E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医疗机构未建立科室和医师临床用血评价及公示制度，经责令限期改正，逾期不改的。</w:t>
            </w:r>
          </w:p>
        </w:tc>
        <w:tc>
          <w:tcPr>
            <w:tcW w:w="5751" w:type="dxa"/>
            <w:vAlign w:val="center"/>
          </w:tcPr>
          <w:p w14:paraId="0F62D27C">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通报批评，予以警告。</w:t>
            </w:r>
          </w:p>
        </w:tc>
      </w:tr>
      <w:tr w14:paraId="276A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7310883">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983" w:type="dxa"/>
          </w:tcPr>
          <w:p w14:paraId="0E01106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医疗机构未建立科室和医师临床用血评价及公示制度情节严重或者造成严重后果的。</w:t>
            </w:r>
          </w:p>
        </w:tc>
        <w:tc>
          <w:tcPr>
            <w:tcW w:w="5751" w:type="dxa"/>
            <w:vAlign w:val="center"/>
          </w:tcPr>
          <w:p w14:paraId="18B239D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可处 3 万元以下的罚款。</w:t>
            </w:r>
          </w:p>
        </w:tc>
      </w:tr>
    </w:tbl>
    <w:p w14:paraId="13F8A012">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929" w:name="_Toc6121"/>
      <w:bookmarkStart w:id="4930" w:name="_Toc24439"/>
      <w:bookmarkStart w:id="4931" w:name="_Toc24178"/>
      <w:bookmarkStart w:id="4932" w:name="_Toc13986"/>
      <w:bookmarkStart w:id="4933" w:name="_Toc13700"/>
      <w:bookmarkStart w:id="4934" w:name="_Toc8048"/>
      <w:bookmarkStart w:id="4935" w:name="_Toc17615"/>
      <w:bookmarkStart w:id="4936" w:name="_Toc12645"/>
      <w:bookmarkStart w:id="4937" w:name="_Toc10967"/>
      <w:bookmarkStart w:id="4938" w:name="_Toc6136"/>
      <w:bookmarkStart w:id="4939" w:name="_Toc10219"/>
      <w:r>
        <w:rPr>
          <w:rFonts w:hint="eastAsia" w:cs="仿宋_GB2312"/>
          <w:bCs/>
          <w:color w:val="000000" w:themeColor="text1"/>
          <w14:textFill>
            <w14:solidFill>
              <w14:schemeClr w14:val="tx1"/>
            </w14:solidFill>
          </w14:textFill>
        </w:rPr>
        <w:t>第三百九十三条</w:t>
      </w:r>
      <w:r>
        <w:rPr>
          <w:rFonts w:hint="eastAsia" w:ascii="Times New Roman" w:hAnsi="Times New Roman" w:cs="仿宋_GB2312"/>
          <w:bCs/>
          <w:color w:val="000000" w:themeColor="text1"/>
          <w:kern w:val="0"/>
          <w14:textFill>
            <w14:solidFill>
              <w14:schemeClr w14:val="tx1"/>
            </w14:solidFill>
          </w14:textFill>
        </w:rPr>
        <w:t xml:space="preserve"> 医疗机构将经济收入作为对输血科或者血库工作的考核指标的</w:t>
      </w:r>
      <w:bookmarkEnd w:id="4929"/>
      <w:bookmarkEnd w:id="4930"/>
      <w:bookmarkEnd w:id="4931"/>
      <w:bookmarkEnd w:id="4932"/>
      <w:bookmarkEnd w:id="4933"/>
      <w:bookmarkEnd w:id="4934"/>
      <w:bookmarkEnd w:id="4935"/>
      <w:bookmarkEnd w:id="4936"/>
      <w:bookmarkEnd w:id="4937"/>
      <w:bookmarkEnd w:id="4938"/>
      <w:bookmarkEnd w:id="4939"/>
    </w:p>
    <w:p w14:paraId="031A543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001DE1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《医疗机构临床用血管理办法》第三十五条第（七）项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医疗机构有下列情形之一的，由县级以上人民政府卫生行政部门责令限期改正；逾期不改的，进行通报批评，并予以警告；情节严重或者造成严重后果的，可处 3 万元以下的罚款，对负有责任的主管人员和其他直接责任人员依法给予处分：</w:t>
      </w:r>
    </w:p>
    <w:p w14:paraId="4833554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（七）将经济收入作为对输血科或者血库工作的考核指标的； </w:t>
      </w:r>
    </w:p>
    <w:p w14:paraId="7E47CCC0">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032"/>
        <w:gridCol w:w="5702"/>
      </w:tblGrid>
      <w:tr w14:paraId="0426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 w:type="dxa"/>
            <w:vAlign w:val="center"/>
          </w:tcPr>
          <w:p w14:paraId="571EAF6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032" w:type="dxa"/>
            <w:vAlign w:val="center"/>
          </w:tcPr>
          <w:p w14:paraId="37F6448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702" w:type="dxa"/>
            <w:vAlign w:val="center"/>
          </w:tcPr>
          <w:p w14:paraId="6344ACC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436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AC0AC7D">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032" w:type="dxa"/>
          </w:tcPr>
          <w:p w14:paraId="59CCFAE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医疗机构将经济收入作为对输血科或者血库工作的考核指标，经责令限期改正，逾期不改的。 </w:t>
            </w:r>
          </w:p>
        </w:tc>
        <w:tc>
          <w:tcPr>
            <w:tcW w:w="5702" w:type="dxa"/>
            <w:vAlign w:val="center"/>
          </w:tcPr>
          <w:p w14:paraId="26C921D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通报批评，予以警告。</w:t>
            </w:r>
          </w:p>
        </w:tc>
      </w:tr>
      <w:tr w14:paraId="7B2D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6D808C65">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032" w:type="dxa"/>
          </w:tcPr>
          <w:p w14:paraId="530FF319">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医疗机构将经济收入作为对输血科或者血库工作的考核指标情节严重或者造成严重后果的。</w:t>
            </w:r>
          </w:p>
        </w:tc>
        <w:tc>
          <w:tcPr>
            <w:tcW w:w="5702" w:type="dxa"/>
            <w:vAlign w:val="center"/>
          </w:tcPr>
          <w:p w14:paraId="6749D38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可处 3 万元以下的罚款。</w:t>
            </w:r>
          </w:p>
        </w:tc>
      </w:tr>
    </w:tbl>
    <w:p w14:paraId="5FB05F8C">
      <w:pPr>
        <w:pStyle w:val="4"/>
        <w:widowControl w:val="0"/>
        <w:ind w:firstLine="640" w:firstLineChars="0"/>
        <w:jc w:val="both"/>
        <w:rPr>
          <w:rFonts w:hint="eastAsia" w:ascii="Times New Roman" w:hAnsi="Times New Roman" w:cs="仿宋_GB2312"/>
          <w:b/>
          <w:bCs/>
          <w:color w:val="000000" w:themeColor="text1"/>
          <w:kern w:val="0"/>
          <w14:textFill>
            <w14:solidFill>
              <w14:schemeClr w14:val="tx1"/>
            </w14:solidFill>
          </w14:textFill>
        </w:rPr>
      </w:pPr>
      <w:bookmarkStart w:id="4940" w:name="_Toc29203"/>
      <w:bookmarkStart w:id="4941" w:name="_Toc31048"/>
      <w:bookmarkStart w:id="4942" w:name="_Toc31418"/>
      <w:bookmarkStart w:id="4943" w:name="_Toc26456"/>
      <w:bookmarkStart w:id="4944" w:name="_Toc3384"/>
      <w:bookmarkStart w:id="4945" w:name="_Toc7767"/>
      <w:bookmarkStart w:id="4946" w:name="_Toc7671"/>
      <w:bookmarkStart w:id="4947" w:name="_Toc18916"/>
      <w:bookmarkStart w:id="4948" w:name="_Toc6911"/>
      <w:bookmarkStart w:id="4949" w:name="_Toc25885"/>
      <w:bookmarkStart w:id="4950" w:name="_Toc31375"/>
      <w:r>
        <w:rPr>
          <w:rFonts w:hint="eastAsia" w:cs="仿宋_GB2312"/>
          <w:bCs/>
          <w:color w:val="000000" w:themeColor="text1"/>
          <w14:textFill>
            <w14:solidFill>
              <w14:schemeClr w14:val="tx1"/>
            </w14:solidFill>
          </w14:textFill>
        </w:rPr>
        <w:t>第三百九十四条</w:t>
      </w:r>
      <w:r>
        <w:rPr>
          <w:rFonts w:hint="eastAsia" w:ascii="Times New Roman" w:hAnsi="Times New Roman" w:cs="仿宋_GB2312"/>
          <w:bCs/>
          <w:color w:val="000000" w:themeColor="text1"/>
          <w:kern w:val="0"/>
          <w14:textFill>
            <w14:solidFill>
              <w14:schemeClr w14:val="tx1"/>
            </w14:solidFill>
          </w14:textFill>
        </w:rPr>
        <w:t xml:space="preserve"> 医疗机构违反《医疗机构临床用血管理办法》的其他行为</w:t>
      </w:r>
      <w:bookmarkEnd w:id="4940"/>
      <w:bookmarkEnd w:id="4941"/>
      <w:bookmarkEnd w:id="4942"/>
      <w:bookmarkEnd w:id="4943"/>
      <w:bookmarkEnd w:id="4944"/>
      <w:bookmarkEnd w:id="4945"/>
      <w:bookmarkEnd w:id="4946"/>
      <w:bookmarkEnd w:id="4947"/>
      <w:bookmarkEnd w:id="4948"/>
      <w:bookmarkEnd w:id="4949"/>
      <w:bookmarkEnd w:id="4950"/>
    </w:p>
    <w:p w14:paraId="2D1B08B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030C72A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《医疗机构临床用血管理办法》第三十五条第（八）项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医疗机构有下列情形之一的，由县级以上人民政府卫生行政部门责令限期改正；逾期不改的，进行通报批评，并予以警告；情节严重或者造成严重后果的，可处 3 万元以下的罚款，对负有责任的主管人员和其他直接责任人员依法给予处分：</w:t>
      </w:r>
    </w:p>
    <w:p w14:paraId="7E94AFCD">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（八）违反本办法的其他行</w:t>
      </w:r>
      <w:r>
        <w:rPr>
          <w:rFonts w:hint="eastAsia" w:ascii="Times New Roman" w:hAnsi="Times New Roman" w:eastAsia="仿宋_GB2312" w:cs="仿宋"/>
          <w:color w:val="000000" w:themeColor="text1"/>
          <w:sz w:val="32"/>
          <w:szCs w:val="32"/>
          <w14:textFill>
            <w14:solidFill>
              <w14:schemeClr w14:val="tx1"/>
            </w14:solidFill>
          </w14:textFill>
        </w:rPr>
        <w:t>为。</w:t>
      </w:r>
    </w:p>
    <w:p w14:paraId="1674BC0D">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688"/>
        <w:gridCol w:w="5046"/>
      </w:tblGrid>
      <w:tr w14:paraId="7C58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08AC669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88" w:type="dxa"/>
            <w:vAlign w:val="center"/>
          </w:tcPr>
          <w:p w14:paraId="0B1DC84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046" w:type="dxa"/>
            <w:vAlign w:val="center"/>
          </w:tcPr>
          <w:p w14:paraId="039DB8D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F88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0" w:type="dxa"/>
            <w:vAlign w:val="center"/>
          </w:tcPr>
          <w:p w14:paraId="59115514">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较轻</w:t>
            </w:r>
          </w:p>
        </w:tc>
        <w:tc>
          <w:tcPr>
            <w:tcW w:w="7688" w:type="dxa"/>
            <w:vAlign w:val="center"/>
          </w:tcPr>
          <w:p w14:paraId="06A77040">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首次发现违法行为，未造成后果。 </w:t>
            </w:r>
          </w:p>
        </w:tc>
        <w:tc>
          <w:tcPr>
            <w:tcW w:w="5046" w:type="dxa"/>
            <w:vAlign w:val="center"/>
          </w:tcPr>
          <w:p w14:paraId="38DD702D">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通报批评，予以警告。</w:t>
            </w:r>
          </w:p>
        </w:tc>
      </w:tr>
      <w:tr w14:paraId="286C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76A78742">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688" w:type="dxa"/>
            <w:vAlign w:val="center"/>
          </w:tcPr>
          <w:p w14:paraId="7C739CE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医疗机构违反《医疗机构临床用血管理办法》的其他行为，经责令限期改正，逾期不改，时间不足一个月。</w:t>
            </w:r>
          </w:p>
        </w:tc>
        <w:tc>
          <w:tcPr>
            <w:tcW w:w="5046" w:type="dxa"/>
            <w:vAlign w:val="center"/>
          </w:tcPr>
          <w:p w14:paraId="4470F3E4">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通报批评，予以警告，可处1.5万元以下。</w:t>
            </w:r>
          </w:p>
        </w:tc>
      </w:tr>
      <w:tr w14:paraId="1CC9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728E8AA8">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688" w:type="dxa"/>
            <w:vAlign w:val="center"/>
          </w:tcPr>
          <w:p w14:paraId="1E34AE5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医疗机构违反《医疗机构临床用血管理办法》的其他行为，逾期不改的，时间一个月以上。</w:t>
            </w:r>
          </w:p>
        </w:tc>
        <w:tc>
          <w:tcPr>
            <w:tcW w:w="5046" w:type="dxa"/>
            <w:vAlign w:val="center"/>
          </w:tcPr>
          <w:p w14:paraId="3E55226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通报批评，予以警告，可处1.5万元以上3万元以下的罚款。 </w:t>
            </w:r>
          </w:p>
        </w:tc>
      </w:tr>
    </w:tbl>
    <w:p w14:paraId="22169E25">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951" w:name="_Toc4250"/>
      <w:bookmarkStart w:id="4952" w:name="_Toc14150"/>
      <w:bookmarkStart w:id="4953" w:name="_Toc14999"/>
      <w:bookmarkStart w:id="4954" w:name="_Toc3632"/>
      <w:bookmarkStart w:id="4955" w:name="_Toc24229"/>
      <w:bookmarkStart w:id="4956" w:name="_Toc4579"/>
      <w:bookmarkStart w:id="4957" w:name="_Toc17355"/>
      <w:bookmarkStart w:id="4958" w:name="_Toc5638"/>
      <w:bookmarkStart w:id="4959" w:name="_Toc4991"/>
      <w:bookmarkStart w:id="4960" w:name="_Toc3003"/>
      <w:bookmarkStart w:id="4961" w:name="_Toc26933"/>
      <w:r>
        <w:rPr>
          <w:rFonts w:hint="eastAsia" w:cs="仿宋_GB2312"/>
          <w:bCs/>
          <w:color w:val="000000" w:themeColor="text1"/>
          <w14:textFill>
            <w14:solidFill>
              <w14:schemeClr w14:val="tx1"/>
            </w14:solidFill>
          </w14:textFill>
        </w:rPr>
        <w:t>第三百九十五条</w:t>
      </w:r>
      <w:r>
        <w:rPr>
          <w:rFonts w:hint="eastAsia" w:ascii="Times New Roman" w:hAnsi="Times New Roman" w:cs="仿宋_GB2312"/>
          <w:bCs/>
          <w:color w:val="000000" w:themeColor="text1"/>
          <w:kern w:val="0"/>
          <w14:textFill>
            <w14:solidFill>
              <w14:schemeClr w14:val="tx1"/>
            </w14:solidFill>
          </w14:textFill>
        </w:rPr>
        <w:t xml:space="preserve"> 医疗机构使用未经卫生行政部门指定的血站供应的血液的</w:t>
      </w:r>
      <w:bookmarkEnd w:id="4951"/>
      <w:bookmarkEnd w:id="4952"/>
      <w:bookmarkEnd w:id="4953"/>
      <w:bookmarkEnd w:id="4954"/>
      <w:bookmarkEnd w:id="4955"/>
      <w:bookmarkEnd w:id="4956"/>
      <w:bookmarkEnd w:id="4957"/>
      <w:bookmarkEnd w:id="4958"/>
      <w:bookmarkEnd w:id="4959"/>
      <w:bookmarkEnd w:id="4960"/>
      <w:bookmarkEnd w:id="4961"/>
    </w:p>
    <w:p w14:paraId="3C6EEAF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26A5276">
      <w:pPr>
        <w:widowControl w:val="0"/>
        <w:adjustRightInd/>
        <w:snapToGrid/>
        <w:spacing w:after="0" w:line="440" w:lineRule="exact"/>
        <w:ind w:firstLine="64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《医疗机构临床用血管理办法》第三十六条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医疗机构使用未经卫生行政部门指定的血站供应的血液的，由县级以上地方人民政府卫生行政部门给予警告，并处 3 万元以下罚款；情节严重或者造成严重后果的，对负有责任</w:t>
      </w:r>
      <w:r>
        <w:rPr>
          <w:rFonts w:hint="eastAsia" w:ascii="Times New Roman" w:hAnsi="Times New Roman" w:eastAsia="仿宋_GB2312" w:cs="仿宋"/>
          <w:color w:val="000000" w:themeColor="text1"/>
          <w:sz w:val="32"/>
          <w:szCs w:val="32"/>
          <w14:textFill>
            <w14:solidFill>
              <w14:schemeClr w14:val="tx1"/>
            </w14:solidFill>
          </w14:textFill>
        </w:rPr>
        <w:t>的主管人员和其他直接责任人员依法给予处分。</w:t>
      </w:r>
    </w:p>
    <w:p w14:paraId="5C54B099">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4994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95E867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vAlign w:val="center"/>
          </w:tcPr>
          <w:p w14:paraId="05BE39F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7139" w:type="dxa"/>
            <w:vAlign w:val="center"/>
          </w:tcPr>
          <w:p w14:paraId="6C7EE42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699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0D58836">
            <w:pPr>
              <w:widowControl w:val="0"/>
              <w:adjustRightInd/>
              <w:snapToGrid/>
              <w:spacing w:after="0"/>
              <w:jc w:val="center"/>
              <w:rPr>
                <w:rFonts w:hint="eastAsia" w:ascii="Times New Roman" w:hAnsi="Times New Roman" w:eastAsia="仿宋_GB2312" w:cs="华文中宋"/>
                <w:color w:val="000000" w:themeColor="text1"/>
                <w:sz w:val="32"/>
                <w:szCs w:val="28"/>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tcPr>
          <w:p w14:paraId="60514BD6">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医疗机构使用未经卫生行政部门指定的血站供应的血液的。</w:t>
            </w:r>
          </w:p>
        </w:tc>
        <w:tc>
          <w:tcPr>
            <w:tcW w:w="7139" w:type="dxa"/>
          </w:tcPr>
          <w:p w14:paraId="528ECCF5">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由县级以上地方人民政府卫生行政部门给予警告，并处 3 万元以下罚款。</w:t>
            </w:r>
          </w:p>
        </w:tc>
      </w:tr>
    </w:tbl>
    <w:p w14:paraId="5CA8C23D">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962" w:name="_Toc5258"/>
      <w:bookmarkStart w:id="4963" w:name="_Toc6032"/>
      <w:bookmarkStart w:id="4964" w:name="_Toc15769"/>
      <w:bookmarkStart w:id="4965" w:name="_Toc958"/>
      <w:bookmarkStart w:id="4966" w:name="_Toc10340"/>
      <w:bookmarkStart w:id="4967" w:name="_Toc9672"/>
      <w:bookmarkStart w:id="4968" w:name="_Toc6770"/>
      <w:bookmarkStart w:id="4969" w:name="_Toc23729"/>
      <w:bookmarkStart w:id="4970" w:name="_Toc30356"/>
      <w:bookmarkStart w:id="4971" w:name="_Toc13548"/>
      <w:bookmarkStart w:id="4972" w:name="_Toc1922"/>
      <w:r>
        <w:rPr>
          <w:rFonts w:hint="eastAsia" w:cs="仿宋_GB2312"/>
          <w:bCs/>
          <w:color w:val="000000" w:themeColor="text1"/>
          <w14:textFill>
            <w14:solidFill>
              <w14:schemeClr w14:val="tx1"/>
            </w14:solidFill>
          </w14:textFill>
        </w:rPr>
        <w:t>第三百九十六条</w:t>
      </w:r>
      <w:r>
        <w:rPr>
          <w:rFonts w:hint="eastAsia" w:ascii="Times New Roman" w:hAnsi="Times New Roman" w:cs="仿宋_GB2312"/>
          <w:bCs/>
          <w:color w:val="000000" w:themeColor="text1"/>
          <w:kern w:val="0"/>
          <w14:textFill>
            <w14:solidFill>
              <w14:schemeClr w14:val="tx1"/>
            </w14:solidFill>
          </w14:textFill>
        </w:rPr>
        <w:t xml:space="preserve"> 医疗机构违反本办法关于应急用血采血规定的</w:t>
      </w:r>
      <w:bookmarkEnd w:id="4962"/>
      <w:bookmarkEnd w:id="4963"/>
      <w:bookmarkEnd w:id="4964"/>
      <w:bookmarkEnd w:id="4965"/>
      <w:bookmarkEnd w:id="4966"/>
      <w:bookmarkEnd w:id="4967"/>
      <w:bookmarkEnd w:id="4968"/>
      <w:bookmarkEnd w:id="4969"/>
      <w:bookmarkEnd w:id="4970"/>
      <w:bookmarkEnd w:id="4971"/>
      <w:bookmarkEnd w:id="4972"/>
    </w:p>
    <w:p w14:paraId="7790A1B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6F19476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《医疗机构临床用血管理办法》第三十七条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医疗机构违反《医疗机构临床用血管理办法》关于应急用血采血规定的，由县级以上人民政府卫生行政部门责令限期改正，给予警告；情节严重或者造成严重后果的，处 3 万元以下罚款，对负有责任的主管人员和其他直接责任人员依法给予处分。 </w:t>
      </w:r>
    </w:p>
    <w:p w14:paraId="6FA88756">
      <w:pPr>
        <w:widowControl w:val="0"/>
        <w:adjustRightInd/>
        <w:snapToGrid/>
        <w:spacing w:after="0"/>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053"/>
        <w:gridCol w:w="6681"/>
      </w:tblGrid>
      <w:tr w14:paraId="0566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33F6A78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053" w:type="dxa"/>
            <w:vAlign w:val="center"/>
          </w:tcPr>
          <w:p w14:paraId="514064A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681" w:type="dxa"/>
            <w:vAlign w:val="center"/>
          </w:tcPr>
          <w:p w14:paraId="03DFA2C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BF4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2F31048B">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6053" w:type="dxa"/>
          </w:tcPr>
          <w:p w14:paraId="562ADC98">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医疗机构违反本办法关于应急用血采血规定的。</w:t>
            </w:r>
          </w:p>
        </w:tc>
        <w:tc>
          <w:tcPr>
            <w:tcW w:w="6681" w:type="dxa"/>
          </w:tcPr>
          <w:p w14:paraId="14ADE4FE">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由县级以上人民政府卫生行政部门责令限期改正，给予警告。 </w:t>
            </w:r>
          </w:p>
        </w:tc>
      </w:tr>
      <w:tr w14:paraId="4D39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77CBDD35">
            <w:pPr>
              <w:widowControl w:val="0"/>
              <w:adjustRightInd/>
              <w:snapToGrid/>
              <w:spacing w:after="0"/>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6053" w:type="dxa"/>
          </w:tcPr>
          <w:p w14:paraId="4A675802">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医疗机构违反本办法关于应急用血采血规定的，情节严重或者造成严重后果的。</w:t>
            </w:r>
          </w:p>
        </w:tc>
        <w:tc>
          <w:tcPr>
            <w:tcW w:w="6681" w:type="dxa"/>
          </w:tcPr>
          <w:p w14:paraId="34D545D1">
            <w:pPr>
              <w:widowControl w:val="0"/>
              <w:adjustRightInd/>
              <w:snapToGrid/>
              <w:spacing w:after="0" w:line="320" w:lineRule="exact"/>
              <w:jc w:val="left"/>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由县级以上人民政府卫生行政部门责令限期改正，给予警告，处 3 万元以下罚款。 </w:t>
            </w:r>
          </w:p>
        </w:tc>
      </w:tr>
    </w:tbl>
    <w:p w14:paraId="00608EE7">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kern w:val="0"/>
          <w14:textFill>
            <w14:solidFill>
              <w14:schemeClr w14:val="tx1"/>
            </w14:solidFill>
          </w14:textFill>
        </w:rPr>
      </w:pPr>
      <w:bookmarkStart w:id="4973" w:name="_Toc10520"/>
      <w:bookmarkStart w:id="4974" w:name="_Toc30598"/>
      <w:bookmarkStart w:id="4975" w:name="_Toc11376"/>
      <w:bookmarkStart w:id="4976" w:name="_Toc23110"/>
      <w:bookmarkStart w:id="4977" w:name="_Toc12356"/>
      <w:bookmarkStart w:id="4978" w:name="_Toc4803"/>
      <w:bookmarkStart w:id="4979" w:name="_Toc30189"/>
      <w:bookmarkStart w:id="4980" w:name="_Toc13274"/>
      <w:bookmarkStart w:id="4981" w:name="_Toc24922"/>
      <w:bookmarkStart w:id="4982" w:name="_Toc4548"/>
      <w:bookmarkStart w:id="4983" w:name="_Toc17154"/>
      <w:bookmarkStart w:id="4984" w:name="_Toc22775"/>
      <w:bookmarkStart w:id="4985" w:name="_Toc21279"/>
      <w:r>
        <w:rPr>
          <w:rFonts w:hint="eastAsia" w:ascii="Times New Roman" w:hAnsi="Times New Roman" w:eastAsia="楷体_GB2312" w:cs="楷体_GB2312"/>
          <w:color w:val="000000" w:themeColor="text1"/>
          <w:kern w:val="0"/>
          <w14:textFill>
            <w14:solidFill>
              <w14:schemeClr w14:val="tx1"/>
            </w14:solidFill>
          </w14:textFill>
        </w:rPr>
        <w:t>（三十四）《脐带血造血干细胞库管理办法（试行）》</w:t>
      </w:r>
      <w:bookmarkEnd w:id="4973"/>
      <w:bookmarkEnd w:id="4974"/>
      <w:bookmarkEnd w:id="4975"/>
      <w:bookmarkEnd w:id="4976"/>
      <w:bookmarkEnd w:id="4977"/>
      <w:bookmarkEnd w:id="4978"/>
      <w:bookmarkEnd w:id="4979"/>
      <w:bookmarkEnd w:id="4980"/>
      <w:bookmarkEnd w:id="4981"/>
      <w:bookmarkEnd w:id="4982"/>
      <w:bookmarkEnd w:id="4983"/>
      <w:bookmarkEnd w:id="4984"/>
      <w:bookmarkEnd w:id="4985"/>
    </w:p>
    <w:p w14:paraId="7B70CD53">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4986" w:name="_Toc25230"/>
      <w:bookmarkStart w:id="4987" w:name="_Toc13966"/>
      <w:bookmarkStart w:id="4988" w:name="_Toc21360"/>
      <w:bookmarkStart w:id="4989" w:name="_Toc4052"/>
      <w:bookmarkStart w:id="4990" w:name="_Toc11640"/>
      <w:bookmarkStart w:id="4991" w:name="_Toc21278"/>
      <w:bookmarkStart w:id="4992" w:name="_Toc12268"/>
      <w:bookmarkStart w:id="4993" w:name="_Toc31034"/>
      <w:bookmarkStart w:id="4994" w:name="_Toc19398"/>
      <w:bookmarkStart w:id="4995" w:name="_Toc7873"/>
      <w:bookmarkStart w:id="4996" w:name="_Toc22175"/>
      <w:r>
        <w:rPr>
          <w:rFonts w:hint="eastAsia" w:cs="仿宋_GB2312"/>
          <w:bCs/>
          <w:color w:val="000000" w:themeColor="text1"/>
          <w14:textFill>
            <w14:solidFill>
              <w14:schemeClr w14:val="tx1"/>
            </w14:solidFill>
          </w14:textFill>
        </w:rPr>
        <w:t>第三百九十七条</w:t>
      </w:r>
      <w:r>
        <w:rPr>
          <w:rFonts w:hint="eastAsia" w:ascii="Times New Roman" w:hAnsi="Times New Roman" w:cs="仿宋_GB2312"/>
          <w:bCs/>
          <w:color w:val="000000" w:themeColor="text1"/>
          <w:kern w:val="0"/>
          <w14:textFill>
            <w14:solidFill>
              <w14:schemeClr w14:val="tx1"/>
            </w14:solidFill>
          </w14:textFill>
        </w:rPr>
        <w:t xml:space="preserve"> 未经批准擅自设置和开办脐带血造血干细胞库，非法采集、提供脐带血的</w:t>
      </w:r>
      <w:bookmarkEnd w:id="4986"/>
      <w:bookmarkEnd w:id="4987"/>
      <w:bookmarkEnd w:id="4988"/>
      <w:bookmarkEnd w:id="4989"/>
      <w:bookmarkEnd w:id="4990"/>
      <w:bookmarkEnd w:id="4991"/>
      <w:bookmarkEnd w:id="4992"/>
      <w:bookmarkEnd w:id="4993"/>
      <w:bookmarkEnd w:id="4994"/>
      <w:bookmarkEnd w:id="4995"/>
      <w:bookmarkEnd w:id="4996"/>
    </w:p>
    <w:p w14:paraId="45FBEAE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C670726">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《脐带血造血干细胞库管理办法（试行）》第三十二条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办法有关规定，未经批准擅自设置和开办脐带血造血干细胞库，非法采集、提供脐带血的，由省级人民政府卫生行政部门予以取缔，没收擅自开办脐带血造血干细胞库的违法所得和设备、器材以及采集的脐带血，并处以3万元以下的罚款；构成犯罪的，依法追究刑事责任。</w:t>
      </w:r>
    </w:p>
    <w:p w14:paraId="023E0CDB">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8080"/>
        <w:gridCol w:w="4441"/>
      </w:tblGrid>
      <w:tr w14:paraId="25DA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400" w:type="dxa"/>
            <w:vAlign w:val="center"/>
          </w:tcPr>
          <w:p w14:paraId="34439E3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80" w:type="dxa"/>
            <w:vAlign w:val="center"/>
          </w:tcPr>
          <w:p w14:paraId="075BB4B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441" w:type="dxa"/>
            <w:vAlign w:val="center"/>
          </w:tcPr>
          <w:p w14:paraId="26DED0D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8FA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400" w:type="dxa"/>
            <w:vAlign w:val="center"/>
          </w:tcPr>
          <w:p w14:paraId="0714EF97">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8080" w:type="dxa"/>
            <w:vAlign w:val="center"/>
          </w:tcPr>
          <w:p w14:paraId="1133110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未经批准擅自设置和开办脐带血造血干细胞库，非法采集、提供脐带血的。</w:t>
            </w:r>
          </w:p>
        </w:tc>
        <w:tc>
          <w:tcPr>
            <w:tcW w:w="4441" w:type="dxa"/>
            <w:vAlign w:val="center"/>
          </w:tcPr>
          <w:p w14:paraId="35C4976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由省级人民政府卫生行政部门予以取缔，没收擅自开办脐带血造血干细胞库的违法所得和设备、器材以及采集的脐带血，并处以3万元以下的罚款。</w:t>
            </w:r>
          </w:p>
        </w:tc>
      </w:tr>
    </w:tbl>
    <w:p w14:paraId="1F9195C3">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kern w:val="0"/>
          <w14:textFill>
            <w14:solidFill>
              <w14:schemeClr w14:val="tx1"/>
            </w14:solidFill>
          </w14:textFill>
        </w:rPr>
      </w:pPr>
      <w:bookmarkStart w:id="4997" w:name="_Toc4504"/>
      <w:bookmarkStart w:id="4998" w:name="_Toc18506"/>
      <w:bookmarkStart w:id="4999" w:name="_Toc24051"/>
      <w:bookmarkStart w:id="5000" w:name="_Toc21143"/>
      <w:bookmarkStart w:id="5001" w:name="_Toc10422"/>
      <w:bookmarkStart w:id="5002" w:name="_Toc15144"/>
      <w:bookmarkStart w:id="5003" w:name="_Toc15147"/>
      <w:bookmarkStart w:id="5004" w:name="_Toc21129"/>
      <w:bookmarkStart w:id="5005" w:name="_Toc2459"/>
      <w:bookmarkStart w:id="5006" w:name="_Toc24009"/>
      <w:bookmarkStart w:id="5007" w:name="_Toc715"/>
      <w:bookmarkStart w:id="5008" w:name="_Toc8641"/>
      <w:bookmarkStart w:id="5009" w:name="_Toc909"/>
      <w:r>
        <w:rPr>
          <w:rFonts w:hint="eastAsia" w:ascii="Times New Roman" w:hAnsi="Times New Roman" w:eastAsia="楷体_GB2312" w:cs="楷体_GB2312"/>
          <w:color w:val="000000" w:themeColor="text1"/>
          <w:kern w:val="0"/>
          <w14:textFill>
            <w14:solidFill>
              <w14:schemeClr w14:val="tx1"/>
            </w14:solidFill>
          </w14:textFill>
        </w:rPr>
        <w:t>（三十五）《药品不良反应报告和监测管理办法》</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0820825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5010" w:name="_Toc16208"/>
      <w:bookmarkStart w:id="5011" w:name="_Toc28157"/>
      <w:bookmarkStart w:id="5012" w:name="_Toc22829"/>
      <w:bookmarkStart w:id="5013" w:name="_Toc9687"/>
      <w:bookmarkStart w:id="5014" w:name="_Toc9003"/>
      <w:bookmarkStart w:id="5015" w:name="_Toc3102"/>
      <w:bookmarkStart w:id="5016" w:name="_Toc7452"/>
      <w:bookmarkStart w:id="5017" w:name="_Toc10592"/>
      <w:bookmarkStart w:id="5018" w:name="_Toc26038"/>
      <w:bookmarkStart w:id="5019" w:name="_Toc5316"/>
      <w:bookmarkStart w:id="5020" w:name="_Toc10334"/>
      <w:r>
        <w:rPr>
          <w:rFonts w:hint="eastAsia" w:cs="仿宋_GB2312"/>
          <w:bCs/>
          <w:color w:val="000000" w:themeColor="text1"/>
          <w14:textFill>
            <w14:solidFill>
              <w14:schemeClr w14:val="tx1"/>
            </w14:solidFill>
          </w14:textFill>
        </w:rPr>
        <w:t>第三百九十八条</w:t>
      </w:r>
      <w:r>
        <w:rPr>
          <w:rFonts w:hint="eastAsia" w:ascii="Times New Roman" w:hAnsi="Times New Roman" w:cs="仿宋_GB2312"/>
          <w:bCs/>
          <w:color w:val="000000" w:themeColor="text1"/>
          <w:kern w:val="0"/>
          <w14:textFill>
            <w14:solidFill>
              <w14:schemeClr w14:val="tx1"/>
            </w14:solidFill>
          </w14:textFill>
        </w:rPr>
        <w:t xml:space="preserve"> 医疗机构未设立或者指定机构并配备专（兼）职人员，承担本单位的药品不良反应报告和监测工作的</w:t>
      </w:r>
      <w:bookmarkEnd w:id="5010"/>
      <w:bookmarkEnd w:id="5011"/>
      <w:bookmarkEnd w:id="5012"/>
      <w:bookmarkEnd w:id="5013"/>
      <w:bookmarkEnd w:id="5014"/>
      <w:bookmarkEnd w:id="5015"/>
      <w:bookmarkEnd w:id="5016"/>
      <w:bookmarkEnd w:id="5017"/>
      <w:bookmarkEnd w:id="5018"/>
      <w:bookmarkEnd w:id="5019"/>
      <w:bookmarkEnd w:id="5020"/>
    </w:p>
    <w:p w14:paraId="46A8D0C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10EBFC1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《药品不良反应报告和监测管理办法》第六十条第一款第（一）项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医疗机构有下列情形之一的，由所在地卫生行政部门给予警告，责令限期改正；逾期不改的，处3万元以下的罚款。情节严重并造成严重后果的，由所在地卫生行政部门对相关责任人给予行政处分：</w:t>
      </w:r>
    </w:p>
    <w:p w14:paraId="69A76DC8">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（一）无专职或者兼职人员负责本单位药品不良反应监测工作的；</w:t>
      </w:r>
    </w:p>
    <w:p w14:paraId="4A0074BE">
      <w:pPr>
        <w:widowControl w:val="0"/>
        <w:adjustRightInd/>
        <w:snapToGrid/>
        <w:spacing w:before="156" w:beforeLines="50"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974"/>
        <w:gridCol w:w="4292"/>
      </w:tblGrid>
      <w:tr w14:paraId="45E5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40" w:type="dxa"/>
            <w:vAlign w:val="center"/>
          </w:tcPr>
          <w:p w14:paraId="2868FDE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74" w:type="dxa"/>
            <w:vAlign w:val="center"/>
          </w:tcPr>
          <w:p w14:paraId="448F4CE1">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92" w:type="dxa"/>
            <w:vAlign w:val="center"/>
          </w:tcPr>
          <w:p w14:paraId="32EC5B5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940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40" w:type="dxa"/>
            <w:vAlign w:val="center"/>
          </w:tcPr>
          <w:p w14:paraId="250ECF8B">
            <w:pPr>
              <w:widowControl w:val="0"/>
              <w:adjustRightInd/>
              <w:snapToGrid/>
              <w:spacing w:after="0" w:line="340" w:lineRule="exact"/>
              <w:jc w:val="center"/>
              <w:rPr>
                <w:rFonts w:hint="eastAsia" w:ascii="Times New Roman" w:hAnsi="Times New Roman" w:eastAsia="仿宋" w:cs="仿宋"/>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974" w:type="dxa"/>
            <w:vAlign w:val="center"/>
          </w:tcPr>
          <w:p w14:paraId="6F3E32F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未设立或者指定机构并配备专（兼）职人员，承担本单位的药品不良反应报告和监测工作的。</w:t>
            </w:r>
          </w:p>
        </w:tc>
        <w:tc>
          <w:tcPr>
            <w:tcW w:w="4292" w:type="dxa"/>
            <w:vAlign w:val="center"/>
          </w:tcPr>
          <w:p w14:paraId="0EFFA29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4E40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40" w:type="dxa"/>
            <w:vAlign w:val="center"/>
          </w:tcPr>
          <w:p w14:paraId="1FD2A78F">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974" w:type="dxa"/>
            <w:vAlign w:val="center"/>
          </w:tcPr>
          <w:p w14:paraId="4E8022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未设立或者指定机构并配备专（兼）职人员，承担本单位的药品不良反应报告和监测工作的，责令限期改正，逾期不改的。</w:t>
            </w:r>
          </w:p>
        </w:tc>
        <w:tc>
          <w:tcPr>
            <w:tcW w:w="4292" w:type="dxa"/>
            <w:vAlign w:val="center"/>
          </w:tcPr>
          <w:p w14:paraId="26B959E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给予警告，处3万元以下罚款。</w:t>
            </w:r>
          </w:p>
        </w:tc>
      </w:tr>
    </w:tbl>
    <w:p w14:paraId="2BB1E592">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5021" w:name="_Toc4871"/>
      <w:bookmarkStart w:id="5022" w:name="_Toc21892"/>
      <w:bookmarkStart w:id="5023" w:name="_Toc3541"/>
      <w:bookmarkStart w:id="5024" w:name="_Toc15991"/>
      <w:bookmarkStart w:id="5025" w:name="_Toc11267"/>
      <w:bookmarkStart w:id="5026" w:name="_Toc3688"/>
      <w:bookmarkStart w:id="5027" w:name="_Toc31179"/>
      <w:bookmarkStart w:id="5028" w:name="_Toc14225"/>
      <w:bookmarkStart w:id="5029" w:name="_Toc29714"/>
      <w:bookmarkStart w:id="5030" w:name="_Toc3434"/>
      <w:bookmarkStart w:id="5031" w:name="_Toc17982"/>
      <w:r>
        <w:rPr>
          <w:rFonts w:hint="eastAsia" w:cs="仿宋_GB2312"/>
          <w:bCs/>
          <w:color w:val="000000" w:themeColor="text1"/>
          <w14:textFill>
            <w14:solidFill>
              <w14:schemeClr w14:val="tx1"/>
            </w14:solidFill>
          </w14:textFill>
        </w:rPr>
        <w:t>第三百九十九条</w:t>
      </w:r>
      <w:r>
        <w:rPr>
          <w:rFonts w:hint="eastAsia" w:ascii="Times New Roman" w:hAnsi="Times New Roman" w:cs="仿宋_GB2312"/>
          <w:bCs/>
          <w:color w:val="000000" w:themeColor="text1"/>
          <w:kern w:val="0"/>
          <w14:textFill>
            <w14:solidFill>
              <w14:schemeClr w14:val="tx1"/>
            </w14:solidFill>
          </w14:textFill>
        </w:rPr>
        <w:t xml:space="preserve"> 医疗机构未按照要求开展药品不良反应或者群体不良事件报告的</w:t>
      </w:r>
      <w:bookmarkEnd w:id="5021"/>
      <w:bookmarkEnd w:id="5022"/>
      <w:bookmarkEnd w:id="5023"/>
      <w:bookmarkEnd w:id="5024"/>
      <w:bookmarkEnd w:id="5025"/>
      <w:bookmarkEnd w:id="5026"/>
      <w:bookmarkEnd w:id="5027"/>
      <w:bookmarkEnd w:id="5028"/>
      <w:bookmarkEnd w:id="5029"/>
      <w:bookmarkEnd w:id="5030"/>
      <w:bookmarkEnd w:id="5031"/>
    </w:p>
    <w:p w14:paraId="540A2E9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694F905">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《药品不良反应报告和监测管理办法》第六十条第一款第（二）项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医疗机构有下列情形之一的，由所在地卫生行政部门给予警告，责令限期改正；逾期不改的，处3万元以下的罚款。情节严重并造成严重后果的，由所在地卫生行政部门对相关责任人给予行政处分：</w:t>
      </w:r>
    </w:p>
    <w:p w14:paraId="62A4D523">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（二）未按照要求开展药品不良反应或者群体不良事件报告、调查、评价和处理的；</w:t>
      </w:r>
    </w:p>
    <w:p w14:paraId="46A31051">
      <w:pPr>
        <w:widowControl w:val="0"/>
        <w:adjustRightInd/>
        <w:snapToGrid/>
        <w:spacing w:before="156" w:beforeLines="50" w:after="0" w:line="440" w:lineRule="exact"/>
        <w:jc w:val="center"/>
        <w:rPr>
          <w:rFonts w:hint="eastAsia" w:ascii="Times New Roman" w:hAnsi="Times New Roman" w:cs="宋体"/>
          <w:b/>
          <w:bCs/>
          <w:color w:val="000000" w:themeColor="text1"/>
          <w:kern w:val="2"/>
          <w:sz w:val="28"/>
          <w:szCs w:val="28"/>
          <w14:textFill>
            <w14:solidFill>
              <w14:schemeClr w14:val="tx1"/>
            </w14:solidFill>
          </w14:textFill>
        </w:rPr>
      </w:pPr>
      <w:r>
        <w:rPr>
          <w:rFonts w:hint="eastAsia" w:ascii="Times New Roman" w:hAnsi="Times New Roman" w:cs="宋体"/>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974"/>
        <w:gridCol w:w="4292"/>
      </w:tblGrid>
      <w:tr w14:paraId="7051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1440" w:type="dxa"/>
            <w:vAlign w:val="center"/>
          </w:tcPr>
          <w:p w14:paraId="7A9C9EA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74" w:type="dxa"/>
            <w:vAlign w:val="center"/>
          </w:tcPr>
          <w:p w14:paraId="58FE45E9">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92" w:type="dxa"/>
            <w:vAlign w:val="center"/>
          </w:tcPr>
          <w:p w14:paraId="3EDFA42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146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40" w:type="dxa"/>
            <w:vAlign w:val="center"/>
          </w:tcPr>
          <w:p w14:paraId="4ACE3B38">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974" w:type="dxa"/>
            <w:vAlign w:val="center"/>
          </w:tcPr>
          <w:p w14:paraId="6042354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未按照要求开展药品不良反应或者群体不良事件报告的。</w:t>
            </w:r>
          </w:p>
        </w:tc>
        <w:tc>
          <w:tcPr>
            <w:tcW w:w="4292" w:type="dxa"/>
            <w:vAlign w:val="center"/>
          </w:tcPr>
          <w:p w14:paraId="0E72D22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7C5C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40" w:type="dxa"/>
            <w:vAlign w:val="center"/>
          </w:tcPr>
          <w:p w14:paraId="64C214F0">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974" w:type="dxa"/>
            <w:vAlign w:val="center"/>
          </w:tcPr>
          <w:p w14:paraId="6D77F38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未按照要求开展药品不良反应或者群体不良事件报告的，责令限期改正，逾期不改的。</w:t>
            </w:r>
          </w:p>
        </w:tc>
        <w:tc>
          <w:tcPr>
            <w:tcW w:w="4292" w:type="dxa"/>
            <w:vAlign w:val="center"/>
          </w:tcPr>
          <w:p w14:paraId="4B4C830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给予警告，处3万元以下罚款。</w:t>
            </w:r>
          </w:p>
        </w:tc>
      </w:tr>
    </w:tbl>
    <w:p w14:paraId="1C36FEF7">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5032" w:name="_Toc22718"/>
      <w:bookmarkStart w:id="5033" w:name="_Toc24046"/>
      <w:bookmarkStart w:id="5034" w:name="_Toc6444"/>
      <w:bookmarkStart w:id="5035" w:name="_Toc22847"/>
      <w:bookmarkStart w:id="5036" w:name="_Toc8086"/>
      <w:bookmarkStart w:id="5037" w:name="_Toc23885"/>
      <w:bookmarkStart w:id="5038" w:name="_Toc21595"/>
      <w:bookmarkStart w:id="5039" w:name="_Toc26547"/>
      <w:bookmarkStart w:id="5040" w:name="_Toc29741"/>
      <w:bookmarkStart w:id="5041" w:name="_Toc12732"/>
      <w:bookmarkStart w:id="5042" w:name="_Toc29049"/>
      <w:r>
        <w:rPr>
          <w:rFonts w:hint="eastAsia" w:cs="仿宋_GB2312"/>
          <w:bCs/>
          <w:color w:val="000000" w:themeColor="text1"/>
          <w14:textFill>
            <w14:solidFill>
              <w14:schemeClr w14:val="tx1"/>
            </w14:solidFill>
          </w14:textFill>
        </w:rPr>
        <w:t>第四百条</w:t>
      </w:r>
      <w:r>
        <w:rPr>
          <w:rFonts w:hint="eastAsia" w:ascii="Times New Roman" w:hAnsi="Times New Roman" w:cs="仿宋_GB2312"/>
          <w:bCs/>
          <w:color w:val="000000" w:themeColor="text1"/>
          <w:kern w:val="0"/>
          <w14:textFill>
            <w14:solidFill>
              <w14:schemeClr w14:val="tx1"/>
            </w14:solidFill>
          </w14:textFill>
        </w:rPr>
        <w:t xml:space="preserve"> 医疗机构不配合严重药品不良反应和群体不良事件相关调查工作的</w:t>
      </w:r>
      <w:bookmarkEnd w:id="5032"/>
      <w:bookmarkEnd w:id="5033"/>
      <w:bookmarkEnd w:id="5034"/>
      <w:bookmarkEnd w:id="5035"/>
      <w:bookmarkEnd w:id="5036"/>
      <w:bookmarkEnd w:id="5037"/>
      <w:bookmarkEnd w:id="5038"/>
      <w:bookmarkEnd w:id="5039"/>
      <w:bookmarkEnd w:id="5040"/>
      <w:bookmarkEnd w:id="5041"/>
      <w:bookmarkEnd w:id="5042"/>
    </w:p>
    <w:p w14:paraId="5D50728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284B1DE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《药品不良反应报告和监测管理办法》第六十条第一款第（三）项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医疗机构有下列情形之一的，由所在地卫生行政部门给予警告，责令限期改正；逾期不改的，处3万元以下的罚款。情节严重并造成严重后果的，由所在地卫生行政部门对相关责任人给予行政处分：</w:t>
      </w:r>
    </w:p>
    <w:p w14:paraId="29D0A50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（三）不配合严重药品不良反应和群体不良事件相关调查工作的。</w:t>
      </w:r>
    </w:p>
    <w:p w14:paraId="511827DE">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974"/>
        <w:gridCol w:w="4292"/>
      </w:tblGrid>
      <w:tr w14:paraId="0035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vAlign w:val="center"/>
          </w:tcPr>
          <w:p w14:paraId="7D52028F">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74" w:type="dxa"/>
            <w:vAlign w:val="center"/>
          </w:tcPr>
          <w:p w14:paraId="0D5B256A">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92" w:type="dxa"/>
            <w:vAlign w:val="center"/>
          </w:tcPr>
          <w:p w14:paraId="184C199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F6A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440" w:type="dxa"/>
            <w:vAlign w:val="center"/>
          </w:tcPr>
          <w:p w14:paraId="7504241D">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974" w:type="dxa"/>
            <w:vAlign w:val="center"/>
          </w:tcPr>
          <w:p w14:paraId="0C9C8AE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不配合严重药品不良反应和群体不良事件相关调查工作的。</w:t>
            </w:r>
          </w:p>
        </w:tc>
        <w:tc>
          <w:tcPr>
            <w:tcW w:w="4292" w:type="dxa"/>
            <w:vAlign w:val="center"/>
          </w:tcPr>
          <w:p w14:paraId="25BD4D1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w:t>
            </w:r>
          </w:p>
        </w:tc>
      </w:tr>
      <w:tr w14:paraId="2EE5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440" w:type="dxa"/>
            <w:vAlign w:val="center"/>
          </w:tcPr>
          <w:p w14:paraId="3C28876E">
            <w:pPr>
              <w:widowControl w:val="0"/>
              <w:adjustRightInd/>
              <w:snapToGrid/>
              <w:spacing w:after="0" w:line="4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974" w:type="dxa"/>
            <w:vAlign w:val="center"/>
          </w:tcPr>
          <w:p w14:paraId="165DAF4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不配合严重药品不良反应和群体不良事件相关调查工作的，责令限期改正，逾期不改的。</w:t>
            </w:r>
          </w:p>
        </w:tc>
        <w:tc>
          <w:tcPr>
            <w:tcW w:w="4292" w:type="dxa"/>
            <w:vAlign w:val="center"/>
          </w:tcPr>
          <w:p w14:paraId="2FEEF75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给予警告，处3万元以下罚款。</w:t>
            </w:r>
          </w:p>
        </w:tc>
      </w:tr>
    </w:tbl>
    <w:p w14:paraId="4A096E9B">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kern w:val="0"/>
          <w14:textFill>
            <w14:solidFill>
              <w14:schemeClr w14:val="tx1"/>
            </w14:solidFill>
          </w14:textFill>
        </w:rPr>
      </w:pPr>
      <w:bookmarkStart w:id="5043" w:name="_Toc11478"/>
      <w:bookmarkStart w:id="5044" w:name="_Toc27103"/>
      <w:bookmarkStart w:id="5045" w:name="_Toc5413"/>
      <w:bookmarkStart w:id="5046" w:name="_Toc9127"/>
      <w:bookmarkStart w:id="5047" w:name="_Toc29114"/>
      <w:bookmarkStart w:id="5048" w:name="_Toc7562"/>
      <w:bookmarkStart w:id="5049" w:name="_Toc13566"/>
      <w:bookmarkStart w:id="5050" w:name="_Toc31841"/>
      <w:bookmarkStart w:id="5051" w:name="_Toc21650"/>
      <w:bookmarkStart w:id="5052" w:name="_Toc5154"/>
      <w:bookmarkStart w:id="5053" w:name="_Toc11884"/>
      <w:bookmarkStart w:id="5054" w:name="_Toc25678"/>
      <w:bookmarkStart w:id="5055" w:name="_Toc31679"/>
      <w:r>
        <w:rPr>
          <w:rFonts w:hint="eastAsia" w:ascii="Times New Roman" w:hAnsi="Times New Roman" w:eastAsia="楷体_GB2312" w:cs="楷体_GB2312"/>
          <w:color w:val="000000" w:themeColor="text1"/>
          <w:kern w:val="0"/>
          <w14:textFill>
            <w14:solidFill>
              <w14:schemeClr w14:val="tx1"/>
            </w14:solidFill>
          </w14:textFill>
        </w:rPr>
        <w:t>（三十六）《涉及人的生物医学研究伦理审查办法》</w:t>
      </w:r>
      <w:bookmarkEnd w:id="5043"/>
      <w:bookmarkEnd w:id="5044"/>
      <w:bookmarkEnd w:id="5045"/>
      <w:bookmarkEnd w:id="5046"/>
      <w:bookmarkEnd w:id="5047"/>
      <w:bookmarkEnd w:id="5048"/>
      <w:bookmarkEnd w:id="5049"/>
      <w:bookmarkEnd w:id="5050"/>
      <w:bookmarkEnd w:id="5051"/>
      <w:bookmarkEnd w:id="5052"/>
      <w:bookmarkEnd w:id="5053"/>
      <w:bookmarkEnd w:id="5054"/>
      <w:bookmarkEnd w:id="5055"/>
      <w:r>
        <w:rPr>
          <w:rFonts w:hint="eastAsia" w:ascii="Times New Roman" w:hAnsi="Times New Roman" w:eastAsia="楷体_GB2312" w:cs="楷体_GB2312"/>
          <w:color w:val="000000" w:themeColor="text1"/>
          <w:kern w:val="0"/>
          <w14:textFill>
            <w14:solidFill>
              <w14:schemeClr w14:val="tx1"/>
            </w14:solidFill>
          </w14:textFill>
        </w:rPr>
        <w:t>　　　　</w:t>
      </w:r>
    </w:p>
    <w:p w14:paraId="4D7F67A8">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5056" w:name="_Toc19014"/>
      <w:bookmarkStart w:id="5057" w:name="_Toc9111"/>
      <w:bookmarkStart w:id="5058" w:name="_Toc973"/>
      <w:bookmarkStart w:id="5059" w:name="_Toc22235"/>
      <w:bookmarkStart w:id="5060" w:name="_Toc5353"/>
      <w:bookmarkStart w:id="5061" w:name="_Toc32666"/>
      <w:bookmarkStart w:id="5062" w:name="_Toc14683"/>
      <w:bookmarkStart w:id="5063" w:name="_Toc31957"/>
      <w:bookmarkStart w:id="5064" w:name="_Toc26960"/>
      <w:bookmarkStart w:id="5065" w:name="_Toc20543"/>
      <w:bookmarkStart w:id="5066" w:name="_Toc23367"/>
      <w:r>
        <w:rPr>
          <w:rFonts w:hint="eastAsia" w:cs="仿宋_GB2312"/>
          <w:bCs/>
          <w:color w:val="000000" w:themeColor="text1"/>
          <w14:textFill>
            <w14:solidFill>
              <w14:schemeClr w14:val="tx1"/>
            </w14:solidFill>
          </w14:textFill>
        </w:rPr>
        <w:t>第四百零一条</w:t>
      </w:r>
      <w:r>
        <w:rPr>
          <w:rFonts w:hint="eastAsia" w:ascii="Times New Roman" w:hAnsi="Times New Roman" w:cs="仿宋_GB2312"/>
          <w:bCs/>
          <w:color w:val="000000" w:themeColor="text1"/>
          <w:kern w:val="0"/>
          <w14:textFill>
            <w14:solidFill>
              <w14:schemeClr w14:val="tx1"/>
            </w14:solidFill>
          </w14:textFill>
        </w:rPr>
        <w:t xml:space="preserve"> 医疗卫生机构未按照规定设立伦理委员会擅自开展涉及人的生物医学研究,逾期不改的</w:t>
      </w:r>
      <w:bookmarkEnd w:id="5056"/>
      <w:bookmarkEnd w:id="5057"/>
      <w:bookmarkEnd w:id="5058"/>
      <w:bookmarkEnd w:id="5059"/>
      <w:bookmarkEnd w:id="5060"/>
      <w:bookmarkEnd w:id="5061"/>
      <w:bookmarkEnd w:id="5062"/>
      <w:bookmarkEnd w:id="5063"/>
      <w:bookmarkEnd w:id="5064"/>
      <w:bookmarkEnd w:id="5065"/>
      <w:bookmarkEnd w:id="5066"/>
    </w:p>
    <w:p w14:paraId="23CE0A01">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7B2570EE">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《涉及人的生物医学研究伦理审查办法》第四十五条  医疗卫生机构未按照规定设立伦理委员会擅自开展涉及人的生物医学研究的，由县级以上地方卫生计生行政部门责令限期整改；逾期不改的，由县级以上地方卫生计生行政部门予以警告，并可处以3万元以下罚款；对机构主要负责人和其他责任人员，依法给予处分。</w:t>
      </w:r>
    </w:p>
    <w:p w14:paraId="4FE625A6">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8334"/>
        <w:gridCol w:w="4236"/>
      </w:tblGrid>
      <w:tr w14:paraId="295D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0" w:type="dxa"/>
            <w:vAlign w:val="center"/>
          </w:tcPr>
          <w:p w14:paraId="2FAFABB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34" w:type="dxa"/>
            <w:vAlign w:val="center"/>
          </w:tcPr>
          <w:p w14:paraId="6FF940FD">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36" w:type="dxa"/>
            <w:vAlign w:val="center"/>
          </w:tcPr>
          <w:p w14:paraId="538ED8E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597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440" w:type="dxa"/>
            <w:vAlign w:val="center"/>
          </w:tcPr>
          <w:p w14:paraId="2926652A">
            <w:pPr>
              <w:widowControl w:val="0"/>
              <w:adjustRightInd/>
              <w:snapToGrid/>
              <w:spacing w:after="0" w:line="440" w:lineRule="exact"/>
              <w:jc w:val="center"/>
              <w:rPr>
                <w:rFonts w:hint="eastAsia" w:ascii="Times New Roman" w:hAnsi="Times New Roman" w:eastAsia="仿宋" w:cs="仿宋"/>
                <w:b/>
                <w:color w:val="000000" w:themeColor="text1"/>
                <w:kern w:val="2"/>
                <w:sz w:val="24"/>
                <w:szCs w:val="24"/>
                <w14:textFill>
                  <w14:solidFill>
                    <w14:schemeClr w14:val="tx1"/>
                  </w14:solidFill>
                </w14:textFill>
              </w:rPr>
            </w:pPr>
            <w:r>
              <w:rPr>
                <w:rFonts w:hint="eastAsia" w:ascii="Times New Roman" w:hAnsi="Times New Roman" w:eastAsia="仿宋_GB2312" w:cs="仿宋"/>
                <w:b/>
                <w:color w:val="000000" w:themeColor="text1"/>
                <w:kern w:val="2"/>
                <w:sz w:val="24"/>
                <w:szCs w:val="24"/>
                <w14:textFill>
                  <w14:solidFill>
                    <w14:schemeClr w14:val="tx1"/>
                  </w14:solidFill>
                </w14:textFill>
              </w:rPr>
              <w:t>严重</w:t>
            </w:r>
          </w:p>
        </w:tc>
        <w:tc>
          <w:tcPr>
            <w:tcW w:w="8334" w:type="dxa"/>
            <w:vAlign w:val="center"/>
          </w:tcPr>
          <w:p w14:paraId="5B29625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未按照规定设立伦理委员会擅自开展涉及人的生物医学研究，且逾期不改的。</w:t>
            </w:r>
          </w:p>
        </w:tc>
        <w:tc>
          <w:tcPr>
            <w:tcW w:w="4236" w:type="dxa"/>
            <w:vAlign w:val="center"/>
          </w:tcPr>
          <w:p w14:paraId="66094E3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警告，并处以3万元以下罚款。</w:t>
            </w:r>
          </w:p>
        </w:tc>
      </w:tr>
    </w:tbl>
    <w:p w14:paraId="79B0A48F">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5067" w:name="_Toc25723"/>
      <w:bookmarkStart w:id="5068" w:name="_Toc31205"/>
      <w:bookmarkStart w:id="5069" w:name="_Toc14025"/>
      <w:bookmarkStart w:id="5070" w:name="_Toc17574"/>
      <w:bookmarkStart w:id="5071" w:name="_Toc1701"/>
      <w:bookmarkStart w:id="5072" w:name="_Toc13291"/>
      <w:bookmarkStart w:id="5073" w:name="_Toc14168"/>
      <w:bookmarkStart w:id="5074" w:name="_Toc23577"/>
      <w:bookmarkStart w:id="5075" w:name="_Toc23718"/>
      <w:bookmarkStart w:id="5076" w:name="_Toc12548"/>
      <w:bookmarkStart w:id="5077" w:name="_Toc9059"/>
      <w:r>
        <w:rPr>
          <w:rFonts w:hint="eastAsia" w:ascii="Times New Roman" w:hAnsi="Times New Roman" w:cs="仿宋_GB2312"/>
          <w:bCs/>
          <w:color w:val="000000" w:themeColor="text1"/>
          <w:kern w:val="0"/>
          <w14:textFill>
            <w14:solidFill>
              <w14:schemeClr w14:val="tx1"/>
            </w14:solidFill>
          </w14:textFill>
        </w:rPr>
        <w:t>第四百零二条</w:t>
      </w:r>
      <w:r>
        <w:rPr>
          <w:rFonts w:hint="eastAsia" w:cs="仿宋_GB2312"/>
          <w:bCs/>
          <w:color w:val="000000" w:themeColor="text1"/>
          <w:kern w:val="0"/>
          <w:lang w:eastAsia="zh-CN"/>
          <w14:textFill>
            <w14:solidFill>
              <w14:schemeClr w14:val="tx1"/>
            </w14:solidFill>
          </w14:textFill>
        </w:rPr>
        <w:t xml:space="preserve"> </w:t>
      </w:r>
      <w:r>
        <w:rPr>
          <w:rFonts w:hint="eastAsia" w:ascii="Times New Roman" w:hAnsi="Times New Roman" w:cs="仿宋_GB2312"/>
          <w:bCs/>
          <w:color w:val="000000" w:themeColor="text1"/>
          <w:kern w:val="0"/>
          <w14:textFill>
            <w14:solidFill>
              <w14:schemeClr w14:val="tx1"/>
            </w14:solidFill>
          </w14:textFill>
        </w:rPr>
        <w:t>医疗卫生机构及其伦理委员会不符合相关管理规定的</w:t>
      </w:r>
      <w:bookmarkEnd w:id="5067"/>
      <w:bookmarkEnd w:id="5068"/>
      <w:bookmarkEnd w:id="5069"/>
      <w:bookmarkEnd w:id="5070"/>
      <w:bookmarkEnd w:id="5071"/>
      <w:bookmarkEnd w:id="5072"/>
      <w:bookmarkEnd w:id="5073"/>
      <w:bookmarkEnd w:id="5074"/>
      <w:bookmarkEnd w:id="5075"/>
      <w:bookmarkEnd w:id="5076"/>
      <w:bookmarkEnd w:id="5077"/>
    </w:p>
    <w:p w14:paraId="184450E9">
      <w:pPr>
        <w:pStyle w:val="23"/>
        <w:widowControl w:val="0"/>
        <w:spacing w:before="0" w:beforeAutospacing="0" w:after="0" w:afterAutospacing="0" w:line="440" w:lineRule="exact"/>
        <w:ind w:firstLine="561"/>
        <w:rPr>
          <w:rFonts w:hint="eastAsia" w:ascii="Times New Roman" w:hAnsi="Times New Roman" w:eastAsia="仿宋" w:cs="仿宋"/>
          <w:color w:val="000000" w:themeColor="text1"/>
          <w:sz w:val="32"/>
          <w:szCs w:val="32"/>
          <w14:textFill>
            <w14:solidFill>
              <w14:schemeClr w14:val="tx1"/>
            </w14:solidFill>
          </w14:textFill>
        </w:rPr>
      </w:pPr>
      <w:r>
        <w:rPr>
          <w:rFonts w:hint="eastAsia" w:ascii="Times New Roman" w:hAnsi="Times New Roman" w:eastAsia="仿宋" w:cs="仿宋"/>
          <w:color w:val="000000" w:themeColor="text1"/>
          <w:sz w:val="32"/>
          <w:szCs w:val="32"/>
          <w14:textFill>
            <w14:solidFill>
              <w14:schemeClr w14:val="tx1"/>
            </w14:solidFill>
          </w14:textFill>
        </w:rPr>
        <w:t>法律依据：</w:t>
      </w:r>
    </w:p>
    <w:p w14:paraId="07486166">
      <w:pPr>
        <w:pStyle w:val="23"/>
        <w:widowControl w:val="0"/>
        <w:spacing w:before="0" w:beforeAutospacing="0" w:after="0" w:afterAutospacing="0" w:line="440" w:lineRule="exact"/>
        <w:ind w:firstLine="561"/>
        <w:rPr>
          <w:rFonts w:hint="eastAsia" w:ascii="Times New Roman" w:hAnsi="Times New Roman" w:eastAsia="仿宋" w:cs="仿宋"/>
          <w:color w:val="000000" w:themeColor="text1"/>
          <w:sz w:val="32"/>
          <w:szCs w:val="32"/>
          <w14:textFill>
            <w14:solidFill>
              <w14:schemeClr w14:val="tx1"/>
            </w14:solidFill>
          </w14:textFill>
        </w:rPr>
      </w:pPr>
      <w:r>
        <w:rPr>
          <w:rFonts w:hint="eastAsia" w:ascii="Times New Roman" w:hAnsi="Times New Roman" w:eastAsia="仿宋" w:cs="仿宋"/>
          <w:color w:val="000000" w:themeColor="text1"/>
          <w:sz w:val="32"/>
          <w:szCs w:val="32"/>
          <w14:textFill>
            <w14:solidFill>
              <w14:schemeClr w14:val="tx1"/>
            </w14:solidFill>
          </w14:textFill>
        </w:rPr>
        <w:t>《涉及人的生物医学研究伦理审查办法》第四十六条 医疗卫生机构及其伦理委员会违反本办法规定，有下列情形之一的，由县级以上地方卫生计生行政部门责令限期整改，并可根据情节轻重给予通报批评、警告；对机构主要负责人和其他责任人员，依法给予处分：（一）伦理委员会组成、委员资质不符合要求的；（二）未建立伦理审查工作制度或者操作规程的；（三）未按照伦理审查原则和相关规章制度进行审查的；（四）泄露研究项目方案、受试者个人信息以及委员审查意见的；（五）未按照规定进行备案的；（六）其他违反本办法规定的情形。</w:t>
      </w:r>
    </w:p>
    <w:p w14:paraId="64FEDE58">
      <w:pPr>
        <w:widowControl w:val="0"/>
        <w:spacing w:before="156" w:beforeLines="50" w:line="440" w:lineRule="exact"/>
        <w:ind w:firstLine="6163" w:firstLineChars="2200"/>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裁量标准</w:t>
      </w:r>
    </w:p>
    <w:tbl>
      <w:tblPr>
        <w:tblStyle w:val="24"/>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8361"/>
        <w:gridCol w:w="4194"/>
      </w:tblGrid>
      <w:tr w14:paraId="7542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5" w:type="dxa"/>
            <w:vAlign w:val="center"/>
          </w:tcPr>
          <w:p w14:paraId="49AD8E89">
            <w:pPr>
              <w:widowControl/>
              <w:adjustRightInd/>
              <w:snapToGrid/>
              <w:spacing w:before="0" w:beforeLines="-2147483648"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361" w:type="dxa"/>
            <w:vAlign w:val="center"/>
          </w:tcPr>
          <w:p w14:paraId="47CA1442">
            <w:pPr>
              <w:widowControl/>
              <w:adjustRightInd/>
              <w:snapToGrid/>
              <w:spacing w:before="0" w:beforeLines="-2147483648"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94" w:type="dxa"/>
            <w:vAlign w:val="center"/>
          </w:tcPr>
          <w:p w14:paraId="167A96F9">
            <w:pPr>
              <w:widowControl/>
              <w:adjustRightInd/>
              <w:snapToGrid/>
              <w:spacing w:before="0" w:beforeLines="-2147483648"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4FF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45" w:type="dxa"/>
            <w:vAlign w:val="center"/>
          </w:tcPr>
          <w:p w14:paraId="727E8B71">
            <w:pPr>
              <w:widowControl w:val="0"/>
              <w:spacing w:after="0" w:line="279" w:lineRule="auto"/>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一般</w:t>
            </w:r>
          </w:p>
        </w:tc>
        <w:tc>
          <w:tcPr>
            <w:tcW w:w="8361" w:type="dxa"/>
            <w:vAlign w:val="center"/>
          </w:tcPr>
          <w:p w14:paraId="6CEDF9A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有1-2种上述情形的。</w:t>
            </w:r>
          </w:p>
        </w:tc>
        <w:tc>
          <w:tcPr>
            <w:tcW w:w="4194" w:type="dxa"/>
            <w:vAlign w:val="center"/>
          </w:tcPr>
          <w:p w14:paraId="11634B6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给予通报批评。</w:t>
            </w:r>
          </w:p>
        </w:tc>
      </w:tr>
      <w:tr w14:paraId="1B31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45" w:type="dxa"/>
            <w:vAlign w:val="center"/>
          </w:tcPr>
          <w:p w14:paraId="64BFC2A9">
            <w:pPr>
              <w:widowControl w:val="0"/>
              <w:spacing w:after="0" w:line="279" w:lineRule="auto"/>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严重</w:t>
            </w:r>
          </w:p>
        </w:tc>
        <w:tc>
          <w:tcPr>
            <w:tcW w:w="8361" w:type="dxa"/>
            <w:vAlign w:val="center"/>
          </w:tcPr>
          <w:p w14:paraId="5B7B4B5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有3种及以上上述情形的。</w:t>
            </w:r>
          </w:p>
        </w:tc>
        <w:tc>
          <w:tcPr>
            <w:tcW w:w="4194" w:type="dxa"/>
            <w:vAlign w:val="center"/>
          </w:tcPr>
          <w:p w14:paraId="190F8E2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w:t>
            </w:r>
          </w:p>
        </w:tc>
      </w:tr>
    </w:tbl>
    <w:p w14:paraId="61260296">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5078" w:name="_Toc26855"/>
      <w:bookmarkStart w:id="5079" w:name="_Toc6555"/>
      <w:bookmarkStart w:id="5080" w:name="_Toc11878"/>
      <w:bookmarkStart w:id="5081" w:name="_Toc24428"/>
      <w:bookmarkStart w:id="5082" w:name="_Toc6890"/>
      <w:bookmarkStart w:id="5083" w:name="_Toc26290"/>
      <w:bookmarkStart w:id="5084" w:name="_Toc6942"/>
      <w:bookmarkStart w:id="5085" w:name="_Toc22906"/>
      <w:bookmarkStart w:id="5086" w:name="_Toc19972"/>
      <w:bookmarkStart w:id="5087" w:name="_Toc5116"/>
      <w:bookmarkStart w:id="5088" w:name="_Toc22099"/>
      <w:r>
        <w:rPr>
          <w:rFonts w:hint="eastAsia" w:ascii="Times New Roman" w:hAnsi="Times New Roman" w:cs="仿宋_GB2312"/>
          <w:bCs/>
          <w:color w:val="000000" w:themeColor="text1"/>
          <w:kern w:val="0"/>
          <w14:textFill>
            <w14:solidFill>
              <w14:schemeClr w14:val="tx1"/>
            </w14:solidFill>
          </w14:textFill>
        </w:rPr>
        <w:t>第四百零三条</w:t>
      </w:r>
      <w:r>
        <w:rPr>
          <w:rFonts w:hint="eastAsia" w:cs="仿宋_GB2312"/>
          <w:bCs/>
          <w:color w:val="000000" w:themeColor="text1"/>
          <w:kern w:val="0"/>
          <w:lang w:eastAsia="zh-CN"/>
          <w14:textFill>
            <w14:solidFill>
              <w14:schemeClr w14:val="tx1"/>
            </w14:solidFill>
          </w14:textFill>
        </w:rPr>
        <w:t xml:space="preserve"> </w:t>
      </w:r>
      <w:r>
        <w:rPr>
          <w:rFonts w:hint="eastAsia" w:ascii="Times New Roman" w:hAnsi="Times New Roman" w:cs="仿宋_GB2312"/>
          <w:bCs/>
          <w:color w:val="000000" w:themeColor="text1"/>
          <w:kern w:val="0"/>
          <w14:textFill>
            <w14:solidFill>
              <w14:schemeClr w14:val="tx1"/>
            </w14:solidFill>
          </w14:textFill>
        </w:rPr>
        <w:t>项目研究者违反相关规定的</w:t>
      </w:r>
      <w:bookmarkEnd w:id="5078"/>
      <w:bookmarkEnd w:id="5079"/>
      <w:bookmarkEnd w:id="5080"/>
      <w:bookmarkEnd w:id="5081"/>
      <w:bookmarkEnd w:id="5082"/>
      <w:bookmarkEnd w:id="5083"/>
      <w:bookmarkEnd w:id="5084"/>
      <w:bookmarkEnd w:id="5085"/>
      <w:bookmarkEnd w:id="5086"/>
      <w:bookmarkEnd w:id="5087"/>
      <w:bookmarkEnd w:id="5088"/>
    </w:p>
    <w:p w14:paraId="5CA005BC">
      <w:pPr>
        <w:pStyle w:val="23"/>
        <w:widowControl w:val="0"/>
        <w:spacing w:beforeAutospacing="0" w:afterAutospacing="0" w:line="440" w:lineRule="exact"/>
        <w:ind w:firstLine="56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4F90822">
      <w:pPr>
        <w:pStyle w:val="12"/>
        <w:shd w:val="clear" w:color="auto" w:fill="FFFFFF"/>
        <w:spacing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《涉及人的生物医学研究伦理审查办法》第四十七条 项目研究者违反本办法规定，有下列情形之一的，由县级以上地方卫生计生行政部门责令限期整改，并可根据情节轻重给予通报批评、警告；对主要负责人和其他责任人员，依法给予处分：（一）研究项目或者研究方案未获得伦理委员会审查批准擅自开展项目研究工作的；（二）研究过程中发生严重不良反应或者严重不良事件未及时报告伦理委员会的；（三）违反知情同意相关规定开展项目研究的；（四）其他违反本办法规定的情形。</w:t>
      </w:r>
    </w:p>
    <w:p w14:paraId="0AD46C31">
      <w:pPr>
        <w:widowControl w:val="0"/>
        <w:spacing w:before="156" w:beforeLines="50" w:line="440" w:lineRule="exact"/>
        <w:ind w:firstLine="5883" w:firstLineChars="2100"/>
        <w:jc w:val="both"/>
        <w:rPr>
          <w:rFonts w:hint="eastAsia" w:ascii="Times New Roman" w:hAnsi="Times New Roman" w:eastAsia="仿宋" w:cs="仿宋"/>
          <w:color w:val="000000" w:themeColor="text1"/>
          <w:sz w:val="32"/>
          <w:szCs w:val="32"/>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裁量标准</w:t>
      </w:r>
    </w:p>
    <w:tbl>
      <w:tblPr>
        <w:tblStyle w:val="24"/>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8361"/>
        <w:gridCol w:w="4194"/>
      </w:tblGrid>
      <w:tr w14:paraId="13CB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45" w:type="dxa"/>
            <w:vAlign w:val="center"/>
          </w:tcPr>
          <w:p w14:paraId="1F2F908C">
            <w:pPr>
              <w:widowControl/>
              <w:adjustRightInd/>
              <w:snapToGrid/>
              <w:spacing w:before="0" w:beforeLines="-2147483648"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361" w:type="dxa"/>
            <w:vAlign w:val="center"/>
          </w:tcPr>
          <w:p w14:paraId="745016E7">
            <w:pPr>
              <w:widowControl/>
              <w:adjustRightInd/>
              <w:snapToGrid/>
              <w:spacing w:before="0" w:beforeLines="-2147483648"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94" w:type="dxa"/>
            <w:vAlign w:val="center"/>
          </w:tcPr>
          <w:p w14:paraId="05F5518E">
            <w:pPr>
              <w:widowControl/>
              <w:adjustRightInd/>
              <w:snapToGrid/>
              <w:spacing w:before="0" w:beforeLines="-2147483648"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202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45" w:type="dxa"/>
            <w:vAlign w:val="center"/>
          </w:tcPr>
          <w:p w14:paraId="528E981C">
            <w:pPr>
              <w:widowControl w:val="0"/>
              <w:spacing w:after="0" w:line="279" w:lineRule="auto"/>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一般</w:t>
            </w:r>
          </w:p>
        </w:tc>
        <w:tc>
          <w:tcPr>
            <w:tcW w:w="8361" w:type="dxa"/>
            <w:vAlign w:val="center"/>
          </w:tcPr>
          <w:p w14:paraId="39CCD09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有1-2种上述情形的。</w:t>
            </w:r>
          </w:p>
        </w:tc>
        <w:tc>
          <w:tcPr>
            <w:tcW w:w="4194" w:type="dxa"/>
            <w:vAlign w:val="center"/>
          </w:tcPr>
          <w:p w14:paraId="3E392E2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给予通报批评。</w:t>
            </w:r>
          </w:p>
        </w:tc>
      </w:tr>
      <w:tr w14:paraId="422B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45" w:type="dxa"/>
            <w:vAlign w:val="center"/>
          </w:tcPr>
          <w:p w14:paraId="35DED903">
            <w:pPr>
              <w:widowControl w:val="0"/>
              <w:spacing w:after="0" w:line="279" w:lineRule="auto"/>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严重</w:t>
            </w:r>
          </w:p>
        </w:tc>
        <w:tc>
          <w:tcPr>
            <w:tcW w:w="8361" w:type="dxa"/>
            <w:vAlign w:val="center"/>
          </w:tcPr>
          <w:p w14:paraId="44DECF7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有3种及以上上述情形的。</w:t>
            </w:r>
          </w:p>
        </w:tc>
        <w:tc>
          <w:tcPr>
            <w:tcW w:w="4194" w:type="dxa"/>
            <w:vAlign w:val="center"/>
          </w:tcPr>
          <w:p w14:paraId="3E4F5B9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w:t>
            </w:r>
          </w:p>
        </w:tc>
      </w:tr>
    </w:tbl>
    <w:p w14:paraId="753AB9E7">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kern w:val="0"/>
          <w14:textFill>
            <w14:solidFill>
              <w14:schemeClr w14:val="tx1"/>
            </w14:solidFill>
          </w14:textFill>
        </w:rPr>
      </w:pPr>
      <w:bookmarkStart w:id="5089" w:name="_Toc6935"/>
      <w:bookmarkStart w:id="5090" w:name="_Toc101"/>
      <w:bookmarkStart w:id="5091" w:name="_Toc24643"/>
      <w:bookmarkStart w:id="5092" w:name="_Toc15438"/>
      <w:bookmarkStart w:id="5093" w:name="_Toc1612"/>
      <w:bookmarkStart w:id="5094" w:name="_Toc31098"/>
      <w:bookmarkStart w:id="5095" w:name="_Toc21578"/>
      <w:bookmarkStart w:id="5096" w:name="_Toc2587"/>
      <w:bookmarkStart w:id="5097" w:name="_Toc6516"/>
      <w:bookmarkStart w:id="5098" w:name="_Toc2776"/>
      <w:bookmarkStart w:id="5099" w:name="_Toc11093"/>
      <w:bookmarkStart w:id="5100" w:name="_Toc12428"/>
      <w:bookmarkStart w:id="5101" w:name="_Toc12048"/>
      <w:r>
        <w:rPr>
          <w:rFonts w:hint="eastAsia" w:ascii="Times New Roman" w:hAnsi="Times New Roman" w:eastAsia="楷体_GB2312" w:cs="楷体_GB2312"/>
          <w:color w:val="000000" w:themeColor="text1"/>
          <w:kern w:val="0"/>
          <w14:textFill>
            <w14:solidFill>
              <w14:schemeClr w14:val="tx1"/>
            </w14:solidFill>
          </w14:textFill>
        </w:rPr>
        <w:t>（三十七）《外国医师来华短期行医暂行管理办法》</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p>
    <w:p w14:paraId="1267CE19">
      <w:pPr>
        <w:pStyle w:val="4"/>
        <w:widowControl w:val="0"/>
        <w:ind w:firstLine="640"/>
        <w:jc w:val="both"/>
        <w:rPr>
          <w:rFonts w:hint="eastAsia" w:ascii="Times New Roman" w:hAnsi="Times New Roman" w:cs="仿宋_GB2312"/>
          <w:b/>
          <w:bCs/>
          <w:color w:val="000000" w:themeColor="text1"/>
          <w:kern w:val="0"/>
          <w14:textFill>
            <w14:solidFill>
              <w14:schemeClr w14:val="tx1"/>
            </w14:solidFill>
          </w14:textFill>
        </w:rPr>
      </w:pPr>
      <w:bookmarkStart w:id="5102" w:name="_Toc2619"/>
      <w:bookmarkStart w:id="5103" w:name="_Toc1685"/>
      <w:bookmarkStart w:id="5104" w:name="_Toc32104"/>
      <w:bookmarkStart w:id="5105" w:name="_Toc30312"/>
      <w:bookmarkStart w:id="5106" w:name="_Toc19767"/>
      <w:bookmarkStart w:id="5107" w:name="_Toc15649"/>
      <w:bookmarkStart w:id="5108" w:name="_Toc12556"/>
      <w:bookmarkStart w:id="5109" w:name="_Toc15461"/>
      <w:bookmarkStart w:id="5110" w:name="_Toc2905"/>
      <w:bookmarkStart w:id="5111" w:name="_Toc2598"/>
      <w:bookmarkStart w:id="5112" w:name="_Toc14765"/>
      <w:r>
        <w:rPr>
          <w:rFonts w:hint="eastAsia" w:ascii="Times New Roman" w:hAnsi="Times New Roman" w:cs="仿宋_GB2312"/>
          <w:bCs/>
          <w:color w:val="000000" w:themeColor="text1"/>
          <w:kern w:val="0"/>
          <w14:textFill>
            <w14:solidFill>
              <w14:schemeClr w14:val="tx1"/>
            </w14:solidFill>
          </w14:textFill>
        </w:rPr>
        <w:t>第四百零四条 外国医师未经注册取得《外国医师短期行医许可证》擅自来华短期行医的</w:t>
      </w:r>
      <w:bookmarkEnd w:id="5102"/>
      <w:bookmarkEnd w:id="5103"/>
      <w:bookmarkEnd w:id="5104"/>
      <w:bookmarkEnd w:id="5105"/>
      <w:bookmarkEnd w:id="5106"/>
      <w:bookmarkEnd w:id="5107"/>
      <w:bookmarkEnd w:id="5108"/>
      <w:bookmarkEnd w:id="5109"/>
      <w:bookmarkEnd w:id="5110"/>
      <w:bookmarkEnd w:id="5111"/>
      <w:bookmarkEnd w:id="5112"/>
    </w:p>
    <w:p w14:paraId="262A6D34">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法律依据：</w:t>
      </w:r>
    </w:p>
    <w:p w14:paraId="50087D9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1.《外国医师来华短期行医暂行管理办法》第十五条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违反本办法第三条规定的，由所在地设区的市级以上卫生计生行政部门予以取缔，没收非法所得，并处以 10000元以下罚款；对邀请、聘用或提供场所的单位，处以警告，没收非法所得，并处以 5000元以下罚款。</w:t>
      </w:r>
    </w:p>
    <w:p w14:paraId="14019A0B">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2.《外国医师来华短期行医暂行管理办法》 第三条</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外国医师来华短期行医必须经过注册，取得《外国医师短期行医许可证》。《外国医师短期行医许可证》由国家卫生计生委统一印制。</w:t>
      </w:r>
    </w:p>
    <w:p w14:paraId="61C93BC1">
      <w:pPr>
        <w:widowControl w:val="0"/>
        <w:adjustRightInd/>
        <w:snapToGrid/>
        <w:spacing w:before="156" w:beforeLines="50" w:after="0" w:line="440" w:lineRule="exact"/>
        <w:ind w:firstLine="5883" w:firstLineChars="2100"/>
        <w:jc w:val="both"/>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7548"/>
        <w:gridCol w:w="5082"/>
      </w:tblGrid>
      <w:tr w14:paraId="63A6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70" w:type="dxa"/>
            <w:vAlign w:val="center"/>
          </w:tcPr>
          <w:p w14:paraId="7369FF47">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48" w:type="dxa"/>
            <w:vAlign w:val="center"/>
          </w:tcPr>
          <w:p w14:paraId="5A249536">
            <w:pPr>
              <w:widowControl/>
              <w:adjustRightInd/>
              <w:snapToGrid/>
              <w:spacing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082" w:type="dxa"/>
            <w:vAlign w:val="center"/>
          </w:tcPr>
          <w:p w14:paraId="0625DEF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BB2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70" w:type="dxa"/>
            <w:vAlign w:val="center"/>
          </w:tcPr>
          <w:p w14:paraId="1C1E6D45">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548" w:type="dxa"/>
            <w:vAlign w:val="center"/>
          </w:tcPr>
          <w:p w14:paraId="702AB5C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外国医师来华短期行医未经过注册，未取得《外国医师短期行医许可</w:t>
            </w:r>
          </w:p>
          <w:p w14:paraId="503E638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证》擅自执业，有下列情形之一的：</w:t>
            </w:r>
          </w:p>
          <w:p w14:paraId="4554FE2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A.执业时间累计在 1 个月以内的；</w:t>
            </w:r>
          </w:p>
          <w:p w14:paraId="1D52D4F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B.外国医师违法所得不足 3000 元的。</w:t>
            </w:r>
          </w:p>
        </w:tc>
        <w:tc>
          <w:tcPr>
            <w:tcW w:w="5082" w:type="dxa"/>
            <w:vAlign w:val="center"/>
          </w:tcPr>
          <w:p w14:paraId="1F85055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对外国医师予以取缔，没收非法所得，并处以 3000元以下罚款；对邀请、聘用或提供场所的单位，处以警告，没收非法所得，并处以2000元以下罚款。</w:t>
            </w:r>
          </w:p>
        </w:tc>
      </w:tr>
      <w:tr w14:paraId="507B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70" w:type="dxa"/>
            <w:vAlign w:val="center"/>
          </w:tcPr>
          <w:p w14:paraId="6C1A68F4">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7548" w:type="dxa"/>
            <w:vAlign w:val="center"/>
          </w:tcPr>
          <w:p w14:paraId="3F2A3E0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外国医师来华短期行医未经过注册，未取得《外国医师短期行医许可</w:t>
            </w:r>
          </w:p>
          <w:p w14:paraId="4801169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证》擅自执业，有下列情形之一的：</w:t>
            </w:r>
          </w:p>
          <w:p w14:paraId="119EAA2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A.执业时间累计在 1 个月以上 3 个月以下的；</w:t>
            </w:r>
          </w:p>
          <w:p w14:paraId="7291C88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B.外国医师违法所得在 3000 元以上 5000 元以下的。</w:t>
            </w:r>
          </w:p>
        </w:tc>
        <w:tc>
          <w:tcPr>
            <w:tcW w:w="5082" w:type="dxa"/>
            <w:vAlign w:val="center"/>
          </w:tcPr>
          <w:p w14:paraId="435323F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对外国医师予以取缔，没收非法所得，并处以 3000元以上8000元以下罚款；对邀请、聘用或提供场所的单位，处以警告，没收非法所得，并处以2000 元以上4000 元以下罚款。</w:t>
            </w:r>
          </w:p>
        </w:tc>
      </w:tr>
      <w:tr w14:paraId="3EE9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70" w:type="dxa"/>
            <w:vAlign w:val="center"/>
          </w:tcPr>
          <w:p w14:paraId="1068D33C">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48" w:type="dxa"/>
            <w:vAlign w:val="center"/>
          </w:tcPr>
          <w:p w14:paraId="387FB2F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外国医师来华短期行医未经过注册，未取得《外国医师短期行医许可</w:t>
            </w:r>
          </w:p>
          <w:p w14:paraId="48E3723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证》擅自执业，有下列情形之一的：</w:t>
            </w:r>
          </w:p>
          <w:p w14:paraId="36049E4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A.执业时间累计在 3 个月以上 5 个月以下的；</w:t>
            </w:r>
          </w:p>
          <w:p w14:paraId="2674D2B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B.外国医师违法所得在 5000 元以上 1 万元以下的；</w:t>
            </w:r>
          </w:p>
          <w:p w14:paraId="0888566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C.因擅自执业曾受过卫生行政部门处罚；</w:t>
            </w:r>
          </w:p>
          <w:p w14:paraId="70656D1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D.给患者造成伤害的。</w:t>
            </w:r>
          </w:p>
        </w:tc>
        <w:tc>
          <w:tcPr>
            <w:tcW w:w="5082" w:type="dxa"/>
            <w:vAlign w:val="center"/>
          </w:tcPr>
          <w:p w14:paraId="55F9784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对外国医师予以取缔，没收非法所得，并处 8000元以上1万元以下罚款；对邀请、聘用或提供场所的单位，处以警告，没收非法所得，并处以4000元以上5000元以下罚款。</w:t>
            </w:r>
          </w:p>
        </w:tc>
      </w:tr>
      <w:tr w14:paraId="42D6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70" w:type="dxa"/>
            <w:vAlign w:val="center"/>
          </w:tcPr>
          <w:p w14:paraId="44A569DD">
            <w:pPr>
              <w:widowControl w:val="0"/>
              <w:adjustRightInd/>
              <w:snapToGrid/>
              <w:spacing w:after="0" w:line="340" w:lineRule="exact"/>
              <w:jc w:val="center"/>
              <w:rPr>
                <w:rFonts w:hint="eastAsia" w:ascii="Times New Roman" w:hAnsi="Times New Roman" w:eastAsia="仿宋"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特别严重</w:t>
            </w:r>
          </w:p>
        </w:tc>
        <w:tc>
          <w:tcPr>
            <w:tcW w:w="7548" w:type="dxa"/>
            <w:vAlign w:val="center"/>
          </w:tcPr>
          <w:p w14:paraId="45A7635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外国医师来华短期行医未经过注册，未取得《外国医师短期行医许可</w:t>
            </w:r>
          </w:p>
          <w:p w14:paraId="7D757EE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证》擅自执业，有下列情形之一的：</w:t>
            </w:r>
          </w:p>
          <w:p w14:paraId="4862C48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A.执业时间累计在 5 个月以上的；</w:t>
            </w:r>
          </w:p>
          <w:p w14:paraId="19F441C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B.外国医师违法所得在 1 万元以上的；</w:t>
            </w:r>
          </w:p>
          <w:p w14:paraId="63B2988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C.给患者造成死亡的。</w:t>
            </w:r>
          </w:p>
        </w:tc>
        <w:tc>
          <w:tcPr>
            <w:tcW w:w="5082" w:type="dxa"/>
            <w:vAlign w:val="center"/>
          </w:tcPr>
          <w:p w14:paraId="05B1686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对外国医师予以取缔，没收非法所得，并处以 10000元罚款。对邀请、聘用或提供场所的单位，处以警告，没收非法所得，并处以5000元罚款。</w:t>
            </w:r>
          </w:p>
        </w:tc>
      </w:tr>
    </w:tbl>
    <w:p w14:paraId="0913EB16">
      <w:pPr>
        <w:widowControl w:val="0"/>
        <w:adjustRightInd/>
        <w:snapToGrid/>
        <w:spacing w:after="0" w:line="440" w:lineRule="exact"/>
        <w:jc w:val="both"/>
        <w:rPr>
          <w:rFonts w:hint="eastAsia" w:ascii="Times New Roman" w:hAnsi="Times New Roman" w:eastAsia="方正仿宋_GB2312" w:cs="楷体"/>
          <w:b/>
          <w:bCs/>
          <w:color w:val="000000" w:themeColor="text1"/>
          <w:kern w:val="2"/>
          <w:sz w:val="32"/>
          <w:szCs w:val="32"/>
          <w14:textFill>
            <w14:solidFill>
              <w14:schemeClr w14:val="tx1"/>
            </w14:solidFill>
          </w14:textFill>
        </w:rPr>
      </w:pPr>
    </w:p>
    <w:p w14:paraId="52F966A6">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kern w:val="0"/>
          <w14:textFill>
            <w14:solidFill>
              <w14:schemeClr w14:val="tx1"/>
            </w14:solidFill>
          </w14:textFill>
        </w:rPr>
      </w:pPr>
      <w:bookmarkStart w:id="5113" w:name="_Toc30877"/>
      <w:bookmarkStart w:id="5114" w:name="_Toc3542"/>
      <w:bookmarkStart w:id="5115" w:name="_Toc28729"/>
      <w:bookmarkStart w:id="5116" w:name="_Toc13023"/>
      <w:bookmarkStart w:id="5117" w:name="_Toc13517"/>
      <w:bookmarkStart w:id="5118" w:name="_Toc15599"/>
      <w:bookmarkStart w:id="5119" w:name="_Toc10458"/>
      <w:bookmarkStart w:id="5120" w:name="_Toc16700"/>
      <w:bookmarkStart w:id="5121" w:name="_Toc30432"/>
      <w:bookmarkStart w:id="5122" w:name="_Toc9443"/>
      <w:bookmarkStart w:id="5123" w:name="_Toc14327"/>
      <w:bookmarkStart w:id="5124" w:name="_Toc12643"/>
      <w:bookmarkStart w:id="5125" w:name="_Toc10833"/>
      <w:r>
        <w:rPr>
          <w:rFonts w:hint="eastAsia" w:ascii="Times New Roman" w:hAnsi="Times New Roman" w:eastAsia="楷体_GB2312" w:cs="楷体_GB2312"/>
          <w:color w:val="000000" w:themeColor="text1"/>
          <w:kern w:val="0"/>
          <w14:textFill>
            <w14:solidFill>
              <w14:schemeClr w14:val="tx1"/>
            </w14:solidFill>
          </w14:textFill>
        </w:rPr>
        <w:t>（三十八）《艾滋病防治条例》</w:t>
      </w:r>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14:paraId="6A1F94E9">
      <w:pPr>
        <w:pStyle w:val="4"/>
        <w:widowControl w:val="0"/>
        <w:ind w:firstLine="640" w:firstLineChars="0"/>
        <w:jc w:val="both"/>
        <w:rPr>
          <w:rFonts w:hint="eastAsia" w:ascii="Times New Roman" w:hAnsi="Times New Roman" w:cs="仿宋_GB2312"/>
          <w:b/>
          <w:bCs/>
          <w:color w:val="000000" w:themeColor="text1"/>
          <w:kern w:val="0"/>
          <w14:textFill>
            <w14:solidFill>
              <w14:schemeClr w14:val="tx1"/>
            </w14:solidFill>
          </w14:textFill>
        </w:rPr>
      </w:pPr>
      <w:bookmarkStart w:id="5126" w:name="_Toc12740"/>
      <w:bookmarkStart w:id="5127" w:name="_Toc23324"/>
      <w:bookmarkStart w:id="5128" w:name="_Toc9656"/>
      <w:bookmarkStart w:id="5129" w:name="_Toc15643"/>
      <w:bookmarkStart w:id="5130" w:name="_Toc14851"/>
      <w:bookmarkStart w:id="5131" w:name="_Toc23227"/>
      <w:bookmarkStart w:id="5132" w:name="_Toc7844"/>
      <w:bookmarkStart w:id="5133" w:name="_Toc19812"/>
      <w:bookmarkStart w:id="5134" w:name="_Toc25532"/>
      <w:bookmarkStart w:id="5135" w:name="_Toc10031"/>
      <w:bookmarkStart w:id="5136" w:name="_Toc13037"/>
      <w:r>
        <w:rPr>
          <w:rFonts w:hint="eastAsia" w:ascii="Times New Roman" w:hAnsi="Times New Roman" w:cs="仿宋_GB2312"/>
          <w:bCs/>
          <w:color w:val="000000" w:themeColor="text1"/>
          <w:kern w:val="0"/>
          <w14:textFill>
            <w14:solidFill>
              <w14:schemeClr w14:val="tx1"/>
            </w14:solidFill>
          </w14:textFill>
        </w:rPr>
        <w:t>第四百零五条 医疗卫生机构未经本人或者其监护人同意公开艾滋病病毒感染者、艾滋病病人或者其家属的信息的</w:t>
      </w:r>
      <w:bookmarkEnd w:id="5126"/>
      <w:bookmarkEnd w:id="5127"/>
      <w:bookmarkEnd w:id="5128"/>
      <w:bookmarkEnd w:id="5129"/>
      <w:bookmarkEnd w:id="5130"/>
      <w:bookmarkEnd w:id="5131"/>
      <w:bookmarkEnd w:id="5132"/>
      <w:bookmarkEnd w:id="5133"/>
      <w:bookmarkEnd w:id="5134"/>
      <w:bookmarkEnd w:id="5135"/>
      <w:bookmarkEnd w:id="5136"/>
      <w:r>
        <w:rPr>
          <w:rFonts w:hint="eastAsia" w:ascii="Times New Roman" w:hAnsi="Times New Roman" w:cs="仿宋_GB2312"/>
          <w:bCs/>
          <w:color w:val="000000" w:themeColor="text1"/>
          <w:kern w:val="0"/>
          <w14:textFill>
            <w14:solidFill>
              <w14:schemeClr w14:val="tx1"/>
            </w14:solidFill>
          </w14:textFill>
        </w:rPr>
        <w:t xml:space="preserve"> </w:t>
      </w:r>
    </w:p>
    <w:p w14:paraId="7E318DDA">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（一）法律依据 </w:t>
      </w:r>
    </w:p>
    <w:p w14:paraId="6FF9E6BC">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1.《艾滋病防治条例》第五十六条第一款</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医疗卫生机构违反本条例第三十九条第二款规定，公开艾滋病病毒感染者、艾滋病病人或者其家属的信息的，依照传染病防治法的规定予以处罚。 </w:t>
      </w:r>
    </w:p>
    <w:p w14:paraId="1097A3E2">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2.《中华人民共和国传染病防治法》第六十九条第（七）项</w:t>
      </w:r>
      <w:r>
        <w:rPr>
          <w:rFonts w:hint="eastAsia" w:ascii="Times New Roman" w:hAnsi="Times New Roman" w:eastAsia="仿宋_GB2312" w:cs="仿宋_GB2312"/>
          <w:color w:val="000000" w:themeColor="text1"/>
          <w:kern w:val="2"/>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32"/>
          <w14:textFill>
            <w14:solidFill>
              <w14:schemeClr w14:val="tx1"/>
            </w14:solidFill>
          </w14:textFill>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构成犯罪的，依法追究刑事责任：</w:t>
      </w:r>
    </w:p>
    <w:p w14:paraId="642C7D19">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（七）故意泄露传染病病人、病原携带者、疑似传染病病人、密切接触者涉及个人隐私的有关信息、资料的。</w:t>
      </w:r>
    </w:p>
    <w:p w14:paraId="4972AC6C">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599"/>
        <w:gridCol w:w="5135"/>
      </w:tblGrid>
      <w:tr w14:paraId="4F05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14:paraId="7269CAF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99" w:type="dxa"/>
          </w:tcPr>
          <w:p w14:paraId="73C2DC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5135" w:type="dxa"/>
          </w:tcPr>
          <w:p w14:paraId="5A7E2A6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65F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DF79E0D">
            <w:pPr>
              <w:widowControl w:val="0"/>
              <w:adjustRightInd/>
              <w:snapToGrid/>
              <w:spacing w:after="0" w:line="3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7599" w:type="dxa"/>
            <w:vAlign w:val="center"/>
          </w:tcPr>
          <w:p w14:paraId="4EFBE9B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医疗卫生机构未经本人或者其监护人同意，公开艾滋病病毒感染者、艾滋病病人或者其家属的信息的，未造成严重后果的。</w:t>
            </w:r>
          </w:p>
        </w:tc>
        <w:tc>
          <w:tcPr>
            <w:tcW w:w="5135" w:type="dxa"/>
            <w:vAlign w:val="center"/>
          </w:tcPr>
          <w:p w14:paraId="7C9549D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责令改正，通报批评，给予警告。</w:t>
            </w:r>
          </w:p>
        </w:tc>
      </w:tr>
      <w:tr w14:paraId="6072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5B147446">
            <w:pPr>
              <w:widowControl w:val="0"/>
              <w:adjustRightInd/>
              <w:snapToGrid/>
              <w:spacing w:after="0" w:line="3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7599" w:type="dxa"/>
            <w:vAlign w:val="center"/>
          </w:tcPr>
          <w:p w14:paraId="0C8BA89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医疗卫生机构未经本人或者其监护人同意，公开艾滋病病毒感染者、艾滋病病人或者其家属的信息，给艾滋病病毒感染者、艾滋病病人或者其家属造成伤害或者其他严重后果的。</w:t>
            </w:r>
          </w:p>
        </w:tc>
        <w:tc>
          <w:tcPr>
            <w:tcW w:w="5135" w:type="dxa"/>
            <w:vAlign w:val="center"/>
          </w:tcPr>
          <w:p w14:paraId="2EAE71F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责令改正，通报批评，给予警告；并可以依法吊销有关责任人员的执业证书。</w:t>
            </w:r>
          </w:p>
        </w:tc>
      </w:tr>
    </w:tbl>
    <w:p w14:paraId="3E6333B0">
      <w:pPr>
        <w:pStyle w:val="4"/>
        <w:widowControl w:val="0"/>
        <w:ind w:firstLine="640" w:firstLineChars="0"/>
        <w:jc w:val="both"/>
        <w:rPr>
          <w:rFonts w:hint="eastAsia" w:ascii="Times New Roman" w:hAnsi="Times New Roman" w:cs="仿宋_GB2312"/>
          <w:bCs/>
          <w:color w:val="000000" w:themeColor="text1"/>
          <w:kern w:val="0"/>
          <w14:textFill>
            <w14:solidFill>
              <w14:schemeClr w14:val="tx1"/>
            </w14:solidFill>
          </w14:textFill>
        </w:rPr>
      </w:pPr>
      <w:bookmarkStart w:id="5137" w:name="_Toc1519"/>
      <w:bookmarkStart w:id="5138" w:name="_Toc227"/>
      <w:bookmarkStart w:id="5139" w:name="_Toc10609"/>
      <w:bookmarkStart w:id="5140" w:name="_Toc4942"/>
      <w:bookmarkStart w:id="5141" w:name="_Toc16403"/>
      <w:bookmarkStart w:id="5142" w:name="_Toc31863"/>
      <w:bookmarkStart w:id="5143" w:name="_Toc14083"/>
      <w:bookmarkStart w:id="5144" w:name="_Toc13135"/>
      <w:bookmarkStart w:id="5145" w:name="_Toc8726"/>
      <w:bookmarkStart w:id="5146" w:name="_Toc9037"/>
      <w:bookmarkStart w:id="5147" w:name="_Toc31792"/>
      <w:r>
        <w:rPr>
          <w:rFonts w:hint="eastAsia" w:ascii="Times New Roman" w:hAnsi="Times New Roman" w:cs="仿宋_GB2312"/>
          <w:bCs/>
          <w:color w:val="000000" w:themeColor="text1"/>
          <w:kern w:val="0"/>
          <w14:textFill>
            <w14:solidFill>
              <w14:schemeClr w14:val="tx1"/>
            </w14:solidFill>
          </w14:textFill>
        </w:rPr>
        <w:t>第四百零六条 提供、使用未经出入境检验检疫机构检疫的进口人体血液、血浆、组织、器官、细胞、骨髓等的</w:t>
      </w:r>
      <w:bookmarkEnd w:id="5137"/>
      <w:bookmarkEnd w:id="5138"/>
      <w:bookmarkEnd w:id="5139"/>
      <w:bookmarkEnd w:id="5140"/>
      <w:bookmarkEnd w:id="5141"/>
      <w:bookmarkEnd w:id="5142"/>
      <w:bookmarkEnd w:id="5143"/>
      <w:bookmarkEnd w:id="5144"/>
      <w:bookmarkEnd w:id="5145"/>
      <w:bookmarkEnd w:id="5146"/>
      <w:bookmarkEnd w:id="5147"/>
    </w:p>
    <w:p w14:paraId="70EECC7D">
      <w:pPr>
        <w:widowControl w:val="0"/>
        <w:adjustRightInd/>
        <w:snapToGrid/>
        <w:spacing w:after="0" w:line="440" w:lineRule="exact"/>
        <w:ind w:firstLine="640"/>
        <w:jc w:val="both"/>
        <w:rPr>
          <w:rFonts w:hint="eastAsia" w:ascii="Times New Roman" w:hAnsi="Times New Roman" w:eastAsia="仿宋_GB2312" w:cs="仿宋_GB2312"/>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 xml:space="preserve">法律依据 </w:t>
      </w:r>
    </w:p>
    <w:p w14:paraId="3C96852C">
      <w:pPr>
        <w:widowControl w:val="0"/>
        <w:adjustRightInd/>
        <w:snapToGrid/>
        <w:spacing w:after="0" w:line="440" w:lineRule="exact"/>
        <w:ind w:firstLine="64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32"/>
          <w14:textFill>
            <w14:solidFill>
              <w14:schemeClr w14:val="tx1"/>
            </w14:solidFill>
          </w14:textFill>
        </w:rPr>
        <w:t>《艾滋病防治条例》第五十九条第一款“对不符合本条例第三十七条第二款规定进出口的人体血液、血浆、组织、器官、细胞、骨髓等，进出口口岸出入境检验检疫机构应当禁止出入境或者监督销毁。提供、使用未经出入境检验检疫机构检疫的进口人体血液、血浆、组织、器官、细胞、骨髓等的，由县级以上人民政府卫生主管部门没收违法物品以及违法所得，并处违法物品货值金额 3 倍以上 5 倍以下的罚款；</w:t>
      </w:r>
      <w:r>
        <w:rPr>
          <w:rFonts w:hint="eastAsia" w:ascii="Times New Roman" w:hAnsi="Times New Roman" w:eastAsia="仿宋_GB2312" w:cs="Times New Roman"/>
          <w:color w:val="000000" w:themeColor="text1"/>
          <w:kern w:val="2"/>
          <w:sz w:val="32"/>
          <w:szCs w:val="32"/>
          <w14:textFill>
            <w14:solidFill>
              <w14:schemeClr w14:val="tx1"/>
            </w14:solidFill>
          </w14:textFill>
        </w:rPr>
        <w:t>对负有责任的主管人员和其他直接责任人员由其所在单位或者上级主管部门依法给予处分。</w:t>
      </w:r>
    </w:p>
    <w:p w14:paraId="3BB6DD7C">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595"/>
        <w:gridCol w:w="7139"/>
      </w:tblGrid>
      <w:tr w14:paraId="6C9C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dxa"/>
          </w:tcPr>
          <w:p w14:paraId="43B78D0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595" w:type="dxa"/>
          </w:tcPr>
          <w:p w14:paraId="4845D40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违法后果</w:t>
            </w:r>
          </w:p>
        </w:tc>
        <w:tc>
          <w:tcPr>
            <w:tcW w:w="7139" w:type="dxa"/>
          </w:tcPr>
          <w:p w14:paraId="71E3134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8EB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0" w:type="dxa"/>
            <w:vAlign w:val="center"/>
          </w:tcPr>
          <w:p w14:paraId="693AB788">
            <w:pPr>
              <w:widowControl w:val="0"/>
              <w:adjustRightInd/>
              <w:snapToGrid/>
              <w:spacing w:after="0" w:line="3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一般</w:t>
            </w:r>
          </w:p>
        </w:tc>
        <w:tc>
          <w:tcPr>
            <w:tcW w:w="5595" w:type="dxa"/>
            <w:vAlign w:val="center"/>
          </w:tcPr>
          <w:p w14:paraId="14784E9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违法物品货值不足 1 万元的。</w:t>
            </w:r>
          </w:p>
        </w:tc>
        <w:tc>
          <w:tcPr>
            <w:tcW w:w="7139" w:type="dxa"/>
            <w:vAlign w:val="center"/>
          </w:tcPr>
          <w:p w14:paraId="690F1E8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没收违法物品，没收违法所得，并处以违法物品货值 3 倍罚款。</w:t>
            </w:r>
          </w:p>
        </w:tc>
      </w:tr>
      <w:tr w14:paraId="5281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0" w:type="dxa"/>
            <w:vAlign w:val="center"/>
          </w:tcPr>
          <w:p w14:paraId="5DB80167">
            <w:pPr>
              <w:widowControl w:val="0"/>
              <w:adjustRightInd/>
              <w:snapToGrid/>
              <w:spacing w:after="0" w:line="3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较重</w:t>
            </w:r>
          </w:p>
        </w:tc>
        <w:tc>
          <w:tcPr>
            <w:tcW w:w="5595" w:type="dxa"/>
            <w:vAlign w:val="center"/>
          </w:tcPr>
          <w:p w14:paraId="1F22294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违法物品货值 1 万元以上不足 2 万元的。</w:t>
            </w:r>
          </w:p>
        </w:tc>
        <w:tc>
          <w:tcPr>
            <w:tcW w:w="7139" w:type="dxa"/>
            <w:vAlign w:val="center"/>
          </w:tcPr>
          <w:p w14:paraId="69FC41A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没收违法物品，没收违法所得，并处以违法物品货值 4 倍罚款。</w:t>
            </w:r>
          </w:p>
        </w:tc>
      </w:tr>
      <w:tr w14:paraId="5F0C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0" w:type="dxa"/>
            <w:vAlign w:val="center"/>
          </w:tcPr>
          <w:p w14:paraId="2D48FEBF">
            <w:pPr>
              <w:widowControl w:val="0"/>
              <w:adjustRightInd/>
              <w:snapToGrid/>
              <w:spacing w:after="0" w:line="340" w:lineRule="exact"/>
              <w:jc w:val="center"/>
              <w:rPr>
                <w:rFonts w:hint="eastAsia" w:ascii="Times New Roman" w:hAnsi="Times New Roman" w:eastAsia="仿宋_GB2312" w:cs="仿宋"/>
                <w:b/>
                <w:bCs/>
                <w:color w:val="000000" w:themeColor="text1"/>
                <w:kern w:val="2"/>
                <w:sz w:val="24"/>
                <w:szCs w:val="24"/>
                <w14:textFill>
                  <w14:solidFill>
                    <w14:schemeClr w14:val="tx1"/>
                  </w14:solidFill>
                </w14:textFill>
              </w:rPr>
            </w:pPr>
            <w:r>
              <w:rPr>
                <w:rFonts w:hint="eastAsia" w:ascii="Times New Roman" w:hAnsi="Times New Roman" w:eastAsia="仿宋_GB2312" w:cs="仿宋"/>
                <w:b/>
                <w:bCs/>
                <w:color w:val="000000" w:themeColor="text1"/>
                <w:kern w:val="2"/>
                <w:sz w:val="24"/>
                <w:szCs w:val="24"/>
                <w14:textFill>
                  <w14:solidFill>
                    <w14:schemeClr w14:val="tx1"/>
                  </w14:solidFill>
                </w14:textFill>
              </w:rPr>
              <w:t>严重</w:t>
            </w:r>
          </w:p>
        </w:tc>
        <w:tc>
          <w:tcPr>
            <w:tcW w:w="5595" w:type="dxa"/>
            <w:vAlign w:val="center"/>
          </w:tcPr>
          <w:p w14:paraId="3851249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违法物品货值 2 万元以上的。</w:t>
            </w:r>
          </w:p>
        </w:tc>
        <w:tc>
          <w:tcPr>
            <w:tcW w:w="7139" w:type="dxa"/>
            <w:vAlign w:val="center"/>
          </w:tcPr>
          <w:p w14:paraId="7F3C1A7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没收违法物品，没收违法所得，并处以违法物品货值 5 倍罚款。 </w:t>
            </w:r>
          </w:p>
        </w:tc>
      </w:tr>
    </w:tbl>
    <w:p w14:paraId="55AD7F48">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kern w:val="0"/>
          <w14:textFill>
            <w14:solidFill>
              <w14:schemeClr w14:val="tx1"/>
            </w14:solidFill>
          </w14:textFill>
        </w:rPr>
      </w:pPr>
      <w:bookmarkStart w:id="5148" w:name="_Toc19418"/>
      <w:bookmarkStart w:id="5149" w:name="_Toc18833"/>
      <w:bookmarkStart w:id="5150" w:name="_Toc1396"/>
      <w:bookmarkStart w:id="5151" w:name="_Toc20952"/>
      <w:bookmarkStart w:id="5152" w:name="_Toc28609"/>
      <w:bookmarkStart w:id="5153" w:name="_Toc19515"/>
      <w:bookmarkStart w:id="5154" w:name="_Toc22937"/>
      <w:bookmarkStart w:id="5155" w:name="_Toc9723"/>
      <w:bookmarkStart w:id="5156" w:name="_Toc4257"/>
      <w:bookmarkStart w:id="5157" w:name="_Toc19937"/>
      <w:bookmarkStart w:id="5158" w:name="_Toc7131"/>
      <w:bookmarkStart w:id="5159" w:name="_Toc30425"/>
      <w:bookmarkStart w:id="5160" w:name="_Toc1318"/>
      <w:r>
        <w:rPr>
          <w:rFonts w:hint="eastAsia" w:ascii="Times New Roman" w:hAnsi="Times New Roman" w:eastAsia="楷体_GB2312" w:cs="楷体_GB2312"/>
          <w:color w:val="000000" w:themeColor="text1"/>
          <w:kern w:val="0"/>
          <w14:textFill>
            <w14:solidFill>
              <w14:schemeClr w14:val="tx1"/>
            </w14:solidFill>
          </w14:textFill>
        </w:rPr>
        <w:t>（三十九）《反兴奋剂条例》</w:t>
      </w:r>
      <w:bookmarkEnd w:id="5148"/>
      <w:bookmarkEnd w:id="5149"/>
      <w:bookmarkEnd w:id="5150"/>
      <w:bookmarkEnd w:id="5151"/>
      <w:bookmarkEnd w:id="5152"/>
      <w:bookmarkEnd w:id="5153"/>
      <w:bookmarkEnd w:id="5154"/>
      <w:bookmarkEnd w:id="5155"/>
      <w:bookmarkEnd w:id="5156"/>
      <w:bookmarkEnd w:id="5157"/>
      <w:bookmarkEnd w:id="5158"/>
      <w:bookmarkEnd w:id="5159"/>
      <w:bookmarkEnd w:id="5160"/>
    </w:p>
    <w:p w14:paraId="082044B5">
      <w:pPr>
        <w:pStyle w:val="4"/>
        <w:widowControl w:val="0"/>
        <w:ind w:firstLine="640" w:firstLineChars="0"/>
        <w:jc w:val="both"/>
        <w:rPr>
          <w:rFonts w:hint="eastAsia" w:ascii="Times New Roman" w:hAnsi="Times New Roman" w:cs="仿宋_GB2312"/>
          <w:bCs/>
          <w:color w:val="000000" w:themeColor="text1"/>
          <w:kern w:val="0"/>
          <w14:textFill>
            <w14:solidFill>
              <w14:schemeClr w14:val="tx1"/>
            </w14:solidFill>
          </w14:textFill>
        </w:rPr>
      </w:pPr>
      <w:bookmarkStart w:id="5161" w:name="_Toc17625"/>
      <w:bookmarkStart w:id="5162" w:name="_Toc26370"/>
      <w:bookmarkStart w:id="5163" w:name="_Toc27920"/>
      <w:bookmarkStart w:id="5164" w:name="_Toc15294"/>
      <w:bookmarkStart w:id="5165" w:name="_Toc2952"/>
      <w:bookmarkStart w:id="5166" w:name="_Toc20220"/>
      <w:bookmarkStart w:id="5167" w:name="_Toc23052"/>
      <w:bookmarkStart w:id="5168" w:name="_Toc31731"/>
      <w:bookmarkStart w:id="5169" w:name="_Toc22060"/>
      <w:bookmarkStart w:id="5170" w:name="_Toc2455"/>
      <w:bookmarkStart w:id="5171" w:name="_Toc4466"/>
      <w:r>
        <w:rPr>
          <w:rFonts w:hint="eastAsia" w:ascii="Times New Roman" w:hAnsi="Times New Roman" w:cs="仿宋_GB2312"/>
          <w:bCs/>
          <w:color w:val="000000" w:themeColor="text1"/>
          <w:kern w:val="0"/>
          <w14:textFill>
            <w14:solidFill>
              <w14:schemeClr w14:val="tx1"/>
            </w14:solidFill>
          </w14:textFill>
        </w:rPr>
        <w:t>第四百零七条</w:t>
      </w:r>
      <w:r>
        <w:rPr>
          <w:rFonts w:hint="eastAsia" w:cs="仿宋_GB2312"/>
          <w:bCs/>
          <w:color w:val="000000" w:themeColor="text1"/>
          <w:kern w:val="0"/>
          <w:lang w:eastAsia="zh-CN"/>
          <w14:textFill>
            <w14:solidFill>
              <w14:schemeClr w14:val="tx1"/>
            </w14:solidFill>
          </w14:textFill>
        </w:rPr>
        <w:t xml:space="preserve"> </w:t>
      </w:r>
      <w:r>
        <w:rPr>
          <w:rFonts w:hint="eastAsia" w:ascii="Times New Roman" w:hAnsi="Times New Roman" w:cs="仿宋_GB2312"/>
          <w:bCs/>
          <w:color w:val="000000" w:themeColor="text1"/>
          <w:kern w:val="0"/>
          <w14:textFill>
            <w14:solidFill>
              <w14:schemeClr w14:val="tx1"/>
            </w14:solidFill>
          </w14:textFill>
        </w:rPr>
        <w:t>医师未按照《反兴奋剂条例》的规定使用药品，或者未履行告知义务的</w:t>
      </w:r>
      <w:bookmarkEnd w:id="5161"/>
      <w:bookmarkEnd w:id="5162"/>
      <w:bookmarkEnd w:id="5163"/>
      <w:bookmarkEnd w:id="5164"/>
      <w:bookmarkEnd w:id="5165"/>
      <w:bookmarkEnd w:id="5166"/>
      <w:bookmarkEnd w:id="5167"/>
      <w:bookmarkEnd w:id="5168"/>
      <w:bookmarkEnd w:id="5169"/>
      <w:bookmarkEnd w:id="5170"/>
      <w:bookmarkEnd w:id="5171"/>
    </w:p>
    <w:p w14:paraId="78C5D128">
      <w:pPr>
        <w:pStyle w:val="23"/>
        <w:widowControl w:val="0"/>
        <w:spacing w:beforeAutospacing="0" w:afterAutospacing="0" w:line="440" w:lineRule="exact"/>
        <w:ind w:firstLine="560"/>
        <w:rPr>
          <w:rFonts w:hint="eastAsia" w:ascii="Times New Roman" w:hAnsi="Times New Roman" w:eastAsia="仿宋" w:cs="仿宋"/>
          <w:color w:val="000000" w:themeColor="text1"/>
          <w:sz w:val="32"/>
          <w:szCs w:val="32"/>
          <w14:textFill>
            <w14:solidFill>
              <w14:schemeClr w14:val="tx1"/>
            </w14:solidFill>
          </w14:textFill>
        </w:rPr>
      </w:pPr>
      <w:r>
        <w:rPr>
          <w:rFonts w:hint="eastAsia" w:ascii="Times New Roman" w:hAnsi="Times New Roman" w:eastAsia="仿宋" w:cs="仿宋"/>
          <w:color w:val="000000" w:themeColor="text1"/>
          <w:sz w:val="32"/>
          <w:szCs w:val="32"/>
          <w14:textFill>
            <w14:solidFill>
              <w14:schemeClr w14:val="tx1"/>
            </w14:solidFill>
          </w14:textFill>
        </w:rPr>
        <w:t>法律依据：</w:t>
      </w:r>
    </w:p>
    <w:p w14:paraId="245ACE25">
      <w:pPr>
        <w:pStyle w:val="23"/>
        <w:spacing w:beforeAutospacing="0" w:afterAutospacing="0" w:line="440" w:lineRule="exact"/>
        <w:ind w:firstLine="640" w:firstLineChars="200"/>
        <w:jc w:val="both"/>
        <w:rPr>
          <w:rFonts w:hint="eastAsia" w:ascii="Times New Roman" w:hAnsi="Times New Roman" w:eastAsia="仿宋" w:cs="仿宋"/>
          <w:color w:val="000000" w:themeColor="text1"/>
          <w:sz w:val="32"/>
          <w:szCs w:val="32"/>
          <w14:textFill>
            <w14:solidFill>
              <w14:schemeClr w14:val="tx1"/>
            </w14:solidFill>
          </w14:textFill>
        </w:rPr>
      </w:pPr>
      <w:r>
        <w:rPr>
          <w:rFonts w:hint="eastAsia" w:ascii="Times New Roman" w:hAnsi="Times New Roman" w:eastAsia="仿宋" w:cs="仿宋"/>
          <w:color w:val="000000" w:themeColor="text1"/>
          <w:sz w:val="32"/>
          <w:szCs w:val="32"/>
          <w14:textFill>
            <w14:solidFill>
              <w14:schemeClr w14:val="tx1"/>
            </w14:solidFill>
          </w14:textFill>
        </w:rPr>
        <w:t>《反兴奋剂条例》第四十四条　医师未按照本条例的规定使用药品，或者未履行告知义务的，由县级以上人民政府卫生主管部门给予警告；造成严重后果的，责令暂停6个月以上1年以下执业活动。</w:t>
      </w:r>
    </w:p>
    <w:p w14:paraId="5E2228FF">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8114"/>
        <w:gridCol w:w="4242"/>
      </w:tblGrid>
      <w:tr w14:paraId="7F89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657" w:type="dxa"/>
            <w:vAlign w:val="center"/>
          </w:tcPr>
          <w:p w14:paraId="36C6C9E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14" w:type="dxa"/>
            <w:vAlign w:val="center"/>
          </w:tcPr>
          <w:p w14:paraId="722BD6F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2" w:type="dxa"/>
            <w:vAlign w:val="center"/>
          </w:tcPr>
          <w:p w14:paraId="488470D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ABA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57" w:type="dxa"/>
            <w:vAlign w:val="center"/>
          </w:tcPr>
          <w:p w14:paraId="0E51B775">
            <w:pPr>
              <w:widowControl w:val="0"/>
              <w:spacing w:after="0" w:line="320" w:lineRule="exact"/>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一般</w:t>
            </w:r>
          </w:p>
        </w:tc>
        <w:tc>
          <w:tcPr>
            <w:tcW w:w="8114" w:type="dxa"/>
            <w:vAlign w:val="center"/>
          </w:tcPr>
          <w:p w14:paraId="2B3E741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医师未按照本条例的规定使用药品，或者未履行告知义务的。</w:t>
            </w:r>
          </w:p>
        </w:tc>
        <w:tc>
          <w:tcPr>
            <w:tcW w:w="4242" w:type="dxa"/>
            <w:vAlign w:val="center"/>
          </w:tcPr>
          <w:p w14:paraId="3114A78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由县级以上卫生行政部门责令限期改正，给予警告。</w:t>
            </w:r>
            <w:r>
              <w:rPr>
                <w:rFonts w:hint="eastAsia" w:ascii="Times New Roman" w:hAnsi="Times New Roman" w:eastAsia="仿宋_GB2312" w:cs="Times New Roman"/>
                <w:color w:val="000000" w:themeColor="text1"/>
                <w:sz w:val="24"/>
                <w:lang w:eastAsia="zh-CN" w:bidi="ar"/>
                <w14:textFill>
                  <w14:solidFill>
                    <w14:schemeClr w14:val="tx1"/>
                  </w14:solidFill>
                </w14:textFill>
              </w:rPr>
              <w:t xml:space="preserve"> </w:t>
            </w:r>
          </w:p>
        </w:tc>
      </w:tr>
      <w:tr w14:paraId="1444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657" w:type="dxa"/>
            <w:vAlign w:val="center"/>
          </w:tcPr>
          <w:p w14:paraId="6FFF4710">
            <w:pPr>
              <w:widowControl w:val="0"/>
              <w:spacing w:after="0" w:line="320" w:lineRule="exact"/>
              <w:jc w:val="center"/>
              <w:rPr>
                <w:rFonts w:ascii="Times New Roman" w:hAnsi="Times New Roman"/>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严重</w:t>
            </w:r>
          </w:p>
        </w:tc>
        <w:tc>
          <w:tcPr>
            <w:tcW w:w="8114" w:type="dxa"/>
            <w:vAlign w:val="center"/>
          </w:tcPr>
          <w:p w14:paraId="674534E0">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医师未按照本条例的规定使用药品，或者未履行告知义务的，造成严重后果的。</w:t>
            </w:r>
          </w:p>
        </w:tc>
        <w:tc>
          <w:tcPr>
            <w:tcW w:w="4242" w:type="dxa"/>
            <w:vAlign w:val="center"/>
          </w:tcPr>
          <w:p w14:paraId="649E570B">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责令暂停6个月以上1年以下执业活动。</w:t>
            </w:r>
          </w:p>
        </w:tc>
      </w:tr>
    </w:tbl>
    <w:p w14:paraId="34A16FEA">
      <w:pPr>
        <w:numPr>
          <w:ilvl w:val="0"/>
          <w:numId w:val="10"/>
        </w:numPr>
        <w:jc w:val="center"/>
        <w:rPr>
          <w:rFonts w:hint="eastAsia" w:ascii="Times New Roman" w:hAnsi="Times New Roman" w:eastAsia="黑体" w:cs="黑体"/>
          <w:b/>
          <w:bCs w:val="0"/>
          <w:color w:val="000000" w:themeColor="text1"/>
          <w:kern w:val="44"/>
          <w:sz w:val="32"/>
          <w:szCs w:val="32"/>
          <w:lang w:val="en-US" w:eastAsia="zh-CN" w:bidi="ar-SA"/>
          <w14:textFill>
            <w14:solidFill>
              <w14:schemeClr w14:val="tx1"/>
            </w14:solidFill>
          </w14:textFill>
        </w:rPr>
      </w:pPr>
      <w:bookmarkStart w:id="5172" w:name="_Toc22294"/>
      <w:bookmarkStart w:id="5173" w:name="_Toc24110"/>
      <w:bookmarkStart w:id="5174" w:name="_Toc2997"/>
      <w:bookmarkStart w:id="5175" w:name="_Toc7"/>
      <w:bookmarkStart w:id="5176" w:name="_Toc9307"/>
      <w:bookmarkStart w:id="5177" w:name="_Toc2034"/>
      <w:bookmarkStart w:id="5178" w:name="_Toc18388"/>
      <w:bookmarkStart w:id="5179" w:name="_Toc18641"/>
      <w:bookmarkStart w:id="5180" w:name="_Toc19888"/>
      <w:bookmarkStart w:id="5181" w:name="_Toc19925"/>
      <w:bookmarkStart w:id="5182" w:name="_Toc485215391"/>
      <w:bookmarkStart w:id="5183" w:name="_Toc14747_WPSOffice_Level3"/>
      <w:bookmarkStart w:id="5184" w:name="_Toc17113_WPSOffice_Level3"/>
      <w:r>
        <w:rPr>
          <w:rFonts w:hint="eastAsia" w:ascii="Times New Roman" w:hAnsi="Times New Roman" w:eastAsia="黑体" w:cs="黑体"/>
          <w:b/>
          <w:bCs w:val="0"/>
          <w:color w:val="000000" w:themeColor="text1"/>
          <w:kern w:val="44"/>
          <w:sz w:val="32"/>
          <w:szCs w:val="32"/>
          <w:lang w:val="en-US" w:eastAsia="zh-CN" w:bidi="ar-SA"/>
          <w14:textFill>
            <w14:solidFill>
              <w14:schemeClr w14:val="tx1"/>
            </w14:solidFill>
          </w14:textFill>
        </w:rPr>
        <w:br w:type="page"/>
      </w:r>
    </w:p>
    <w:p w14:paraId="7DDD142B">
      <w:pPr>
        <w:pStyle w:val="2"/>
        <w:keepNext w:val="0"/>
        <w:keepLines w:val="0"/>
        <w:widowControl w:val="0"/>
        <w:numPr>
          <w:ilvl w:val="0"/>
          <w:numId w:val="0"/>
        </w:numPr>
        <w:spacing w:before="157" w:beforeLines="50" w:after="157" w:afterLines="50" w:line="240" w:lineRule="auto"/>
        <w:jc w:val="center"/>
        <w:rPr>
          <w:rFonts w:hint="eastAsia" w:ascii="Times New Roman" w:hAnsi="Times New Roman" w:eastAsia="黑体" w:cs="黑体"/>
          <w:bCs w:val="0"/>
          <w:color w:val="000000" w:themeColor="text1"/>
          <w:sz w:val="32"/>
          <w:szCs w:val="32"/>
          <w14:textFill>
            <w14:solidFill>
              <w14:schemeClr w14:val="tx1"/>
            </w14:solidFill>
          </w14:textFill>
        </w:rPr>
      </w:pPr>
      <w:bookmarkStart w:id="5185" w:name="_Toc25014"/>
      <w:bookmarkStart w:id="5186" w:name="_Toc18691"/>
      <w:bookmarkStart w:id="5187" w:name="_Toc1258"/>
      <w:bookmarkStart w:id="5188" w:name="_Toc27935"/>
      <w:bookmarkStart w:id="5189" w:name="_Toc10427"/>
      <w:bookmarkStart w:id="5190" w:name="_Toc29793"/>
      <w:r>
        <w:rPr>
          <w:rFonts w:hint="eastAsia" w:ascii="Times New Roman" w:hAnsi="Times New Roman" w:eastAsia="黑体" w:cs="黑体"/>
          <w:b/>
          <w:bCs w:val="0"/>
          <w:color w:val="000000" w:themeColor="text1"/>
          <w:kern w:val="44"/>
          <w:sz w:val="32"/>
          <w:szCs w:val="32"/>
          <w:lang w:val="en-US" w:eastAsia="zh-CN" w:bidi="ar-SA"/>
          <w14:textFill>
            <w14:solidFill>
              <w14:schemeClr w14:val="tx1"/>
            </w14:solidFill>
          </w14:textFill>
        </w:rPr>
        <w:t>三、</w:t>
      </w:r>
      <w:r>
        <w:rPr>
          <w:rFonts w:hint="eastAsia" w:ascii="Times New Roman" w:hAnsi="Times New Roman" w:eastAsia="黑体" w:cs="黑体"/>
          <w:bCs w:val="0"/>
          <w:color w:val="000000" w:themeColor="text1"/>
          <w:sz w:val="32"/>
          <w:szCs w:val="32"/>
          <w14:textFill>
            <w14:solidFill>
              <w14:schemeClr w14:val="tx1"/>
            </w14:solidFill>
          </w14:textFill>
        </w:rPr>
        <w:t>计划生育与母婴保健类</w:t>
      </w:r>
      <w:bookmarkEnd w:id="5172"/>
      <w:bookmarkEnd w:id="5173"/>
      <w:bookmarkEnd w:id="5174"/>
      <w:bookmarkEnd w:id="5175"/>
      <w:bookmarkEnd w:id="5176"/>
      <w:bookmarkEnd w:id="5177"/>
      <w:bookmarkEnd w:id="5178"/>
      <w:bookmarkEnd w:id="5179"/>
      <w:bookmarkEnd w:id="5180"/>
      <w:bookmarkEnd w:id="5181"/>
      <w:bookmarkEnd w:id="5185"/>
      <w:bookmarkEnd w:id="5186"/>
      <w:bookmarkEnd w:id="5187"/>
      <w:bookmarkEnd w:id="5188"/>
      <w:bookmarkEnd w:id="5189"/>
      <w:bookmarkEnd w:id="5190"/>
    </w:p>
    <w:p w14:paraId="7FDE9D3D">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color w:val="000000" w:themeColor="text1"/>
          <w:kern w:val="0"/>
          <w14:textFill>
            <w14:solidFill>
              <w14:schemeClr w14:val="tx1"/>
            </w14:solidFill>
          </w14:textFill>
        </w:rPr>
      </w:pPr>
      <w:bookmarkStart w:id="5191" w:name="_Toc24539"/>
      <w:bookmarkStart w:id="5192" w:name="_Toc30036"/>
      <w:bookmarkStart w:id="5193" w:name="_Toc24735"/>
      <w:bookmarkStart w:id="5194" w:name="_Toc16402"/>
      <w:bookmarkStart w:id="5195" w:name="_Toc7290"/>
      <w:bookmarkStart w:id="5196" w:name="_Toc25239"/>
      <w:bookmarkStart w:id="5197" w:name="_Toc8687"/>
      <w:bookmarkStart w:id="5198" w:name="_Toc31717"/>
      <w:bookmarkStart w:id="5199" w:name="_Toc24737"/>
      <w:bookmarkStart w:id="5200" w:name="_Toc14078"/>
      <w:bookmarkStart w:id="5201" w:name="_Toc24864"/>
      <w:bookmarkStart w:id="5202" w:name="_Toc11334"/>
      <w:bookmarkStart w:id="5203" w:name="_Toc31737"/>
      <w:r>
        <w:rPr>
          <w:rFonts w:hint="eastAsia" w:ascii="Times New Roman" w:hAnsi="Times New Roman" w:eastAsia="楷体_GB2312" w:cs="楷体_GB2312"/>
          <w:bCs/>
          <w:color w:val="000000" w:themeColor="text1"/>
          <w:kern w:val="0"/>
          <w14:textFill>
            <w14:solidFill>
              <w14:schemeClr w14:val="tx1"/>
            </w14:solidFill>
          </w14:textFill>
        </w:rPr>
        <w:t>（一）《人类辅助生殖技术管理办法》</w:t>
      </w:r>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584725E4">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204" w:name="_Toc22928"/>
      <w:bookmarkStart w:id="5205" w:name="_Toc30470"/>
      <w:bookmarkStart w:id="5206" w:name="_Toc3807"/>
      <w:bookmarkStart w:id="5207" w:name="_Toc20881"/>
      <w:bookmarkStart w:id="5208" w:name="_Toc30941"/>
      <w:bookmarkStart w:id="5209" w:name="_Toc11858"/>
      <w:bookmarkStart w:id="5210" w:name="_Toc21346"/>
      <w:bookmarkStart w:id="5211" w:name="_Toc14339"/>
      <w:bookmarkStart w:id="5212" w:name="_Toc15003"/>
      <w:bookmarkStart w:id="5213" w:name="_Toc29780"/>
      <w:bookmarkStart w:id="5214" w:name="_Toc8110"/>
      <w:r>
        <w:rPr>
          <w:rFonts w:hint="eastAsia" w:ascii="Times New Roman" w:hAnsi="Times New Roman" w:cs="仿宋_GB2312"/>
          <w:bCs/>
          <w:color w:val="000000" w:themeColor="text1"/>
          <w:kern w:val="0"/>
          <w14:textFill>
            <w14:solidFill>
              <w14:schemeClr w14:val="tx1"/>
            </w14:solidFill>
          </w14:textFill>
        </w:rPr>
        <w:t>第四百零八条</w:t>
      </w:r>
      <w:r>
        <w:rPr>
          <w:rFonts w:hint="eastAsia" w:ascii="Times New Roman" w:hAnsi="Times New Roman" w:cs="仿宋_GB2312"/>
          <w:bCs/>
          <w:color w:val="000000" w:themeColor="text1"/>
          <w14:textFill>
            <w14:solidFill>
              <w14:schemeClr w14:val="tx1"/>
            </w14:solidFill>
          </w14:textFill>
        </w:rPr>
        <w:t xml:space="preserve"> 开展人类辅助生殖技术的医疗机构买卖配子、合子、胚胎的</w:t>
      </w:r>
      <w:bookmarkEnd w:id="5204"/>
      <w:bookmarkEnd w:id="5205"/>
      <w:bookmarkEnd w:id="5206"/>
      <w:bookmarkEnd w:id="5207"/>
      <w:bookmarkEnd w:id="5208"/>
      <w:bookmarkEnd w:id="5209"/>
      <w:bookmarkEnd w:id="5210"/>
      <w:bookmarkEnd w:id="5211"/>
      <w:bookmarkEnd w:id="5212"/>
      <w:bookmarkEnd w:id="5213"/>
      <w:bookmarkEnd w:id="5214"/>
    </w:p>
    <w:p w14:paraId="2D29D3D6">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10A85D1B">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《人类辅助生殖技术管理办法》第二十二条第（一）项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开展人类辅助生殖技术的医疗机构违反本办法，有下列行为之一的，由省、自治区、直辖市人民政府卫生行政部门给予警告、3万元以下罚款，并给予有关责任人行政处分；构成犯罪的，依法追究刑事责任：</w:t>
      </w:r>
    </w:p>
    <w:p w14:paraId="01DB9B72">
      <w:pPr>
        <w:widowControl w:val="0"/>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（一）买卖配子、合子、胚胎的；</w:t>
      </w:r>
    </w:p>
    <w:p w14:paraId="2E95F02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981"/>
        <w:gridCol w:w="4217"/>
      </w:tblGrid>
      <w:tr w14:paraId="32DD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800" w:type="dxa"/>
            <w:vAlign w:val="center"/>
          </w:tcPr>
          <w:p w14:paraId="7E32483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981" w:type="dxa"/>
            <w:vAlign w:val="center"/>
          </w:tcPr>
          <w:p w14:paraId="0DE6623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17" w:type="dxa"/>
            <w:vAlign w:val="center"/>
          </w:tcPr>
          <w:p w14:paraId="75979E4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FFE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800" w:type="dxa"/>
            <w:vAlign w:val="center"/>
          </w:tcPr>
          <w:p w14:paraId="1D8C8717">
            <w:pPr>
              <w:widowControl w:val="0"/>
              <w:spacing w:after="0" w:line="32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较轻</w:t>
            </w:r>
          </w:p>
        </w:tc>
        <w:tc>
          <w:tcPr>
            <w:tcW w:w="7981" w:type="dxa"/>
            <w:vAlign w:val="center"/>
          </w:tcPr>
          <w:p w14:paraId="08C2F7E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买卖配子、合子、胚胎1例，或违法所得1万元以下的。</w:t>
            </w:r>
          </w:p>
        </w:tc>
        <w:tc>
          <w:tcPr>
            <w:tcW w:w="4217" w:type="dxa"/>
            <w:vAlign w:val="center"/>
          </w:tcPr>
          <w:p w14:paraId="2321869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由自治区卫生行政部门警告，罚款1万元以下。</w:t>
            </w:r>
          </w:p>
        </w:tc>
      </w:tr>
      <w:tr w14:paraId="4F50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00" w:type="dxa"/>
            <w:vAlign w:val="center"/>
          </w:tcPr>
          <w:p w14:paraId="0EB8B340">
            <w:pPr>
              <w:widowControl w:val="0"/>
              <w:spacing w:after="0" w:line="32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一般</w:t>
            </w:r>
          </w:p>
        </w:tc>
        <w:tc>
          <w:tcPr>
            <w:tcW w:w="7981" w:type="dxa"/>
            <w:vAlign w:val="center"/>
          </w:tcPr>
          <w:p w14:paraId="18815A4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买卖配子、合子、胚胎2例，或违法所得1万元以上2万元以下的。</w:t>
            </w:r>
          </w:p>
        </w:tc>
        <w:tc>
          <w:tcPr>
            <w:tcW w:w="4217" w:type="dxa"/>
            <w:vAlign w:val="center"/>
          </w:tcPr>
          <w:p w14:paraId="155CFA7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 1万元以上2万元以下。</w:t>
            </w:r>
          </w:p>
        </w:tc>
      </w:tr>
      <w:tr w14:paraId="4B84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800" w:type="dxa"/>
            <w:vAlign w:val="center"/>
          </w:tcPr>
          <w:p w14:paraId="048A806F">
            <w:pPr>
              <w:widowControl w:val="0"/>
              <w:spacing w:after="0" w:line="32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较重</w:t>
            </w:r>
          </w:p>
        </w:tc>
        <w:tc>
          <w:tcPr>
            <w:tcW w:w="7981" w:type="dxa"/>
            <w:vAlign w:val="center"/>
          </w:tcPr>
          <w:p w14:paraId="7398B79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买卖配子、合子、胚胎3例及以上，或违法所得2万元以上3万元以下，或造成他人健康损害等后果的。</w:t>
            </w:r>
          </w:p>
        </w:tc>
        <w:tc>
          <w:tcPr>
            <w:tcW w:w="4217" w:type="dxa"/>
            <w:vAlign w:val="center"/>
          </w:tcPr>
          <w:p w14:paraId="52DC072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由自治区卫生行政部门警告，罚款2万元以上3万元以下。</w:t>
            </w:r>
          </w:p>
        </w:tc>
      </w:tr>
    </w:tbl>
    <w:p w14:paraId="3AE7807E">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215" w:name="_Toc14472"/>
      <w:bookmarkStart w:id="5216" w:name="_Toc16532"/>
      <w:bookmarkStart w:id="5217" w:name="_Toc13961"/>
      <w:bookmarkStart w:id="5218" w:name="_Toc28045"/>
      <w:bookmarkStart w:id="5219" w:name="_Toc30433"/>
      <w:bookmarkStart w:id="5220" w:name="_Toc5853"/>
      <w:bookmarkStart w:id="5221" w:name="_Toc31190"/>
      <w:bookmarkStart w:id="5222" w:name="_Toc3070"/>
      <w:bookmarkStart w:id="5223" w:name="_Toc10061"/>
      <w:bookmarkStart w:id="5224" w:name="_Toc15989"/>
      <w:bookmarkStart w:id="5225" w:name="_Toc29033"/>
      <w:r>
        <w:rPr>
          <w:rFonts w:hint="eastAsia" w:ascii="Times New Roman" w:hAnsi="Times New Roman" w:cs="仿宋_GB2312"/>
          <w:bCs/>
          <w:color w:val="000000" w:themeColor="text1"/>
          <w:kern w:val="0"/>
          <w14:textFill>
            <w14:solidFill>
              <w14:schemeClr w14:val="tx1"/>
            </w14:solidFill>
          </w14:textFill>
        </w:rPr>
        <w:t>第四百零九条</w:t>
      </w:r>
      <w:r>
        <w:rPr>
          <w:rFonts w:hint="eastAsia" w:ascii="Times New Roman" w:hAnsi="Times New Roman" w:cs="仿宋_GB2312"/>
          <w:bCs/>
          <w:color w:val="000000" w:themeColor="text1"/>
          <w14:textFill>
            <w14:solidFill>
              <w14:schemeClr w14:val="tx1"/>
            </w14:solidFill>
          </w14:textFill>
        </w:rPr>
        <w:t xml:space="preserve"> 开展人类辅助生殖技术的医疗机构实施代孕技术的</w:t>
      </w:r>
      <w:bookmarkEnd w:id="5215"/>
      <w:bookmarkEnd w:id="5216"/>
      <w:bookmarkEnd w:id="5217"/>
      <w:bookmarkEnd w:id="5218"/>
      <w:bookmarkEnd w:id="5219"/>
      <w:bookmarkEnd w:id="5220"/>
      <w:bookmarkEnd w:id="5221"/>
      <w:bookmarkEnd w:id="5222"/>
      <w:bookmarkEnd w:id="5223"/>
      <w:bookmarkEnd w:id="5224"/>
      <w:bookmarkEnd w:id="5225"/>
    </w:p>
    <w:p w14:paraId="6D01907B">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05C1484F">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《人类辅助生殖技术管理办法》第二十二条第（二）项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开展人类辅助生殖技术的医疗机构违反本办法，有下列行为之一的，由省、自治区、直辖市人民政府卫生行政部门给予警告、3万元以下罚款，并给予有关责任人行政处分；构成犯罪的，依法追究刑事责任：</w:t>
      </w:r>
    </w:p>
    <w:p w14:paraId="43B3A415">
      <w:pPr>
        <w:widowControl w:val="0"/>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（二）实施代孕技术的；</w:t>
      </w:r>
    </w:p>
    <w:p w14:paraId="3A20280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079"/>
        <w:gridCol w:w="4253"/>
      </w:tblGrid>
      <w:tr w14:paraId="47AC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60" w:type="dxa"/>
            <w:vAlign w:val="center"/>
          </w:tcPr>
          <w:p w14:paraId="49BB6CD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79" w:type="dxa"/>
            <w:vAlign w:val="center"/>
          </w:tcPr>
          <w:p w14:paraId="64E7AC0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53" w:type="dxa"/>
            <w:vAlign w:val="center"/>
          </w:tcPr>
          <w:p w14:paraId="4152511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B61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60" w:type="dxa"/>
            <w:vAlign w:val="center"/>
          </w:tcPr>
          <w:p w14:paraId="21DCA9F8">
            <w:pPr>
              <w:widowControl w:val="0"/>
              <w:spacing w:after="0" w:line="32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较轻</w:t>
            </w:r>
          </w:p>
        </w:tc>
        <w:tc>
          <w:tcPr>
            <w:tcW w:w="8079" w:type="dxa"/>
            <w:vAlign w:val="center"/>
          </w:tcPr>
          <w:p w14:paraId="6E85642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实施代孕技术1例，或违法所得1万元以下的。</w:t>
            </w:r>
          </w:p>
        </w:tc>
        <w:tc>
          <w:tcPr>
            <w:tcW w:w="4253" w:type="dxa"/>
            <w:vAlign w:val="center"/>
          </w:tcPr>
          <w:p w14:paraId="3DC89D3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由自治区卫生行政部门警告，罚款1万元以下。</w:t>
            </w:r>
          </w:p>
        </w:tc>
      </w:tr>
      <w:tr w14:paraId="7365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560" w:type="dxa"/>
            <w:vAlign w:val="center"/>
          </w:tcPr>
          <w:p w14:paraId="2AB3736B">
            <w:pPr>
              <w:widowControl w:val="0"/>
              <w:spacing w:after="0" w:line="32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一般</w:t>
            </w:r>
          </w:p>
        </w:tc>
        <w:tc>
          <w:tcPr>
            <w:tcW w:w="8079" w:type="dxa"/>
            <w:vAlign w:val="center"/>
          </w:tcPr>
          <w:p w14:paraId="5B0B471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实施代孕技术2例，或违法所得1万元以上2万元以下的。</w:t>
            </w:r>
          </w:p>
        </w:tc>
        <w:tc>
          <w:tcPr>
            <w:tcW w:w="4253" w:type="dxa"/>
            <w:vAlign w:val="center"/>
          </w:tcPr>
          <w:p w14:paraId="07D19DD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由自治区卫生行政部门警告，罚款1万元以上2万元以下。</w:t>
            </w:r>
          </w:p>
        </w:tc>
      </w:tr>
      <w:tr w14:paraId="453F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60" w:type="dxa"/>
            <w:vAlign w:val="center"/>
          </w:tcPr>
          <w:p w14:paraId="1A17A827">
            <w:pPr>
              <w:widowControl w:val="0"/>
              <w:spacing w:after="0" w:line="32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 w:cs="仿宋"/>
                <w:b/>
                <w:bCs/>
                <w:color w:val="000000" w:themeColor="text1"/>
                <w:sz w:val="24"/>
                <w14:textFill>
                  <w14:solidFill>
                    <w14:schemeClr w14:val="tx1"/>
                  </w14:solidFill>
                </w14:textFill>
              </w:rPr>
              <w:t>较重</w:t>
            </w:r>
          </w:p>
        </w:tc>
        <w:tc>
          <w:tcPr>
            <w:tcW w:w="8079" w:type="dxa"/>
            <w:vAlign w:val="center"/>
          </w:tcPr>
          <w:p w14:paraId="69248F4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实施代孕技术3例及以上，或违法所得2万元以上3万元以下，或造成他人健康损害等后果的。</w:t>
            </w:r>
          </w:p>
        </w:tc>
        <w:tc>
          <w:tcPr>
            <w:tcW w:w="4253" w:type="dxa"/>
            <w:vAlign w:val="center"/>
          </w:tcPr>
          <w:p w14:paraId="4A166A0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由自治区卫生行政部门警告，罚款2万元以上3万元以下。</w:t>
            </w:r>
          </w:p>
        </w:tc>
      </w:tr>
    </w:tbl>
    <w:p w14:paraId="1E3CA544">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226" w:name="_Toc7832"/>
      <w:bookmarkStart w:id="5227" w:name="_Toc1018"/>
      <w:bookmarkStart w:id="5228" w:name="_Toc9915"/>
      <w:bookmarkStart w:id="5229" w:name="_Toc18098"/>
      <w:bookmarkStart w:id="5230" w:name="_Toc8446"/>
      <w:bookmarkStart w:id="5231" w:name="_Toc19039"/>
      <w:bookmarkStart w:id="5232" w:name="_Toc17595"/>
      <w:bookmarkStart w:id="5233" w:name="_Toc12175"/>
      <w:bookmarkStart w:id="5234" w:name="_Toc15915"/>
      <w:bookmarkStart w:id="5235" w:name="_Toc27238"/>
      <w:bookmarkStart w:id="5236" w:name="_Toc24352"/>
      <w:r>
        <w:rPr>
          <w:rFonts w:hint="eastAsia" w:ascii="Times New Roman" w:hAnsi="Times New Roman" w:cs="仿宋_GB2312"/>
          <w:bCs/>
          <w:color w:val="000000" w:themeColor="text1"/>
          <w:kern w:val="0"/>
          <w14:textFill>
            <w14:solidFill>
              <w14:schemeClr w14:val="tx1"/>
            </w14:solidFill>
          </w14:textFill>
        </w:rPr>
        <w:t>第四百一十条</w:t>
      </w:r>
      <w:r>
        <w:rPr>
          <w:rFonts w:hint="eastAsia" w:ascii="Times New Roman" w:hAnsi="Times New Roman" w:cs="仿宋_GB2312"/>
          <w:bCs/>
          <w:color w:val="000000" w:themeColor="text1"/>
          <w14:textFill>
            <w14:solidFill>
              <w14:schemeClr w14:val="tx1"/>
            </w14:solidFill>
          </w14:textFill>
        </w:rPr>
        <w:t xml:space="preserve"> 开展人类辅助生殖技术的医疗机构使用不具有《人类精子库批准证书》机构提供的精子的</w:t>
      </w:r>
      <w:bookmarkEnd w:id="5226"/>
      <w:bookmarkEnd w:id="5227"/>
      <w:bookmarkEnd w:id="5228"/>
      <w:bookmarkEnd w:id="5229"/>
      <w:bookmarkEnd w:id="5230"/>
      <w:bookmarkEnd w:id="5231"/>
      <w:bookmarkEnd w:id="5232"/>
      <w:bookmarkEnd w:id="5233"/>
      <w:bookmarkEnd w:id="5234"/>
      <w:bookmarkEnd w:id="5235"/>
      <w:bookmarkEnd w:id="5236"/>
    </w:p>
    <w:p w14:paraId="579529B1">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20F86C6B">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《人类辅助生殖技术管理办法》第二十二条第（三）项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开展人类辅助生殖技术的医疗机构违反本办法，有下列行为之一的，由省、自治区、直辖市人民政府卫生行政部门给予警告、3万元以下罚款，并给予有关责任人行政处分；构成犯罪的，依法追究刑事责任：</w:t>
      </w:r>
    </w:p>
    <w:p w14:paraId="11493475">
      <w:pPr>
        <w:widowControl w:val="0"/>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（三）使用不具有《人类精子库批准证书》机构提供的精子的；</w:t>
      </w:r>
    </w:p>
    <w:p w14:paraId="0CCD544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505"/>
        <w:gridCol w:w="3969"/>
      </w:tblGrid>
      <w:tr w14:paraId="0936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18" w:type="dxa"/>
            <w:vAlign w:val="center"/>
          </w:tcPr>
          <w:p w14:paraId="6ADD1C6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05" w:type="dxa"/>
            <w:vAlign w:val="center"/>
          </w:tcPr>
          <w:p w14:paraId="1D85D3B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69" w:type="dxa"/>
            <w:vAlign w:val="center"/>
          </w:tcPr>
          <w:p w14:paraId="259F792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858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418" w:type="dxa"/>
            <w:vAlign w:val="center"/>
          </w:tcPr>
          <w:p w14:paraId="27A08EC2">
            <w:pPr>
              <w:widowControl w:val="0"/>
              <w:spacing w:after="0" w:line="34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仿宋"/>
                <w:b/>
                <w:bCs/>
                <w:color w:val="000000" w:themeColor="text1"/>
                <w:sz w:val="24"/>
                <w:szCs w:val="24"/>
                <w14:textFill>
                  <w14:solidFill>
                    <w14:schemeClr w14:val="tx1"/>
                  </w14:solidFill>
                </w14:textFill>
              </w:rPr>
              <w:t>较轻</w:t>
            </w:r>
          </w:p>
        </w:tc>
        <w:tc>
          <w:tcPr>
            <w:tcW w:w="8505" w:type="dxa"/>
            <w:vAlign w:val="center"/>
          </w:tcPr>
          <w:p w14:paraId="1405C5B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发现该行为且使用该机构提供的精子实施手术1例，</w:t>
            </w:r>
            <w:r>
              <w:rPr>
                <w:rFonts w:hint="eastAsia" w:ascii="Times New Roman" w:hAnsi="Times New Roman" w:eastAsia="仿宋_GB2312" w:cs="Times New Roman"/>
                <w:color w:val="000000" w:themeColor="text1"/>
                <w:sz w:val="24"/>
                <w:lang w:bidi="ar"/>
                <w14:textFill>
                  <w14:solidFill>
                    <w14:schemeClr w14:val="tx1"/>
                  </w14:solidFill>
                </w14:textFill>
              </w:rPr>
              <w:t>或违法所得1万元以下的。</w:t>
            </w:r>
          </w:p>
        </w:tc>
        <w:tc>
          <w:tcPr>
            <w:tcW w:w="3969" w:type="dxa"/>
            <w:vAlign w:val="center"/>
          </w:tcPr>
          <w:p w14:paraId="135A179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由自治区卫生行政部门警告，罚款1万元以下。</w:t>
            </w:r>
          </w:p>
        </w:tc>
      </w:tr>
      <w:tr w14:paraId="2FBF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418" w:type="dxa"/>
            <w:vAlign w:val="center"/>
          </w:tcPr>
          <w:p w14:paraId="7E11C537">
            <w:pPr>
              <w:widowControl w:val="0"/>
              <w:spacing w:after="0" w:line="34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仿宋"/>
                <w:b/>
                <w:bCs/>
                <w:color w:val="000000" w:themeColor="text1"/>
                <w:sz w:val="24"/>
                <w:szCs w:val="24"/>
                <w14:textFill>
                  <w14:solidFill>
                    <w14:schemeClr w14:val="tx1"/>
                  </w14:solidFill>
                </w14:textFill>
              </w:rPr>
              <w:t>一般</w:t>
            </w:r>
          </w:p>
        </w:tc>
        <w:tc>
          <w:tcPr>
            <w:tcW w:w="8505" w:type="dxa"/>
            <w:vAlign w:val="center"/>
          </w:tcPr>
          <w:p w14:paraId="7D298FDB">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使用该机构提供的精子实施手术2例，或违法所得1万元以上2万元以下的。</w:t>
            </w:r>
          </w:p>
        </w:tc>
        <w:tc>
          <w:tcPr>
            <w:tcW w:w="3969" w:type="dxa"/>
            <w:vAlign w:val="center"/>
          </w:tcPr>
          <w:p w14:paraId="1332191E">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由自治区卫生行政部门警告，罚款1万元以上2万元以下。</w:t>
            </w:r>
          </w:p>
        </w:tc>
      </w:tr>
      <w:tr w14:paraId="0F06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18" w:type="dxa"/>
            <w:vAlign w:val="center"/>
          </w:tcPr>
          <w:p w14:paraId="6C909354">
            <w:pPr>
              <w:widowControl w:val="0"/>
              <w:spacing w:after="0" w:line="34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仿宋"/>
                <w:b/>
                <w:bCs/>
                <w:color w:val="000000" w:themeColor="text1"/>
                <w:sz w:val="24"/>
                <w:szCs w:val="24"/>
                <w14:textFill>
                  <w14:solidFill>
                    <w14:schemeClr w14:val="tx1"/>
                  </w14:solidFill>
                </w14:textFill>
              </w:rPr>
              <w:t>较重</w:t>
            </w:r>
          </w:p>
        </w:tc>
        <w:tc>
          <w:tcPr>
            <w:tcW w:w="8505" w:type="dxa"/>
            <w:vAlign w:val="center"/>
          </w:tcPr>
          <w:p w14:paraId="0140BD4B">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使用该机构提供的精子实施手术3例及以上，或违法所得2万元以上3万元以下，或造成他人健康损害等后果的。</w:t>
            </w:r>
          </w:p>
        </w:tc>
        <w:tc>
          <w:tcPr>
            <w:tcW w:w="3969" w:type="dxa"/>
            <w:vAlign w:val="center"/>
          </w:tcPr>
          <w:p w14:paraId="28FF223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由自治区卫生行政部门警告，罚款2万元以上3万元以下。</w:t>
            </w:r>
          </w:p>
        </w:tc>
      </w:tr>
    </w:tbl>
    <w:p w14:paraId="0E731C3D">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237" w:name="_Toc9375"/>
      <w:bookmarkStart w:id="5238" w:name="_Toc3492"/>
      <w:bookmarkStart w:id="5239" w:name="_Toc31518"/>
      <w:bookmarkStart w:id="5240" w:name="_Toc21317"/>
      <w:bookmarkStart w:id="5241" w:name="_Toc30668"/>
      <w:bookmarkStart w:id="5242" w:name="_Toc32222"/>
      <w:bookmarkStart w:id="5243" w:name="_Toc15508"/>
      <w:bookmarkStart w:id="5244" w:name="_Toc484"/>
      <w:bookmarkStart w:id="5245" w:name="_Toc29142"/>
      <w:bookmarkStart w:id="5246" w:name="_Toc11322"/>
      <w:bookmarkStart w:id="5247" w:name="_Toc8068"/>
      <w:r>
        <w:rPr>
          <w:rFonts w:hint="eastAsia" w:ascii="Times New Roman" w:hAnsi="Times New Roman" w:cs="仿宋_GB2312"/>
          <w:bCs/>
          <w:color w:val="000000" w:themeColor="text1"/>
          <w:kern w:val="0"/>
          <w14:textFill>
            <w14:solidFill>
              <w14:schemeClr w14:val="tx1"/>
            </w14:solidFill>
          </w14:textFill>
        </w:rPr>
        <w:t>第四百一十一条</w:t>
      </w:r>
      <w:r>
        <w:rPr>
          <w:rFonts w:hint="eastAsia" w:ascii="Times New Roman" w:hAnsi="Times New Roman" w:cs="仿宋_GB2312"/>
          <w:bCs/>
          <w:color w:val="000000" w:themeColor="text1"/>
          <w14:textFill>
            <w14:solidFill>
              <w14:schemeClr w14:val="tx1"/>
            </w14:solidFill>
          </w14:textFill>
        </w:rPr>
        <w:t xml:space="preserve"> 开展人类辅助生殖技术的医疗机构擅自进行性别选择的</w:t>
      </w:r>
      <w:bookmarkEnd w:id="5237"/>
      <w:bookmarkEnd w:id="5238"/>
      <w:bookmarkEnd w:id="5239"/>
      <w:bookmarkEnd w:id="5240"/>
      <w:bookmarkEnd w:id="5241"/>
      <w:bookmarkEnd w:id="5242"/>
      <w:bookmarkEnd w:id="5243"/>
      <w:bookmarkEnd w:id="5244"/>
      <w:bookmarkEnd w:id="5245"/>
      <w:bookmarkEnd w:id="5246"/>
      <w:bookmarkEnd w:id="5247"/>
    </w:p>
    <w:p w14:paraId="7967C727">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42BEA194">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《人类辅助生殖技术管理办法》第二十二条第（四）项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开展人类辅助生殖技术的医疗机构违反本办法，有下列行为之一的，由省、自治区、直辖市人民政府卫生行政部门给予警告、3万元以下罚款，并给予有关责任人行政处分；构成犯罪的，依法追究刑事责任：</w:t>
      </w:r>
    </w:p>
    <w:p w14:paraId="19C16A97">
      <w:pPr>
        <w:widowControl w:val="0"/>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（四）擅自进行性别选择的；</w:t>
      </w:r>
    </w:p>
    <w:p w14:paraId="2892DAAA">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080"/>
        <w:gridCol w:w="4472"/>
      </w:tblGrid>
      <w:tr w14:paraId="7ED9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18" w:type="dxa"/>
            <w:vAlign w:val="center"/>
          </w:tcPr>
          <w:p w14:paraId="5B467B5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80" w:type="dxa"/>
            <w:vAlign w:val="center"/>
          </w:tcPr>
          <w:p w14:paraId="41F296F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72" w:type="dxa"/>
            <w:vAlign w:val="center"/>
          </w:tcPr>
          <w:p w14:paraId="4FBB000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717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18" w:type="dxa"/>
            <w:vAlign w:val="center"/>
          </w:tcPr>
          <w:p w14:paraId="330A2436">
            <w:pPr>
              <w:widowControl w:val="0"/>
              <w:spacing w:after="0" w:line="34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仿宋"/>
                <w:b/>
                <w:bCs/>
                <w:color w:val="000000" w:themeColor="text1"/>
                <w:sz w:val="24"/>
                <w:szCs w:val="24"/>
                <w14:textFill>
                  <w14:solidFill>
                    <w14:schemeClr w14:val="tx1"/>
                  </w14:solidFill>
                </w14:textFill>
              </w:rPr>
              <w:t>较轻</w:t>
            </w:r>
          </w:p>
        </w:tc>
        <w:tc>
          <w:tcPr>
            <w:tcW w:w="8080" w:type="dxa"/>
            <w:vAlign w:val="center"/>
          </w:tcPr>
          <w:p w14:paraId="0346EF7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擅自进行非医学需要的性别选择1例，或违法所得1万元以下的。</w:t>
            </w:r>
          </w:p>
        </w:tc>
        <w:tc>
          <w:tcPr>
            <w:tcW w:w="4472" w:type="dxa"/>
            <w:vAlign w:val="center"/>
          </w:tcPr>
          <w:p w14:paraId="2EE442B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由自治区卫生行政部门警告，罚款1万元以下。</w:t>
            </w:r>
          </w:p>
        </w:tc>
      </w:tr>
      <w:tr w14:paraId="5021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18" w:type="dxa"/>
            <w:vAlign w:val="center"/>
          </w:tcPr>
          <w:p w14:paraId="5CBB9913">
            <w:pPr>
              <w:widowControl w:val="0"/>
              <w:spacing w:after="0" w:line="34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仿宋"/>
                <w:b/>
                <w:bCs/>
                <w:color w:val="000000" w:themeColor="text1"/>
                <w:sz w:val="24"/>
                <w:szCs w:val="24"/>
                <w14:textFill>
                  <w14:solidFill>
                    <w14:schemeClr w14:val="tx1"/>
                  </w14:solidFill>
                </w14:textFill>
              </w:rPr>
              <w:t>一般</w:t>
            </w:r>
          </w:p>
        </w:tc>
        <w:tc>
          <w:tcPr>
            <w:tcW w:w="8080" w:type="dxa"/>
            <w:vAlign w:val="center"/>
          </w:tcPr>
          <w:p w14:paraId="1DC588B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擅自进行非医学需要的性别选择2例，或违法所得1万元以上2万元以下的。</w:t>
            </w:r>
          </w:p>
        </w:tc>
        <w:tc>
          <w:tcPr>
            <w:tcW w:w="4472" w:type="dxa"/>
            <w:vAlign w:val="center"/>
          </w:tcPr>
          <w:p w14:paraId="7D05520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由自治区卫生行政部门警告，罚款1万元以上2万元以下。</w:t>
            </w:r>
          </w:p>
        </w:tc>
      </w:tr>
      <w:tr w14:paraId="55D9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18" w:type="dxa"/>
            <w:vAlign w:val="center"/>
          </w:tcPr>
          <w:p w14:paraId="234F36BC">
            <w:pPr>
              <w:widowControl w:val="0"/>
              <w:spacing w:after="0" w:line="34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仿宋"/>
                <w:b/>
                <w:bCs/>
                <w:color w:val="000000" w:themeColor="text1"/>
                <w:sz w:val="24"/>
                <w:szCs w:val="24"/>
                <w14:textFill>
                  <w14:solidFill>
                    <w14:schemeClr w14:val="tx1"/>
                  </w14:solidFill>
                </w14:textFill>
              </w:rPr>
              <w:t>较重</w:t>
            </w:r>
          </w:p>
        </w:tc>
        <w:tc>
          <w:tcPr>
            <w:tcW w:w="8080" w:type="dxa"/>
            <w:vAlign w:val="center"/>
          </w:tcPr>
          <w:p w14:paraId="63F205D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擅自进行非医学需要的性别选择3例及以上，或违法所得2万元以上3万元以下，或造成他人健康损害等后果的。</w:t>
            </w:r>
          </w:p>
        </w:tc>
        <w:tc>
          <w:tcPr>
            <w:tcW w:w="4472" w:type="dxa"/>
            <w:vAlign w:val="center"/>
          </w:tcPr>
          <w:p w14:paraId="1EDBA6C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由自治区卫生行政部门警告，罚款2万元以上3万元以下。</w:t>
            </w:r>
          </w:p>
        </w:tc>
      </w:tr>
    </w:tbl>
    <w:p w14:paraId="3FDB3318">
      <w:pPr>
        <w:pStyle w:val="4"/>
        <w:widowControl w:val="0"/>
        <w:ind w:firstLine="640"/>
        <w:jc w:val="both"/>
        <w:rPr>
          <w:rFonts w:hint="eastAsia" w:ascii="Times New Roman" w:hAnsi="Times New Roman" w:cs="仿宋"/>
          <w:b w:val="0"/>
          <w:bCs/>
          <w:color w:val="000000" w:themeColor="text1"/>
          <w14:textFill>
            <w14:solidFill>
              <w14:schemeClr w14:val="tx1"/>
            </w14:solidFill>
          </w14:textFill>
        </w:rPr>
      </w:pPr>
      <w:bookmarkStart w:id="5248" w:name="_Toc5041"/>
      <w:bookmarkStart w:id="5249" w:name="_Toc30067"/>
      <w:bookmarkStart w:id="5250" w:name="_Toc10230"/>
      <w:bookmarkStart w:id="5251" w:name="_Toc17550"/>
      <w:bookmarkStart w:id="5252" w:name="_Toc29394"/>
      <w:bookmarkStart w:id="5253" w:name="_Toc7212"/>
      <w:bookmarkStart w:id="5254" w:name="_Toc10887"/>
      <w:bookmarkStart w:id="5255" w:name="_Toc4037"/>
      <w:bookmarkStart w:id="5256" w:name="_Toc16098"/>
      <w:bookmarkStart w:id="5257" w:name="_Toc21151"/>
      <w:bookmarkStart w:id="5258" w:name="_Toc14276"/>
      <w:r>
        <w:rPr>
          <w:rFonts w:hint="eastAsia" w:ascii="Times New Roman" w:hAnsi="Times New Roman" w:cs="仿宋_GB2312"/>
          <w:bCs/>
          <w:color w:val="000000" w:themeColor="text1"/>
          <w:kern w:val="0"/>
          <w14:textFill>
            <w14:solidFill>
              <w14:schemeClr w14:val="tx1"/>
            </w14:solidFill>
          </w14:textFill>
        </w:rPr>
        <w:t>第四百一十二条</w:t>
      </w:r>
      <w:r>
        <w:rPr>
          <w:rFonts w:hint="eastAsia" w:ascii="Times New Roman" w:hAnsi="Times New Roman" w:cs="仿宋_GB2312"/>
          <w:bCs/>
          <w:color w:val="000000" w:themeColor="text1"/>
          <w14:textFill>
            <w14:solidFill>
              <w14:schemeClr w14:val="tx1"/>
            </w14:solidFill>
          </w14:textFill>
        </w:rPr>
        <w:t xml:space="preserve"> 开展人类辅助生殖技术的医疗机构实施人类辅助生殖技术档案不健全的</w:t>
      </w:r>
      <w:bookmarkEnd w:id="5248"/>
      <w:bookmarkEnd w:id="5249"/>
      <w:bookmarkEnd w:id="5250"/>
      <w:bookmarkEnd w:id="5251"/>
      <w:bookmarkEnd w:id="5252"/>
      <w:bookmarkEnd w:id="5253"/>
      <w:bookmarkEnd w:id="5254"/>
      <w:bookmarkEnd w:id="5255"/>
      <w:bookmarkEnd w:id="5256"/>
      <w:bookmarkEnd w:id="5257"/>
      <w:bookmarkEnd w:id="5258"/>
    </w:p>
    <w:p w14:paraId="1D68A198">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2F98A13E">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《人类辅助生殖技术管理办法》第二十二条第（五）项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开展人类辅助生殖技术的医疗机构违反本办法，有下列行为之一的，由省、自治区、直辖市人民政府卫生行政部门给予警告、3万元以下罚款，并给予有关责任人行政处分；构成犯罪的，依法追究刑事责任：</w:t>
      </w:r>
    </w:p>
    <w:p w14:paraId="049AFBD9">
      <w:pPr>
        <w:widowControl w:val="0"/>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（五）实施人类辅助生殖技术档案不健全的；</w:t>
      </w:r>
    </w:p>
    <w:p w14:paraId="7F36749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698"/>
        <w:gridCol w:w="4394"/>
      </w:tblGrid>
      <w:tr w14:paraId="4639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00" w:type="dxa"/>
            <w:vAlign w:val="center"/>
          </w:tcPr>
          <w:p w14:paraId="1A842C8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698" w:type="dxa"/>
            <w:vAlign w:val="center"/>
          </w:tcPr>
          <w:p w14:paraId="7DCF8F2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394" w:type="dxa"/>
            <w:vAlign w:val="center"/>
          </w:tcPr>
          <w:p w14:paraId="0F6958C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EB7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800" w:type="dxa"/>
            <w:vAlign w:val="center"/>
          </w:tcPr>
          <w:p w14:paraId="2EF956AA">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较轻</w:t>
            </w:r>
          </w:p>
        </w:tc>
        <w:tc>
          <w:tcPr>
            <w:tcW w:w="7698" w:type="dxa"/>
            <w:vAlign w:val="center"/>
          </w:tcPr>
          <w:p w14:paraId="7D85F7A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建有人类辅助生殖技术档案但档案不全、不规范的。</w:t>
            </w:r>
          </w:p>
        </w:tc>
        <w:tc>
          <w:tcPr>
            <w:tcW w:w="4394" w:type="dxa"/>
            <w:vAlign w:val="center"/>
          </w:tcPr>
          <w:p w14:paraId="7E27E9F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由自治区卫生行政部门警告，罚款1万元以下。</w:t>
            </w:r>
          </w:p>
        </w:tc>
      </w:tr>
      <w:tr w14:paraId="7832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800" w:type="dxa"/>
            <w:vAlign w:val="center"/>
          </w:tcPr>
          <w:p w14:paraId="1003BB33">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一般</w:t>
            </w:r>
          </w:p>
        </w:tc>
        <w:tc>
          <w:tcPr>
            <w:tcW w:w="7698" w:type="dxa"/>
            <w:vAlign w:val="center"/>
          </w:tcPr>
          <w:p w14:paraId="6AB4E8C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未建立人类辅助生殖技术档案的。</w:t>
            </w:r>
          </w:p>
        </w:tc>
        <w:tc>
          <w:tcPr>
            <w:tcW w:w="4394" w:type="dxa"/>
            <w:vAlign w:val="center"/>
          </w:tcPr>
          <w:p w14:paraId="42B6B7E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由自治区卫生行政部门警告，罚款1万元以上2万元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1D19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800" w:type="dxa"/>
            <w:vAlign w:val="center"/>
          </w:tcPr>
          <w:p w14:paraId="22EEBFBC">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较重</w:t>
            </w:r>
          </w:p>
        </w:tc>
        <w:tc>
          <w:tcPr>
            <w:tcW w:w="7698" w:type="dxa"/>
            <w:vAlign w:val="center"/>
          </w:tcPr>
          <w:p w14:paraId="40AD8AA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未建立人类辅助生殖技术档案或人类辅助生殖技术档案不健全，严重影响他人合法权益的，或擅自销毁医疗技术档案和法律文书的。</w:t>
            </w:r>
          </w:p>
        </w:tc>
        <w:tc>
          <w:tcPr>
            <w:tcW w:w="4394" w:type="dxa"/>
            <w:vAlign w:val="center"/>
          </w:tcPr>
          <w:p w14:paraId="73904DD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由自治区卫生行政部门警告，罚款2万以上3万元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bl>
    <w:p w14:paraId="0A8A7FB6">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259" w:name="_Toc18134"/>
      <w:bookmarkStart w:id="5260" w:name="_Toc11558"/>
      <w:bookmarkStart w:id="5261" w:name="_Toc26959"/>
      <w:bookmarkStart w:id="5262" w:name="_Toc16015"/>
      <w:bookmarkStart w:id="5263" w:name="_Toc5867"/>
      <w:bookmarkStart w:id="5264" w:name="_Toc14766"/>
      <w:bookmarkStart w:id="5265" w:name="_Toc20104"/>
      <w:bookmarkStart w:id="5266" w:name="_Toc23043"/>
      <w:bookmarkStart w:id="5267" w:name="_Toc1084"/>
      <w:bookmarkStart w:id="5268" w:name="_Toc2828"/>
      <w:bookmarkStart w:id="5269" w:name="_Toc24533"/>
      <w:r>
        <w:rPr>
          <w:rFonts w:hint="eastAsia" w:ascii="Times New Roman" w:hAnsi="Times New Roman" w:cs="仿宋_GB2312"/>
          <w:bCs/>
          <w:color w:val="000000" w:themeColor="text1"/>
          <w:kern w:val="0"/>
          <w14:textFill>
            <w14:solidFill>
              <w14:schemeClr w14:val="tx1"/>
            </w14:solidFill>
          </w14:textFill>
        </w:rPr>
        <w:t>第四百一十三条</w:t>
      </w:r>
      <w:r>
        <w:rPr>
          <w:rFonts w:hint="eastAsia" w:ascii="Times New Roman" w:hAnsi="Times New Roman" w:cs="仿宋_GB2312"/>
          <w:bCs/>
          <w:color w:val="000000" w:themeColor="text1"/>
          <w14:textFill>
            <w14:solidFill>
              <w14:schemeClr w14:val="tx1"/>
            </w14:solidFill>
          </w14:textFill>
        </w:rPr>
        <w:t xml:space="preserve"> 开展人类辅助生殖技术的医疗机构的技术质量经指定技术评估机构检查不合格的</w:t>
      </w:r>
      <w:bookmarkEnd w:id="5259"/>
      <w:bookmarkEnd w:id="5260"/>
      <w:bookmarkEnd w:id="5261"/>
      <w:bookmarkEnd w:id="5262"/>
      <w:bookmarkEnd w:id="5263"/>
      <w:bookmarkEnd w:id="5264"/>
      <w:bookmarkEnd w:id="5265"/>
      <w:bookmarkEnd w:id="5266"/>
      <w:bookmarkEnd w:id="5267"/>
      <w:bookmarkEnd w:id="5268"/>
      <w:bookmarkEnd w:id="5269"/>
    </w:p>
    <w:p w14:paraId="120EA374">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79D3AAE0">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《人类辅助生殖技术管理办法》第二十二条第（六）项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开展人类辅助生殖技术的医疗机构违反本办法，有下列行为之一的，由省、自治区、直辖市人民政府卫生行政部门给予警告、3万元以下罚款，并给予有关责任人行政处分；构成犯罪的，依法追究刑事责任：</w:t>
      </w:r>
    </w:p>
    <w:p w14:paraId="34402F48">
      <w:pPr>
        <w:widowControl w:val="0"/>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（六）经指定技术评估机构检查技术质量不合格的。</w:t>
      </w:r>
    </w:p>
    <w:p w14:paraId="20E16A6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079"/>
        <w:gridCol w:w="4253"/>
      </w:tblGrid>
      <w:tr w14:paraId="172F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60" w:type="dxa"/>
            <w:vAlign w:val="center"/>
          </w:tcPr>
          <w:p w14:paraId="20D6E5A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79" w:type="dxa"/>
            <w:vAlign w:val="center"/>
          </w:tcPr>
          <w:p w14:paraId="4A06489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53" w:type="dxa"/>
            <w:vAlign w:val="center"/>
          </w:tcPr>
          <w:p w14:paraId="445A9F4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DD8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560" w:type="dxa"/>
            <w:vAlign w:val="center"/>
          </w:tcPr>
          <w:p w14:paraId="1D723CAA">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较轻</w:t>
            </w:r>
          </w:p>
        </w:tc>
        <w:tc>
          <w:tcPr>
            <w:tcW w:w="8079" w:type="dxa"/>
            <w:vAlign w:val="center"/>
          </w:tcPr>
          <w:p w14:paraId="69DC758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经指定技术评估机构检查，有1项</w:t>
            </w:r>
            <w:r>
              <w:rPr>
                <w:rFonts w:hint="eastAsia" w:ascii="Times New Roman" w:hAnsi="Times New Roman" w:eastAsia="仿宋_GB2312" w:cs="Times New Roman"/>
                <w:color w:val="000000" w:themeColor="text1"/>
                <w:sz w:val="24"/>
                <w:lang w:bidi="ar"/>
                <w14:textFill>
                  <w14:solidFill>
                    <w14:schemeClr w14:val="tx1"/>
                  </w14:solidFill>
                </w14:textFill>
              </w:rPr>
              <w:t>技术质量</w:t>
            </w:r>
            <w:r>
              <w:rPr>
                <w:rFonts w:hint="eastAsia" w:ascii="Times New Roman" w:hAnsi="Times New Roman" w:eastAsia="仿宋_GB2312" w:cs="Times New Roman"/>
                <w:bCs w:val="0"/>
                <w:color w:val="000000" w:themeColor="text1"/>
                <w:sz w:val="24"/>
                <w:lang w:bidi="ar"/>
                <w14:textFill>
                  <w14:solidFill>
                    <w14:schemeClr w14:val="tx1"/>
                  </w14:solidFill>
                </w14:textFill>
              </w:rPr>
              <w:t>不合格项的。</w:t>
            </w:r>
          </w:p>
        </w:tc>
        <w:tc>
          <w:tcPr>
            <w:tcW w:w="4253" w:type="dxa"/>
            <w:vAlign w:val="center"/>
          </w:tcPr>
          <w:p w14:paraId="02CBE82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由自治区卫生行政部门警告，罚款1万元以下。</w:t>
            </w:r>
          </w:p>
        </w:tc>
      </w:tr>
      <w:tr w14:paraId="2006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60" w:type="dxa"/>
            <w:vAlign w:val="center"/>
          </w:tcPr>
          <w:p w14:paraId="7AE755E9">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一般</w:t>
            </w:r>
          </w:p>
        </w:tc>
        <w:tc>
          <w:tcPr>
            <w:tcW w:w="8079" w:type="dxa"/>
            <w:vAlign w:val="center"/>
          </w:tcPr>
          <w:p w14:paraId="588CC06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经指定技术评估机构检查，有2项以上4项以下</w:t>
            </w:r>
            <w:r>
              <w:rPr>
                <w:rFonts w:hint="eastAsia" w:ascii="Times New Roman" w:hAnsi="Times New Roman" w:eastAsia="仿宋_GB2312" w:cs="Times New Roman"/>
                <w:color w:val="000000" w:themeColor="text1"/>
                <w:sz w:val="24"/>
                <w:lang w:bidi="ar"/>
                <w14:textFill>
                  <w14:solidFill>
                    <w14:schemeClr w14:val="tx1"/>
                  </w14:solidFill>
                </w14:textFill>
              </w:rPr>
              <w:t>技术质量</w:t>
            </w:r>
            <w:r>
              <w:rPr>
                <w:rFonts w:hint="eastAsia" w:ascii="Times New Roman" w:hAnsi="Times New Roman" w:eastAsia="仿宋_GB2312" w:cs="Times New Roman"/>
                <w:bCs w:val="0"/>
                <w:color w:val="000000" w:themeColor="text1"/>
                <w:sz w:val="24"/>
                <w:lang w:bidi="ar"/>
                <w14:textFill>
                  <w14:solidFill>
                    <w14:schemeClr w14:val="tx1"/>
                  </w14:solidFill>
                </w14:textFill>
              </w:rPr>
              <w:t>不合格项的。</w:t>
            </w:r>
          </w:p>
        </w:tc>
        <w:tc>
          <w:tcPr>
            <w:tcW w:w="4253" w:type="dxa"/>
            <w:vAlign w:val="center"/>
          </w:tcPr>
          <w:p w14:paraId="74195A9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由自治区卫生行政部门警告，罚款1万元以上2万元以下。</w:t>
            </w:r>
          </w:p>
        </w:tc>
      </w:tr>
      <w:tr w14:paraId="7016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560" w:type="dxa"/>
            <w:vAlign w:val="center"/>
          </w:tcPr>
          <w:p w14:paraId="21FA2626">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较重</w:t>
            </w:r>
          </w:p>
        </w:tc>
        <w:tc>
          <w:tcPr>
            <w:tcW w:w="8079" w:type="dxa"/>
            <w:vAlign w:val="center"/>
          </w:tcPr>
          <w:p w14:paraId="4C4204B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经指定技术评估机构检查，有4项以上</w:t>
            </w:r>
            <w:r>
              <w:rPr>
                <w:rFonts w:hint="eastAsia" w:ascii="Times New Roman" w:hAnsi="Times New Roman" w:eastAsia="仿宋_GB2312" w:cs="Times New Roman"/>
                <w:color w:val="000000" w:themeColor="text1"/>
                <w:sz w:val="24"/>
                <w:lang w:bidi="ar"/>
                <w14:textFill>
                  <w14:solidFill>
                    <w14:schemeClr w14:val="tx1"/>
                  </w14:solidFill>
                </w14:textFill>
              </w:rPr>
              <w:t>技术质量</w:t>
            </w:r>
            <w:r>
              <w:rPr>
                <w:rFonts w:hint="eastAsia" w:ascii="Times New Roman" w:hAnsi="Times New Roman" w:eastAsia="仿宋_GB2312" w:cs="Times New Roman"/>
                <w:bCs w:val="0"/>
                <w:color w:val="000000" w:themeColor="text1"/>
                <w:sz w:val="24"/>
                <w:lang w:bidi="ar"/>
                <w14:textFill>
                  <w14:solidFill>
                    <w14:schemeClr w14:val="tx1"/>
                  </w14:solidFill>
                </w14:textFill>
              </w:rPr>
              <w:t>不合格项的。</w:t>
            </w:r>
          </w:p>
        </w:tc>
        <w:tc>
          <w:tcPr>
            <w:tcW w:w="4253" w:type="dxa"/>
            <w:vAlign w:val="center"/>
          </w:tcPr>
          <w:p w14:paraId="4A89D77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由自治区卫生行政部门警告，罚款2万元以上3万元以下。</w:t>
            </w:r>
          </w:p>
        </w:tc>
      </w:tr>
    </w:tbl>
    <w:p w14:paraId="634F3734">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270" w:name="_Toc15403"/>
      <w:bookmarkStart w:id="5271" w:name="_Toc11003"/>
      <w:bookmarkStart w:id="5272" w:name="_Toc23484"/>
      <w:bookmarkStart w:id="5273" w:name="_Toc12037"/>
      <w:bookmarkStart w:id="5274" w:name="_Toc27228"/>
      <w:bookmarkStart w:id="5275" w:name="_Toc5557"/>
      <w:bookmarkStart w:id="5276" w:name="_Toc11836"/>
      <w:bookmarkStart w:id="5277" w:name="_Toc27282"/>
      <w:bookmarkStart w:id="5278" w:name="_Toc19239"/>
      <w:bookmarkStart w:id="5279" w:name="_Toc1408"/>
      <w:bookmarkStart w:id="5280" w:name="_Toc24903"/>
      <w:r>
        <w:rPr>
          <w:rFonts w:hint="eastAsia" w:ascii="Times New Roman" w:hAnsi="Times New Roman" w:cs="仿宋_GB2312"/>
          <w:bCs/>
          <w:color w:val="000000" w:themeColor="text1"/>
          <w:kern w:val="0"/>
          <w14:textFill>
            <w14:solidFill>
              <w14:schemeClr w14:val="tx1"/>
            </w14:solidFill>
          </w14:textFill>
        </w:rPr>
        <w:t>第四百一十四条</w:t>
      </w:r>
      <w:r>
        <w:rPr>
          <w:rFonts w:hint="eastAsia" w:ascii="Times New Roman" w:hAnsi="Times New Roman" w:cs="仿宋_GB2312"/>
          <w:bCs/>
          <w:color w:val="000000" w:themeColor="text1"/>
          <w14:textFill>
            <w14:solidFill>
              <w14:schemeClr w14:val="tx1"/>
            </w14:solidFill>
          </w14:textFill>
        </w:rPr>
        <w:t xml:space="preserve"> 开展人类辅助生殖技术的医疗机构违反其他本办法规定的行为。</w:t>
      </w:r>
      <w:bookmarkEnd w:id="5270"/>
      <w:bookmarkEnd w:id="5271"/>
      <w:bookmarkEnd w:id="5272"/>
      <w:bookmarkEnd w:id="5273"/>
      <w:bookmarkEnd w:id="5274"/>
      <w:bookmarkEnd w:id="5275"/>
      <w:bookmarkEnd w:id="5276"/>
      <w:bookmarkEnd w:id="5277"/>
      <w:bookmarkEnd w:id="5278"/>
      <w:bookmarkEnd w:id="5279"/>
      <w:bookmarkEnd w:id="5280"/>
    </w:p>
    <w:p w14:paraId="334AC613">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3F05E8D0">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《人类辅助生殖技术管理办法》第二十二条第（七）项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开展人类辅助生殖技术的医疗机构违反本办法，有下列行为之一的，由省、自治区、直辖市人民政府卫生行政部门给予警告、3万元以下罚款，并给予有关责任人行政处分；构成犯罪的，依法追究刑事责任：</w:t>
      </w:r>
    </w:p>
    <w:p w14:paraId="17B05354">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（七）其他违反本办法规定的行为。</w:t>
      </w:r>
    </w:p>
    <w:p w14:paraId="1EE3D8BD">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079"/>
        <w:gridCol w:w="4253"/>
      </w:tblGrid>
      <w:tr w14:paraId="57EE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60" w:type="dxa"/>
            <w:vAlign w:val="center"/>
          </w:tcPr>
          <w:p w14:paraId="60879AF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79" w:type="dxa"/>
            <w:vAlign w:val="center"/>
          </w:tcPr>
          <w:p w14:paraId="32F169A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53" w:type="dxa"/>
            <w:vAlign w:val="center"/>
          </w:tcPr>
          <w:p w14:paraId="72ED203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B10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560" w:type="dxa"/>
            <w:vAlign w:val="center"/>
          </w:tcPr>
          <w:p w14:paraId="74DFE499">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较轻</w:t>
            </w:r>
          </w:p>
        </w:tc>
        <w:tc>
          <w:tcPr>
            <w:tcW w:w="8079" w:type="dxa"/>
            <w:vAlign w:val="center"/>
          </w:tcPr>
          <w:p w14:paraId="7622779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开展人类辅助生殖技术的医疗机构首次有违反《办法》规定的其他行为的。</w:t>
            </w:r>
          </w:p>
        </w:tc>
        <w:tc>
          <w:tcPr>
            <w:tcW w:w="4253" w:type="dxa"/>
            <w:vAlign w:val="center"/>
          </w:tcPr>
          <w:p w14:paraId="6AE7922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由自治区卫生行政部门警告，罚款1万元以下。</w:t>
            </w:r>
          </w:p>
        </w:tc>
      </w:tr>
      <w:tr w14:paraId="31E7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60" w:type="dxa"/>
            <w:vAlign w:val="center"/>
          </w:tcPr>
          <w:p w14:paraId="4CB0938B">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一般</w:t>
            </w:r>
          </w:p>
        </w:tc>
        <w:tc>
          <w:tcPr>
            <w:tcW w:w="8079" w:type="dxa"/>
            <w:vAlign w:val="center"/>
          </w:tcPr>
          <w:p w14:paraId="6907843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开展人类辅助生殖技术的医疗机构再次违反《办法》规定的其他行为的。</w:t>
            </w:r>
          </w:p>
        </w:tc>
        <w:tc>
          <w:tcPr>
            <w:tcW w:w="4253" w:type="dxa"/>
            <w:vAlign w:val="center"/>
          </w:tcPr>
          <w:p w14:paraId="6E81D50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由自治区卫生行政部门警告，罚款1万元以上2万元以下。</w:t>
            </w:r>
          </w:p>
        </w:tc>
      </w:tr>
      <w:tr w14:paraId="69D4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560" w:type="dxa"/>
            <w:vAlign w:val="center"/>
          </w:tcPr>
          <w:p w14:paraId="2C66C5A0">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较重</w:t>
            </w:r>
          </w:p>
        </w:tc>
        <w:tc>
          <w:tcPr>
            <w:tcW w:w="8079" w:type="dxa"/>
            <w:vAlign w:val="center"/>
          </w:tcPr>
          <w:p w14:paraId="7AC1637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开展人类辅助生殖技术的医疗机构有违反《办法》规定的其他违法行为，造成严重后果的。</w:t>
            </w:r>
          </w:p>
        </w:tc>
        <w:tc>
          <w:tcPr>
            <w:tcW w:w="4253" w:type="dxa"/>
            <w:vAlign w:val="center"/>
          </w:tcPr>
          <w:p w14:paraId="1A0EEC9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由自治区卫生行政部门警告，罚款2万元以上3万元以下。</w:t>
            </w:r>
          </w:p>
        </w:tc>
      </w:tr>
    </w:tbl>
    <w:p w14:paraId="4F4AB8B2">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color w:val="000000" w:themeColor="text1"/>
          <w:kern w:val="0"/>
          <w14:textFill>
            <w14:solidFill>
              <w14:schemeClr w14:val="tx1"/>
            </w14:solidFill>
          </w14:textFill>
        </w:rPr>
      </w:pPr>
      <w:bookmarkStart w:id="5281" w:name="_Toc26974"/>
      <w:bookmarkStart w:id="5282" w:name="_Toc2354"/>
      <w:bookmarkStart w:id="5283" w:name="_Toc21172"/>
      <w:bookmarkStart w:id="5284" w:name="_Toc5949"/>
      <w:bookmarkStart w:id="5285" w:name="_Toc8744"/>
      <w:bookmarkStart w:id="5286" w:name="_Toc25753"/>
      <w:bookmarkStart w:id="5287" w:name="_Toc10666"/>
      <w:bookmarkStart w:id="5288" w:name="_Toc14144"/>
      <w:bookmarkStart w:id="5289" w:name="_Toc18211"/>
      <w:bookmarkStart w:id="5290" w:name="_Toc18793"/>
      <w:bookmarkStart w:id="5291" w:name="_Toc8400"/>
      <w:bookmarkStart w:id="5292" w:name="_Toc26436"/>
      <w:bookmarkStart w:id="5293" w:name="_Toc6625"/>
      <w:r>
        <w:rPr>
          <w:rFonts w:hint="eastAsia" w:ascii="Times New Roman" w:hAnsi="Times New Roman" w:eastAsia="楷体_GB2312" w:cs="楷体_GB2312"/>
          <w:bCs/>
          <w:color w:val="000000" w:themeColor="text1"/>
          <w:kern w:val="0"/>
          <w14:textFill>
            <w14:solidFill>
              <w14:schemeClr w14:val="tx1"/>
            </w14:solidFill>
          </w14:textFill>
        </w:rPr>
        <w:t>（二）《产前诊断技术管理办法》</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p>
    <w:p w14:paraId="23821B27">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294" w:name="_Toc7485"/>
      <w:bookmarkStart w:id="5295" w:name="_Toc5144"/>
      <w:bookmarkStart w:id="5296" w:name="_Toc8147"/>
      <w:bookmarkStart w:id="5297" w:name="_Toc14201"/>
      <w:bookmarkStart w:id="5298" w:name="_Toc12374"/>
      <w:bookmarkStart w:id="5299" w:name="_Toc1070"/>
      <w:bookmarkStart w:id="5300" w:name="_Toc22353"/>
      <w:bookmarkStart w:id="5301" w:name="_Toc1900"/>
      <w:bookmarkStart w:id="5302" w:name="_Toc28847"/>
      <w:bookmarkStart w:id="5303" w:name="_Toc30672"/>
      <w:bookmarkStart w:id="5304" w:name="_Toc4547"/>
      <w:r>
        <w:rPr>
          <w:rFonts w:hint="eastAsia" w:ascii="Times New Roman" w:hAnsi="Times New Roman" w:cs="仿宋_GB2312"/>
          <w:bCs/>
          <w:color w:val="000000" w:themeColor="text1"/>
          <w:kern w:val="0"/>
          <w14:textFill>
            <w14:solidFill>
              <w14:schemeClr w14:val="tx1"/>
            </w14:solidFill>
          </w14:textFill>
        </w:rPr>
        <w:t>第四百一十五条</w:t>
      </w:r>
      <w:r>
        <w:rPr>
          <w:rFonts w:hint="eastAsia" w:ascii="Times New Roman" w:hAnsi="Times New Roman" w:cs="仿宋_GB2312"/>
          <w:bCs/>
          <w:color w:val="000000" w:themeColor="text1"/>
          <w14:textFill>
            <w14:solidFill>
              <w14:schemeClr w14:val="tx1"/>
            </w14:solidFill>
          </w14:textFill>
        </w:rPr>
        <w:t xml:space="preserve"> 医疗保健机构未取得产前诊断执业许可或超越许可范围擅自从事产前诊断的</w:t>
      </w:r>
      <w:bookmarkEnd w:id="5294"/>
      <w:bookmarkEnd w:id="5295"/>
      <w:bookmarkEnd w:id="5296"/>
      <w:bookmarkEnd w:id="5297"/>
      <w:bookmarkEnd w:id="5298"/>
      <w:bookmarkEnd w:id="5299"/>
      <w:bookmarkEnd w:id="5300"/>
      <w:bookmarkEnd w:id="5301"/>
      <w:bookmarkEnd w:id="5302"/>
      <w:bookmarkEnd w:id="5303"/>
      <w:bookmarkEnd w:id="5304"/>
    </w:p>
    <w:p w14:paraId="4F87A909">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7077870A">
      <w:pPr>
        <w:widowControl w:val="0"/>
        <w:numPr>
          <w:ilvl w:val="0"/>
          <w:numId w:val="11"/>
        </w:numPr>
        <w:adjustRightInd/>
        <w:snapToGrid/>
        <w:spacing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《产前诊断技术管理办法》第三十条</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对违反本办法，医疗保健机构未取得产前诊断执业许可或超越许可范围，擅自从事产前诊断的，按照《中华人民共和国母婴保健法实施办法》有关规定处罚，由卫生行政部门给予警告，责令停止违法行为，没收违法所得；违法所得5000元以上的，并处违法所得3倍以上5倍以下的罚款；违法所得不足5000元的，并处5000元以上2万元以下的罚款。情节严重的, 依据《医疗机构管理条例》依法吊销医疗机构执业许可证。</w:t>
      </w:r>
    </w:p>
    <w:p w14:paraId="6A1D951F">
      <w:pPr>
        <w:widowControl w:val="0"/>
        <w:numPr>
          <w:ilvl w:val="0"/>
          <w:numId w:val="11"/>
        </w:numPr>
        <w:adjustRightInd/>
        <w:snapToGrid/>
        <w:spacing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《医疗机构管理条例》第四十六条　违反本条例第二十六条规定，诊疗活动超出登记或者备案范围的，由县级以上人民政府卫生行政部门予以警告、责令其改正，没收违法所得，并可以根据情节处以1万元以上10万元以下的罚款；情节严重的，吊销其《医疗机构执业许可证》或者责令其停止执业活动。</w:t>
      </w:r>
    </w:p>
    <w:p w14:paraId="6E162075">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8647"/>
        <w:gridCol w:w="3544"/>
      </w:tblGrid>
      <w:tr w14:paraId="75F8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843" w:type="dxa"/>
            <w:vAlign w:val="center"/>
          </w:tcPr>
          <w:p w14:paraId="3E9BB98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647" w:type="dxa"/>
            <w:vAlign w:val="center"/>
          </w:tcPr>
          <w:p w14:paraId="52BFDD4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544" w:type="dxa"/>
            <w:vAlign w:val="center"/>
          </w:tcPr>
          <w:p w14:paraId="615D809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5C8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843" w:type="dxa"/>
            <w:vAlign w:val="center"/>
          </w:tcPr>
          <w:p w14:paraId="27CFF2AE">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8647" w:type="dxa"/>
            <w:vAlign w:val="center"/>
          </w:tcPr>
          <w:p w14:paraId="072AA71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医疗保健机构未取得产前诊断执业许可或超越许可范围，擅自从事产前诊断的，违法所得5000元以下或者无法确定违法所得金额的。</w:t>
            </w:r>
          </w:p>
        </w:tc>
        <w:tc>
          <w:tcPr>
            <w:tcW w:w="3544" w:type="dxa"/>
            <w:vAlign w:val="center"/>
          </w:tcPr>
          <w:p w14:paraId="164F39F0">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由县级以上人民政府卫生行政部门予以警告、责令其改正，没收违法所得，并可以根据情节处以1万元以上5万元以下的罚款。</w:t>
            </w:r>
          </w:p>
        </w:tc>
      </w:tr>
      <w:tr w14:paraId="3A75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1843" w:type="dxa"/>
            <w:vAlign w:val="center"/>
          </w:tcPr>
          <w:p w14:paraId="4E725AC0">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8647" w:type="dxa"/>
            <w:vAlign w:val="center"/>
          </w:tcPr>
          <w:p w14:paraId="616E8E5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医疗保健机构未取得产前诊断执业许可或超越许可范围，擅自从事产前诊断的，违法所得5000元以上的。</w:t>
            </w:r>
          </w:p>
        </w:tc>
        <w:tc>
          <w:tcPr>
            <w:tcW w:w="3544" w:type="dxa"/>
            <w:vAlign w:val="center"/>
          </w:tcPr>
          <w:p w14:paraId="431A1C41">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由县级以上人民政府卫生行政部门予以警告、责令其改正，没收违法所得，并可以根据情节处以5万元以上10万元以下的罚款。</w:t>
            </w:r>
          </w:p>
        </w:tc>
      </w:tr>
      <w:tr w14:paraId="1E58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1843" w:type="dxa"/>
            <w:vAlign w:val="center"/>
          </w:tcPr>
          <w:p w14:paraId="3665BA34">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8647" w:type="dxa"/>
            <w:vAlign w:val="center"/>
          </w:tcPr>
          <w:p w14:paraId="30073A8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医疗保健机构未取得产前诊断执业许可或超越许可范围，擅自从事产前诊断的，造成严重后果的。</w:t>
            </w:r>
          </w:p>
        </w:tc>
        <w:tc>
          <w:tcPr>
            <w:tcW w:w="3544" w:type="dxa"/>
            <w:vAlign w:val="center"/>
          </w:tcPr>
          <w:p w14:paraId="4396839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由县级以上人民政府卫生行政部门予以警告、责令其改正，没收违法所得，并可以处以10万元的罚款，吊销其《医疗机构执业许可证》或者责令其停止执业活动。</w:t>
            </w:r>
          </w:p>
        </w:tc>
      </w:tr>
    </w:tbl>
    <w:p w14:paraId="30116039">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color w:val="000000" w:themeColor="text1"/>
          <w:kern w:val="0"/>
          <w14:textFill>
            <w14:solidFill>
              <w14:schemeClr w14:val="tx1"/>
            </w14:solidFill>
          </w14:textFill>
        </w:rPr>
      </w:pPr>
      <w:bookmarkStart w:id="5305" w:name="_Toc220"/>
      <w:bookmarkStart w:id="5306" w:name="_Toc20087"/>
      <w:bookmarkStart w:id="5307" w:name="_Toc23046"/>
      <w:bookmarkStart w:id="5308" w:name="_Toc24851"/>
      <w:bookmarkStart w:id="5309" w:name="_Toc30097"/>
      <w:bookmarkStart w:id="5310" w:name="_Toc2310"/>
      <w:bookmarkStart w:id="5311" w:name="_Toc5079"/>
      <w:bookmarkStart w:id="5312" w:name="_Toc433"/>
      <w:bookmarkStart w:id="5313" w:name="_Toc27778"/>
      <w:bookmarkStart w:id="5314" w:name="_Toc29488"/>
      <w:bookmarkStart w:id="5315" w:name="_Toc5505"/>
      <w:bookmarkStart w:id="5316" w:name="_Toc22926"/>
      <w:bookmarkStart w:id="5317" w:name="_Toc2545"/>
      <w:r>
        <w:rPr>
          <w:rFonts w:hint="eastAsia" w:ascii="Times New Roman" w:hAnsi="Times New Roman" w:eastAsia="楷体_GB2312" w:cs="楷体_GB2312"/>
          <w:bCs/>
          <w:color w:val="000000" w:themeColor="text1"/>
          <w:kern w:val="0"/>
          <w14:textFill>
            <w14:solidFill>
              <w14:schemeClr w14:val="tx1"/>
            </w14:solidFill>
          </w14:textFill>
        </w:rPr>
        <w:t>（三）《人类精子库管理办法》</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7A16DCB2">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318" w:name="_Toc1940"/>
      <w:bookmarkStart w:id="5319" w:name="_Toc26570"/>
      <w:bookmarkStart w:id="5320" w:name="_Toc4080"/>
      <w:bookmarkStart w:id="5321" w:name="_Toc12926"/>
      <w:bookmarkStart w:id="5322" w:name="_Toc30558"/>
      <w:bookmarkStart w:id="5323" w:name="_Toc2766"/>
      <w:bookmarkStart w:id="5324" w:name="_Toc8216"/>
      <w:bookmarkStart w:id="5325" w:name="_Toc4373"/>
      <w:bookmarkStart w:id="5326" w:name="_Toc12860"/>
      <w:bookmarkStart w:id="5327" w:name="_Toc24523"/>
      <w:bookmarkStart w:id="5328" w:name="_Toc3858"/>
      <w:r>
        <w:rPr>
          <w:rFonts w:hint="eastAsia" w:ascii="Times New Roman" w:hAnsi="Times New Roman" w:cs="仿宋_GB2312"/>
          <w:bCs/>
          <w:color w:val="000000" w:themeColor="text1"/>
          <w:kern w:val="0"/>
          <w14:textFill>
            <w14:solidFill>
              <w14:schemeClr w14:val="tx1"/>
            </w14:solidFill>
          </w14:textFill>
        </w:rPr>
        <w:t>第四百一十六条</w:t>
      </w:r>
      <w:r>
        <w:rPr>
          <w:rFonts w:hint="eastAsia" w:ascii="Times New Roman" w:hAnsi="Times New Roman" w:cs="仿宋_GB2312"/>
          <w:bCs/>
          <w:color w:val="000000" w:themeColor="text1"/>
          <w14:textFill>
            <w14:solidFill>
              <w14:schemeClr w14:val="tx1"/>
            </w14:solidFill>
          </w14:textFill>
        </w:rPr>
        <w:t xml:space="preserve"> 设置人类精子库的医疗机构采集精液前，未按规定对供精者进行健康检查的</w:t>
      </w:r>
      <w:bookmarkEnd w:id="5318"/>
      <w:bookmarkEnd w:id="5319"/>
      <w:bookmarkEnd w:id="5320"/>
      <w:bookmarkEnd w:id="5321"/>
      <w:bookmarkEnd w:id="5322"/>
      <w:bookmarkEnd w:id="5323"/>
      <w:bookmarkEnd w:id="5324"/>
      <w:bookmarkEnd w:id="5325"/>
      <w:bookmarkEnd w:id="5326"/>
      <w:bookmarkEnd w:id="5327"/>
      <w:bookmarkEnd w:id="5328"/>
    </w:p>
    <w:p w14:paraId="48334ABF">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36C15D62">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《人类精子库管理办法》第二十四条第（一）项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设置人类精子库的医疗机构违反本办法，有下列行为之一的，省、自治区、直辖市人民政府卫生行政部门给予警告、1万元以下罚款，并给予有关责任人员行政处分；构成犯罪的，依法追究刑事责任：</w:t>
      </w:r>
    </w:p>
    <w:p w14:paraId="6FDC3211">
      <w:pPr>
        <w:widowControl w:val="0"/>
        <w:spacing w:line="440" w:lineRule="exact"/>
        <w:ind w:firstLine="640" w:firstLineChars="200"/>
        <w:rPr>
          <w:rFonts w:hint="eastAsia" w:ascii="Times New Roman" w:hAnsi="Times New Roman" w:eastAsia="宋体" w:cs="宋体"/>
          <w:b/>
          <w:bCs/>
          <w:color w:val="000000" w:themeColor="text1"/>
          <w:sz w:val="28"/>
          <w:szCs w:val="28"/>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（一）采集精液前，未按规定对供精者进行健康检查的；</w:t>
      </w:r>
    </w:p>
    <w:p w14:paraId="550DCFB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75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414"/>
        <w:gridCol w:w="4536"/>
      </w:tblGrid>
      <w:tr w14:paraId="3654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800" w:type="dxa"/>
            <w:vAlign w:val="center"/>
          </w:tcPr>
          <w:p w14:paraId="5BEA16D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414" w:type="dxa"/>
            <w:vAlign w:val="center"/>
          </w:tcPr>
          <w:p w14:paraId="3FAC729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36" w:type="dxa"/>
            <w:vAlign w:val="center"/>
          </w:tcPr>
          <w:p w14:paraId="38E6E3B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16A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800" w:type="dxa"/>
            <w:vAlign w:val="center"/>
          </w:tcPr>
          <w:p w14:paraId="69DF5417">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7414" w:type="dxa"/>
            <w:vAlign w:val="center"/>
          </w:tcPr>
          <w:p w14:paraId="32CF477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有1例未对供精者进行健康检查行为的。</w:t>
            </w:r>
          </w:p>
        </w:tc>
        <w:tc>
          <w:tcPr>
            <w:tcW w:w="4536" w:type="dxa"/>
            <w:vAlign w:val="center"/>
          </w:tcPr>
          <w:p w14:paraId="292D4E7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由自治区卫生行政部门警告，罚款5000元以下。</w:t>
            </w:r>
          </w:p>
        </w:tc>
      </w:tr>
      <w:tr w14:paraId="0C77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800" w:type="dxa"/>
            <w:vAlign w:val="center"/>
          </w:tcPr>
          <w:p w14:paraId="685547BE">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7414" w:type="dxa"/>
            <w:vAlign w:val="center"/>
          </w:tcPr>
          <w:p w14:paraId="5244F8C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有3例以下未对供精者进行健康检查行为的。</w:t>
            </w:r>
          </w:p>
        </w:tc>
        <w:tc>
          <w:tcPr>
            <w:tcW w:w="4536" w:type="dxa"/>
            <w:vAlign w:val="center"/>
          </w:tcPr>
          <w:p w14:paraId="6663E44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由自治区卫生行政部门警告，罚款5000元以上7000元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5823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800" w:type="dxa"/>
            <w:vAlign w:val="center"/>
          </w:tcPr>
          <w:p w14:paraId="0CDA7023">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7414" w:type="dxa"/>
            <w:vAlign w:val="center"/>
          </w:tcPr>
          <w:p w14:paraId="2D226B6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有3例及以上未对供精者进行健康检查行为的，或未按规定对供精者进行健康检查造成他人健康损害等后果的。</w:t>
            </w:r>
          </w:p>
        </w:tc>
        <w:tc>
          <w:tcPr>
            <w:tcW w:w="4536" w:type="dxa"/>
            <w:vAlign w:val="center"/>
          </w:tcPr>
          <w:p w14:paraId="65C831C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由自治区卫生行政部门警告，罚款7000元以上10000元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bl>
    <w:p w14:paraId="4973B4F5">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329" w:name="_Toc17878"/>
      <w:bookmarkStart w:id="5330" w:name="_Toc6767"/>
      <w:bookmarkStart w:id="5331" w:name="_Toc13241"/>
      <w:bookmarkStart w:id="5332" w:name="_Toc25151"/>
      <w:bookmarkStart w:id="5333" w:name="_Toc5677"/>
      <w:bookmarkStart w:id="5334" w:name="_Toc27536"/>
      <w:bookmarkStart w:id="5335" w:name="_Toc8338"/>
      <w:bookmarkStart w:id="5336" w:name="_Toc5340"/>
      <w:bookmarkStart w:id="5337" w:name="_Toc23913"/>
      <w:bookmarkStart w:id="5338" w:name="_Toc30385"/>
      <w:bookmarkStart w:id="5339" w:name="_Toc1599"/>
      <w:r>
        <w:rPr>
          <w:rFonts w:hint="eastAsia" w:ascii="Times New Roman" w:hAnsi="Times New Roman" w:cs="仿宋_GB2312"/>
          <w:bCs/>
          <w:color w:val="000000" w:themeColor="text1"/>
          <w:kern w:val="0"/>
          <w14:textFill>
            <w14:solidFill>
              <w14:schemeClr w14:val="tx1"/>
            </w14:solidFill>
          </w14:textFill>
        </w:rPr>
        <w:t>第四百一十七条</w:t>
      </w:r>
      <w:r>
        <w:rPr>
          <w:rFonts w:hint="eastAsia" w:ascii="Times New Roman" w:hAnsi="Times New Roman" w:cs="仿宋_GB2312"/>
          <w:bCs/>
          <w:color w:val="000000" w:themeColor="text1"/>
          <w14:textFill>
            <w14:solidFill>
              <w14:schemeClr w14:val="tx1"/>
            </w14:solidFill>
          </w14:textFill>
        </w:rPr>
        <w:t xml:space="preserve"> 设置人类精子库的医疗机构向其他医疗机构提供未经检验的精子的</w:t>
      </w:r>
      <w:bookmarkEnd w:id="5329"/>
      <w:bookmarkEnd w:id="5330"/>
      <w:bookmarkEnd w:id="5331"/>
      <w:bookmarkEnd w:id="5332"/>
      <w:bookmarkEnd w:id="5333"/>
      <w:bookmarkEnd w:id="5334"/>
      <w:bookmarkEnd w:id="5335"/>
      <w:bookmarkEnd w:id="5336"/>
      <w:bookmarkEnd w:id="5337"/>
      <w:bookmarkEnd w:id="5338"/>
      <w:bookmarkEnd w:id="5339"/>
    </w:p>
    <w:p w14:paraId="57B4AFBB">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4E6FC09E">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《人类精子库管理办法》第二十四条第（二）项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设置人类精子库的医疗机构违反本办法，有下列行为之一的，省、自治区、直辖市人民政府卫生行政部门给予警告、1万元以下罚款，并给予有关责任人员行政处分；构成犯罪的，依法追究刑事责任：</w:t>
      </w:r>
    </w:p>
    <w:p w14:paraId="2A55CDE0">
      <w:pPr>
        <w:widowControl w:val="0"/>
        <w:spacing w:after="0" w:line="440" w:lineRule="exact"/>
        <w:ind w:firstLine="640" w:firstLineChars="200"/>
        <w:rPr>
          <w:rFonts w:hint="eastAsia" w:ascii="Times New Roman" w:hAnsi="Times New Roman" w:eastAsia="宋体" w:cs="宋体"/>
          <w:b/>
          <w:bCs/>
          <w:color w:val="000000" w:themeColor="text1"/>
          <w:sz w:val="28"/>
          <w:szCs w:val="28"/>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（二）向医疗机构提供未经检验的精子的；</w:t>
      </w:r>
    </w:p>
    <w:p w14:paraId="21B205E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221"/>
        <w:gridCol w:w="4111"/>
      </w:tblGrid>
      <w:tr w14:paraId="1F02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560" w:type="dxa"/>
            <w:vAlign w:val="center"/>
          </w:tcPr>
          <w:p w14:paraId="0F2A09F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221" w:type="dxa"/>
            <w:vAlign w:val="center"/>
          </w:tcPr>
          <w:p w14:paraId="721FC52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11" w:type="dxa"/>
            <w:vAlign w:val="center"/>
          </w:tcPr>
          <w:p w14:paraId="64E63BB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D4A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60" w:type="dxa"/>
            <w:vAlign w:val="center"/>
          </w:tcPr>
          <w:p w14:paraId="179F2DEF">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221" w:type="dxa"/>
            <w:vAlign w:val="center"/>
          </w:tcPr>
          <w:p w14:paraId="16729B0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提供1份未经检验的精子。</w:t>
            </w:r>
          </w:p>
        </w:tc>
        <w:tc>
          <w:tcPr>
            <w:tcW w:w="4111" w:type="dxa"/>
            <w:vAlign w:val="center"/>
          </w:tcPr>
          <w:p w14:paraId="0365607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由自治区卫生行政部门警告，罚款5000元以下。</w:t>
            </w:r>
          </w:p>
        </w:tc>
      </w:tr>
      <w:tr w14:paraId="74F8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60" w:type="dxa"/>
            <w:vAlign w:val="center"/>
          </w:tcPr>
          <w:p w14:paraId="5E655624">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221" w:type="dxa"/>
            <w:vAlign w:val="center"/>
          </w:tcPr>
          <w:p w14:paraId="7DF9BC0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提供3份以下未经检验的精子。</w:t>
            </w:r>
          </w:p>
        </w:tc>
        <w:tc>
          <w:tcPr>
            <w:tcW w:w="4111" w:type="dxa"/>
            <w:vAlign w:val="center"/>
          </w:tcPr>
          <w:p w14:paraId="0B3E812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由自治区卫生行政部门警告，罚款5000元以上7000元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361E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60" w:type="dxa"/>
            <w:vAlign w:val="center"/>
          </w:tcPr>
          <w:p w14:paraId="2A435866">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221" w:type="dxa"/>
            <w:vAlign w:val="center"/>
          </w:tcPr>
          <w:p w14:paraId="10E08C8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提供3份及以上未经检验的精子，或造成他人健康损害等后果的。</w:t>
            </w:r>
          </w:p>
        </w:tc>
        <w:tc>
          <w:tcPr>
            <w:tcW w:w="4111" w:type="dxa"/>
            <w:vAlign w:val="center"/>
          </w:tcPr>
          <w:p w14:paraId="7D1CBD2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由自治区卫生行政部门警告，罚款7000元以上10000元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bl>
    <w:p w14:paraId="6F20ACED">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340" w:name="_Toc4639"/>
      <w:bookmarkStart w:id="5341" w:name="_Toc28595"/>
      <w:bookmarkStart w:id="5342" w:name="_Toc26506"/>
      <w:bookmarkStart w:id="5343" w:name="_Toc13542"/>
      <w:bookmarkStart w:id="5344" w:name="_Toc18148"/>
      <w:bookmarkStart w:id="5345" w:name="_Toc32013"/>
      <w:bookmarkStart w:id="5346" w:name="_Toc583"/>
      <w:bookmarkStart w:id="5347" w:name="_Toc18539"/>
      <w:bookmarkStart w:id="5348" w:name="_Toc27403"/>
      <w:bookmarkStart w:id="5349" w:name="_Toc28715"/>
      <w:bookmarkStart w:id="5350" w:name="_Toc6611"/>
      <w:r>
        <w:rPr>
          <w:rFonts w:hint="eastAsia" w:ascii="Times New Roman" w:hAnsi="Times New Roman" w:cs="仿宋_GB2312"/>
          <w:bCs/>
          <w:color w:val="000000" w:themeColor="text1"/>
          <w:kern w:val="0"/>
          <w14:textFill>
            <w14:solidFill>
              <w14:schemeClr w14:val="tx1"/>
            </w14:solidFill>
          </w14:textFill>
        </w:rPr>
        <w:t>第四百一十八条</w:t>
      </w:r>
      <w:r>
        <w:rPr>
          <w:rFonts w:hint="eastAsia" w:ascii="Times New Roman" w:hAnsi="Times New Roman" w:cs="仿宋_GB2312"/>
          <w:bCs/>
          <w:color w:val="000000" w:themeColor="text1"/>
          <w14:textFill>
            <w14:solidFill>
              <w14:schemeClr w14:val="tx1"/>
            </w14:solidFill>
          </w14:textFill>
        </w:rPr>
        <w:t xml:space="preserve"> 设置人类精子库的医疗机构向不具有人类辅助生殖技术批准证书的机构提供精子的</w:t>
      </w:r>
      <w:bookmarkEnd w:id="5340"/>
      <w:bookmarkEnd w:id="5341"/>
      <w:bookmarkEnd w:id="5342"/>
      <w:bookmarkEnd w:id="5343"/>
      <w:bookmarkEnd w:id="5344"/>
      <w:bookmarkEnd w:id="5345"/>
      <w:bookmarkEnd w:id="5346"/>
      <w:bookmarkEnd w:id="5347"/>
      <w:bookmarkEnd w:id="5348"/>
      <w:bookmarkEnd w:id="5349"/>
      <w:bookmarkEnd w:id="5350"/>
    </w:p>
    <w:p w14:paraId="723A1BEC">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227AFDA7">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《人类精子库管理办法》第二十四条第（三）项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设置人类精子库的医疗机构违反本办法，有下列行为之一的，省、自治区、直辖市人民政府卫生行政部门给予警告、1万元以下罚款，并给予有关责任人员行政处分；构成犯罪的，依法追究刑事责任：</w:t>
      </w:r>
    </w:p>
    <w:p w14:paraId="2242510C">
      <w:pPr>
        <w:widowControl w:val="0"/>
        <w:spacing w:after="0" w:line="440" w:lineRule="exact"/>
        <w:ind w:firstLine="640"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（三）向不具有人类辅助生殖技术批准证书的机构提供精子的；</w:t>
      </w:r>
    </w:p>
    <w:p w14:paraId="7319789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8053"/>
        <w:gridCol w:w="4255"/>
      </w:tblGrid>
      <w:tr w14:paraId="02EB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20" w:type="dxa"/>
            <w:vAlign w:val="center"/>
          </w:tcPr>
          <w:p w14:paraId="716D430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53" w:type="dxa"/>
            <w:vAlign w:val="center"/>
          </w:tcPr>
          <w:p w14:paraId="237481A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55" w:type="dxa"/>
            <w:vAlign w:val="center"/>
          </w:tcPr>
          <w:p w14:paraId="73D65DD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ECA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620" w:type="dxa"/>
            <w:vAlign w:val="center"/>
          </w:tcPr>
          <w:p w14:paraId="5FDF14AA">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8053" w:type="dxa"/>
            <w:vAlign w:val="center"/>
          </w:tcPr>
          <w:p w14:paraId="22FDEDD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向不具有人类辅助生殖技术批准证书的机构提供1份精子。</w:t>
            </w:r>
          </w:p>
        </w:tc>
        <w:tc>
          <w:tcPr>
            <w:tcW w:w="4255" w:type="dxa"/>
            <w:vAlign w:val="center"/>
          </w:tcPr>
          <w:p w14:paraId="5C0CCC8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由自治区卫生行政部门警告，罚款5000元以下。</w:t>
            </w:r>
          </w:p>
        </w:tc>
      </w:tr>
      <w:tr w14:paraId="6B8E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620" w:type="dxa"/>
            <w:vAlign w:val="center"/>
          </w:tcPr>
          <w:p w14:paraId="67628006">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8053" w:type="dxa"/>
            <w:vAlign w:val="center"/>
          </w:tcPr>
          <w:p w14:paraId="4D3DBF7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向不具有人类辅助生殖技术批准证书的机构提供3份以上精子。</w:t>
            </w:r>
          </w:p>
        </w:tc>
        <w:tc>
          <w:tcPr>
            <w:tcW w:w="4255" w:type="dxa"/>
            <w:vAlign w:val="center"/>
          </w:tcPr>
          <w:p w14:paraId="6B2A75D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由自治区卫生行政部门警告，罚款5000元以上7000元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7E41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20" w:type="dxa"/>
            <w:vAlign w:val="center"/>
          </w:tcPr>
          <w:p w14:paraId="1FD278D7">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8053" w:type="dxa"/>
            <w:vAlign w:val="center"/>
          </w:tcPr>
          <w:p w14:paraId="388AE9D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向不具有人类辅助生殖技术批准证书的机构提供3份及以上精子，或造成他人健康损害等后果的。</w:t>
            </w:r>
          </w:p>
        </w:tc>
        <w:tc>
          <w:tcPr>
            <w:tcW w:w="4255" w:type="dxa"/>
            <w:vAlign w:val="center"/>
          </w:tcPr>
          <w:p w14:paraId="1C38F98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由自治区卫生行政部门警告，罚款7000元以上10000元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bl>
    <w:p w14:paraId="0D536504">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351" w:name="_Toc1220"/>
      <w:bookmarkStart w:id="5352" w:name="_Toc19342"/>
      <w:bookmarkStart w:id="5353" w:name="_Toc17944"/>
      <w:bookmarkStart w:id="5354" w:name="_Toc25917"/>
      <w:bookmarkStart w:id="5355" w:name="_Toc17865"/>
      <w:bookmarkStart w:id="5356" w:name="_Toc27720"/>
      <w:bookmarkStart w:id="5357" w:name="_Toc24448"/>
      <w:bookmarkStart w:id="5358" w:name="_Toc15512"/>
      <w:bookmarkStart w:id="5359" w:name="_Toc18224"/>
      <w:bookmarkStart w:id="5360" w:name="_Toc24392"/>
      <w:bookmarkStart w:id="5361" w:name="_Toc25110"/>
      <w:r>
        <w:rPr>
          <w:rFonts w:hint="eastAsia" w:ascii="Times New Roman" w:hAnsi="Times New Roman" w:cs="仿宋_GB2312"/>
          <w:bCs/>
          <w:color w:val="000000" w:themeColor="text1"/>
          <w:kern w:val="0"/>
          <w14:textFill>
            <w14:solidFill>
              <w14:schemeClr w14:val="tx1"/>
            </w14:solidFill>
          </w14:textFill>
        </w:rPr>
        <w:t>第四百一十九条</w:t>
      </w:r>
      <w:r>
        <w:rPr>
          <w:rFonts w:hint="eastAsia" w:ascii="Times New Roman" w:hAnsi="Times New Roman" w:cs="仿宋_GB2312"/>
          <w:bCs/>
          <w:color w:val="000000" w:themeColor="text1"/>
          <w14:textFill>
            <w14:solidFill>
              <w14:schemeClr w14:val="tx1"/>
            </w14:solidFill>
          </w14:textFill>
        </w:rPr>
        <w:t xml:space="preserve"> 供精者档案不健全的</w:t>
      </w:r>
      <w:bookmarkEnd w:id="5351"/>
      <w:bookmarkEnd w:id="5352"/>
      <w:bookmarkEnd w:id="5353"/>
      <w:bookmarkEnd w:id="5354"/>
      <w:bookmarkEnd w:id="5355"/>
      <w:bookmarkEnd w:id="5356"/>
      <w:bookmarkEnd w:id="5357"/>
      <w:bookmarkEnd w:id="5358"/>
      <w:bookmarkEnd w:id="5359"/>
      <w:bookmarkEnd w:id="5360"/>
      <w:bookmarkEnd w:id="5361"/>
    </w:p>
    <w:p w14:paraId="608389B6">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7FF5D72E">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《人类精子库管理办法》第二十四条第（四）项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设置人类精子库的医疗机构违反本办法，有下列行为之一的，省、自治区、直辖市人民政府卫生行政部门给予警告、1万元以下罚款，并给予有关责任人员行政处分；构成犯罪的，依法追究刑事责任：</w:t>
      </w:r>
    </w:p>
    <w:p w14:paraId="49E960A6">
      <w:pPr>
        <w:widowControl w:val="0"/>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（四）供精者档案不健全的；</w:t>
      </w:r>
    </w:p>
    <w:p w14:paraId="35E6E0A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8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8100"/>
        <w:gridCol w:w="4166"/>
      </w:tblGrid>
      <w:tr w14:paraId="6F2B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0" w:type="dxa"/>
            <w:vAlign w:val="center"/>
          </w:tcPr>
          <w:p w14:paraId="7A08D5B4">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00" w:type="dxa"/>
            <w:vAlign w:val="center"/>
          </w:tcPr>
          <w:p w14:paraId="49F343EA">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66" w:type="dxa"/>
            <w:vAlign w:val="center"/>
          </w:tcPr>
          <w:p w14:paraId="0E645EE6">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DDD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620" w:type="dxa"/>
            <w:vAlign w:val="center"/>
          </w:tcPr>
          <w:p w14:paraId="72BD095F">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8100" w:type="dxa"/>
            <w:vAlign w:val="center"/>
          </w:tcPr>
          <w:p w14:paraId="74C6387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建有供精者档案但档案不全、不规范的。</w:t>
            </w:r>
          </w:p>
        </w:tc>
        <w:tc>
          <w:tcPr>
            <w:tcW w:w="4166" w:type="dxa"/>
            <w:vAlign w:val="center"/>
          </w:tcPr>
          <w:p w14:paraId="19B2DC1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由自治区卫生行政部门警告，罚款5000元以下。</w:t>
            </w:r>
          </w:p>
        </w:tc>
      </w:tr>
      <w:tr w14:paraId="2A23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620" w:type="dxa"/>
            <w:vAlign w:val="center"/>
          </w:tcPr>
          <w:p w14:paraId="006A0EB8">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8100" w:type="dxa"/>
            <w:vAlign w:val="center"/>
          </w:tcPr>
          <w:p w14:paraId="17AFA63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未建立供精者档案的。</w:t>
            </w:r>
          </w:p>
        </w:tc>
        <w:tc>
          <w:tcPr>
            <w:tcW w:w="4166" w:type="dxa"/>
            <w:vAlign w:val="center"/>
          </w:tcPr>
          <w:p w14:paraId="0FE4EF7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由自治区卫生行政部门警告，罚款5000元以上7000元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432C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620" w:type="dxa"/>
            <w:vAlign w:val="center"/>
          </w:tcPr>
          <w:p w14:paraId="13A76653">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8100" w:type="dxa"/>
            <w:vAlign w:val="center"/>
          </w:tcPr>
          <w:p w14:paraId="6423FC9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未建立供精者档案或供精者档案不健全，严重影响他人合法权益的，或擅自销毁医疗技术档案和法律文书的。</w:t>
            </w:r>
          </w:p>
        </w:tc>
        <w:tc>
          <w:tcPr>
            <w:tcW w:w="4166" w:type="dxa"/>
            <w:vAlign w:val="center"/>
          </w:tcPr>
          <w:p w14:paraId="2257C6E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由自治区卫生行政部门警告，罚款7000元以上10000元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bl>
    <w:p w14:paraId="5967ADF8">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362" w:name="_Toc20899"/>
      <w:bookmarkStart w:id="5363" w:name="_Toc5961"/>
      <w:bookmarkStart w:id="5364" w:name="_Toc7308"/>
      <w:bookmarkStart w:id="5365" w:name="_Toc22355"/>
      <w:bookmarkStart w:id="5366" w:name="_Toc9954"/>
      <w:bookmarkStart w:id="5367" w:name="_Toc26218"/>
      <w:bookmarkStart w:id="5368" w:name="_Toc8134"/>
      <w:bookmarkStart w:id="5369" w:name="_Toc19860"/>
      <w:bookmarkStart w:id="5370" w:name="_Toc8389"/>
      <w:bookmarkStart w:id="5371" w:name="_Toc17104"/>
      <w:bookmarkStart w:id="5372" w:name="_Toc30823"/>
      <w:r>
        <w:rPr>
          <w:rFonts w:hint="eastAsia" w:ascii="Times New Roman" w:hAnsi="Times New Roman" w:cs="仿宋_GB2312"/>
          <w:bCs/>
          <w:color w:val="000000" w:themeColor="text1"/>
          <w:kern w:val="0"/>
          <w14:textFill>
            <w14:solidFill>
              <w14:schemeClr w14:val="tx1"/>
            </w14:solidFill>
          </w14:textFill>
        </w:rPr>
        <w:t>第四百二十条</w:t>
      </w:r>
      <w:r>
        <w:rPr>
          <w:rFonts w:hint="eastAsia" w:ascii="Times New Roman" w:hAnsi="Times New Roman" w:cs="仿宋_GB2312"/>
          <w:bCs/>
          <w:color w:val="000000" w:themeColor="text1"/>
          <w14:textFill>
            <w14:solidFill>
              <w14:schemeClr w14:val="tx1"/>
            </w14:solidFill>
          </w14:textFill>
        </w:rPr>
        <w:t xml:space="preserve"> 人类精子库中精子经评估机构检查质量不合格的</w:t>
      </w:r>
      <w:bookmarkEnd w:id="5362"/>
      <w:bookmarkEnd w:id="5363"/>
      <w:bookmarkEnd w:id="5364"/>
      <w:bookmarkEnd w:id="5365"/>
      <w:bookmarkEnd w:id="5366"/>
      <w:bookmarkEnd w:id="5367"/>
      <w:bookmarkEnd w:id="5368"/>
      <w:bookmarkEnd w:id="5369"/>
      <w:bookmarkEnd w:id="5370"/>
      <w:bookmarkEnd w:id="5371"/>
      <w:bookmarkEnd w:id="5372"/>
    </w:p>
    <w:p w14:paraId="4FA6AE3C">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533B907C">
      <w:pPr>
        <w:widowControl w:val="0"/>
        <w:adjustRightInd/>
        <w:snapToGrid/>
        <w:spacing w:after="0" w:line="440" w:lineRule="exact"/>
        <w:ind w:firstLine="64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《人类精子库管理办法》第二十四条第（五）项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设置人类精子库的医疗机构违反本办法，有下列行为之一的，省、自治区、直辖市人民政府卫生行政部门给予警告、1万元以下罚款，并给予有关责任人员行政处分；构成犯罪的，依法追究刑事责任</w:t>
      </w:r>
      <w:r>
        <w:rPr>
          <w:rFonts w:ascii="Times New Roman" w:hAnsi="Times New Roman" w:cs="Times New Roman"/>
          <w:color w:val="000000" w:themeColor="text1"/>
          <w:sz w:val="24"/>
          <w14:textFill>
            <w14:solidFill>
              <w14:schemeClr w14:val="tx1"/>
            </w14:solidFill>
          </w14:textFill>
        </w:rPr>
        <w:t>：</w:t>
      </w:r>
    </w:p>
    <w:p w14:paraId="3F1C301B">
      <w:pPr>
        <w:widowControl w:val="0"/>
        <w:spacing w:after="0" w:line="440" w:lineRule="exact"/>
        <w:ind w:firstLine="640" w:firstLineChars="200"/>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（五）经评估机构检查质量不合格的；</w:t>
      </w:r>
    </w:p>
    <w:p w14:paraId="7983C38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9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7853"/>
        <w:gridCol w:w="4521"/>
      </w:tblGrid>
      <w:tr w14:paraId="6931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54" w:type="dxa"/>
            <w:vAlign w:val="center"/>
          </w:tcPr>
          <w:p w14:paraId="426737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853" w:type="dxa"/>
            <w:vAlign w:val="center"/>
          </w:tcPr>
          <w:p w14:paraId="39F227F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521" w:type="dxa"/>
            <w:vAlign w:val="center"/>
          </w:tcPr>
          <w:p w14:paraId="2C73CFE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1D0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554" w:type="dxa"/>
            <w:vAlign w:val="center"/>
          </w:tcPr>
          <w:p w14:paraId="6760ECF5">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较轻</w:t>
            </w:r>
          </w:p>
        </w:tc>
        <w:tc>
          <w:tcPr>
            <w:tcW w:w="7853" w:type="dxa"/>
            <w:vAlign w:val="center"/>
          </w:tcPr>
          <w:p w14:paraId="5BCADD0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经评估机构检查，精子库中精子质量不合格项为1项的。</w:t>
            </w:r>
          </w:p>
        </w:tc>
        <w:tc>
          <w:tcPr>
            <w:tcW w:w="4521" w:type="dxa"/>
            <w:vAlign w:val="center"/>
          </w:tcPr>
          <w:p w14:paraId="47059A9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由自治区卫生行政部门警告，罚款5000元以下。</w:t>
            </w:r>
          </w:p>
        </w:tc>
      </w:tr>
      <w:tr w14:paraId="224F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554" w:type="dxa"/>
            <w:vAlign w:val="center"/>
          </w:tcPr>
          <w:p w14:paraId="619F46E0">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一般</w:t>
            </w:r>
          </w:p>
        </w:tc>
        <w:tc>
          <w:tcPr>
            <w:tcW w:w="7853" w:type="dxa"/>
            <w:vAlign w:val="center"/>
          </w:tcPr>
          <w:p w14:paraId="1EA0366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经评估机构检查，精子库中精子质量不合格项为3项以下的。</w:t>
            </w:r>
          </w:p>
        </w:tc>
        <w:tc>
          <w:tcPr>
            <w:tcW w:w="4521" w:type="dxa"/>
            <w:vAlign w:val="center"/>
          </w:tcPr>
          <w:p w14:paraId="5F3ADA4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由自治区卫生行政部门警告，罚款5000元以上7000元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38BB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54" w:type="dxa"/>
            <w:vAlign w:val="center"/>
          </w:tcPr>
          <w:p w14:paraId="1D2C2AE9">
            <w:pPr>
              <w:widowControl w:val="0"/>
              <w:spacing w:after="0" w:line="340" w:lineRule="exact"/>
              <w:jc w:val="center"/>
              <w:rPr>
                <w:rFonts w:hint="eastAsia" w:ascii="Times New Roman" w:hAnsi="Times New Roman" w:eastAsia="仿宋" w:cs="仿宋"/>
                <w:b/>
                <w:bCs/>
                <w:color w:val="000000" w:themeColor="text1"/>
                <w:sz w:val="24"/>
                <w14:textFill>
                  <w14:solidFill>
                    <w14:schemeClr w14:val="tx1"/>
                  </w14:solidFill>
                </w14:textFill>
              </w:rPr>
            </w:pPr>
            <w:r>
              <w:rPr>
                <w:rFonts w:hint="eastAsia" w:ascii="Times New Roman" w:hAnsi="Times New Roman" w:eastAsia="仿宋_GB2312" w:cs="仿宋"/>
                <w:b/>
                <w:bCs/>
                <w:color w:val="000000" w:themeColor="text1"/>
                <w:sz w:val="24"/>
                <w14:textFill>
                  <w14:solidFill>
                    <w14:schemeClr w14:val="tx1"/>
                  </w14:solidFill>
                </w14:textFill>
              </w:rPr>
              <w:t>较重</w:t>
            </w:r>
          </w:p>
        </w:tc>
        <w:tc>
          <w:tcPr>
            <w:tcW w:w="7853" w:type="dxa"/>
            <w:vAlign w:val="center"/>
          </w:tcPr>
          <w:p w14:paraId="75E9FF6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经评估机构检查，精子库中精子质量不合格项在3项及以上的。</w:t>
            </w:r>
          </w:p>
        </w:tc>
        <w:tc>
          <w:tcPr>
            <w:tcW w:w="4521" w:type="dxa"/>
            <w:vAlign w:val="center"/>
          </w:tcPr>
          <w:p w14:paraId="477E67B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由自治区卫生行政部门警告，罚款7000元以上10000元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bl>
    <w:p w14:paraId="09DE390D">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373" w:name="_Toc8205"/>
      <w:bookmarkStart w:id="5374" w:name="_Toc29581"/>
      <w:bookmarkStart w:id="5375" w:name="_Toc10642"/>
      <w:bookmarkStart w:id="5376" w:name="_Toc3324"/>
      <w:bookmarkStart w:id="5377" w:name="_Toc29560"/>
      <w:bookmarkStart w:id="5378" w:name="_Toc19065"/>
      <w:bookmarkStart w:id="5379" w:name="_Toc12602"/>
      <w:bookmarkStart w:id="5380" w:name="_Toc27764"/>
      <w:bookmarkStart w:id="5381" w:name="_Toc28159"/>
      <w:bookmarkStart w:id="5382" w:name="_Toc20787"/>
      <w:bookmarkStart w:id="5383" w:name="_Toc23319"/>
      <w:r>
        <w:rPr>
          <w:rFonts w:hint="eastAsia" w:ascii="Times New Roman" w:hAnsi="Times New Roman" w:cs="仿宋_GB2312"/>
          <w:bCs/>
          <w:color w:val="000000" w:themeColor="text1"/>
          <w:kern w:val="0"/>
          <w14:textFill>
            <w14:solidFill>
              <w14:schemeClr w14:val="tx1"/>
            </w14:solidFill>
          </w14:textFill>
        </w:rPr>
        <w:t>第四百二十一条</w:t>
      </w:r>
      <w:r>
        <w:rPr>
          <w:rFonts w:hint="eastAsia" w:ascii="Times New Roman" w:hAnsi="Times New Roman" w:cs="仿宋_GB2312"/>
          <w:bCs/>
          <w:color w:val="000000" w:themeColor="text1"/>
          <w14:textFill>
            <w14:solidFill>
              <w14:schemeClr w14:val="tx1"/>
            </w14:solidFill>
          </w14:textFill>
        </w:rPr>
        <w:t xml:space="preserve"> 违反《人类精子库管理办法》其他规定的行为</w:t>
      </w:r>
      <w:bookmarkEnd w:id="5373"/>
      <w:bookmarkEnd w:id="5374"/>
      <w:bookmarkEnd w:id="5375"/>
      <w:bookmarkEnd w:id="5376"/>
      <w:bookmarkEnd w:id="5377"/>
      <w:bookmarkEnd w:id="5378"/>
      <w:bookmarkEnd w:id="5379"/>
      <w:bookmarkEnd w:id="5380"/>
      <w:bookmarkEnd w:id="5381"/>
      <w:bookmarkEnd w:id="5382"/>
      <w:bookmarkEnd w:id="5383"/>
    </w:p>
    <w:p w14:paraId="0CBA70B4">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116FFDDE">
      <w:pPr>
        <w:widowControl w:val="0"/>
        <w:adjustRightInd/>
        <w:snapToGrid/>
        <w:spacing w:after="0" w:line="440" w:lineRule="exact"/>
        <w:ind w:firstLine="64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《人类精子库管理办法》第二十四条第（六）项</w:t>
      </w:r>
      <w:r>
        <w:rPr>
          <w:rFonts w:hint="eastAsia" w:ascii="Times New Roman" w:hAnsi="Times New Roman" w:eastAsia="仿宋_GB2312" w:cs="仿宋"/>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
          <w:color w:val="000000" w:themeColor="text1"/>
          <w:sz w:val="32"/>
          <w:szCs w:val="32"/>
          <w14:textFill>
            <w14:solidFill>
              <w14:schemeClr w14:val="tx1"/>
            </w14:solidFill>
          </w14:textFill>
        </w:rPr>
        <w:t>设置人类精子库的医疗机构违反本办法，有下列行为之一的，省、自治区、直辖市人民政府卫生行政部门给予警告、1万元以下罚款，并给予有关责任人员行政处分；构成犯罪的，依法追究刑事责任</w:t>
      </w:r>
      <w:r>
        <w:rPr>
          <w:rFonts w:ascii="Times New Roman" w:hAnsi="Times New Roman" w:cs="Times New Roman"/>
          <w:color w:val="000000" w:themeColor="text1"/>
          <w:sz w:val="24"/>
          <w14:textFill>
            <w14:solidFill>
              <w14:schemeClr w14:val="tx1"/>
            </w14:solidFill>
          </w14:textFill>
        </w:rPr>
        <w:t>：</w:t>
      </w:r>
    </w:p>
    <w:p w14:paraId="3AD40037">
      <w:pPr>
        <w:widowControl w:val="0"/>
        <w:spacing w:after="0" w:line="440" w:lineRule="exact"/>
        <w:ind w:firstLine="640" w:firstLineChars="200"/>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（六）其他违反本办法规定的行为。</w:t>
      </w:r>
    </w:p>
    <w:p w14:paraId="618F38EB">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9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7853"/>
        <w:gridCol w:w="4521"/>
      </w:tblGrid>
      <w:tr w14:paraId="21B4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54" w:type="dxa"/>
            <w:vAlign w:val="center"/>
          </w:tcPr>
          <w:p w14:paraId="57E20273">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853" w:type="dxa"/>
            <w:vAlign w:val="center"/>
          </w:tcPr>
          <w:p w14:paraId="770A422A">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521" w:type="dxa"/>
            <w:vAlign w:val="center"/>
          </w:tcPr>
          <w:p w14:paraId="1F0D97C3">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113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vAlign w:val="center"/>
          </w:tcPr>
          <w:p w14:paraId="335EC402">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853" w:type="dxa"/>
            <w:vAlign w:val="center"/>
          </w:tcPr>
          <w:p w14:paraId="2BB5D8B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开展人类精子库的医疗机构首次有违反《办法》规定的其他行为的。</w:t>
            </w:r>
          </w:p>
        </w:tc>
        <w:tc>
          <w:tcPr>
            <w:tcW w:w="4521" w:type="dxa"/>
            <w:vAlign w:val="center"/>
          </w:tcPr>
          <w:p w14:paraId="32BC30D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由自治区卫生行政部门警告，罚款5000元以下。</w:t>
            </w:r>
          </w:p>
        </w:tc>
      </w:tr>
      <w:tr w14:paraId="2C21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vAlign w:val="center"/>
          </w:tcPr>
          <w:p w14:paraId="6CAD813F">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853" w:type="dxa"/>
            <w:vAlign w:val="center"/>
          </w:tcPr>
          <w:p w14:paraId="2A7AFA7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开展人类精子库的医疗机构再次有违反《办法》规定的其他行为的。</w:t>
            </w:r>
          </w:p>
        </w:tc>
        <w:tc>
          <w:tcPr>
            <w:tcW w:w="4521" w:type="dxa"/>
            <w:vAlign w:val="center"/>
          </w:tcPr>
          <w:p w14:paraId="3BA4A2B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由自治区卫生行政部门警告，罚款5000元以上7000元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04CE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vAlign w:val="center"/>
          </w:tcPr>
          <w:p w14:paraId="1863652A">
            <w:pPr>
              <w:widowControl w:val="0"/>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853" w:type="dxa"/>
            <w:vAlign w:val="center"/>
          </w:tcPr>
          <w:p w14:paraId="6FDA0C8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开展人类精子库的医疗机构有违反《办法》规定的其他违法行为，造成严重后果的。</w:t>
            </w:r>
          </w:p>
        </w:tc>
        <w:tc>
          <w:tcPr>
            <w:tcW w:w="4521" w:type="dxa"/>
            <w:vAlign w:val="center"/>
          </w:tcPr>
          <w:p w14:paraId="4717AC2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由自治区卫生行政部门警告，罚款7000元以上10000元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bl>
    <w:p w14:paraId="5EC5E30B">
      <w:pPr>
        <w:pStyle w:val="3"/>
        <w:keepNext w:val="0"/>
        <w:keepLines w:val="0"/>
        <w:widowControl w:val="0"/>
        <w:spacing w:before="157" w:beforeLines="50" w:after="157" w:afterLines="50" w:line="440" w:lineRule="exact"/>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5384" w:name="_Toc31791"/>
      <w:bookmarkStart w:id="5385" w:name="_Toc9746"/>
      <w:bookmarkStart w:id="5386" w:name="_Toc6342"/>
      <w:bookmarkStart w:id="5387" w:name="_Toc20737"/>
      <w:bookmarkStart w:id="5388" w:name="_Toc15584"/>
      <w:bookmarkStart w:id="5389" w:name="_Toc17346"/>
      <w:bookmarkStart w:id="5390" w:name="_Toc12981"/>
      <w:bookmarkStart w:id="5391" w:name="_Toc8314"/>
      <w:bookmarkStart w:id="5392" w:name="_Toc5118"/>
      <w:bookmarkStart w:id="5393" w:name="_Toc29725"/>
      <w:bookmarkStart w:id="5394" w:name="_Toc6429"/>
      <w:bookmarkStart w:id="5395" w:name="_Toc19140"/>
      <w:bookmarkStart w:id="5396" w:name="_Toc32026"/>
      <w:r>
        <w:rPr>
          <w:rFonts w:hint="eastAsia" w:ascii="Times New Roman" w:hAnsi="Times New Roman" w:eastAsia="楷体_GB2312" w:cs="楷体_GB2312"/>
          <w:color w:val="000000" w:themeColor="text1"/>
          <w14:textFill>
            <w14:solidFill>
              <w14:schemeClr w14:val="tx1"/>
            </w14:solidFill>
          </w14:textFill>
        </w:rPr>
        <w:t>（四）《中华人民共和国人口与计划生育法》</w:t>
      </w:r>
      <w:bookmarkEnd w:id="5384"/>
      <w:bookmarkEnd w:id="5385"/>
      <w:bookmarkEnd w:id="5386"/>
      <w:bookmarkEnd w:id="5387"/>
      <w:bookmarkEnd w:id="5388"/>
      <w:bookmarkEnd w:id="5389"/>
      <w:bookmarkEnd w:id="5390"/>
      <w:bookmarkEnd w:id="5391"/>
      <w:bookmarkEnd w:id="5392"/>
      <w:bookmarkEnd w:id="5393"/>
      <w:bookmarkEnd w:id="5394"/>
      <w:bookmarkEnd w:id="5395"/>
      <w:bookmarkEnd w:id="5396"/>
    </w:p>
    <w:p w14:paraId="2BDDD769">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397" w:name="_Toc15314"/>
      <w:bookmarkStart w:id="5398" w:name="_Toc19225"/>
      <w:bookmarkStart w:id="5399" w:name="_Toc16347"/>
      <w:bookmarkStart w:id="5400" w:name="_Toc3260"/>
      <w:bookmarkStart w:id="5401" w:name="_Toc2790"/>
      <w:bookmarkStart w:id="5402" w:name="_Toc21705"/>
      <w:bookmarkStart w:id="5403" w:name="_Toc29891"/>
      <w:bookmarkStart w:id="5404" w:name="_Toc12052"/>
      <w:bookmarkStart w:id="5405" w:name="_Toc22715"/>
      <w:bookmarkStart w:id="5406" w:name="_Toc18474"/>
      <w:bookmarkStart w:id="5407" w:name="_Toc11949"/>
      <w:r>
        <w:rPr>
          <w:rFonts w:hint="eastAsia" w:ascii="Times New Roman" w:hAnsi="Times New Roman" w:cs="仿宋_GB2312"/>
          <w:bCs/>
          <w:color w:val="000000" w:themeColor="text1"/>
          <w:kern w:val="0"/>
          <w14:textFill>
            <w14:solidFill>
              <w14:schemeClr w14:val="tx1"/>
            </w14:solidFill>
          </w14:textFill>
        </w:rPr>
        <w:t>第四百二十二条</w:t>
      </w:r>
      <w:r>
        <w:rPr>
          <w:rFonts w:hint="eastAsia" w:ascii="Times New Roman" w:hAnsi="Times New Roman" w:cs="仿宋_GB2312"/>
          <w:bCs/>
          <w:color w:val="000000" w:themeColor="text1"/>
          <w14:textFill>
            <w14:solidFill>
              <w14:schemeClr w14:val="tx1"/>
            </w14:solidFill>
          </w14:textFill>
        </w:rPr>
        <w:t xml:space="preserve"> 非法为他人施行计划生育手术的</w:t>
      </w:r>
      <w:bookmarkEnd w:id="5397"/>
      <w:bookmarkEnd w:id="5398"/>
      <w:bookmarkEnd w:id="5399"/>
      <w:bookmarkEnd w:id="5400"/>
      <w:bookmarkEnd w:id="5401"/>
      <w:bookmarkEnd w:id="5402"/>
      <w:bookmarkEnd w:id="5403"/>
      <w:bookmarkEnd w:id="5404"/>
      <w:bookmarkEnd w:id="5405"/>
      <w:bookmarkEnd w:id="5406"/>
      <w:bookmarkEnd w:id="5407"/>
    </w:p>
    <w:p w14:paraId="5760E5B5">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431F89C6">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《中华人民共和国人口与计划生育法》第</w:t>
      </w:r>
      <w:r>
        <w:rPr>
          <w:rFonts w:hint="eastAsia" w:ascii="Times New Roman" w:hAnsi="Times New Roman" w:eastAsia="仿宋_GB2312" w:cs="Times New Roman"/>
          <w:color w:val="000000" w:themeColor="text1"/>
          <w:sz w:val="32"/>
          <w:szCs w:val="32"/>
          <w14:textFill>
            <w14:solidFill>
              <w14:schemeClr w14:val="tx1"/>
            </w14:solidFill>
          </w14:textFill>
        </w:rPr>
        <w:t>四十</w:t>
      </w:r>
      <w:r>
        <w:rPr>
          <w:rFonts w:ascii="Times New Roman" w:hAnsi="Times New Roman" w:eastAsia="仿宋_GB2312" w:cs="Times New Roman"/>
          <w:color w:val="000000" w:themeColor="text1"/>
          <w:sz w:val="32"/>
          <w:szCs w:val="32"/>
          <w14:textFill>
            <w14:solidFill>
              <w14:schemeClr w14:val="tx1"/>
            </w14:solidFill>
          </w14:textFill>
        </w:rPr>
        <w:t>条第（一）项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法规定，有下列行为之一的，由卫生健康主管部门责令改正，给予警告，没收违法所得；违法所得一万元以上的，处违法所得二倍以上六倍以下的罚款；没有违法所得或者违法所得不足一万元的，处一万元以上三万元以下的罚款；情节严重的，由原发证机关吊销执业证书；构成</w:t>
      </w:r>
      <w:r>
        <w:rPr>
          <w:rFonts w:ascii="Times New Roman" w:hAnsi="Times New Roman"/>
        </w:rPr>
        <w:fldChar w:fldCharType="begin"/>
      </w:r>
      <w:r>
        <w:rPr>
          <w:rFonts w:ascii="Times New Roman" w:hAnsi="Times New Roman"/>
        </w:rPr>
        <w:instrText xml:space="preserve"> HYPERLINK "https://www.lawbus.net/tags-220.html" </w:instrText>
      </w:r>
      <w:r>
        <w:rPr>
          <w:rFonts w:ascii="Times New Roman" w:hAnsi="Times New Roman"/>
        </w:rPr>
        <w:fldChar w:fldCharType="separate"/>
      </w:r>
      <w:r>
        <w:rPr>
          <w:rFonts w:hint="eastAsia" w:ascii="Times New Roman" w:hAnsi="Times New Roman" w:eastAsia="仿宋_GB2312" w:cs="Times New Roman"/>
          <w:color w:val="000000" w:themeColor="text1"/>
          <w:sz w:val="32"/>
          <w:szCs w:val="32"/>
          <w14:textFill>
            <w14:solidFill>
              <w14:schemeClr w14:val="tx1"/>
            </w14:solidFill>
          </w14:textFill>
        </w:rPr>
        <w:t>犯罪</w:t>
      </w:r>
      <w:r>
        <w:rPr>
          <w:rFonts w:hint="eastAsia" w:ascii="Times New Roman" w:hAnsi="Times New Roman" w:eastAsia="仿宋_GB2312" w:cs="Times New Roman"/>
          <w:color w:val="000000" w:themeColor="text1"/>
          <w:sz w:val="32"/>
          <w:szCs w:val="32"/>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14:textFill>
            <w14:solidFill>
              <w14:schemeClr w14:val="tx1"/>
            </w14:solidFill>
          </w14:textFill>
        </w:rPr>
        <w:t>的，依法追究</w:t>
      </w:r>
      <w:r>
        <w:rPr>
          <w:rFonts w:ascii="Times New Roman" w:hAnsi="Times New Roman"/>
        </w:rPr>
        <w:fldChar w:fldCharType="begin"/>
      </w:r>
      <w:r>
        <w:rPr>
          <w:rFonts w:ascii="Times New Roman" w:hAnsi="Times New Roman"/>
        </w:rPr>
        <w:instrText xml:space="preserve"> HYPERLINK "http://www.lawbus.net/penal.html" </w:instrText>
      </w:r>
      <w:r>
        <w:rPr>
          <w:rFonts w:ascii="Times New Roman" w:hAnsi="Times New Roman"/>
        </w:rPr>
        <w:fldChar w:fldCharType="separate"/>
      </w:r>
      <w:r>
        <w:rPr>
          <w:rFonts w:hint="eastAsia" w:ascii="Times New Roman" w:hAnsi="Times New Roman" w:eastAsia="仿宋_GB2312" w:cs="Times New Roman"/>
          <w:color w:val="000000" w:themeColor="text1"/>
          <w:sz w:val="32"/>
          <w:szCs w:val="32"/>
          <w14:textFill>
            <w14:solidFill>
              <w14:schemeClr w14:val="tx1"/>
            </w14:solidFill>
          </w14:textFill>
        </w:rPr>
        <w:t>刑事</w:t>
      </w:r>
      <w:r>
        <w:rPr>
          <w:rFonts w:hint="eastAsia" w:ascii="Times New Roman" w:hAnsi="Times New Roman" w:eastAsia="仿宋_GB2312" w:cs="Times New Roman"/>
          <w:color w:val="000000" w:themeColor="text1"/>
          <w:sz w:val="32"/>
          <w:szCs w:val="32"/>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14:textFill>
            <w14:solidFill>
              <w14:schemeClr w14:val="tx1"/>
            </w14:solidFill>
          </w14:textFill>
        </w:rPr>
        <w:t>责任：</w:t>
      </w:r>
    </w:p>
    <w:p w14:paraId="046BAC09">
      <w:pPr>
        <w:widowControl w:val="0"/>
        <w:spacing w:after="0" w:line="440" w:lineRule="exact"/>
        <w:ind w:firstLine="640" w:firstLineChars="200"/>
        <w:rPr>
          <w:rFonts w:ascii="Times New Roman" w:hAnsi="Times New Roman" w:cs="Times New Roman"/>
          <w:b/>
          <w:color w:val="000000" w:themeColor="text1"/>
          <w:sz w:val="32"/>
          <w:szCs w:val="32"/>
          <w14:textFill>
            <w14:solidFill>
              <w14:schemeClr w14:val="tx1"/>
            </w14:solidFill>
          </w14:textFill>
        </w:rPr>
      </w:pPr>
      <w:r>
        <w:rPr>
          <w:rFonts w:hint="eastAsia" w:ascii="Times New Roman" w:hAnsi="Times New Roman" w:eastAsia="仿宋_GB2312" w:cs="仿宋"/>
          <w:bCs/>
          <w:color w:val="000000" w:themeColor="text1"/>
          <w:sz w:val="32"/>
          <w:szCs w:val="32"/>
          <w14:textFill>
            <w14:solidFill>
              <w14:schemeClr w14:val="tx1"/>
            </w14:solidFill>
          </w14:textFill>
        </w:rPr>
        <w:t>（一）非法为他人施行计划生育手术的；</w:t>
      </w:r>
    </w:p>
    <w:p w14:paraId="6C90C17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gridCol w:w="4259"/>
      </w:tblGrid>
      <w:tr w14:paraId="3EBD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1418" w:type="dxa"/>
            <w:vAlign w:val="center"/>
          </w:tcPr>
          <w:p w14:paraId="2D0290F1">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63" w:type="dxa"/>
            <w:vAlign w:val="center"/>
          </w:tcPr>
          <w:p w14:paraId="0F99D2C3">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59" w:type="dxa"/>
            <w:vAlign w:val="center"/>
          </w:tcPr>
          <w:p w14:paraId="13F43AD3">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8F8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18" w:type="dxa"/>
            <w:vAlign w:val="center"/>
          </w:tcPr>
          <w:p w14:paraId="523F9373">
            <w:pPr>
              <w:widowControl w:val="0"/>
              <w:spacing w:line="460" w:lineRule="exact"/>
              <w:jc w:val="center"/>
              <w:rPr>
                <w:rFonts w:hint="eastAsia" w:ascii="Times New Roman" w:hAnsi="Times New Roman" w:eastAsia="仿宋"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一般</w:t>
            </w:r>
          </w:p>
        </w:tc>
        <w:tc>
          <w:tcPr>
            <w:tcW w:w="8363" w:type="dxa"/>
            <w:vAlign w:val="center"/>
          </w:tcPr>
          <w:p w14:paraId="07AF140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没有违法所得或者违法所得不足一万元的。</w:t>
            </w:r>
          </w:p>
        </w:tc>
        <w:tc>
          <w:tcPr>
            <w:tcW w:w="4259" w:type="dxa"/>
            <w:vAlign w:val="center"/>
          </w:tcPr>
          <w:p w14:paraId="2FD9780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由卫生健康主管部门责令改正，给予警告，没收违法所得，处一万元以上三万元以下的罚款。</w:t>
            </w:r>
          </w:p>
        </w:tc>
      </w:tr>
      <w:tr w14:paraId="7EBB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18" w:type="dxa"/>
            <w:vAlign w:val="center"/>
          </w:tcPr>
          <w:p w14:paraId="3840A744">
            <w:pPr>
              <w:widowControl w:val="0"/>
              <w:spacing w:line="460" w:lineRule="exact"/>
              <w:jc w:val="center"/>
              <w:rPr>
                <w:rFonts w:hint="eastAsia" w:ascii="Times New Roman" w:hAnsi="Times New Roman" w:eastAsia="仿宋_GB2312" w:cs="Times New Roman"/>
                <w:b/>
                <w:color w:val="000000" w:themeColor="text1"/>
                <w:sz w:val="24"/>
                <w:szCs w:val="24"/>
                <w14:textFill>
                  <w14:solidFill>
                    <w14:schemeClr w14:val="tx1"/>
                  </w14:solidFill>
                </w14:textFill>
              </w:rPr>
            </w:pPr>
            <w:r>
              <w:rPr>
                <w:rFonts w:hint="eastAsia" w:ascii="Times New Roman" w:hAnsi="Times New Roman" w:eastAsia="仿宋_GB2312" w:cs="Times New Roman"/>
                <w:b/>
                <w:color w:val="000000" w:themeColor="text1"/>
                <w:sz w:val="24"/>
                <w:szCs w:val="24"/>
                <w14:textFill>
                  <w14:solidFill>
                    <w14:schemeClr w14:val="tx1"/>
                  </w14:solidFill>
                </w14:textFill>
              </w:rPr>
              <w:t>较重</w:t>
            </w:r>
          </w:p>
        </w:tc>
        <w:tc>
          <w:tcPr>
            <w:tcW w:w="8363" w:type="dxa"/>
            <w:vAlign w:val="center"/>
          </w:tcPr>
          <w:p w14:paraId="4B1C518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违法所得一万元以上的。</w:t>
            </w:r>
          </w:p>
        </w:tc>
        <w:tc>
          <w:tcPr>
            <w:tcW w:w="4259" w:type="dxa"/>
            <w:vAlign w:val="center"/>
          </w:tcPr>
          <w:p w14:paraId="6D87DE2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由卫生健康主管部门责令改正，给予警告，没收违法所得，处违法所得二倍以上六倍以下的罚款。</w:t>
            </w:r>
          </w:p>
        </w:tc>
      </w:tr>
      <w:tr w14:paraId="620C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18" w:type="dxa"/>
            <w:vAlign w:val="center"/>
          </w:tcPr>
          <w:p w14:paraId="1FA3B840">
            <w:pPr>
              <w:widowControl w:val="0"/>
              <w:spacing w:line="460" w:lineRule="exact"/>
              <w:jc w:val="center"/>
              <w:rPr>
                <w:rFonts w:hint="eastAsia" w:ascii="Times New Roman" w:hAnsi="Times New Roman" w:eastAsia="仿宋"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严重</w:t>
            </w:r>
          </w:p>
        </w:tc>
        <w:tc>
          <w:tcPr>
            <w:tcW w:w="8363" w:type="dxa"/>
            <w:vAlign w:val="center"/>
          </w:tcPr>
          <w:p w14:paraId="36AC737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且因相同违法行为两年内受过处罚的</w:t>
            </w:r>
            <w:r>
              <w:rPr>
                <w:rFonts w:hint="eastAsia" w:ascii="Times New Roman" w:hAnsi="Times New Roman" w:eastAsia="仿宋_GB2312" w:cs="Times New Roman"/>
                <w:color w:val="000000" w:themeColor="text1"/>
                <w:sz w:val="24"/>
                <w:szCs w:val="22"/>
                <w:lang w:bidi="ar"/>
                <w14:textFill>
                  <w14:solidFill>
                    <w14:schemeClr w14:val="tx1"/>
                  </w14:solidFill>
                </w14:textFill>
              </w:rPr>
              <w:t>；</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手术五十例以上的；手术造成他人人体健康严重损害的。</w:t>
            </w:r>
          </w:p>
        </w:tc>
        <w:tc>
          <w:tcPr>
            <w:tcW w:w="4259" w:type="dxa"/>
            <w:shd w:val="clear" w:color="auto" w:fill="auto"/>
            <w:vAlign w:val="center"/>
          </w:tcPr>
          <w:p w14:paraId="2351F53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由卫生健康主管部门责令改正，给予警告，没收违法所得，处违法所得六倍以的罚款，由原发证机关吊销执业证书。</w:t>
            </w:r>
          </w:p>
        </w:tc>
      </w:tr>
    </w:tbl>
    <w:p w14:paraId="0949FB8E">
      <w:pPr>
        <w:widowControl w:val="0"/>
        <w:spacing w:after="0" w:line="440" w:lineRule="exact"/>
        <w:ind w:firstLine="480" w:firstLineChars="200"/>
        <w:rPr>
          <w:rFonts w:hint="eastAsia"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备注：当医疗机构非法为他人施行计划生育手术的例数与违法所得不属于同一违法程度区间时，择重处罚。</w:t>
      </w:r>
    </w:p>
    <w:p w14:paraId="37752FE4">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408" w:name="_Toc7439"/>
      <w:bookmarkStart w:id="5409" w:name="_Toc5370"/>
      <w:bookmarkStart w:id="5410" w:name="_Toc6168"/>
      <w:bookmarkStart w:id="5411" w:name="_Toc8298"/>
      <w:bookmarkStart w:id="5412" w:name="_Toc4537"/>
      <w:bookmarkStart w:id="5413" w:name="_Toc15605"/>
      <w:bookmarkStart w:id="5414" w:name="_Toc18456"/>
      <w:bookmarkStart w:id="5415" w:name="_Toc10239"/>
      <w:bookmarkStart w:id="5416" w:name="_Toc17534"/>
      <w:bookmarkStart w:id="5417" w:name="_Toc19447"/>
      <w:bookmarkStart w:id="5418" w:name="_Toc24119"/>
      <w:r>
        <w:rPr>
          <w:rFonts w:hint="eastAsia" w:ascii="Times New Roman" w:hAnsi="Times New Roman" w:cs="仿宋_GB2312"/>
          <w:bCs/>
          <w:color w:val="000000" w:themeColor="text1"/>
          <w:kern w:val="0"/>
          <w14:textFill>
            <w14:solidFill>
              <w14:schemeClr w14:val="tx1"/>
            </w14:solidFill>
          </w14:textFill>
        </w:rPr>
        <w:t>第四百二十三</w:t>
      </w:r>
      <w:r>
        <w:rPr>
          <w:rFonts w:hint="eastAsia" w:ascii="Times New Roman" w:hAnsi="Times New Roman" w:cs="仿宋_GB2312"/>
          <w:bCs/>
          <w:color w:val="000000" w:themeColor="text1"/>
          <w14:textFill>
            <w14:solidFill>
              <w14:schemeClr w14:val="tx1"/>
            </w14:solidFill>
          </w14:textFill>
        </w:rPr>
        <w:t>条 利用超声技术和其他技术手段为他人进行非医学需要的胎儿性别鉴定或者选择性别的人工终止妊娠的</w:t>
      </w:r>
      <w:bookmarkEnd w:id="5408"/>
      <w:bookmarkEnd w:id="5409"/>
      <w:bookmarkEnd w:id="5410"/>
      <w:bookmarkEnd w:id="5411"/>
      <w:bookmarkEnd w:id="5412"/>
      <w:bookmarkEnd w:id="5413"/>
      <w:bookmarkEnd w:id="5414"/>
      <w:bookmarkEnd w:id="5415"/>
      <w:bookmarkEnd w:id="5416"/>
      <w:bookmarkEnd w:id="5417"/>
      <w:bookmarkEnd w:id="5418"/>
    </w:p>
    <w:p w14:paraId="25680F66">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70F1CB1D">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《中华人民共和国人口与计划生育法》第</w:t>
      </w:r>
      <w:r>
        <w:rPr>
          <w:rFonts w:hint="eastAsia" w:ascii="Times New Roman" w:hAnsi="Times New Roman" w:eastAsia="仿宋_GB2312" w:cs="Times New Roman"/>
          <w:color w:val="000000" w:themeColor="text1"/>
          <w:sz w:val="32"/>
          <w:szCs w:val="32"/>
          <w14:textFill>
            <w14:solidFill>
              <w14:schemeClr w14:val="tx1"/>
            </w14:solidFill>
          </w14:textFill>
        </w:rPr>
        <w:t>四十</w:t>
      </w:r>
      <w:r>
        <w:rPr>
          <w:rFonts w:ascii="Times New Roman" w:hAnsi="Times New Roman" w:eastAsia="仿宋_GB2312" w:cs="Times New Roman"/>
          <w:color w:val="000000" w:themeColor="text1"/>
          <w:sz w:val="32"/>
          <w:szCs w:val="32"/>
          <w14:textFill>
            <w14:solidFill>
              <w14:schemeClr w14:val="tx1"/>
            </w14:solidFill>
          </w14:textFill>
        </w:rPr>
        <w:t>条第（</w:t>
      </w:r>
      <w:r>
        <w:rPr>
          <w:rFonts w:hint="eastAsia" w:ascii="Times New Roman" w:hAnsi="Times New Roman" w:eastAsia="仿宋_GB2312" w:cs="Times New Roman"/>
          <w:color w:val="000000" w:themeColor="text1"/>
          <w:sz w:val="32"/>
          <w:szCs w:val="32"/>
          <w14:textFill>
            <w14:solidFill>
              <w14:schemeClr w14:val="tx1"/>
            </w14:solidFill>
          </w14:textFill>
        </w:rPr>
        <w:t>二</w:t>
      </w:r>
      <w:r>
        <w:rPr>
          <w:rFonts w:ascii="Times New Roman" w:hAnsi="Times New Roman" w:eastAsia="仿宋_GB2312" w:cs="Times New Roman"/>
          <w:color w:val="000000" w:themeColor="text1"/>
          <w:sz w:val="32"/>
          <w:szCs w:val="32"/>
          <w14:textFill>
            <w14:solidFill>
              <w14:schemeClr w14:val="tx1"/>
            </w14:solidFill>
          </w14:textFill>
        </w:rPr>
        <w:t>）项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违反本法规定，有下列行为之一的，由卫生健康主管部门责令改正，给予警告，没收违法所得；违法所得一万元以上的，处违法所得二倍以上六倍以下的罚款；没有违法所得或者违法所得不足一万元的，处一万元以上三万元以下的罚款；情节严重的，由原发证机关吊销执业证书；构成</w:t>
      </w:r>
      <w:r>
        <w:rPr>
          <w:rFonts w:ascii="Times New Roman" w:hAnsi="Times New Roman"/>
        </w:rPr>
        <w:fldChar w:fldCharType="begin"/>
      </w:r>
      <w:r>
        <w:rPr>
          <w:rFonts w:ascii="Times New Roman" w:hAnsi="Times New Roman"/>
        </w:rPr>
        <w:instrText xml:space="preserve"> HYPERLINK "https://www.lawbus.net/tags-220.html" </w:instrText>
      </w:r>
      <w:r>
        <w:rPr>
          <w:rFonts w:ascii="Times New Roman" w:hAnsi="Times New Roman"/>
        </w:rPr>
        <w:fldChar w:fldCharType="separate"/>
      </w:r>
      <w:r>
        <w:rPr>
          <w:rFonts w:hint="eastAsia" w:ascii="Times New Roman" w:hAnsi="Times New Roman" w:eastAsia="仿宋_GB2312" w:cs="Times New Roman"/>
          <w:color w:val="000000" w:themeColor="text1"/>
          <w:sz w:val="32"/>
          <w:szCs w:val="32"/>
          <w14:textFill>
            <w14:solidFill>
              <w14:schemeClr w14:val="tx1"/>
            </w14:solidFill>
          </w14:textFill>
        </w:rPr>
        <w:t>犯罪</w:t>
      </w:r>
      <w:r>
        <w:rPr>
          <w:rFonts w:hint="eastAsia" w:ascii="Times New Roman" w:hAnsi="Times New Roman" w:eastAsia="仿宋_GB2312" w:cs="Times New Roman"/>
          <w:color w:val="000000" w:themeColor="text1"/>
          <w:sz w:val="32"/>
          <w:szCs w:val="32"/>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14:textFill>
            <w14:solidFill>
              <w14:schemeClr w14:val="tx1"/>
            </w14:solidFill>
          </w14:textFill>
        </w:rPr>
        <w:t>的，依法追究</w:t>
      </w:r>
      <w:r>
        <w:rPr>
          <w:rFonts w:ascii="Times New Roman" w:hAnsi="Times New Roman"/>
        </w:rPr>
        <w:fldChar w:fldCharType="begin"/>
      </w:r>
      <w:r>
        <w:rPr>
          <w:rFonts w:ascii="Times New Roman" w:hAnsi="Times New Roman"/>
        </w:rPr>
        <w:instrText xml:space="preserve"> HYPERLINK "http://www.lawbus.net/penal.html" </w:instrText>
      </w:r>
      <w:r>
        <w:rPr>
          <w:rFonts w:ascii="Times New Roman" w:hAnsi="Times New Roman"/>
        </w:rPr>
        <w:fldChar w:fldCharType="separate"/>
      </w:r>
      <w:r>
        <w:rPr>
          <w:rFonts w:hint="eastAsia" w:ascii="Times New Roman" w:hAnsi="Times New Roman" w:eastAsia="仿宋_GB2312" w:cs="Times New Roman"/>
          <w:color w:val="000000" w:themeColor="text1"/>
          <w:sz w:val="32"/>
          <w:szCs w:val="32"/>
          <w14:textFill>
            <w14:solidFill>
              <w14:schemeClr w14:val="tx1"/>
            </w14:solidFill>
          </w14:textFill>
        </w:rPr>
        <w:t>刑事</w:t>
      </w:r>
      <w:r>
        <w:rPr>
          <w:rFonts w:hint="eastAsia" w:ascii="Times New Roman" w:hAnsi="Times New Roman" w:eastAsia="仿宋_GB2312" w:cs="Times New Roman"/>
          <w:color w:val="000000" w:themeColor="text1"/>
          <w:sz w:val="32"/>
          <w:szCs w:val="32"/>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14:textFill>
            <w14:solidFill>
              <w14:schemeClr w14:val="tx1"/>
            </w14:solidFill>
          </w14:textFill>
        </w:rPr>
        <w:t>责任：</w:t>
      </w:r>
    </w:p>
    <w:p w14:paraId="4C256996">
      <w:pPr>
        <w:widowControl w:val="0"/>
        <w:spacing w:after="0" w:line="440" w:lineRule="exact"/>
        <w:ind w:firstLine="640" w:firstLineChars="200"/>
        <w:rPr>
          <w:rFonts w:ascii="Times New Roman" w:hAnsi="Times New Roman" w:cs="Times New Roman"/>
          <w:b/>
          <w:color w:val="000000" w:themeColor="text1"/>
          <w:sz w:val="32"/>
          <w:szCs w:val="32"/>
          <w14:textFill>
            <w14:solidFill>
              <w14:schemeClr w14:val="tx1"/>
            </w14:solidFill>
          </w14:textFill>
        </w:rPr>
      </w:pPr>
      <w:r>
        <w:rPr>
          <w:rFonts w:hint="eastAsia" w:ascii="Times New Roman" w:hAnsi="Times New Roman" w:eastAsia="仿宋_GB2312" w:cs="仿宋"/>
          <w:bCs/>
          <w:color w:val="000000" w:themeColor="text1"/>
          <w:sz w:val="32"/>
          <w:szCs w:val="32"/>
          <w14:textFill>
            <w14:solidFill>
              <w14:schemeClr w14:val="tx1"/>
            </w14:solidFill>
          </w14:textFill>
        </w:rPr>
        <w:t>（二）利用超声技术和其他技术手段为他人进行非医学需要的胎儿性别鉴定或者选择性别的人工终止妊娠的；</w:t>
      </w:r>
    </w:p>
    <w:p w14:paraId="789F586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gridCol w:w="4259"/>
      </w:tblGrid>
      <w:tr w14:paraId="7D95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18" w:type="dxa"/>
            <w:vAlign w:val="center"/>
          </w:tcPr>
          <w:p w14:paraId="5D5695CC">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63" w:type="dxa"/>
            <w:vAlign w:val="center"/>
          </w:tcPr>
          <w:p w14:paraId="36E4A84B">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59" w:type="dxa"/>
            <w:vAlign w:val="center"/>
          </w:tcPr>
          <w:p w14:paraId="3A87CACA">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73E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275C7B7E">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363" w:type="dxa"/>
            <w:vAlign w:val="center"/>
          </w:tcPr>
          <w:p w14:paraId="72284813">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没有违法所得或者违法所得不足一万元的。</w:t>
            </w:r>
          </w:p>
        </w:tc>
        <w:tc>
          <w:tcPr>
            <w:tcW w:w="4259" w:type="dxa"/>
            <w:vAlign w:val="center"/>
          </w:tcPr>
          <w:p w14:paraId="2F6450F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由卫生健康主管部门责令改正，给予警告，没收违法所得，处一万元以上三万元以下的罚款。</w:t>
            </w:r>
          </w:p>
        </w:tc>
      </w:tr>
      <w:tr w14:paraId="5FD1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3028E5A3">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363" w:type="dxa"/>
            <w:vAlign w:val="center"/>
          </w:tcPr>
          <w:p w14:paraId="468F1A1B">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违法所得一万元以上的。</w:t>
            </w:r>
          </w:p>
        </w:tc>
        <w:tc>
          <w:tcPr>
            <w:tcW w:w="4259" w:type="dxa"/>
            <w:vAlign w:val="center"/>
          </w:tcPr>
          <w:p w14:paraId="0EFA6ED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由卫生健康主管部门责令改正，给予警告，没收违法所得，处违法所得二倍以上六倍以下的罚款。</w:t>
            </w:r>
          </w:p>
        </w:tc>
      </w:tr>
      <w:tr w14:paraId="6228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27A9C4BF">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363" w:type="dxa"/>
            <w:vAlign w:val="center"/>
          </w:tcPr>
          <w:p w14:paraId="434224D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情节严重的。</w:t>
            </w:r>
          </w:p>
        </w:tc>
        <w:tc>
          <w:tcPr>
            <w:tcW w:w="4259" w:type="dxa"/>
            <w:shd w:val="clear" w:color="auto" w:fill="auto"/>
            <w:vAlign w:val="center"/>
          </w:tcPr>
          <w:p w14:paraId="033F2AF2">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由卫生健康主管部门责令改正，给予警告，没收违法所得，处违法所得六倍以的罚款，由原发证机关吊销执业证书。</w:t>
            </w:r>
          </w:p>
        </w:tc>
      </w:tr>
    </w:tbl>
    <w:p w14:paraId="32FB861C">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419" w:name="_Toc19121"/>
      <w:bookmarkStart w:id="5420" w:name="_Toc25077"/>
      <w:bookmarkStart w:id="5421" w:name="_Toc26529"/>
      <w:bookmarkStart w:id="5422" w:name="_Toc16389"/>
      <w:bookmarkStart w:id="5423" w:name="_Toc8592"/>
      <w:bookmarkStart w:id="5424" w:name="_Toc155"/>
      <w:bookmarkStart w:id="5425" w:name="_Toc20461"/>
      <w:bookmarkStart w:id="5426" w:name="_Toc1994"/>
      <w:bookmarkStart w:id="5427" w:name="_Toc17771"/>
      <w:bookmarkStart w:id="5428" w:name="_Toc27062"/>
      <w:bookmarkStart w:id="5429" w:name="_Toc19267"/>
      <w:r>
        <w:rPr>
          <w:rFonts w:hint="eastAsia" w:ascii="Times New Roman" w:hAnsi="Times New Roman" w:cs="仿宋_GB2312"/>
          <w:bCs/>
          <w:color w:val="000000" w:themeColor="text1"/>
          <w:kern w:val="0"/>
          <w14:textFill>
            <w14:solidFill>
              <w14:schemeClr w14:val="tx1"/>
            </w14:solidFill>
          </w14:textFill>
        </w:rPr>
        <w:t>第四百二十四</w:t>
      </w:r>
      <w:r>
        <w:rPr>
          <w:rFonts w:hint="eastAsia" w:ascii="Times New Roman" w:hAnsi="Times New Roman" w:cs="仿宋_GB2312"/>
          <w:bCs/>
          <w:color w:val="000000" w:themeColor="text1"/>
          <w14:textFill>
            <w14:solidFill>
              <w14:schemeClr w14:val="tx1"/>
            </w14:solidFill>
          </w14:textFill>
        </w:rPr>
        <w:t>条 托育机构违反托育服务违反相关标准和规范的</w:t>
      </w:r>
      <w:bookmarkEnd w:id="5419"/>
      <w:bookmarkEnd w:id="5420"/>
      <w:bookmarkEnd w:id="5421"/>
      <w:bookmarkEnd w:id="5422"/>
      <w:bookmarkEnd w:id="5423"/>
      <w:bookmarkEnd w:id="5424"/>
      <w:bookmarkEnd w:id="5425"/>
      <w:bookmarkEnd w:id="5426"/>
      <w:bookmarkEnd w:id="5427"/>
      <w:bookmarkEnd w:id="5428"/>
      <w:bookmarkEnd w:id="5429"/>
    </w:p>
    <w:p w14:paraId="1DBC30D1">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6172A9EC">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《中华人民共和国人口与计划生育法》第</w:t>
      </w:r>
      <w:r>
        <w:rPr>
          <w:rFonts w:hint="eastAsia" w:ascii="Times New Roman" w:hAnsi="Times New Roman" w:eastAsia="仿宋_GB2312" w:cs="Times New Roman"/>
          <w:color w:val="000000" w:themeColor="text1"/>
          <w:sz w:val="32"/>
          <w:szCs w:val="32"/>
          <w14:textFill>
            <w14:solidFill>
              <w14:schemeClr w14:val="tx1"/>
            </w14:solidFill>
          </w14:textFill>
        </w:rPr>
        <w:t>四十一</w:t>
      </w:r>
      <w:r>
        <w:rPr>
          <w:rFonts w:ascii="Times New Roman" w:hAnsi="Times New Roman" w:eastAsia="仿宋_GB2312" w:cs="Times New Roman"/>
          <w:color w:val="000000" w:themeColor="text1"/>
          <w:sz w:val="32"/>
          <w:szCs w:val="32"/>
          <w14:textFill>
            <w14:solidFill>
              <w14:schemeClr w14:val="tx1"/>
            </w14:solidFill>
          </w14:textFill>
        </w:rPr>
        <w:t>条第</w:t>
      </w:r>
      <w:r>
        <w:rPr>
          <w:rFonts w:hint="eastAsia" w:ascii="Times New Roman" w:hAnsi="Times New Roman" w:eastAsia="仿宋_GB2312" w:cs="Times New Roman"/>
          <w:color w:val="000000" w:themeColor="text1"/>
          <w:sz w:val="32"/>
          <w:szCs w:val="32"/>
          <w14:textFill>
            <w14:solidFill>
              <w14:schemeClr w14:val="tx1"/>
            </w14:solidFill>
          </w14:textFill>
        </w:rPr>
        <w:t>一款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托育机构违反托育服务相关标准和规范的，由卫生健康主管部门责令改正，给予警告；拒不改正的，处五千元以上五万元以下的罚款；情节严重的，责令停止托育服务，并处五万元以上十万元以下的罚款。</w:t>
      </w:r>
    </w:p>
    <w:p w14:paraId="5A24E5B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6695"/>
        <w:gridCol w:w="5030"/>
      </w:tblGrid>
      <w:tr w14:paraId="566E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952" w:type="dxa"/>
            <w:vAlign w:val="center"/>
          </w:tcPr>
          <w:p w14:paraId="47DDB2B9">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695" w:type="dxa"/>
            <w:vAlign w:val="center"/>
          </w:tcPr>
          <w:p w14:paraId="26DE34D0">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030" w:type="dxa"/>
            <w:vAlign w:val="center"/>
          </w:tcPr>
          <w:p w14:paraId="2E0893B2">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B49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2" w:type="dxa"/>
            <w:vAlign w:val="center"/>
          </w:tcPr>
          <w:p w14:paraId="68099FB4">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6695" w:type="dxa"/>
            <w:vAlign w:val="center"/>
          </w:tcPr>
          <w:p w14:paraId="2A4FE49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首次发现托育机构违反托育服务相关标准和规范的。</w:t>
            </w:r>
          </w:p>
        </w:tc>
        <w:tc>
          <w:tcPr>
            <w:tcW w:w="5030" w:type="dxa"/>
            <w:vAlign w:val="center"/>
          </w:tcPr>
          <w:p w14:paraId="1CC93C9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责令改正，给予警告。</w:t>
            </w:r>
          </w:p>
        </w:tc>
      </w:tr>
      <w:tr w14:paraId="429E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952" w:type="dxa"/>
            <w:vMerge w:val="restart"/>
            <w:vAlign w:val="center"/>
          </w:tcPr>
          <w:p w14:paraId="6D472824">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6695" w:type="dxa"/>
            <w:vAlign w:val="center"/>
          </w:tcPr>
          <w:p w14:paraId="645624D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托育机构违反托育服务相关标准和规范,违反托育服务相关标准和规范其中1条，拒不改正的。</w:t>
            </w:r>
          </w:p>
        </w:tc>
        <w:tc>
          <w:tcPr>
            <w:tcW w:w="5030" w:type="dxa"/>
            <w:vAlign w:val="center"/>
          </w:tcPr>
          <w:p w14:paraId="1F59B39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罚款5000元以上10000元以下。</w:t>
            </w:r>
          </w:p>
        </w:tc>
      </w:tr>
      <w:tr w14:paraId="4CFA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952" w:type="dxa"/>
            <w:vMerge w:val="continue"/>
            <w:vAlign w:val="center"/>
          </w:tcPr>
          <w:p w14:paraId="04F7B5B2">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6695" w:type="dxa"/>
            <w:vAlign w:val="center"/>
          </w:tcPr>
          <w:p w14:paraId="0A130DB6">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托育机构违反托育服务相关标准和规范，违反托育服务相关标准和规范其中2条的，拒不改正的。</w:t>
            </w:r>
          </w:p>
        </w:tc>
        <w:tc>
          <w:tcPr>
            <w:tcW w:w="5030" w:type="dxa"/>
            <w:vAlign w:val="center"/>
          </w:tcPr>
          <w:p w14:paraId="30C6A13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罚款10000元以上20000元以下。</w:t>
            </w:r>
          </w:p>
        </w:tc>
      </w:tr>
      <w:tr w14:paraId="5B7E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952" w:type="dxa"/>
            <w:vMerge w:val="continue"/>
            <w:vAlign w:val="center"/>
          </w:tcPr>
          <w:p w14:paraId="784DAB3D">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6695" w:type="dxa"/>
            <w:vAlign w:val="center"/>
          </w:tcPr>
          <w:p w14:paraId="55D22B73">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托育机构违反托育服务相关标准和规范，违反托育服务相关标准和规范其中3条的，拒不改正的。</w:t>
            </w:r>
          </w:p>
        </w:tc>
        <w:tc>
          <w:tcPr>
            <w:tcW w:w="5030" w:type="dxa"/>
            <w:vAlign w:val="center"/>
          </w:tcPr>
          <w:p w14:paraId="44BF42A3">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罚款20000元以上30000元以下。</w:t>
            </w:r>
          </w:p>
        </w:tc>
      </w:tr>
      <w:tr w14:paraId="4A58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52" w:type="dxa"/>
            <w:vMerge w:val="restart"/>
            <w:vAlign w:val="center"/>
          </w:tcPr>
          <w:p w14:paraId="032D2396">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6695" w:type="dxa"/>
            <w:vAlign w:val="center"/>
          </w:tcPr>
          <w:p w14:paraId="7DBBD2C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托育机构违反托育服务相关标准和规范，违反托育服务相关标准和规范其中4条的，拒不改正的。</w:t>
            </w:r>
          </w:p>
        </w:tc>
        <w:tc>
          <w:tcPr>
            <w:tcW w:w="5030" w:type="dxa"/>
            <w:vAlign w:val="center"/>
          </w:tcPr>
          <w:p w14:paraId="6C18137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罚款30000元以上40000元以下。</w:t>
            </w:r>
          </w:p>
        </w:tc>
      </w:tr>
      <w:tr w14:paraId="2149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52" w:type="dxa"/>
            <w:vMerge w:val="continue"/>
            <w:vAlign w:val="center"/>
          </w:tcPr>
          <w:p w14:paraId="01552E1F">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6695" w:type="dxa"/>
            <w:vAlign w:val="center"/>
          </w:tcPr>
          <w:p w14:paraId="19446526">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托育机构违反托育服务相关标准和规范，违反托育服务相关标准和规范其中5条的，拒不改正的。</w:t>
            </w:r>
          </w:p>
        </w:tc>
        <w:tc>
          <w:tcPr>
            <w:tcW w:w="5030" w:type="dxa"/>
            <w:vAlign w:val="center"/>
          </w:tcPr>
          <w:p w14:paraId="55F5F3E2">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罚款40000元以上50000元以下。</w:t>
            </w:r>
          </w:p>
        </w:tc>
      </w:tr>
      <w:tr w14:paraId="06D5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952" w:type="dxa"/>
            <w:vMerge w:val="restart"/>
            <w:vAlign w:val="center"/>
          </w:tcPr>
          <w:p w14:paraId="4F7DF97B">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6695" w:type="dxa"/>
            <w:vAlign w:val="center"/>
          </w:tcPr>
          <w:p w14:paraId="3B87AF7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托育机构违反托育服务相关标准和规范的，违反托育服务相关标准和规范其中的6条，拒不改正的。</w:t>
            </w:r>
          </w:p>
        </w:tc>
        <w:tc>
          <w:tcPr>
            <w:tcW w:w="5030" w:type="dxa"/>
            <w:vAlign w:val="center"/>
          </w:tcPr>
          <w:p w14:paraId="6A9179D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责令停止托育服务，并处罚款50000元以上70000元以下。</w:t>
            </w:r>
          </w:p>
        </w:tc>
      </w:tr>
      <w:tr w14:paraId="0D55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952" w:type="dxa"/>
            <w:vMerge w:val="continue"/>
            <w:vAlign w:val="center"/>
          </w:tcPr>
          <w:p w14:paraId="0B3D2195">
            <w:pPr>
              <w:widowControl w:val="0"/>
              <w:spacing w:line="460" w:lineRule="exact"/>
              <w:jc w:val="center"/>
              <w:rPr>
                <w:rFonts w:hint="eastAsia" w:ascii="Times New Roman" w:hAnsi="Times New Roman" w:eastAsia="仿宋" w:cs="Times New Roman"/>
                <w:b/>
                <w:color w:val="000000" w:themeColor="text1"/>
                <w:sz w:val="24"/>
                <w:szCs w:val="24"/>
                <w14:textFill>
                  <w14:solidFill>
                    <w14:schemeClr w14:val="tx1"/>
                  </w14:solidFill>
                </w14:textFill>
              </w:rPr>
            </w:pPr>
          </w:p>
        </w:tc>
        <w:tc>
          <w:tcPr>
            <w:tcW w:w="6695" w:type="dxa"/>
            <w:vAlign w:val="center"/>
          </w:tcPr>
          <w:p w14:paraId="630F7BE5">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托育机构违反托育服务相关标准和规范的，违反托育服务相关标准和规范其中的7条，拒不改正的。</w:t>
            </w:r>
          </w:p>
        </w:tc>
        <w:tc>
          <w:tcPr>
            <w:tcW w:w="5030" w:type="dxa"/>
            <w:vAlign w:val="center"/>
          </w:tcPr>
          <w:p w14:paraId="5F1213F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责令停止托育服务，并处罚款70000元以上100000元以下。</w:t>
            </w:r>
          </w:p>
        </w:tc>
      </w:tr>
      <w:tr w14:paraId="3C62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952" w:type="dxa"/>
            <w:vMerge w:val="continue"/>
            <w:vAlign w:val="center"/>
          </w:tcPr>
          <w:p w14:paraId="6EE63F42">
            <w:pPr>
              <w:widowControl w:val="0"/>
              <w:spacing w:line="460" w:lineRule="exact"/>
              <w:jc w:val="center"/>
              <w:rPr>
                <w:rFonts w:hint="eastAsia" w:ascii="Times New Roman" w:hAnsi="Times New Roman" w:eastAsia="仿宋" w:cs="Times New Roman"/>
                <w:b/>
                <w:color w:val="000000" w:themeColor="text1"/>
                <w:sz w:val="24"/>
                <w:szCs w:val="24"/>
                <w14:textFill>
                  <w14:solidFill>
                    <w14:schemeClr w14:val="tx1"/>
                  </w14:solidFill>
                </w14:textFill>
              </w:rPr>
            </w:pPr>
          </w:p>
        </w:tc>
        <w:tc>
          <w:tcPr>
            <w:tcW w:w="6695" w:type="dxa"/>
            <w:vAlign w:val="center"/>
          </w:tcPr>
          <w:p w14:paraId="2B171D3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托育机构违反托育服务相关标准和规范的，违反托育服务相关标准和规范其中的8条以上，拒不改正的。</w:t>
            </w:r>
          </w:p>
        </w:tc>
        <w:tc>
          <w:tcPr>
            <w:tcW w:w="5030" w:type="dxa"/>
            <w:vAlign w:val="center"/>
          </w:tcPr>
          <w:p w14:paraId="3E07F90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责令停止托育服务，并处罚款100000元。</w:t>
            </w:r>
          </w:p>
        </w:tc>
      </w:tr>
    </w:tbl>
    <w:p w14:paraId="60FD3A46">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430" w:name="_Toc28100"/>
      <w:bookmarkStart w:id="5431" w:name="_Toc4994"/>
      <w:bookmarkStart w:id="5432" w:name="_Toc16203"/>
      <w:bookmarkStart w:id="5433" w:name="_Toc27855"/>
      <w:bookmarkStart w:id="5434" w:name="_Toc22138"/>
      <w:bookmarkStart w:id="5435" w:name="_Toc25433"/>
      <w:bookmarkStart w:id="5436" w:name="_Toc25954"/>
      <w:bookmarkStart w:id="5437" w:name="_Toc4543"/>
      <w:bookmarkStart w:id="5438" w:name="_Toc31143"/>
      <w:bookmarkStart w:id="5439" w:name="_Toc11989"/>
      <w:bookmarkStart w:id="5440" w:name="_Toc9354"/>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四百二十五</w:t>
      </w:r>
      <w:r>
        <w:rPr>
          <w:rFonts w:hint="eastAsia" w:ascii="Times New Roman" w:hAnsi="Times New Roman" w:cs="仿宋_GB2312"/>
          <w:bCs/>
          <w:color w:val="000000" w:themeColor="text1"/>
          <w14:textFill>
            <w14:solidFill>
              <w14:schemeClr w14:val="tx1"/>
            </w14:solidFill>
          </w14:textFill>
        </w:rPr>
        <w:t>条 托育机构有虐待婴幼儿行为的</w:t>
      </w:r>
      <w:bookmarkEnd w:id="5430"/>
      <w:bookmarkEnd w:id="5431"/>
      <w:bookmarkEnd w:id="5432"/>
      <w:bookmarkEnd w:id="5433"/>
      <w:bookmarkEnd w:id="5434"/>
      <w:bookmarkEnd w:id="5435"/>
      <w:bookmarkEnd w:id="5436"/>
      <w:bookmarkEnd w:id="5437"/>
      <w:bookmarkEnd w:id="5438"/>
      <w:bookmarkEnd w:id="5439"/>
      <w:bookmarkEnd w:id="5440"/>
    </w:p>
    <w:p w14:paraId="140A067E">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6B322B1B">
      <w:pPr>
        <w:widowControl w:val="0"/>
        <w:spacing w:after="0" w:line="440" w:lineRule="exact"/>
        <w:ind w:firstLine="616" w:firstLineChars="200"/>
        <w:rPr>
          <w:rFonts w:ascii="Times New Roman" w:hAnsi="Times New Roman" w:cs="Times New Roman"/>
          <w:b/>
          <w:color w:val="000000" w:themeColor="text1"/>
          <w:spacing w:val="-6"/>
          <w:sz w:val="32"/>
          <w:szCs w:val="32"/>
          <w14:textFill>
            <w14:solidFill>
              <w14:schemeClr w14:val="tx1"/>
            </w14:solidFill>
          </w14:textFill>
        </w:rPr>
      </w:pPr>
      <w:r>
        <w:rPr>
          <w:rFonts w:ascii="Times New Roman" w:hAnsi="Times New Roman" w:eastAsia="仿宋_GB2312" w:cs="Times New Roman"/>
          <w:color w:val="000000" w:themeColor="text1"/>
          <w:spacing w:val="-6"/>
          <w:sz w:val="32"/>
          <w:szCs w:val="32"/>
          <w14:textFill>
            <w14:solidFill>
              <w14:schemeClr w14:val="tx1"/>
            </w14:solidFill>
          </w14:textFill>
        </w:rPr>
        <w:t>《中华人民共和国人口与计划生育法》第</w:t>
      </w:r>
      <w:r>
        <w:rPr>
          <w:rFonts w:hint="eastAsia" w:ascii="Times New Roman" w:hAnsi="Times New Roman" w:eastAsia="仿宋_GB2312" w:cs="Times New Roman"/>
          <w:color w:val="000000" w:themeColor="text1"/>
          <w:spacing w:val="-6"/>
          <w:sz w:val="32"/>
          <w:szCs w:val="32"/>
          <w14:textFill>
            <w14:solidFill>
              <w14:schemeClr w14:val="tx1"/>
            </w14:solidFill>
          </w14:textFill>
        </w:rPr>
        <w:t>四十一</w:t>
      </w:r>
      <w:r>
        <w:rPr>
          <w:rFonts w:ascii="Times New Roman" w:hAnsi="Times New Roman" w:eastAsia="仿宋_GB2312" w:cs="Times New Roman"/>
          <w:color w:val="000000" w:themeColor="text1"/>
          <w:spacing w:val="-6"/>
          <w:sz w:val="32"/>
          <w:szCs w:val="32"/>
          <w14:textFill>
            <w14:solidFill>
              <w14:schemeClr w14:val="tx1"/>
            </w14:solidFill>
          </w14:textFill>
        </w:rPr>
        <w:t>条第</w:t>
      </w:r>
      <w:r>
        <w:rPr>
          <w:rFonts w:hint="eastAsia" w:ascii="Times New Roman" w:hAnsi="Times New Roman" w:eastAsia="仿宋_GB2312" w:cs="Times New Roman"/>
          <w:color w:val="000000" w:themeColor="text1"/>
          <w:spacing w:val="-6"/>
          <w:sz w:val="32"/>
          <w:szCs w:val="32"/>
          <w14:textFill>
            <w14:solidFill>
              <w14:schemeClr w14:val="tx1"/>
            </w14:solidFill>
          </w14:textFill>
        </w:rPr>
        <w:t>二款</w:t>
      </w:r>
      <w:r>
        <w:rPr>
          <w:rFonts w:hint="eastAsia" w:ascii="Times New Roman" w:hAnsi="Times New Roman" w:eastAsia="仿宋_GB2312" w:cs="Times New Roman"/>
          <w:color w:val="000000" w:themeColor="text1"/>
          <w:spacing w:val="-6"/>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pacing w:val="-6"/>
          <w:sz w:val="32"/>
          <w:szCs w:val="32"/>
          <w14:textFill>
            <w14:solidFill>
              <w14:schemeClr w14:val="tx1"/>
            </w14:solidFill>
          </w14:textFill>
        </w:rPr>
        <w:t>托育机构有虐待婴幼儿行为的，其直接负责的主管人员和其他直接责任人员终身不得从事婴幼儿照护服务；构成犯罪的，依法追究刑事责任。</w:t>
      </w:r>
    </w:p>
    <w:p w14:paraId="743337B5">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712"/>
        <w:gridCol w:w="6012"/>
      </w:tblGrid>
      <w:tr w14:paraId="7EFF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957" w:type="dxa"/>
            <w:vAlign w:val="center"/>
          </w:tcPr>
          <w:p w14:paraId="4DEFD3D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712" w:type="dxa"/>
            <w:vAlign w:val="center"/>
          </w:tcPr>
          <w:p w14:paraId="0A9E4824">
            <w:pPr>
              <w:widowControl/>
              <w:adjustRightInd/>
              <w:snapToGrid/>
              <w:spacing w:after="0" w:line="240" w:lineRule="auto"/>
              <w:ind w:firstLine="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012" w:type="dxa"/>
            <w:vAlign w:val="center"/>
          </w:tcPr>
          <w:p w14:paraId="4AC6BAA7">
            <w:pPr>
              <w:widowControl/>
              <w:adjustRightInd/>
              <w:snapToGrid/>
              <w:spacing w:after="0" w:line="240" w:lineRule="auto"/>
              <w:ind w:firstLine="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FED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957" w:type="dxa"/>
            <w:vAlign w:val="center"/>
          </w:tcPr>
          <w:p w14:paraId="6841C5D3">
            <w:pPr>
              <w:widowControl w:val="0"/>
              <w:spacing w:after="0" w:line="32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5712" w:type="dxa"/>
            <w:vAlign w:val="center"/>
          </w:tcPr>
          <w:p w14:paraId="3F3964BE">
            <w:pPr>
              <w:widowControl w:val="0"/>
              <w:adjustRightInd/>
              <w:snapToGrid/>
              <w:spacing w:after="0" w:line="320" w:lineRule="exact"/>
              <w:ind w:firstLine="0" w:firstLine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托育机构有虐待婴幼儿行为的。</w:t>
            </w:r>
          </w:p>
        </w:tc>
        <w:tc>
          <w:tcPr>
            <w:tcW w:w="6012" w:type="dxa"/>
            <w:vAlign w:val="center"/>
          </w:tcPr>
          <w:p w14:paraId="627C21D6">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直接负责的主管人员和其他直接责任人员终身不得从事婴幼儿照护服务。</w:t>
            </w:r>
          </w:p>
        </w:tc>
      </w:tr>
    </w:tbl>
    <w:p w14:paraId="5166D465">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color w:val="000000" w:themeColor="text1"/>
          <w:kern w:val="0"/>
          <w14:textFill>
            <w14:solidFill>
              <w14:schemeClr w14:val="tx1"/>
            </w14:solidFill>
          </w14:textFill>
        </w:rPr>
      </w:pPr>
      <w:bookmarkStart w:id="5441" w:name="_Toc22816"/>
      <w:bookmarkStart w:id="5442" w:name="_Toc4826"/>
      <w:bookmarkStart w:id="5443" w:name="_Toc28367"/>
      <w:bookmarkStart w:id="5444" w:name="_Toc31996"/>
      <w:bookmarkStart w:id="5445" w:name="_Toc26120"/>
      <w:bookmarkStart w:id="5446" w:name="_Toc290"/>
      <w:bookmarkStart w:id="5447" w:name="_Toc29196"/>
      <w:bookmarkStart w:id="5448" w:name="_Toc2920"/>
      <w:bookmarkStart w:id="5449" w:name="_Toc21459"/>
      <w:bookmarkStart w:id="5450" w:name="_Toc31931"/>
      <w:bookmarkStart w:id="5451" w:name="_Toc5506"/>
      <w:bookmarkStart w:id="5452" w:name="_Toc19608"/>
      <w:bookmarkStart w:id="5453" w:name="_Toc1401"/>
      <w:r>
        <w:rPr>
          <w:rFonts w:hint="eastAsia" w:ascii="Times New Roman" w:hAnsi="Times New Roman" w:eastAsia="楷体_GB2312" w:cs="楷体_GB2312"/>
          <w:bCs/>
          <w:color w:val="000000" w:themeColor="text1"/>
          <w:kern w:val="0"/>
          <w14:textFill>
            <w14:solidFill>
              <w14:schemeClr w14:val="tx1"/>
            </w14:solidFill>
          </w14:textFill>
        </w:rPr>
        <w:t>（五）《中华人民共和国母婴保健法》及《中华人民共和国母婴保健法实施办法》</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14:paraId="2C6D52C6">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454" w:name="_Toc6196"/>
      <w:bookmarkStart w:id="5455" w:name="_Toc30514"/>
      <w:bookmarkStart w:id="5456" w:name="_Toc16431"/>
      <w:bookmarkStart w:id="5457" w:name="_Toc14399"/>
      <w:bookmarkStart w:id="5458" w:name="_Toc17620"/>
      <w:bookmarkStart w:id="5459" w:name="_Toc18154"/>
      <w:bookmarkStart w:id="5460" w:name="_Toc9335"/>
      <w:bookmarkStart w:id="5461" w:name="_Toc21223"/>
      <w:bookmarkStart w:id="5462" w:name="_Toc24085"/>
      <w:bookmarkStart w:id="5463" w:name="_Toc25897"/>
      <w:bookmarkStart w:id="5464" w:name="_Toc8710"/>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四百二十六</w:t>
      </w:r>
      <w:r>
        <w:rPr>
          <w:rFonts w:hint="eastAsia" w:ascii="Times New Roman" w:hAnsi="Times New Roman" w:cs="仿宋_GB2312"/>
          <w:bCs/>
          <w:color w:val="000000" w:themeColor="text1"/>
          <w14:textFill>
            <w14:solidFill>
              <w14:schemeClr w14:val="tx1"/>
            </w14:solidFill>
          </w14:textFill>
        </w:rPr>
        <w:t>条 未取得国家颁发的有关合格证书从事婚前医学检查、遗传病诊断、产前诊断或者医学技术鉴定的</w:t>
      </w:r>
      <w:bookmarkEnd w:id="5454"/>
      <w:bookmarkEnd w:id="5455"/>
      <w:bookmarkEnd w:id="5456"/>
      <w:bookmarkEnd w:id="5457"/>
      <w:bookmarkEnd w:id="5458"/>
      <w:bookmarkEnd w:id="5459"/>
      <w:bookmarkEnd w:id="5460"/>
      <w:bookmarkEnd w:id="5461"/>
      <w:bookmarkEnd w:id="5462"/>
      <w:bookmarkEnd w:id="5463"/>
      <w:bookmarkEnd w:id="5464"/>
    </w:p>
    <w:p w14:paraId="4BB0FE44">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p>
    <w:p w14:paraId="621653BD">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《中华人民共和国母婴保健法》第三十五条第一款第（一）项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未取得国家颁发的有关合格证书的，有下列行为之一，县级以上地方人民政府卫生行政部门应当予以制止，并可以根据情节给予警告或者处以罚款：</w:t>
      </w:r>
    </w:p>
    <w:p w14:paraId="54C27376">
      <w:pPr>
        <w:widowControl w:val="0"/>
        <w:spacing w:after="0" w:line="440" w:lineRule="exact"/>
        <w:ind w:firstLine="640" w:firstLineChars="200"/>
        <w:rPr>
          <w:rFonts w:hint="eastAsia" w:ascii="Times New Roman" w:hAnsi="Times New Roman" w:eastAsia="黑体" w:cs="Times New Roman"/>
          <w:b/>
          <w:color w:val="000000" w:themeColor="text1"/>
          <w:sz w:val="32"/>
          <w:szCs w:val="32"/>
          <w14:textFill>
            <w14:solidFill>
              <w14:schemeClr w14:val="tx1"/>
            </w14:solidFill>
          </w14:textFill>
        </w:rPr>
      </w:pPr>
      <w:r>
        <w:rPr>
          <w:rFonts w:hint="eastAsia" w:ascii="Times New Roman" w:hAnsi="Times New Roman" w:eastAsia="仿宋_GB2312" w:cs="仿宋"/>
          <w:bCs/>
          <w:color w:val="000000" w:themeColor="text1"/>
          <w:sz w:val="32"/>
          <w:szCs w:val="32"/>
          <w14:textFill>
            <w14:solidFill>
              <w14:schemeClr w14:val="tx1"/>
            </w14:solidFill>
          </w14:textFill>
        </w:rPr>
        <w:t>（一）</w:t>
      </w:r>
      <w:r>
        <w:rPr>
          <w:rFonts w:ascii="Times New Roman" w:hAnsi="Times New Roman" w:eastAsia="仿宋_GB2312" w:cs="Times New Roman"/>
          <w:color w:val="000000" w:themeColor="text1"/>
          <w:sz w:val="32"/>
          <w:szCs w:val="32"/>
          <w14:textFill>
            <w14:solidFill>
              <w14:schemeClr w14:val="tx1"/>
            </w14:solidFill>
          </w14:textFill>
        </w:rPr>
        <w:t>医疗保健机构</w:t>
      </w:r>
      <w:r>
        <w:rPr>
          <w:rFonts w:hint="eastAsia" w:ascii="Times New Roman" w:hAnsi="Times New Roman" w:eastAsia="仿宋_GB2312" w:cs="仿宋"/>
          <w:bCs/>
          <w:color w:val="000000" w:themeColor="text1"/>
          <w:sz w:val="32"/>
          <w:szCs w:val="32"/>
          <w14:textFill>
            <w14:solidFill>
              <w14:schemeClr w14:val="tx1"/>
            </w14:solidFill>
          </w14:textFill>
        </w:rPr>
        <w:t>从事婚前医学检查、遗传病诊断、产前诊断或者医学技术鉴定的；</w:t>
      </w:r>
      <w:r>
        <w:rPr>
          <w:rFonts w:ascii="Times New Roman" w:hAnsi="Times New Roman" w:eastAsia="黑体" w:cs="Times New Roman"/>
          <w:b/>
          <w:color w:val="000000" w:themeColor="text1"/>
          <w:sz w:val="32"/>
          <w:szCs w:val="32"/>
          <w14:textFill>
            <w14:solidFill>
              <w14:schemeClr w14:val="tx1"/>
            </w14:solidFill>
          </w14:textFill>
        </w:rPr>
        <w:t xml:space="preserve"> </w:t>
      </w:r>
    </w:p>
    <w:p w14:paraId="22BA1695">
      <w:pPr>
        <w:widowControl w:val="0"/>
        <w:spacing w:after="0" w:line="440" w:lineRule="exact"/>
        <w:ind w:firstLine="640" w:firstLineChars="200"/>
        <w:rPr>
          <w:rFonts w:hint="eastAsia" w:ascii="Times New Roman" w:hAnsi="Times New Roman" w:cs="Times New Roman"/>
          <w:b/>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《中华人民共和国母婴保健法实施办法》第四十条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医疗保健机构或者人员未取得母婴保健技术许可，擅自从事婚前医学检查、遗传病诊断、产前诊断、终止妊娠手术和医学技术鉴定或者出具有关医学证明的，由卫生行政部门给予警告，责令停止违法行为，没收违法所得；违法所得5000元以上的，并处违法所得3倍以上5倍以下的罚款，没有违法所得或者违法所得不足5000元的，并处5000元以上2万元以下的罚款。</w:t>
      </w:r>
    </w:p>
    <w:p w14:paraId="6F785B0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gridCol w:w="4259"/>
      </w:tblGrid>
      <w:tr w14:paraId="1161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1418" w:type="dxa"/>
            <w:vAlign w:val="center"/>
          </w:tcPr>
          <w:p w14:paraId="6DD9FCF7">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63" w:type="dxa"/>
            <w:vAlign w:val="center"/>
          </w:tcPr>
          <w:p w14:paraId="10D8FD1A">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59" w:type="dxa"/>
            <w:vAlign w:val="center"/>
          </w:tcPr>
          <w:p w14:paraId="4C2244B9">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DD6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2F4340E2">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363" w:type="dxa"/>
            <w:vAlign w:val="center"/>
          </w:tcPr>
          <w:p w14:paraId="7254B63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医疗保健机构未取得母婴保健技术许可，擅自从事婚前医学检查、遗传病诊断、终止妊娠手术和医学技术鉴定或者出具有关医学证明，没有违法所得的或者违法所得不足5000元的。</w:t>
            </w:r>
          </w:p>
        </w:tc>
        <w:tc>
          <w:tcPr>
            <w:tcW w:w="4259" w:type="dxa"/>
            <w:vAlign w:val="center"/>
          </w:tcPr>
          <w:p w14:paraId="1AF2335E">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spacing w:val="-6"/>
                <w:sz w:val="24"/>
                <w:szCs w:val="22"/>
                <w:lang w:bidi="ar"/>
              </w:rPr>
              <w:t>警告，责令停止违法行为，没收违法所得，并处5000元以上2万元以下的罚款</w:t>
            </w: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w:t>
            </w:r>
          </w:p>
        </w:tc>
      </w:tr>
      <w:tr w14:paraId="3599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4904C924">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363" w:type="dxa"/>
            <w:vAlign w:val="center"/>
          </w:tcPr>
          <w:p w14:paraId="6D64D32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医疗保健机构未取得母婴保健技术许可，擅自从事婚前医学检查、遗传病诊断、终止妊娠手术和医学技术鉴定或者出具有关医学证明，违法所得5000元以上的。</w:t>
            </w:r>
          </w:p>
        </w:tc>
        <w:tc>
          <w:tcPr>
            <w:tcW w:w="4259" w:type="dxa"/>
            <w:vAlign w:val="center"/>
          </w:tcPr>
          <w:p w14:paraId="1B50AEA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警告，责令停止违法行为，没收违法所得，并处违法所得3倍以上5倍以下的罚款。</w:t>
            </w:r>
          </w:p>
        </w:tc>
      </w:tr>
    </w:tbl>
    <w:p w14:paraId="1F4855DD">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465" w:name="_Toc20642"/>
      <w:bookmarkStart w:id="5466" w:name="_Toc4884"/>
      <w:bookmarkStart w:id="5467" w:name="_Toc3347"/>
      <w:bookmarkStart w:id="5468" w:name="_Toc579"/>
      <w:bookmarkStart w:id="5469" w:name="_Toc29662"/>
      <w:bookmarkStart w:id="5470" w:name="_Toc29239"/>
      <w:bookmarkStart w:id="5471" w:name="_Toc5699"/>
      <w:bookmarkStart w:id="5472" w:name="_Toc9456"/>
      <w:bookmarkStart w:id="5473" w:name="_Toc28352"/>
      <w:bookmarkStart w:id="5474" w:name="_Toc17695"/>
      <w:bookmarkStart w:id="5475" w:name="_Toc23830"/>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四百二十七</w:t>
      </w:r>
      <w:r>
        <w:rPr>
          <w:rFonts w:hint="eastAsia" w:ascii="Times New Roman" w:hAnsi="Times New Roman" w:cs="仿宋_GB2312"/>
          <w:bCs/>
          <w:color w:val="000000" w:themeColor="text1"/>
          <w14:textFill>
            <w14:solidFill>
              <w14:schemeClr w14:val="tx1"/>
            </w14:solidFill>
          </w14:textFill>
        </w:rPr>
        <w:t>条 人员未取得母婴保健技术许可从事婚前医学检查、遗传病诊断的</w:t>
      </w:r>
      <w:bookmarkEnd w:id="5465"/>
      <w:bookmarkEnd w:id="5466"/>
      <w:bookmarkEnd w:id="5467"/>
      <w:bookmarkEnd w:id="5468"/>
      <w:bookmarkEnd w:id="5469"/>
      <w:bookmarkEnd w:id="5470"/>
      <w:bookmarkEnd w:id="5471"/>
      <w:bookmarkEnd w:id="5472"/>
      <w:bookmarkEnd w:id="5473"/>
      <w:bookmarkEnd w:id="5474"/>
      <w:bookmarkEnd w:id="5475"/>
      <w:r>
        <w:rPr>
          <w:rFonts w:hint="eastAsia" w:ascii="Times New Roman" w:hAnsi="Times New Roman" w:cs="仿宋_GB2312"/>
          <w:bCs/>
          <w:color w:val="000000" w:themeColor="text1"/>
          <w14:textFill>
            <w14:solidFill>
              <w14:schemeClr w14:val="tx1"/>
            </w14:solidFill>
          </w14:textFill>
        </w:rPr>
        <w:t xml:space="preserve"> </w:t>
      </w:r>
    </w:p>
    <w:p w14:paraId="6659AADE">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6B9E0AC3">
      <w:pPr>
        <w:widowControl w:val="0"/>
        <w:spacing w:after="0" w:line="440" w:lineRule="exact"/>
        <w:ind w:firstLine="640" w:firstLineChars="200"/>
        <w:rPr>
          <w:rFonts w:hint="eastAsia" w:ascii="Times New Roman" w:hAnsi="Times New Roman" w:cs="Times New Roman"/>
          <w:b/>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《中华人民共和国母婴保健法实施办法》第四十条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医疗保健机构或者人员未取得母婴保健技术许可，擅自从事婚前医学检查、遗传病诊断、产前诊断、终止妊娠手术和医学技术鉴定或者出具有关医学证明的，由卫生行政部门给予警告，责令停止违法行为，没收违法所得；违法所得5000元以上的，并处违法所得3倍以上5倍以下的罚款，没有违法所得或者违法所得不足5000元的，并处5000元以上2万元以下的罚款。</w:t>
      </w:r>
    </w:p>
    <w:p w14:paraId="50875393">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gridCol w:w="4259"/>
      </w:tblGrid>
      <w:tr w14:paraId="0B5E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18" w:type="dxa"/>
            <w:vAlign w:val="center"/>
          </w:tcPr>
          <w:p w14:paraId="075CF896">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63" w:type="dxa"/>
            <w:vAlign w:val="center"/>
          </w:tcPr>
          <w:p w14:paraId="5BAC07F8">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59" w:type="dxa"/>
            <w:vAlign w:val="center"/>
          </w:tcPr>
          <w:p w14:paraId="65594162">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D35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2A67C9EF">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363" w:type="dxa"/>
            <w:vAlign w:val="center"/>
          </w:tcPr>
          <w:p w14:paraId="272F76D3">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没有违法所得或者违法所得不足5000元的，并处5000元以上2万元以下的罚款。</w:t>
            </w:r>
          </w:p>
        </w:tc>
        <w:tc>
          <w:tcPr>
            <w:tcW w:w="4259" w:type="dxa"/>
            <w:vAlign w:val="center"/>
          </w:tcPr>
          <w:p w14:paraId="6665DCE9">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警告，责令停止违法行为，没收违法所得，并处5000元以上2万元以下的罚款。</w:t>
            </w:r>
          </w:p>
        </w:tc>
      </w:tr>
      <w:tr w14:paraId="02BD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0E094EF4">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363" w:type="dxa"/>
            <w:vAlign w:val="center"/>
          </w:tcPr>
          <w:p w14:paraId="78215C8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违法所得5000元以上的。</w:t>
            </w:r>
          </w:p>
        </w:tc>
        <w:tc>
          <w:tcPr>
            <w:tcW w:w="4259" w:type="dxa"/>
            <w:vAlign w:val="center"/>
          </w:tcPr>
          <w:p w14:paraId="1DB99F2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警告，责令停止违法行为，没收违法所得，并处违法所得3倍以上5倍以下的罚款。</w:t>
            </w:r>
          </w:p>
        </w:tc>
      </w:tr>
    </w:tbl>
    <w:p w14:paraId="4D5ECDD3">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476" w:name="_Toc14338"/>
      <w:bookmarkStart w:id="5477" w:name="_Toc17348"/>
      <w:bookmarkStart w:id="5478" w:name="_Toc10771"/>
      <w:bookmarkStart w:id="5479" w:name="_Toc15845"/>
      <w:bookmarkStart w:id="5480" w:name="_Toc29732"/>
      <w:bookmarkStart w:id="5481" w:name="_Toc23234"/>
      <w:bookmarkStart w:id="5482" w:name="_Toc4101"/>
      <w:bookmarkStart w:id="5483" w:name="_Toc30502"/>
      <w:bookmarkStart w:id="5484" w:name="_Toc11272"/>
      <w:bookmarkStart w:id="5485" w:name="_Toc2434"/>
      <w:bookmarkStart w:id="5486" w:name="_Toc20866"/>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四百二十八</w:t>
      </w:r>
      <w:r>
        <w:rPr>
          <w:rFonts w:hint="eastAsia" w:ascii="Times New Roman" w:hAnsi="Times New Roman" w:cs="仿宋_GB2312"/>
          <w:bCs/>
          <w:color w:val="000000" w:themeColor="text1"/>
          <w14:textFill>
            <w14:solidFill>
              <w14:schemeClr w14:val="tx1"/>
            </w14:solidFill>
          </w14:textFill>
        </w:rPr>
        <w:t>条 未取得国家颁发的有关合格证书而施行终止妊娠手术的</w:t>
      </w:r>
      <w:bookmarkEnd w:id="5476"/>
      <w:bookmarkEnd w:id="5477"/>
      <w:bookmarkEnd w:id="5478"/>
      <w:bookmarkEnd w:id="5479"/>
      <w:bookmarkEnd w:id="5480"/>
      <w:bookmarkEnd w:id="5481"/>
      <w:bookmarkEnd w:id="5482"/>
      <w:bookmarkEnd w:id="5483"/>
      <w:bookmarkEnd w:id="5484"/>
      <w:bookmarkEnd w:id="5485"/>
      <w:bookmarkEnd w:id="5486"/>
    </w:p>
    <w:p w14:paraId="05E0AC5D">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p>
    <w:p w14:paraId="778A4094">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《中华人民共和国母婴保健法》第三十五条第一款第（二）项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未取得国家颁发的有关合格证书的，有下列行为之一，县级以上地方人民政府卫生行政部门应当予以制止，并可以根据情节给予警告或者处以罚款：</w:t>
      </w:r>
    </w:p>
    <w:p w14:paraId="4DE3B5B2">
      <w:pPr>
        <w:widowControl w:val="0"/>
        <w:spacing w:after="0" w:line="440" w:lineRule="exact"/>
        <w:ind w:firstLine="640" w:firstLineChars="200"/>
        <w:rPr>
          <w:rFonts w:hint="eastAsia" w:ascii="Times New Roman" w:hAnsi="Times New Roman" w:eastAsia="黑体" w:cs="Times New Roman"/>
          <w:b/>
          <w:color w:val="000000" w:themeColor="text1"/>
          <w:sz w:val="32"/>
          <w:szCs w:val="32"/>
          <w14:textFill>
            <w14:solidFill>
              <w14:schemeClr w14:val="tx1"/>
            </w14:solidFill>
          </w14:textFill>
        </w:rPr>
      </w:pPr>
      <w:r>
        <w:rPr>
          <w:rFonts w:hint="eastAsia" w:ascii="Times New Roman" w:hAnsi="Times New Roman" w:eastAsia="仿宋_GB2312" w:cs="仿宋"/>
          <w:bCs/>
          <w:color w:val="000000" w:themeColor="text1"/>
          <w:sz w:val="32"/>
          <w:szCs w:val="32"/>
          <w14:textFill>
            <w14:solidFill>
              <w14:schemeClr w14:val="tx1"/>
            </w14:solidFill>
          </w14:textFill>
        </w:rPr>
        <w:t>（二）施行终止妊娠手术的；</w:t>
      </w:r>
      <w:r>
        <w:rPr>
          <w:rFonts w:ascii="Times New Roman" w:hAnsi="Times New Roman" w:eastAsia="黑体" w:cs="Times New Roman"/>
          <w:b/>
          <w:color w:val="000000" w:themeColor="text1"/>
          <w:sz w:val="32"/>
          <w:szCs w:val="32"/>
          <w14:textFill>
            <w14:solidFill>
              <w14:schemeClr w14:val="tx1"/>
            </w14:solidFill>
          </w14:textFill>
        </w:rPr>
        <w:t xml:space="preserve"> </w:t>
      </w:r>
    </w:p>
    <w:p w14:paraId="649A3EAC">
      <w:pPr>
        <w:widowControl w:val="0"/>
        <w:spacing w:after="0" w:line="440" w:lineRule="exact"/>
        <w:ind w:firstLine="640" w:firstLineChars="200"/>
        <w:rPr>
          <w:rFonts w:hint="eastAsia" w:ascii="Times New Roman" w:hAnsi="Times New Roman" w:cs="Times New Roman"/>
          <w:b/>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《中华人民共和国母婴保健法实施办法》第四十条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医疗保健机构或者人员未取得母婴保健技术许可，擅自从事婚前医学检查、遗传病诊断、产前诊断、终止妊娠手术和医学技术鉴定或者出具有关医学证明的，由卫生行政部门给予警告，责令停止违法行为，没收违法所得；违法所得5000元以上的，并处违法所得3倍以上5倍以下的罚款，没有违法所得或者违法所得不足5000元的，并处5000元以上2万元以下的罚款。</w:t>
      </w:r>
    </w:p>
    <w:p w14:paraId="2E683F8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gridCol w:w="4259"/>
      </w:tblGrid>
      <w:tr w14:paraId="491D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1418" w:type="dxa"/>
            <w:vAlign w:val="center"/>
          </w:tcPr>
          <w:p w14:paraId="6DB57F64">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63" w:type="dxa"/>
            <w:vAlign w:val="center"/>
          </w:tcPr>
          <w:p w14:paraId="3170A719">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59" w:type="dxa"/>
            <w:vAlign w:val="center"/>
          </w:tcPr>
          <w:p w14:paraId="2908A067">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DD3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711725C4">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363" w:type="dxa"/>
            <w:vAlign w:val="center"/>
          </w:tcPr>
          <w:p w14:paraId="3687B14B">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没有违法所得或者违法所得不足5000元的，并处5000元以上2万元以下的罚款。</w:t>
            </w:r>
          </w:p>
        </w:tc>
        <w:tc>
          <w:tcPr>
            <w:tcW w:w="4259" w:type="dxa"/>
            <w:vAlign w:val="center"/>
          </w:tcPr>
          <w:p w14:paraId="5BC015DC">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警告，责令停止违法行为，没收违法所得，并处5000元以上2万元以下的罚款。</w:t>
            </w:r>
          </w:p>
        </w:tc>
      </w:tr>
      <w:tr w14:paraId="13F2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256CD306">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363" w:type="dxa"/>
            <w:vAlign w:val="center"/>
          </w:tcPr>
          <w:p w14:paraId="003A0FAB">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违法所得5000元以上的。</w:t>
            </w:r>
          </w:p>
        </w:tc>
        <w:tc>
          <w:tcPr>
            <w:tcW w:w="4259" w:type="dxa"/>
            <w:vAlign w:val="center"/>
          </w:tcPr>
          <w:p w14:paraId="6E3812D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警告，责令停止违法行为，没收违法所得，并处违法所得3倍以上5倍以下的罚款。</w:t>
            </w:r>
          </w:p>
        </w:tc>
      </w:tr>
    </w:tbl>
    <w:p w14:paraId="421D8CFB">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487" w:name="_Toc25803"/>
      <w:bookmarkStart w:id="5488" w:name="_Toc19319"/>
      <w:bookmarkStart w:id="5489" w:name="_Toc29750"/>
      <w:bookmarkStart w:id="5490" w:name="_Toc28477"/>
      <w:bookmarkStart w:id="5491" w:name="_Toc2853"/>
      <w:bookmarkStart w:id="5492" w:name="_Toc5511"/>
      <w:bookmarkStart w:id="5493" w:name="_Toc18926"/>
      <w:bookmarkStart w:id="5494" w:name="_Toc15844"/>
      <w:bookmarkStart w:id="5495" w:name="_Toc26652"/>
      <w:bookmarkStart w:id="5496" w:name="_Toc11995"/>
      <w:bookmarkStart w:id="5497" w:name="_Toc15970"/>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四百二十九</w:t>
      </w:r>
      <w:r>
        <w:rPr>
          <w:rFonts w:hint="eastAsia" w:ascii="Times New Roman" w:hAnsi="Times New Roman" w:cs="仿宋_GB2312"/>
          <w:bCs/>
          <w:color w:val="000000" w:themeColor="text1"/>
          <w14:textFill>
            <w14:solidFill>
              <w14:schemeClr w14:val="tx1"/>
            </w14:solidFill>
          </w14:textFill>
        </w:rPr>
        <w:t>条 未取得国家颁发的有关合格证书出具《母婴保健法》规定的有关医学证明的</w:t>
      </w:r>
      <w:bookmarkEnd w:id="5487"/>
      <w:bookmarkEnd w:id="5488"/>
      <w:bookmarkEnd w:id="5489"/>
      <w:bookmarkEnd w:id="5490"/>
      <w:bookmarkEnd w:id="5491"/>
      <w:bookmarkEnd w:id="5492"/>
      <w:bookmarkEnd w:id="5493"/>
      <w:bookmarkEnd w:id="5494"/>
      <w:bookmarkEnd w:id="5495"/>
      <w:bookmarkEnd w:id="5496"/>
      <w:bookmarkEnd w:id="5497"/>
    </w:p>
    <w:p w14:paraId="6F93DDF2">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0AD7FA3A">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《中华人民共和国母婴保健法》第三十五条第一款第（三）项、第二款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未取得国家颁发的有关合格证书的，有下列行为之一，县级以上地方人民政府卫生行政部门应当予以制止，并可以根据情节给予警告或者处以罚款：</w:t>
      </w:r>
    </w:p>
    <w:p w14:paraId="2E1BC68A">
      <w:pPr>
        <w:widowControl w:val="0"/>
        <w:spacing w:after="0" w:line="440" w:lineRule="exact"/>
        <w:ind w:firstLine="640" w:firstLineChars="200"/>
        <w:rPr>
          <w:rFonts w:hint="eastAsia" w:ascii="Times New Roman" w:hAnsi="Times New Roman" w:eastAsia="仿宋_GB2312" w:cs="仿宋"/>
          <w:bCs/>
          <w:color w:val="000000" w:themeColor="text1"/>
          <w:sz w:val="32"/>
          <w:szCs w:val="32"/>
          <w14:textFill>
            <w14:solidFill>
              <w14:schemeClr w14:val="tx1"/>
            </w14:solidFill>
          </w14:textFill>
        </w:rPr>
      </w:pPr>
      <w:r>
        <w:rPr>
          <w:rFonts w:hint="eastAsia" w:ascii="Times New Roman" w:hAnsi="Times New Roman" w:eastAsia="仿宋_GB2312" w:cs="仿宋"/>
          <w:bCs/>
          <w:color w:val="000000" w:themeColor="text1"/>
          <w:sz w:val="32"/>
          <w:szCs w:val="32"/>
          <w14:textFill>
            <w14:solidFill>
              <w14:schemeClr w14:val="tx1"/>
            </w14:solidFill>
          </w14:textFill>
        </w:rPr>
        <w:t>（三） 出具本法规定的有关医学证明的。</w:t>
      </w:r>
    </w:p>
    <w:p w14:paraId="000D6668">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上款第（三）项出具的有关医学证明无效。</w:t>
      </w:r>
    </w:p>
    <w:p w14:paraId="35937B68">
      <w:pPr>
        <w:widowControl w:val="0"/>
        <w:spacing w:after="0" w:line="440" w:lineRule="exact"/>
        <w:ind w:firstLine="640" w:firstLineChars="200"/>
        <w:rPr>
          <w:rFonts w:hint="eastAsia" w:ascii="Times New Roman" w:hAnsi="Times New Roman" w:cs="Times New Roman"/>
          <w:b/>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《中华人民共和国母婴保健法实施办法》第四十条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医疗保健机构或者人员未取得母婴保健技术许可，擅自从事婚前医学检查、遗传病诊断、产前诊断、终止妊娠手术和医学技术鉴定或者出具有关医学证明的，由卫生行政部门给予警告，责令停止违法行为，没收违法所得；违法所得5000元以上的，并处违法所得3倍以上5倍以下的罚款，没有违法所得或者违法所得不足5000元的，并处5000元以上2万元以下的罚款</w:t>
      </w:r>
    </w:p>
    <w:p w14:paraId="028E0AF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gridCol w:w="4259"/>
      </w:tblGrid>
      <w:tr w14:paraId="3407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18" w:type="dxa"/>
            <w:vAlign w:val="center"/>
          </w:tcPr>
          <w:p w14:paraId="71A9EC91">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363" w:type="dxa"/>
            <w:vAlign w:val="center"/>
          </w:tcPr>
          <w:p w14:paraId="4AEF9B3C">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259" w:type="dxa"/>
            <w:vAlign w:val="center"/>
          </w:tcPr>
          <w:p w14:paraId="025A6593">
            <w:pPr>
              <w:widowControl/>
              <w:adjustRightInd/>
              <w:snapToGrid/>
              <w:spacing w:before="0" w:beforeLines="-2147483648" w:after="0" w:line="240" w:lineRule="auto"/>
              <w:ind w:firstLine="0" w:firstLineChars="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A13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46A1C9BB">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363" w:type="dxa"/>
            <w:vAlign w:val="center"/>
          </w:tcPr>
          <w:p w14:paraId="491B0408">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没有违法所得或者违法所得不足5000元的，并处5000元以上2万元以下的罚款。</w:t>
            </w:r>
          </w:p>
        </w:tc>
        <w:tc>
          <w:tcPr>
            <w:tcW w:w="4259" w:type="dxa"/>
            <w:vAlign w:val="center"/>
          </w:tcPr>
          <w:p w14:paraId="7A4EDD73">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sz w:val="24"/>
                <w:szCs w:val="22"/>
                <w:lang w:bidi="ar"/>
                <w14:textFill>
                  <w14:solidFill>
                    <w14:schemeClr w14:val="tx1"/>
                  </w14:solidFill>
                </w14:textFill>
              </w:rPr>
              <w:t>警告，责令停止违法行为，没收违法所得，并处5000元以上2万元以下的罚款。</w:t>
            </w:r>
          </w:p>
        </w:tc>
      </w:tr>
      <w:tr w14:paraId="411D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8" w:type="dxa"/>
            <w:vAlign w:val="center"/>
          </w:tcPr>
          <w:p w14:paraId="02A43533">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363" w:type="dxa"/>
            <w:vAlign w:val="center"/>
          </w:tcPr>
          <w:p w14:paraId="6A4D070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违法所得5000元以上的。</w:t>
            </w:r>
          </w:p>
        </w:tc>
        <w:tc>
          <w:tcPr>
            <w:tcW w:w="4259" w:type="dxa"/>
            <w:vAlign w:val="center"/>
          </w:tcPr>
          <w:p w14:paraId="2FF642C6">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警告，责令停止违法行为，没收违法所得，并处违法所得3倍以上5倍以下的罚款。</w:t>
            </w:r>
          </w:p>
        </w:tc>
      </w:tr>
    </w:tbl>
    <w:p w14:paraId="27902D9D">
      <w:pPr>
        <w:pStyle w:val="4"/>
        <w:widowControl w:val="0"/>
        <w:ind w:firstLine="640" w:firstLineChars="0"/>
        <w:jc w:val="both"/>
        <w:rPr>
          <w:rFonts w:hint="eastAsia" w:ascii="Times New Roman" w:hAnsi="Times New Roman" w:cs="仿宋_GB2312"/>
          <w:b/>
          <w:bCs/>
          <w:color w:val="000000" w:themeColor="text1"/>
          <w14:textFill>
            <w14:solidFill>
              <w14:schemeClr w14:val="tx1"/>
            </w14:solidFill>
          </w14:textFill>
        </w:rPr>
      </w:pPr>
      <w:bookmarkStart w:id="5498" w:name="_Toc26225"/>
      <w:bookmarkStart w:id="5499" w:name="_Toc27271"/>
      <w:bookmarkStart w:id="5500" w:name="_Toc25447"/>
      <w:bookmarkStart w:id="5501" w:name="_Toc9741"/>
      <w:bookmarkStart w:id="5502" w:name="_Toc19628"/>
      <w:bookmarkStart w:id="5503" w:name="_Toc11203"/>
      <w:bookmarkStart w:id="5504" w:name="_Toc15381"/>
      <w:bookmarkStart w:id="5505" w:name="_Toc25205"/>
      <w:bookmarkStart w:id="5506" w:name="_Toc1506"/>
      <w:bookmarkStart w:id="5507" w:name="_Toc21335"/>
      <w:bookmarkStart w:id="5508" w:name="_Toc11792"/>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四百三十</w:t>
      </w:r>
      <w:r>
        <w:rPr>
          <w:rFonts w:hint="eastAsia" w:ascii="Times New Roman" w:hAnsi="Times New Roman" w:cs="仿宋_GB2312"/>
          <w:bCs/>
          <w:color w:val="000000" w:themeColor="text1"/>
          <w14:textFill>
            <w14:solidFill>
              <w14:schemeClr w14:val="tx1"/>
            </w14:solidFill>
          </w14:textFill>
        </w:rPr>
        <w:t>条 对未取得产前诊断类母婴保健技术考核合格证书的个人，擅自从事产前诊断或超越许可范围的</w:t>
      </w:r>
      <w:bookmarkEnd w:id="5498"/>
      <w:bookmarkEnd w:id="5499"/>
      <w:bookmarkEnd w:id="5500"/>
      <w:bookmarkEnd w:id="5501"/>
      <w:bookmarkEnd w:id="5502"/>
      <w:bookmarkEnd w:id="5503"/>
      <w:bookmarkEnd w:id="5504"/>
      <w:bookmarkEnd w:id="5505"/>
      <w:bookmarkEnd w:id="5506"/>
      <w:bookmarkEnd w:id="5507"/>
      <w:bookmarkEnd w:id="5508"/>
    </w:p>
    <w:p w14:paraId="05B6E084">
      <w:pPr>
        <w:widowControl w:val="0"/>
        <w:spacing w:after="0" w:line="440" w:lineRule="exact"/>
        <w:ind w:left="110" w:leftChars="50" w:firstLine="640" w:firstLineChars="200"/>
        <w:rPr>
          <w:rFonts w:hint="eastAsia"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法律依据：</w:t>
      </w:r>
    </w:p>
    <w:p w14:paraId="2BAB9019">
      <w:pPr>
        <w:widowControl w:val="0"/>
        <w:ind w:firstLine="640" w:firstLineChars="200"/>
        <w:rPr>
          <w:rFonts w:hint="eastAsia"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产前诊断技术管理办法》第三十一条</w:t>
      </w:r>
      <w:r>
        <w:rPr>
          <w:rFonts w:hint="eastAsia" w:ascii="Times New Roman" w:hAnsi="Times New Roman" w:eastAsia="仿宋"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 w:cs="Times New Roman"/>
          <w:color w:val="000000" w:themeColor="text1"/>
          <w:sz w:val="32"/>
          <w:szCs w:val="32"/>
          <w14:textFill>
            <w14:solidFill>
              <w14:schemeClr w14:val="tx1"/>
            </w14:solidFill>
          </w14:textFill>
        </w:rPr>
        <w:t>对未取得《母婴保健技术考核合格证书》或者《医师执业证书》中未加注母婴保健技术（产前诊断类）考核合格的个人，擅自从事产前诊断或者超范围执业的，由县级以上人民政府卫生健康主管部门给予警告或者责令暂停六个月以上一年以下执业活动；情节严重的，按照《中华人民共和国医师法》吊销其医师执业证书。构成犯罪的，依法追究刑事责任。</w:t>
      </w:r>
    </w:p>
    <w:p w14:paraId="60A7180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5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8100"/>
        <w:gridCol w:w="3850"/>
      </w:tblGrid>
      <w:tr w14:paraId="6888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1800" w:type="dxa"/>
            <w:vAlign w:val="center"/>
          </w:tcPr>
          <w:p w14:paraId="7D1F5330">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00" w:type="dxa"/>
            <w:vAlign w:val="center"/>
          </w:tcPr>
          <w:p w14:paraId="30C97659">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850" w:type="dxa"/>
            <w:vAlign w:val="center"/>
          </w:tcPr>
          <w:p w14:paraId="2F34E192">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B1D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1800" w:type="dxa"/>
            <w:vAlign w:val="center"/>
          </w:tcPr>
          <w:p w14:paraId="45419DE3">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00" w:type="dxa"/>
            <w:vAlign w:val="center"/>
          </w:tcPr>
          <w:p w14:paraId="1DA4C145">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对未取得《母婴保健技术考核合格证书》或者《医师执业证书》中未加注母婴保健技术（产前诊断类）考核合格的个人，擅自从事产前诊断或者超范围执业首次发现的。</w:t>
            </w:r>
          </w:p>
        </w:tc>
        <w:tc>
          <w:tcPr>
            <w:tcW w:w="3850" w:type="dxa"/>
            <w:vAlign w:val="center"/>
          </w:tcPr>
          <w:p w14:paraId="69BF5E16">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w:t>
            </w:r>
          </w:p>
        </w:tc>
      </w:tr>
      <w:tr w14:paraId="6A64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1800" w:type="dxa"/>
            <w:vAlign w:val="center"/>
          </w:tcPr>
          <w:p w14:paraId="2BB6C587">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00" w:type="dxa"/>
            <w:vAlign w:val="center"/>
          </w:tcPr>
          <w:p w14:paraId="255BCDB3">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对未取得《母婴保健技术考核合格证书》或者《医师执业证书》中未加注母婴保健技术（产前诊断类）考核合格的个人，擅自从事产前诊断或者超范围执业曾受行政处罚再次发现的</w:t>
            </w:r>
            <w:r>
              <w:rPr>
                <w:rFonts w:hint="eastAsia" w:ascii="Times New Roman" w:hAnsi="Times New Roman" w:eastAsia="仿宋_GB2312" w:cs="Times New Roman"/>
                <w:color w:val="000000" w:themeColor="text1"/>
                <w:sz w:val="24"/>
                <w:szCs w:val="22"/>
                <w:lang w:val="en" w:bidi="ar"/>
                <w14:textFill>
                  <w14:solidFill>
                    <w14:schemeClr w14:val="tx1"/>
                  </w14:solidFill>
                </w14:textFill>
              </w:rPr>
              <w:t>。</w:t>
            </w:r>
          </w:p>
        </w:tc>
        <w:tc>
          <w:tcPr>
            <w:tcW w:w="3850" w:type="dxa"/>
            <w:vAlign w:val="center"/>
          </w:tcPr>
          <w:p w14:paraId="0495609D">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责令暂停六个月以上一年以下执业活动。</w:t>
            </w:r>
          </w:p>
        </w:tc>
      </w:tr>
      <w:tr w14:paraId="29CD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1800" w:type="dxa"/>
            <w:vAlign w:val="center"/>
          </w:tcPr>
          <w:p w14:paraId="4A021A47">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00" w:type="dxa"/>
            <w:vAlign w:val="center"/>
          </w:tcPr>
          <w:p w14:paraId="1DA2855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对未取得《母婴保健技术考核合格证书》或者《医师执业证书》中未加注母婴保健技术（产前诊断类）考核合格的个人，擅自从事产前诊断或者超范围执业情节严重的。</w:t>
            </w:r>
          </w:p>
        </w:tc>
        <w:tc>
          <w:tcPr>
            <w:tcW w:w="3850" w:type="dxa"/>
            <w:vAlign w:val="center"/>
          </w:tcPr>
          <w:p w14:paraId="6AD060EF">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给予警告，吊销其医师执业证书。</w:t>
            </w:r>
          </w:p>
        </w:tc>
      </w:tr>
    </w:tbl>
    <w:p w14:paraId="45F95F18">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color w:val="000000" w:themeColor="text1"/>
          <w:kern w:val="0"/>
          <w14:textFill>
            <w14:solidFill>
              <w14:schemeClr w14:val="tx1"/>
            </w14:solidFill>
          </w14:textFill>
        </w:rPr>
      </w:pPr>
      <w:bookmarkStart w:id="5509" w:name="_Toc27144"/>
      <w:bookmarkStart w:id="5510" w:name="_Toc25308"/>
      <w:bookmarkStart w:id="5511" w:name="_Toc7737"/>
      <w:bookmarkStart w:id="5512" w:name="_Toc6062"/>
      <w:bookmarkStart w:id="5513" w:name="_Toc23100"/>
      <w:bookmarkStart w:id="5514" w:name="_Toc11973"/>
      <w:bookmarkStart w:id="5515" w:name="_Toc554"/>
      <w:bookmarkStart w:id="5516" w:name="_Toc22149"/>
      <w:bookmarkStart w:id="5517" w:name="_Toc13879"/>
      <w:bookmarkStart w:id="5518" w:name="_Toc32672"/>
      <w:bookmarkStart w:id="5519" w:name="_Toc30423"/>
      <w:bookmarkStart w:id="5520" w:name="_Toc28922"/>
      <w:bookmarkStart w:id="5521" w:name="_Toc17010"/>
      <w:r>
        <w:rPr>
          <w:rFonts w:hint="eastAsia" w:ascii="Times New Roman" w:hAnsi="Times New Roman" w:eastAsia="楷体_GB2312" w:cs="楷体_GB2312"/>
          <w:bCs/>
          <w:color w:val="000000" w:themeColor="text1"/>
          <w:kern w:val="0"/>
          <w14:textFill>
            <w14:solidFill>
              <w14:schemeClr w14:val="tx1"/>
            </w14:solidFill>
          </w14:textFill>
        </w:rPr>
        <w:t>（六）《禁止非医学需要的胎儿性别鉴定和选择性别人工终止妊娠的规定》</w:t>
      </w:r>
      <w:bookmarkEnd w:id="5509"/>
      <w:bookmarkEnd w:id="5510"/>
      <w:bookmarkEnd w:id="5511"/>
      <w:bookmarkEnd w:id="5512"/>
      <w:bookmarkEnd w:id="5513"/>
      <w:bookmarkEnd w:id="5514"/>
      <w:bookmarkEnd w:id="5515"/>
      <w:bookmarkEnd w:id="5516"/>
      <w:bookmarkEnd w:id="5517"/>
      <w:bookmarkEnd w:id="5518"/>
      <w:bookmarkEnd w:id="5519"/>
      <w:bookmarkEnd w:id="5520"/>
      <w:bookmarkEnd w:id="5521"/>
    </w:p>
    <w:p w14:paraId="704B2BF1">
      <w:pPr>
        <w:pStyle w:val="4"/>
        <w:widowControl w:val="0"/>
        <w:ind w:firstLine="640"/>
        <w:jc w:val="both"/>
        <w:rPr>
          <w:rFonts w:hint="eastAsia" w:cs="仿宋_GB2312"/>
          <w:bCs/>
          <w:color w:val="000000" w:themeColor="text1"/>
          <w14:textFill>
            <w14:solidFill>
              <w14:schemeClr w14:val="tx1"/>
            </w14:solidFill>
          </w14:textFill>
        </w:rPr>
      </w:pPr>
      <w:bookmarkStart w:id="5522" w:name="_Toc21762"/>
      <w:bookmarkStart w:id="5523" w:name="_Toc7488"/>
      <w:bookmarkStart w:id="5524" w:name="_Toc32453"/>
      <w:bookmarkStart w:id="5525" w:name="_Toc11501"/>
      <w:bookmarkStart w:id="5526" w:name="_Toc24173"/>
      <w:bookmarkStart w:id="5527" w:name="_Toc30983"/>
      <w:bookmarkStart w:id="5528" w:name="_Toc4095"/>
      <w:bookmarkStart w:id="5529" w:name="_Toc10945"/>
      <w:bookmarkStart w:id="5530" w:name="_Toc30408"/>
      <w:bookmarkStart w:id="5531" w:name="_Toc3128"/>
      <w:bookmarkStart w:id="5532" w:name="_Toc7516"/>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四百三十一</w:t>
      </w:r>
      <w:r>
        <w:rPr>
          <w:rFonts w:hint="eastAsia" w:ascii="Times New Roman" w:hAnsi="Times New Roman" w:cs="仿宋_GB2312"/>
          <w:bCs/>
          <w:color w:val="000000" w:themeColor="text1"/>
          <w14:textFill>
            <w14:solidFill>
              <w14:schemeClr w14:val="tx1"/>
            </w14:solidFill>
          </w14:textFill>
        </w:rPr>
        <w:t>条</w:t>
      </w:r>
      <w:r>
        <w:rPr>
          <w:rFonts w:hint="eastAsia" w:cs="仿宋_GB2312"/>
          <w:bCs/>
          <w:color w:val="000000" w:themeColor="text1"/>
          <w14:textFill>
            <w14:solidFill>
              <w14:schemeClr w14:val="tx1"/>
            </w14:solidFill>
          </w14:textFill>
        </w:rPr>
        <w:t xml:space="preserve"> 未建立真实完整的终止妊娠药品购进记录或者未按照规定为终止妊娠药品使用者建立完整用药档案的</w:t>
      </w:r>
      <w:bookmarkEnd w:id="5522"/>
      <w:bookmarkEnd w:id="5523"/>
      <w:bookmarkEnd w:id="5524"/>
      <w:bookmarkEnd w:id="5525"/>
      <w:bookmarkEnd w:id="5526"/>
      <w:bookmarkEnd w:id="5527"/>
      <w:bookmarkEnd w:id="5528"/>
      <w:bookmarkEnd w:id="5529"/>
      <w:bookmarkEnd w:id="5530"/>
      <w:bookmarkEnd w:id="5531"/>
      <w:bookmarkEnd w:id="5532"/>
    </w:p>
    <w:p w14:paraId="5767DDC2">
      <w:pPr>
        <w:widowControl w:val="0"/>
        <w:spacing w:after="0" w:line="440" w:lineRule="exact"/>
        <w:ind w:left="110" w:leftChars="50"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1E730EA0">
      <w:pPr>
        <w:widowControl w:val="0"/>
        <w:spacing w:after="0" w:line="440" w:lineRule="exact"/>
        <w:ind w:left="110" w:leftChars="50" w:firstLine="640" w:firstLineChars="200"/>
        <w:rPr>
          <w:rFonts w:hint="eastAsia" w:ascii="Times New Roman" w:hAnsi="Times New Roman" w:cs="Times New Roman"/>
          <w:b/>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《禁止非医学需要的胎儿性别鉴定和选择性别人工终止妊娠的规定》第二十条　经批准实施人工终止妊娠手术的机构未建立真实完整的终止妊娠药品购进记录，或者未按照规定为终止妊娠药品使用者建立完整用药档案的，由县级以上卫生计生行政部门责令改正；拒不改正的，给予警告，并可处1万元以上3万元以下罚款；对医疗卫生机构的主要负责人、直接负责的主管人员和直接责任人员，依法进行处理。</w:t>
      </w:r>
    </w:p>
    <w:p w14:paraId="731509B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5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8100"/>
        <w:gridCol w:w="3850"/>
      </w:tblGrid>
      <w:tr w14:paraId="1FA0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800" w:type="dxa"/>
            <w:vAlign w:val="center"/>
          </w:tcPr>
          <w:p w14:paraId="32B67CE2">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00" w:type="dxa"/>
            <w:vAlign w:val="center"/>
          </w:tcPr>
          <w:p w14:paraId="11C34D4A">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850" w:type="dxa"/>
            <w:vAlign w:val="center"/>
          </w:tcPr>
          <w:p w14:paraId="3BD23E3C">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E01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0" w:type="dxa"/>
            <w:vAlign w:val="center"/>
          </w:tcPr>
          <w:p w14:paraId="54600B1B">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轻微</w:t>
            </w:r>
          </w:p>
        </w:tc>
        <w:tc>
          <w:tcPr>
            <w:tcW w:w="8100" w:type="dxa"/>
            <w:vAlign w:val="center"/>
          </w:tcPr>
          <w:p w14:paraId="690C983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首次发现未建立真实完整的终止妊娠药品购进记录，或者未按照规定为终止妊娠药品使用者建立完整用药档案。</w:t>
            </w:r>
          </w:p>
        </w:tc>
        <w:tc>
          <w:tcPr>
            <w:tcW w:w="3850" w:type="dxa"/>
            <w:vAlign w:val="center"/>
          </w:tcPr>
          <w:p w14:paraId="370FA6DA">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w:t>
            </w:r>
          </w:p>
        </w:tc>
      </w:tr>
      <w:tr w14:paraId="40B3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00" w:type="dxa"/>
            <w:vAlign w:val="center"/>
          </w:tcPr>
          <w:p w14:paraId="6C967B45">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00" w:type="dxa"/>
            <w:vAlign w:val="center"/>
          </w:tcPr>
          <w:p w14:paraId="542674D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未建立真实完整的终止妊娠药品购进记录，或者未按照规定为终止妊娠药品使用者建立完整用药档案，拒不改正的。</w:t>
            </w:r>
          </w:p>
        </w:tc>
        <w:tc>
          <w:tcPr>
            <w:tcW w:w="3850" w:type="dxa"/>
            <w:vAlign w:val="center"/>
          </w:tcPr>
          <w:p w14:paraId="28D54A13">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警告，并可处10000元以上30000元以下罚款。</w:t>
            </w:r>
          </w:p>
        </w:tc>
      </w:tr>
    </w:tbl>
    <w:p w14:paraId="461D9D24">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533" w:name="_Toc23957"/>
      <w:bookmarkStart w:id="5534" w:name="_Toc8529"/>
      <w:bookmarkStart w:id="5535" w:name="_Toc8242"/>
      <w:bookmarkStart w:id="5536" w:name="_Toc5825"/>
      <w:bookmarkStart w:id="5537" w:name="_Toc8276"/>
      <w:bookmarkStart w:id="5538" w:name="_Toc22276"/>
      <w:bookmarkStart w:id="5539" w:name="_Toc7341"/>
      <w:bookmarkStart w:id="5540" w:name="_Toc16537"/>
      <w:bookmarkStart w:id="5541" w:name="_Toc30191"/>
      <w:bookmarkStart w:id="5542" w:name="_Toc19704"/>
      <w:bookmarkStart w:id="5543" w:name="_Toc3108"/>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四百三十二</w:t>
      </w:r>
      <w:r>
        <w:rPr>
          <w:rFonts w:hint="eastAsia" w:ascii="Times New Roman" w:hAnsi="Times New Roman" w:cs="仿宋_GB2312"/>
          <w:bCs/>
          <w:color w:val="000000" w:themeColor="text1"/>
          <w14:textFill>
            <w14:solidFill>
              <w14:schemeClr w14:val="tx1"/>
            </w14:solidFill>
          </w14:textFill>
        </w:rPr>
        <w:t>条 介绍、组织孕妇实施非医学需要的胎儿性别鉴定或者选择性别人工终止妊娠的</w:t>
      </w:r>
      <w:bookmarkEnd w:id="5533"/>
      <w:bookmarkEnd w:id="5534"/>
      <w:bookmarkEnd w:id="5535"/>
      <w:bookmarkEnd w:id="5536"/>
      <w:bookmarkEnd w:id="5537"/>
      <w:bookmarkEnd w:id="5538"/>
      <w:bookmarkEnd w:id="5539"/>
      <w:bookmarkEnd w:id="5540"/>
      <w:bookmarkEnd w:id="5541"/>
      <w:bookmarkEnd w:id="5542"/>
      <w:bookmarkEnd w:id="5543"/>
    </w:p>
    <w:p w14:paraId="5FA99B0B">
      <w:pPr>
        <w:widowControl w:val="0"/>
        <w:spacing w:after="0" w:line="440" w:lineRule="exact"/>
        <w:ind w:left="110" w:leftChars="50"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79748269">
      <w:pPr>
        <w:widowControl w:val="0"/>
        <w:spacing w:after="0" w:line="440" w:lineRule="exact"/>
        <w:ind w:left="110" w:leftChars="50" w:firstLine="482"/>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《禁止非医学需要的胎儿性别鉴定和选择性别人工终止妊娠的规定》第二十三条　介绍、组织孕妇实施非医学需要的胎儿性别鉴定或者选择性别人工终止妊娠的，由县级以上卫生计生行政部门责令改正，给予警告；情节严重的，没收违法所得，并处5000元以上3万元以下罚款。</w:t>
      </w:r>
    </w:p>
    <w:p w14:paraId="3F440B2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8100"/>
        <w:gridCol w:w="3992"/>
      </w:tblGrid>
      <w:tr w14:paraId="4B6F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800" w:type="dxa"/>
            <w:vAlign w:val="center"/>
          </w:tcPr>
          <w:p w14:paraId="5490DEAB">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00" w:type="dxa"/>
            <w:vAlign w:val="center"/>
          </w:tcPr>
          <w:p w14:paraId="3BE9595F">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ab/>
            </w: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r>
              <w:rPr>
                <w:rFonts w:hint="eastAsia" w:ascii="Times New Roman" w:hAnsi="Times New Roman" w:cs="微软雅黑"/>
                <w:b/>
                <w:bCs/>
                <w:color w:val="000000" w:themeColor="text1"/>
                <w:kern w:val="0"/>
                <w:sz w:val="28"/>
                <w:szCs w:val="28"/>
                <w:lang w:bidi="ar"/>
                <w14:textFill>
                  <w14:solidFill>
                    <w14:schemeClr w14:val="tx1"/>
                  </w14:solidFill>
                </w14:textFill>
              </w:rPr>
              <w:tab/>
            </w:r>
          </w:p>
        </w:tc>
        <w:tc>
          <w:tcPr>
            <w:tcW w:w="3992" w:type="dxa"/>
            <w:vAlign w:val="center"/>
          </w:tcPr>
          <w:p w14:paraId="083DFBD0">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EDA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Align w:val="center"/>
          </w:tcPr>
          <w:p w14:paraId="2A32D864">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00" w:type="dxa"/>
            <w:vAlign w:val="center"/>
          </w:tcPr>
          <w:p w14:paraId="10FECE6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介绍、组织1名孕妇实施非医学需要的胎儿性别鉴定或者选择性别人工终止妊娠的。</w:t>
            </w:r>
          </w:p>
        </w:tc>
        <w:tc>
          <w:tcPr>
            <w:tcW w:w="3992" w:type="dxa"/>
            <w:vAlign w:val="center"/>
          </w:tcPr>
          <w:p w14:paraId="3DD0FA19">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p>
        </w:tc>
      </w:tr>
      <w:tr w14:paraId="2A81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restart"/>
            <w:vAlign w:val="center"/>
          </w:tcPr>
          <w:p w14:paraId="09E3CF12">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00" w:type="dxa"/>
            <w:vAlign w:val="center"/>
          </w:tcPr>
          <w:p w14:paraId="43136AB5">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介绍、组织2以上名孕妇实施非医学需要的胎儿性别鉴定或者选择性别人工终止妊娠的。</w:t>
            </w:r>
          </w:p>
        </w:tc>
        <w:tc>
          <w:tcPr>
            <w:tcW w:w="3992" w:type="dxa"/>
            <w:vAlign w:val="center"/>
          </w:tcPr>
          <w:p w14:paraId="6289FBA7">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罚款5000元以上8000元以下。</w:t>
            </w:r>
          </w:p>
        </w:tc>
      </w:tr>
      <w:tr w14:paraId="5CAD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continue"/>
            <w:vAlign w:val="center"/>
          </w:tcPr>
          <w:p w14:paraId="1C621DB7">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8100" w:type="dxa"/>
            <w:vAlign w:val="center"/>
          </w:tcPr>
          <w:p w14:paraId="719B825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介绍、组织3名以上孕妇实施非医学需要的胎儿性别鉴定或者选择性别人工终止妊娠的。</w:t>
            </w:r>
          </w:p>
        </w:tc>
        <w:tc>
          <w:tcPr>
            <w:tcW w:w="3992" w:type="dxa"/>
            <w:vAlign w:val="center"/>
          </w:tcPr>
          <w:p w14:paraId="46A38AD0">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罚款8000元以上12000元以下。</w:t>
            </w:r>
          </w:p>
        </w:tc>
      </w:tr>
      <w:tr w14:paraId="359E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continue"/>
            <w:vAlign w:val="center"/>
          </w:tcPr>
          <w:p w14:paraId="36DCBE67">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8100" w:type="dxa"/>
            <w:vAlign w:val="center"/>
          </w:tcPr>
          <w:p w14:paraId="4141EAD4">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介绍、组织4名以上孕妇实施非医学需要的胎儿性别鉴定或者选择性别人工终止妊娠的。</w:t>
            </w:r>
          </w:p>
        </w:tc>
        <w:tc>
          <w:tcPr>
            <w:tcW w:w="3992" w:type="dxa"/>
            <w:vAlign w:val="center"/>
          </w:tcPr>
          <w:p w14:paraId="4333938F">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罚款12000元以上15000元以下。</w:t>
            </w:r>
          </w:p>
        </w:tc>
      </w:tr>
      <w:tr w14:paraId="21F4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restart"/>
            <w:vAlign w:val="center"/>
          </w:tcPr>
          <w:p w14:paraId="512C4692">
            <w:pPr>
              <w:widowControl w:val="0"/>
              <w:spacing w:after="0" w:line="320" w:lineRule="exact"/>
              <w:ind w:left="0" w:leftChars="0"/>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00" w:type="dxa"/>
            <w:vAlign w:val="center"/>
          </w:tcPr>
          <w:p w14:paraId="4001A5A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介绍、组织5名以上孕妇实施非医学需要的胎儿性别鉴定或者选择性别人工终止妊娠的。</w:t>
            </w:r>
          </w:p>
        </w:tc>
        <w:tc>
          <w:tcPr>
            <w:tcW w:w="3992" w:type="dxa"/>
            <w:vAlign w:val="center"/>
          </w:tcPr>
          <w:p w14:paraId="18F8CCD9">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罚款15000元以上18000元以下。</w:t>
            </w:r>
          </w:p>
        </w:tc>
      </w:tr>
      <w:tr w14:paraId="400A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continue"/>
            <w:vAlign w:val="center"/>
          </w:tcPr>
          <w:p w14:paraId="00E3BCB0">
            <w:pPr>
              <w:widowControl w:val="0"/>
              <w:spacing w:after="0" w:line="340" w:lineRule="exact"/>
              <w:ind w:left="110" w:leftChars="50"/>
              <w:jc w:val="center"/>
              <w:rPr>
                <w:rFonts w:hint="eastAsia" w:ascii="Times New Roman" w:hAnsi="Times New Roman" w:eastAsia="仿宋" w:cs="Times New Roman"/>
                <w:b/>
                <w:color w:val="000000" w:themeColor="text1"/>
                <w:sz w:val="24"/>
                <w:szCs w:val="24"/>
                <w14:textFill>
                  <w14:solidFill>
                    <w14:schemeClr w14:val="tx1"/>
                  </w14:solidFill>
                </w14:textFill>
              </w:rPr>
            </w:pPr>
          </w:p>
        </w:tc>
        <w:tc>
          <w:tcPr>
            <w:tcW w:w="8100" w:type="dxa"/>
            <w:vAlign w:val="center"/>
          </w:tcPr>
          <w:p w14:paraId="0D16EDF9">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介绍、组织6名以上孕妇实施非医学需要的胎儿性别鉴定或者选择性别人工终止妊娠的</w:t>
            </w:r>
            <w:r>
              <w:rPr>
                <w:rFonts w:hint="eastAsia" w:ascii="Times New Roman" w:hAnsi="Times New Roman" w:eastAsia="仿宋_GB2312" w:cs="Times New Roman"/>
                <w:color w:val="000000" w:themeColor="text1"/>
                <w:sz w:val="24"/>
                <w:szCs w:val="22"/>
                <w:lang w:val="en" w:bidi="ar"/>
                <w14:textFill>
                  <w14:solidFill>
                    <w14:schemeClr w14:val="tx1"/>
                  </w14:solidFill>
                </w14:textFill>
              </w:rPr>
              <w:t>。</w:t>
            </w:r>
          </w:p>
        </w:tc>
        <w:tc>
          <w:tcPr>
            <w:tcW w:w="3992" w:type="dxa"/>
            <w:vAlign w:val="center"/>
          </w:tcPr>
          <w:p w14:paraId="07BEEDEE">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罚款18000元以上20000元以下。</w:t>
            </w:r>
          </w:p>
        </w:tc>
      </w:tr>
      <w:tr w14:paraId="74E6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continue"/>
            <w:vAlign w:val="center"/>
          </w:tcPr>
          <w:p w14:paraId="22B12A8F">
            <w:pPr>
              <w:widowControl w:val="0"/>
              <w:spacing w:after="0" w:line="340" w:lineRule="exact"/>
              <w:ind w:left="110" w:leftChars="50"/>
              <w:jc w:val="center"/>
              <w:rPr>
                <w:rFonts w:hint="eastAsia" w:ascii="Times New Roman" w:hAnsi="Times New Roman" w:eastAsia="仿宋" w:cs="Times New Roman"/>
                <w:b/>
                <w:color w:val="000000" w:themeColor="text1"/>
                <w:sz w:val="24"/>
                <w:szCs w:val="24"/>
                <w14:textFill>
                  <w14:solidFill>
                    <w14:schemeClr w14:val="tx1"/>
                  </w14:solidFill>
                </w14:textFill>
              </w:rPr>
            </w:pPr>
          </w:p>
        </w:tc>
        <w:tc>
          <w:tcPr>
            <w:tcW w:w="8100" w:type="dxa"/>
            <w:vAlign w:val="center"/>
          </w:tcPr>
          <w:p w14:paraId="0B8C4B2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介绍、组织7名以上孕妇实施非医学需要的胎儿性别鉴定或者选择性别人工终止妊娠的</w:t>
            </w:r>
          </w:p>
        </w:tc>
        <w:tc>
          <w:tcPr>
            <w:tcW w:w="3992" w:type="dxa"/>
            <w:vAlign w:val="center"/>
          </w:tcPr>
          <w:p w14:paraId="13A4E843">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县级卫生行政部门</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罚款20000元（含20000元）以上22000元以下。</w:t>
            </w:r>
          </w:p>
        </w:tc>
      </w:tr>
      <w:tr w14:paraId="302C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restart"/>
            <w:vAlign w:val="center"/>
          </w:tcPr>
          <w:p w14:paraId="7B0C3BFC">
            <w:pPr>
              <w:widowControl w:val="0"/>
              <w:spacing w:after="0" w:line="320" w:lineRule="exact"/>
              <w:ind w:left="0" w:leftChars="0"/>
              <w:jc w:val="center"/>
              <w:rPr>
                <w:rFonts w:hint="eastAsia" w:ascii="Times New Roman" w:hAnsi="Times New Roman" w:eastAsia="仿宋" w:cs="Times New Roman"/>
                <w:b/>
                <w:color w:val="000000" w:themeColor="text1"/>
                <w:sz w:val="24"/>
                <w:szCs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00" w:type="dxa"/>
            <w:vAlign w:val="center"/>
          </w:tcPr>
          <w:p w14:paraId="01B4D372">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介绍、组织8名以上孕妇实施非医学需要的胎儿性别鉴定或者选择性别人工终止妊娠的</w:t>
            </w:r>
          </w:p>
        </w:tc>
        <w:tc>
          <w:tcPr>
            <w:tcW w:w="3992" w:type="dxa"/>
            <w:vAlign w:val="center"/>
          </w:tcPr>
          <w:p w14:paraId="74B25255">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罚款22000元以上24000元以下。</w:t>
            </w:r>
          </w:p>
        </w:tc>
      </w:tr>
      <w:tr w14:paraId="00E6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continue"/>
            <w:vAlign w:val="center"/>
          </w:tcPr>
          <w:p w14:paraId="1473C916">
            <w:pPr>
              <w:widowControl w:val="0"/>
              <w:spacing w:after="0" w:line="340" w:lineRule="exact"/>
              <w:ind w:left="110" w:leftChars="50"/>
              <w:jc w:val="center"/>
              <w:rPr>
                <w:rFonts w:hint="eastAsia" w:ascii="Times New Roman" w:hAnsi="Times New Roman" w:eastAsia="仿宋" w:cs="Times New Roman"/>
                <w:b/>
                <w:color w:val="000000" w:themeColor="text1"/>
                <w:sz w:val="24"/>
                <w:szCs w:val="24"/>
                <w14:textFill>
                  <w14:solidFill>
                    <w14:schemeClr w14:val="tx1"/>
                  </w14:solidFill>
                </w14:textFill>
              </w:rPr>
            </w:pPr>
          </w:p>
        </w:tc>
        <w:tc>
          <w:tcPr>
            <w:tcW w:w="8100" w:type="dxa"/>
            <w:vAlign w:val="center"/>
          </w:tcPr>
          <w:p w14:paraId="206BB83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介绍、组织9名以上孕妇实施非医学需要的胎儿性别鉴定或者选择性别人工终止妊娠的</w:t>
            </w:r>
          </w:p>
        </w:tc>
        <w:tc>
          <w:tcPr>
            <w:tcW w:w="3992" w:type="dxa"/>
            <w:vAlign w:val="center"/>
          </w:tcPr>
          <w:p w14:paraId="54376454">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罚款24000元（含24000元）以上26000元以下。</w:t>
            </w:r>
          </w:p>
        </w:tc>
      </w:tr>
      <w:tr w14:paraId="0BDF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0" w:type="dxa"/>
            <w:vMerge w:val="continue"/>
            <w:vAlign w:val="center"/>
          </w:tcPr>
          <w:p w14:paraId="301145FF">
            <w:pPr>
              <w:widowControl w:val="0"/>
              <w:spacing w:after="0" w:line="340" w:lineRule="exact"/>
              <w:ind w:left="110" w:leftChars="50"/>
              <w:jc w:val="center"/>
              <w:rPr>
                <w:rFonts w:hint="eastAsia" w:ascii="Times New Roman" w:hAnsi="Times New Roman" w:eastAsia="仿宋" w:cs="Times New Roman"/>
                <w:b/>
                <w:color w:val="000000" w:themeColor="text1"/>
                <w:sz w:val="24"/>
                <w:szCs w:val="24"/>
                <w14:textFill>
                  <w14:solidFill>
                    <w14:schemeClr w14:val="tx1"/>
                  </w14:solidFill>
                </w14:textFill>
              </w:rPr>
            </w:pPr>
          </w:p>
        </w:tc>
        <w:tc>
          <w:tcPr>
            <w:tcW w:w="8100" w:type="dxa"/>
            <w:vAlign w:val="center"/>
          </w:tcPr>
          <w:p w14:paraId="552956C6">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介绍、组织10名以上孕妇实施非医学需要的胎儿性别鉴定或者选择性别人工终止妊娠的</w:t>
            </w:r>
          </w:p>
        </w:tc>
        <w:tc>
          <w:tcPr>
            <w:tcW w:w="3992" w:type="dxa"/>
            <w:vAlign w:val="center"/>
          </w:tcPr>
          <w:p w14:paraId="41422DC6">
            <w:pPr>
              <w:widowControl w:val="0"/>
              <w:adjustRightInd/>
              <w:snapToGrid/>
              <w:spacing w:after="0" w:line="320" w:lineRule="exact"/>
              <w:ind w:left="0" w:leftChars="0"/>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由县级以上卫生计生行政部门责令改正，给予警告，</w:t>
            </w:r>
            <w:r>
              <w:rPr>
                <w:rFonts w:hint="eastAsia" w:ascii="Times New Roman" w:hAnsi="Times New Roman" w:eastAsia="仿宋_GB2312" w:cs="Times New Roman"/>
                <w:color w:val="000000" w:themeColor="text1"/>
                <w:sz w:val="24"/>
                <w:lang w:bidi="ar"/>
                <w14:textFill>
                  <w14:solidFill>
                    <w14:schemeClr w14:val="tx1"/>
                  </w14:solidFill>
                </w14:textFill>
              </w:rPr>
              <w:t>没收违法所得，</w:t>
            </w:r>
            <w:r>
              <w:rPr>
                <w:rFonts w:hint="eastAsia" w:ascii="Times New Roman" w:hAnsi="Times New Roman" w:eastAsia="仿宋_GB2312" w:cs="Times New Roman"/>
                <w:color w:val="000000" w:themeColor="text1"/>
                <w:sz w:val="24"/>
                <w:szCs w:val="22"/>
                <w:lang w:bidi="ar"/>
                <w14:textFill>
                  <w14:solidFill>
                    <w14:schemeClr w14:val="tx1"/>
                  </w14:solidFill>
                </w14:textFill>
              </w:rPr>
              <w:t>罚款26000元以上30000元以下。</w:t>
            </w:r>
          </w:p>
        </w:tc>
      </w:tr>
    </w:tbl>
    <w:p w14:paraId="3C81BC81">
      <w:pPr>
        <w:pStyle w:val="4"/>
        <w:widowControl w:val="0"/>
        <w:ind w:firstLine="640"/>
        <w:jc w:val="both"/>
        <w:rPr>
          <w:rFonts w:hint="eastAsia" w:ascii="Times New Roman" w:hAnsi="Times New Roman" w:cs="仿宋_GB2312"/>
          <w:bCs/>
          <w:color w:val="000000" w:themeColor="text1"/>
          <w14:textFill>
            <w14:solidFill>
              <w14:schemeClr w14:val="tx1"/>
            </w14:solidFill>
          </w14:textFill>
        </w:rPr>
      </w:pPr>
      <w:bookmarkStart w:id="5544" w:name="_Toc3236"/>
      <w:bookmarkStart w:id="5545" w:name="_Toc13476"/>
      <w:bookmarkStart w:id="5546" w:name="_Toc7380"/>
      <w:bookmarkStart w:id="5547" w:name="_Toc20597"/>
      <w:bookmarkStart w:id="5548" w:name="_Toc5235"/>
      <w:bookmarkStart w:id="5549" w:name="_Toc10796"/>
      <w:bookmarkStart w:id="5550" w:name="_Toc22413"/>
      <w:bookmarkStart w:id="5551" w:name="_Toc3997"/>
      <w:bookmarkStart w:id="5552" w:name="_Toc31895"/>
      <w:bookmarkStart w:id="5553" w:name="_Toc22755"/>
      <w:bookmarkStart w:id="5554" w:name="_Toc27033"/>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四百三十三</w:t>
      </w:r>
      <w:r>
        <w:rPr>
          <w:rFonts w:hint="eastAsia" w:ascii="Times New Roman" w:hAnsi="Times New Roman" w:cs="仿宋_GB2312"/>
          <w:bCs/>
          <w:color w:val="000000" w:themeColor="text1"/>
          <w14:textFill>
            <w14:solidFill>
              <w14:schemeClr w14:val="tx1"/>
            </w14:solidFill>
          </w14:textFill>
        </w:rPr>
        <w:t>条 开展新生儿疾病筛查的医疗机构违反《新生儿疾病筛查技术规范》的</w:t>
      </w:r>
      <w:bookmarkEnd w:id="5544"/>
      <w:bookmarkEnd w:id="5545"/>
      <w:bookmarkEnd w:id="5546"/>
      <w:bookmarkEnd w:id="5547"/>
      <w:bookmarkEnd w:id="5548"/>
      <w:bookmarkEnd w:id="5549"/>
      <w:bookmarkEnd w:id="5550"/>
      <w:bookmarkEnd w:id="5551"/>
      <w:bookmarkEnd w:id="5552"/>
      <w:bookmarkEnd w:id="5553"/>
      <w:bookmarkEnd w:id="5554"/>
    </w:p>
    <w:p w14:paraId="561535CA">
      <w:pPr>
        <w:widowControl w:val="0"/>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2FC119A4">
      <w:pPr>
        <w:widowControl w:val="0"/>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《新生儿疾病筛查管理办法》第十七条第（一）项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开展新生儿疾病筛查的医疗机构违反本办法规定，有下列行为之一的，由县级以上地方人民政府卫生行政部门责令改正，通报批评，给予警告：</w:t>
      </w:r>
    </w:p>
    <w:p w14:paraId="144BB97E">
      <w:pPr>
        <w:widowControl w:val="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（一）违反《新生儿疾病筛查技术规范》的；</w:t>
      </w:r>
    </w:p>
    <w:p w14:paraId="62FDEDA3">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712"/>
        <w:gridCol w:w="6012"/>
      </w:tblGrid>
      <w:tr w14:paraId="6DAC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957" w:type="dxa"/>
            <w:vAlign w:val="center"/>
          </w:tcPr>
          <w:p w14:paraId="22984C28">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712" w:type="dxa"/>
            <w:vAlign w:val="center"/>
          </w:tcPr>
          <w:p w14:paraId="162DE5F7">
            <w:pPr>
              <w:widowControl/>
              <w:adjustRightInd/>
              <w:snapToGrid/>
              <w:spacing w:before="0" w:beforeLines="-2147483648" w:after="0" w:line="240" w:lineRule="auto"/>
              <w:ind w:firstLine="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012" w:type="dxa"/>
            <w:vAlign w:val="center"/>
          </w:tcPr>
          <w:p w14:paraId="165BB1D1">
            <w:pPr>
              <w:widowControl/>
              <w:adjustRightInd/>
              <w:snapToGrid/>
              <w:spacing w:before="0" w:beforeLines="-2147483648" w:after="0" w:line="240" w:lineRule="auto"/>
              <w:ind w:firstLine="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258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957" w:type="dxa"/>
            <w:vAlign w:val="center"/>
          </w:tcPr>
          <w:p w14:paraId="432601E8">
            <w:pPr>
              <w:widowControl w:val="0"/>
              <w:spacing w:after="0" w:line="320" w:lineRule="exact"/>
              <w:ind w:left="0" w:leftChars="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5712" w:type="dxa"/>
            <w:vAlign w:val="center"/>
          </w:tcPr>
          <w:p w14:paraId="23B7058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开展新生儿疾病筛查的医疗机构违反《新生儿疾病筛查技术规范》的。</w:t>
            </w:r>
          </w:p>
        </w:tc>
        <w:tc>
          <w:tcPr>
            <w:tcW w:w="6012" w:type="dxa"/>
            <w:vAlign w:val="center"/>
          </w:tcPr>
          <w:p w14:paraId="4F0B51F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由县级以上地方人民政府卫生行政部门责令改正，通报批评，给予警告。</w:t>
            </w:r>
          </w:p>
        </w:tc>
      </w:tr>
    </w:tbl>
    <w:p w14:paraId="281CEF0A">
      <w:pPr>
        <w:pStyle w:val="4"/>
        <w:widowControl w:val="0"/>
        <w:ind w:firstLine="640"/>
        <w:jc w:val="both"/>
        <w:rPr>
          <w:rFonts w:hint="eastAsia" w:ascii="Times New Roman" w:hAnsi="Times New Roman" w:cs="仿宋_GB2312"/>
          <w:bCs/>
          <w:color w:val="000000" w:themeColor="text1"/>
          <w14:textFill>
            <w14:solidFill>
              <w14:schemeClr w14:val="tx1"/>
            </w14:solidFill>
          </w14:textFill>
        </w:rPr>
      </w:pPr>
      <w:bookmarkStart w:id="5555" w:name="_Toc13259"/>
      <w:bookmarkStart w:id="5556" w:name="_Toc8806"/>
      <w:bookmarkStart w:id="5557" w:name="_Toc13509"/>
      <w:bookmarkStart w:id="5558" w:name="_Toc32053"/>
      <w:bookmarkStart w:id="5559" w:name="_Toc30560"/>
      <w:bookmarkStart w:id="5560" w:name="_Toc2974"/>
      <w:bookmarkStart w:id="5561" w:name="_Toc10369"/>
      <w:bookmarkStart w:id="5562" w:name="_Toc6760"/>
      <w:bookmarkStart w:id="5563" w:name="_Toc29665"/>
      <w:bookmarkStart w:id="5564" w:name="_Toc27780"/>
      <w:bookmarkStart w:id="5565" w:name="_Toc20611"/>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四百三十四</w:t>
      </w:r>
      <w:r>
        <w:rPr>
          <w:rFonts w:hint="eastAsia" w:ascii="Times New Roman" w:hAnsi="Times New Roman" w:cs="仿宋_GB2312"/>
          <w:bCs/>
          <w:color w:val="000000" w:themeColor="text1"/>
          <w14:textFill>
            <w14:solidFill>
              <w14:schemeClr w14:val="tx1"/>
            </w14:solidFill>
          </w14:textFill>
        </w:rPr>
        <w:t>条 开展新生儿疾病筛查的医疗机构未履行告知程序擅自进行新生儿疾病筛查的</w:t>
      </w:r>
      <w:bookmarkEnd w:id="5555"/>
      <w:bookmarkEnd w:id="5556"/>
      <w:bookmarkEnd w:id="5557"/>
      <w:bookmarkEnd w:id="5558"/>
      <w:bookmarkEnd w:id="5559"/>
      <w:bookmarkEnd w:id="5560"/>
      <w:bookmarkEnd w:id="5561"/>
      <w:bookmarkEnd w:id="5562"/>
      <w:bookmarkEnd w:id="5563"/>
      <w:bookmarkEnd w:id="5564"/>
      <w:bookmarkEnd w:id="5565"/>
    </w:p>
    <w:p w14:paraId="76C6C78D">
      <w:pPr>
        <w:widowControl w:val="0"/>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法律依据：</w:t>
      </w:r>
    </w:p>
    <w:p w14:paraId="5BB2E8B6">
      <w:pPr>
        <w:widowControl w:val="0"/>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《新生儿疾病筛查管理办法》第十七条第（二）项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开展新生儿疾病筛查的医疗机构违反本办法规定，有下列行为之一的，由县级以上地方人民政府卫生行政部门责令改正，通报批评，给予警告：</w:t>
      </w:r>
    </w:p>
    <w:p w14:paraId="05B9C50A">
      <w:pPr>
        <w:widowControl w:val="0"/>
        <w:spacing w:after="0" w:line="240" w:lineRule="auto"/>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（二）未履行告知程序擅自进行新生儿疾病筛查的；</w:t>
      </w:r>
    </w:p>
    <w:p w14:paraId="2D684575">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712"/>
        <w:gridCol w:w="6012"/>
      </w:tblGrid>
      <w:tr w14:paraId="011B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957" w:type="dxa"/>
            <w:vAlign w:val="center"/>
          </w:tcPr>
          <w:p w14:paraId="7F0EE41D">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712" w:type="dxa"/>
            <w:vAlign w:val="center"/>
          </w:tcPr>
          <w:p w14:paraId="081578D8">
            <w:pPr>
              <w:widowControl/>
              <w:adjustRightInd/>
              <w:snapToGrid/>
              <w:spacing w:before="0" w:beforeLines="-2147483648" w:after="0" w:line="240" w:lineRule="auto"/>
              <w:ind w:firstLine="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012" w:type="dxa"/>
            <w:vAlign w:val="center"/>
          </w:tcPr>
          <w:p w14:paraId="78472C69">
            <w:pPr>
              <w:widowControl/>
              <w:adjustRightInd/>
              <w:snapToGrid/>
              <w:spacing w:before="0" w:beforeLines="-2147483648" w:after="0" w:line="240" w:lineRule="auto"/>
              <w:ind w:firstLine="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380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7" w:type="dxa"/>
            <w:vAlign w:val="center"/>
          </w:tcPr>
          <w:p w14:paraId="2E1C861A">
            <w:pPr>
              <w:widowControl w:val="0"/>
              <w:spacing w:after="0" w:line="320" w:lineRule="exact"/>
              <w:ind w:left="0" w:leftChars="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5712" w:type="dxa"/>
            <w:vAlign w:val="center"/>
          </w:tcPr>
          <w:p w14:paraId="6EC1B71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未履行告知程序擅自进行新生儿疾病筛查的。</w:t>
            </w:r>
          </w:p>
        </w:tc>
        <w:tc>
          <w:tcPr>
            <w:tcW w:w="6012" w:type="dxa"/>
            <w:vAlign w:val="center"/>
          </w:tcPr>
          <w:p w14:paraId="7C31043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由县级以上地方人民政府卫生行政部门责令改正，通报批评，给予警告。</w:t>
            </w:r>
          </w:p>
        </w:tc>
      </w:tr>
    </w:tbl>
    <w:p w14:paraId="3CB6141E">
      <w:pPr>
        <w:pStyle w:val="4"/>
        <w:widowControl w:val="0"/>
        <w:ind w:firstLine="640"/>
        <w:jc w:val="both"/>
        <w:rPr>
          <w:rFonts w:hint="eastAsia" w:ascii="Times New Roman" w:hAnsi="Times New Roman" w:cs="仿宋_GB2312"/>
          <w:bCs/>
          <w:color w:val="000000" w:themeColor="text1"/>
          <w14:textFill>
            <w14:solidFill>
              <w14:schemeClr w14:val="tx1"/>
            </w14:solidFill>
          </w14:textFill>
        </w:rPr>
      </w:pPr>
      <w:bookmarkStart w:id="5566" w:name="_Toc31203"/>
      <w:bookmarkStart w:id="5567" w:name="_Toc19075"/>
      <w:bookmarkStart w:id="5568" w:name="_Toc25214"/>
      <w:bookmarkStart w:id="5569" w:name="_Toc16492"/>
      <w:bookmarkStart w:id="5570" w:name="_Toc17027"/>
      <w:bookmarkStart w:id="5571" w:name="_Toc357"/>
      <w:bookmarkStart w:id="5572" w:name="_Toc6725"/>
      <w:bookmarkStart w:id="5573" w:name="_Toc24470"/>
      <w:bookmarkStart w:id="5574" w:name="_Toc92"/>
      <w:bookmarkStart w:id="5575" w:name="_Toc31148"/>
      <w:bookmarkStart w:id="5576" w:name="_Toc3864"/>
      <w:r>
        <w:rPr>
          <w:rFonts w:hint="eastAsia" w:ascii="Times New Roman" w:hAnsi="Times New Roman" w:cs="仿宋_GB2312"/>
          <w:bCs/>
          <w:color w:val="000000" w:themeColor="text1"/>
          <w14:textFill>
            <w14:solidFill>
              <w14:schemeClr w14:val="tx1"/>
            </w14:solidFill>
          </w14:textFill>
        </w:rPr>
        <w:t>第</w:t>
      </w:r>
      <w:r>
        <w:rPr>
          <w:rFonts w:hint="eastAsia" w:ascii="Times New Roman" w:hAnsi="Times New Roman" w:cs="仿宋_GB2312"/>
          <w:bCs/>
          <w:color w:val="000000" w:themeColor="text1"/>
          <w:kern w:val="0"/>
          <w14:textFill>
            <w14:solidFill>
              <w14:schemeClr w14:val="tx1"/>
            </w14:solidFill>
          </w14:textFill>
        </w:rPr>
        <w:t>四百三十五</w:t>
      </w:r>
      <w:r>
        <w:rPr>
          <w:rFonts w:hint="eastAsia" w:ascii="Times New Roman" w:hAnsi="Times New Roman" w:cs="仿宋_GB2312"/>
          <w:bCs/>
          <w:color w:val="000000" w:themeColor="text1"/>
          <w14:textFill>
            <w14:solidFill>
              <w14:schemeClr w14:val="tx1"/>
            </w14:solidFill>
          </w14:textFill>
        </w:rPr>
        <w:t>条 开展新生儿疾病筛查的医疗机构未按规定进行实验室质量监测、检查的</w:t>
      </w:r>
      <w:bookmarkEnd w:id="5566"/>
      <w:bookmarkEnd w:id="5567"/>
      <w:bookmarkEnd w:id="5568"/>
      <w:bookmarkEnd w:id="5569"/>
      <w:bookmarkEnd w:id="5570"/>
      <w:bookmarkEnd w:id="5571"/>
      <w:bookmarkEnd w:id="5572"/>
      <w:bookmarkEnd w:id="5573"/>
      <w:bookmarkEnd w:id="5574"/>
      <w:bookmarkEnd w:id="5575"/>
      <w:bookmarkEnd w:id="5576"/>
    </w:p>
    <w:p w14:paraId="1ABF3B23">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法律依据：</w:t>
      </w:r>
    </w:p>
    <w:p w14:paraId="64529250">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《新生儿疾病筛查管理办法》第十七条第（三）项</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开展新生儿疾病筛查的医疗机构违反本办法规定，有下列行为之一的，由县级以上地方人民政府卫生行政部门责令改正，通报批评，给予警告：</w:t>
      </w:r>
    </w:p>
    <w:p w14:paraId="38EA99CC">
      <w:pPr>
        <w:widowControl w:val="0"/>
        <w:spacing w:after="0" w:line="44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（三）未按规定进行实验室质量监测、检查的；</w:t>
      </w:r>
    </w:p>
    <w:p w14:paraId="31D5A90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712"/>
        <w:gridCol w:w="6012"/>
      </w:tblGrid>
      <w:tr w14:paraId="4F34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957" w:type="dxa"/>
            <w:vAlign w:val="center"/>
          </w:tcPr>
          <w:p w14:paraId="60FFAA52">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712" w:type="dxa"/>
            <w:vAlign w:val="center"/>
          </w:tcPr>
          <w:p w14:paraId="5EF9BE71">
            <w:pPr>
              <w:widowControl/>
              <w:adjustRightInd/>
              <w:snapToGrid/>
              <w:spacing w:before="0" w:beforeLines="-2147483648" w:after="0" w:line="240" w:lineRule="auto"/>
              <w:ind w:firstLine="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012" w:type="dxa"/>
            <w:vAlign w:val="center"/>
          </w:tcPr>
          <w:p w14:paraId="033D3F63">
            <w:pPr>
              <w:widowControl/>
              <w:adjustRightInd/>
              <w:snapToGrid/>
              <w:spacing w:before="0" w:beforeLines="-2147483648" w:after="0" w:line="240" w:lineRule="auto"/>
              <w:ind w:firstLine="0"/>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08E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7" w:type="dxa"/>
            <w:vAlign w:val="center"/>
          </w:tcPr>
          <w:p w14:paraId="2CDD80E5">
            <w:pPr>
              <w:widowControl w:val="0"/>
              <w:spacing w:after="0" w:line="320" w:lineRule="exact"/>
              <w:ind w:left="0" w:leftChars="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5712" w:type="dxa"/>
            <w:vAlign w:val="center"/>
          </w:tcPr>
          <w:p w14:paraId="7256E2E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未按规定进行实验室质量监测、检查的。</w:t>
            </w:r>
          </w:p>
        </w:tc>
        <w:tc>
          <w:tcPr>
            <w:tcW w:w="6012" w:type="dxa"/>
            <w:vAlign w:val="center"/>
          </w:tcPr>
          <w:p w14:paraId="5792CBA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由县级以上地方人民政府卫生行政部门责令改正，通报批评，给予警告。</w:t>
            </w:r>
          </w:p>
        </w:tc>
      </w:tr>
    </w:tbl>
    <w:p w14:paraId="12052BA9">
      <w:pPr>
        <w:widowControl w:val="0"/>
        <w:rPr>
          <w:rFonts w:hint="eastAsia" w:ascii="Times New Roman" w:hAnsi="Times New Roman" w:eastAsia="仿宋_GB2312" w:cs="仿宋_GB2312"/>
          <w:b/>
          <w:bCs/>
          <w:color w:val="000000" w:themeColor="text1"/>
          <w:sz w:val="32"/>
          <w:szCs w:val="32"/>
          <w14:textFill>
            <w14:solidFill>
              <w14:schemeClr w14:val="tx1"/>
            </w14:solidFill>
          </w14:textFill>
        </w:rPr>
      </w:pPr>
      <w:r>
        <w:rPr>
          <w:rFonts w:hint="eastAsia" w:ascii="Times New Roman" w:hAnsi="Times New Roman" w:eastAsia="仿宋_GB2312" w:cs="仿宋_GB2312"/>
          <w:b/>
          <w:bCs/>
          <w:color w:val="000000" w:themeColor="text1"/>
          <w:sz w:val="32"/>
          <w:szCs w:val="32"/>
          <w14:textFill>
            <w14:solidFill>
              <w14:schemeClr w14:val="tx1"/>
            </w14:solidFill>
          </w14:textFill>
        </w:rPr>
        <w:br w:type="page"/>
      </w:r>
    </w:p>
    <w:bookmarkEnd w:id="5182"/>
    <w:bookmarkEnd w:id="5183"/>
    <w:bookmarkEnd w:id="5184"/>
    <w:p w14:paraId="06D43E76">
      <w:pPr>
        <w:pStyle w:val="2"/>
        <w:keepNext w:val="0"/>
        <w:keepLines w:val="0"/>
        <w:widowControl w:val="0"/>
        <w:spacing w:before="157" w:beforeLines="50" w:after="157" w:afterLines="50" w:line="240" w:lineRule="auto"/>
        <w:jc w:val="center"/>
        <w:rPr>
          <w:rFonts w:hint="eastAsia" w:ascii="Times New Roman" w:hAnsi="Times New Roman" w:eastAsia="黑体" w:cs="黑体"/>
          <w:color w:val="000000" w:themeColor="text1"/>
          <w:sz w:val="32"/>
          <w:szCs w:val="32"/>
          <w14:textFill>
            <w14:solidFill>
              <w14:schemeClr w14:val="tx1"/>
            </w14:solidFill>
          </w14:textFill>
        </w:rPr>
      </w:pPr>
      <w:bookmarkStart w:id="5577" w:name="_Toc31927"/>
      <w:bookmarkStart w:id="5578" w:name="_Toc11383"/>
      <w:bookmarkStart w:id="5579" w:name="_Toc12647"/>
      <w:bookmarkStart w:id="5580" w:name="_Toc5045"/>
      <w:bookmarkStart w:id="5581" w:name="_Toc27346"/>
      <w:bookmarkStart w:id="5582" w:name="_Toc15524"/>
      <w:bookmarkStart w:id="5583" w:name="_Toc13656"/>
      <w:bookmarkStart w:id="5584" w:name="_Toc16158"/>
      <w:bookmarkStart w:id="5585" w:name="_Toc9295"/>
      <w:bookmarkStart w:id="5586" w:name="_Toc7329"/>
      <w:bookmarkStart w:id="5587" w:name="_Toc12050"/>
      <w:bookmarkStart w:id="5588" w:name="_Toc8252"/>
      <w:bookmarkStart w:id="5589" w:name="_Toc4972"/>
      <w:bookmarkStart w:id="5590" w:name="_Toc4054"/>
      <w:bookmarkStart w:id="5591" w:name="_Toc2263"/>
      <w:bookmarkStart w:id="5592" w:name="_Toc485215365"/>
      <w:r>
        <w:rPr>
          <w:rFonts w:hint="eastAsia" w:ascii="Times New Roman" w:hAnsi="Times New Roman" w:eastAsia="黑体" w:cs="黑体"/>
          <w:color w:val="000000" w:themeColor="text1"/>
          <w:kern w:val="0"/>
          <w:sz w:val="32"/>
          <w:szCs w:val="32"/>
          <w14:textFill>
            <w14:solidFill>
              <w14:schemeClr w14:val="tx1"/>
            </w14:solidFill>
          </w14:textFill>
        </w:rPr>
        <w:t>四</w:t>
      </w:r>
      <w:r>
        <w:rPr>
          <w:rFonts w:hint="eastAsia" w:ascii="Times New Roman" w:hAnsi="Times New Roman" w:eastAsia="黑体" w:cs="黑体"/>
          <w:color w:val="000000" w:themeColor="text1"/>
          <w:sz w:val="32"/>
          <w:szCs w:val="32"/>
          <w14:textFill>
            <w14:solidFill>
              <w14:schemeClr w14:val="tx1"/>
            </w14:solidFill>
          </w14:textFill>
        </w:rPr>
        <w:t>、公共卫生类</w:t>
      </w:r>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520DAFE2">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5593" w:name="_Toc21842"/>
      <w:bookmarkStart w:id="5594" w:name="_Toc22213"/>
      <w:bookmarkStart w:id="5595" w:name="_Toc27078"/>
      <w:bookmarkStart w:id="5596" w:name="_Toc19717"/>
      <w:bookmarkStart w:id="5597" w:name="_Toc32"/>
      <w:bookmarkStart w:id="5598" w:name="_Toc3922"/>
      <w:bookmarkStart w:id="5599" w:name="_Toc2413"/>
      <w:bookmarkStart w:id="5600" w:name="_Toc25852"/>
      <w:bookmarkStart w:id="5601" w:name="_Toc25350"/>
      <w:bookmarkStart w:id="5602" w:name="_Toc25221"/>
      <w:bookmarkStart w:id="5603" w:name="_Toc17733"/>
      <w:bookmarkStart w:id="5604" w:name="_Toc25789"/>
      <w:bookmarkStart w:id="5605" w:name="_Toc28273"/>
      <w:r>
        <w:rPr>
          <w:rFonts w:hint="eastAsia" w:ascii="Times New Roman" w:hAnsi="Times New Roman" w:eastAsia="楷体_GB2312" w:cs="楷体_GB2312"/>
          <w:color w:val="000000" w:themeColor="text1"/>
          <w14:textFill>
            <w14:solidFill>
              <w14:schemeClr w14:val="tx1"/>
            </w14:solidFill>
          </w14:textFill>
        </w:rPr>
        <w:t>（一）</w:t>
      </w:r>
      <w:r>
        <w:rPr>
          <w:rFonts w:hint="eastAsia" w:ascii="Times New Roman" w:hAnsi="Times New Roman" w:eastAsia="楷体_GB2312" w:cs="楷体_GB2312"/>
          <w:bCs/>
          <w:color w:val="000000" w:themeColor="text1"/>
          <w:kern w:val="0"/>
          <w14:textFill>
            <w14:solidFill>
              <w14:schemeClr w14:val="tx1"/>
            </w14:solidFill>
          </w14:textFill>
        </w:rPr>
        <w:t>《公共场所卫生管理条例》</w:t>
      </w:r>
      <w:r>
        <w:rPr>
          <w:rFonts w:hint="eastAsia" w:ascii="Times New Roman" w:hAnsi="Times New Roman" w:eastAsia="楷体_GB2312" w:cs="楷体_GB2312"/>
          <w:color w:val="000000" w:themeColor="text1"/>
          <w14:textFill>
            <w14:solidFill>
              <w14:schemeClr w14:val="tx1"/>
            </w14:solidFill>
          </w14:textFill>
        </w:rPr>
        <w:t>及</w:t>
      </w:r>
      <w:r>
        <w:rPr>
          <w:rFonts w:hint="eastAsia" w:ascii="Times New Roman" w:hAnsi="Times New Roman" w:eastAsia="楷体_GB2312" w:cs="楷体_GB2312"/>
          <w:bCs/>
          <w:color w:val="000000" w:themeColor="text1"/>
          <w:kern w:val="0"/>
          <w14:textFill>
            <w14:solidFill>
              <w14:schemeClr w14:val="tx1"/>
            </w14:solidFill>
          </w14:textFill>
        </w:rPr>
        <w:t>《公共场所卫生管理条例实施细则》</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2C4B5C92">
      <w:pPr>
        <w:pStyle w:val="4"/>
        <w:widowControl w:val="0"/>
        <w:ind w:firstLine="640"/>
        <w:jc w:val="both"/>
        <w:rPr>
          <w:rFonts w:hint="eastAsia" w:ascii="Times New Roman" w:hAnsi="Times New Roman" w:cs="仿宋_GB2312"/>
          <w:b/>
          <w:bCs/>
          <w:color w:val="000000" w:themeColor="text1"/>
          <w:lang w:val="en"/>
          <w14:textFill>
            <w14:solidFill>
              <w14:schemeClr w14:val="tx1"/>
            </w14:solidFill>
          </w14:textFill>
        </w:rPr>
      </w:pPr>
      <w:bookmarkStart w:id="5606" w:name="_Toc4032"/>
      <w:bookmarkStart w:id="5607" w:name="_Toc2897"/>
      <w:bookmarkStart w:id="5608" w:name="_Toc19347"/>
      <w:bookmarkStart w:id="5609" w:name="_Toc25906"/>
      <w:bookmarkStart w:id="5610" w:name="_Toc1393"/>
      <w:bookmarkStart w:id="5611" w:name="_Toc21247"/>
      <w:bookmarkStart w:id="5612" w:name="_Toc6839"/>
      <w:bookmarkStart w:id="5613" w:name="_Toc29684"/>
      <w:bookmarkStart w:id="5614" w:name="_Toc5202"/>
      <w:bookmarkStart w:id="5615" w:name="_Toc29563"/>
      <w:bookmarkStart w:id="5616" w:name="_Toc4414"/>
      <w:r>
        <w:rPr>
          <w:rFonts w:hint="eastAsia" w:ascii="Times New Roman" w:hAnsi="Times New Roman" w:cs="仿宋_GB2312"/>
          <w:bCs/>
          <w:color w:val="000000" w:themeColor="text1"/>
          <w14:textFill>
            <w14:solidFill>
              <w14:schemeClr w14:val="tx1"/>
            </w14:solidFill>
          </w14:textFill>
        </w:rPr>
        <w:t>第四百三十六条 公共场所经营者安排未获得有效健康合格证明的从业人员从事直接为顾客服务工作的</w:t>
      </w:r>
      <w:bookmarkEnd w:id="5606"/>
      <w:bookmarkEnd w:id="5607"/>
      <w:bookmarkEnd w:id="5608"/>
      <w:bookmarkEnd w:id="5609"/>
      <w:bookmarkEnd w:id="5610"/>
      <w:bookmarkEnd w:id="5611"/>
      <w:bookmarkEnd w:id="5612"/>
      <w:bookmarkEnd w:id="5613"/>
      <w:bookmarkEnd w:id="5614"/>
      <w:bookmarkEnd w:id="5615"/>
      <w:bookmarkEnd w:id="5616"/>
    </w:p>
    <w:p w14:paraId="36D4B2C7">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5C48019">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《公共场所卫生管理条例》第十四条第一款第（二）项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凡有下列行为之一的单位或者个人，卫生防疫机构可以根据情节轻重，给予警告、罚款、停业整顿、吊销卫生许可证的行政处罚：</w:t>
      </w:r>
    </w:p>
    <w:p w14:paraId="353CA188">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（二）未获得健康合格证，而从事直接为顾客服务的。</w:t>
      </w:r>
    </w:p>
    <w:p w14:paraId="53E2D3D7">
      <w:pPr>
        <w:widowControl w:val="0"/>
        <w:adjustRightInd/>
        <w:snapToGrid/>
        <w:spacing w:after="0" w:line="440" w:lineRule="exact"/>
        <w:ind w:firstLine="640" w:firstLineChars="200"/>
        <w:jc w:val="both"/>
        <w:rPr>
          <w:rFonts w:hint="eastAsia" w:ascii="Times New Roman" w:hAnsi="Times New Roman" w:eastAsia="宋体" w:cs="宋体"/>
          <w:color w:val="000000" w:themeColor="text1"/>
          <w:sz w:val="28"/>
          <w:szCs w:val="28"/>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《公共场所卫生管理条例实施细则》第三十八条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安排未获得有效健康合格证明的从业人员从事直接为顾客服务工作的，由县级以上地方人民政府卫生行政部门责令限期改正，给予警告，并处以五百元以上五千元以下罚款；逾期不改正的，处以五千元以上一万五千元以下罚款。</w:t>
      </w:r>
    </w:p>
    <w:p w14:paraId="43C666EA">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938"/>
        <w:gridCol w:w="4253"/>
      </w:tblGrid>
      <w:tr w14:paraId="7EBD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01" w:type="dxa"/>
            <w:vAlign w:val="center"/>
          </w:tcPr>
          <w:p w14:paraId="63D0B0E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938" w:type="dxa"/>
            <w:vAlign w:val="center"/>
          </w:tcPr>
          <w:p w14:paraId="02EC3C0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53" w:type="dxa"/>
            <w:vAlign w:val="center"/>
          </w:tcPr>
          <w:p w14:paraId="79166B2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A5E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701" w:type="dxa"/>
            <w:vAlign w:val="center"/>
          </w:tcPr>
          <w:p w14:paraId="3B4323B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938" w:type="dxa"/>
            <w:vAlign w:val="center"/>
          </w:tcPr>
          <w:p w14:paraId="3750FFC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公共场所经营者安排3名以下未获得有效健康合格证明的从业人员从事直接为顾客服务工作的。</w:t>
            </w:r>
          </w:p>
        </w:tc>
        <w:tc>
          <w:tcPr>
            <w:tcW w:w="4253" w:type="dxa"/>
            <w:vAlign w:val="center"/>
          </w:tcPr>
          <w:p w14:paraId="38CCEFC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w:t>
            </w:r>
            <w:r>
              <w:rPr>
                <w:rFonts w:hint="eastAsia" w:ascii="Times New Roman" w:hAnsi="Times New Roman" w:eastAsia="仿宋_GB2312" w:cs="Times New Roman"/>
                <w:color w:val="000000" w:themeColor="text1"/>
                <w:sz w:val="24"/>
                <w:szCs w:val="22"/>
                <w:lang w:bidi="ar"/>
                <w14:textFill>
                  <w14:solidFill>
                    <w14:schemeClr w14:val="tx1"/>
                  </w14:solidFill>
                </w14:textFill>
              </w:rPr>
              <w:t>，</w:t>
            </w:r>
            <w:r>
              <w:rPr>
                <w:rFonts w:hint="eastAsia" w:ascii="Times New Roman" w:hAnsi="Times New Roman" w:eastAsia="仿宋_GB2312" w:cs="Times New Roman"/>
                <w:color w:val="000000" w:themeColor="text1"/>
                <w:sz w:val="24"/>
                <w:lang w:bidi="ar"/>
                <w14:textFill>
                  <w14:solidFill>
                    <w14:schemeClr w14:val="tx1"/>
                  </w14:solidFill>
                </w14:textFill>
              </w:rPr>
              <w:t>罚款500元以上2000元以下。</w:t>
            </w:r>
          </w:p>
        </w:tc>
      </w:tr>
      <w:tr w14:paraId="30C0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701" w:type="dxa"/>
            <w:vAlign w:val="center"/>
          </w:tcPr>
          <w:p w14:paraId="08564F7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938" w:type="dxa"/>
            <w:vAlign w:val="center"/>
          </w:tcPr>
          <w:p w14:paraId="33FF30C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公共场所经营者安排3名以上未获得有效健康合格证明的从业人员从事直接为顾客服务工作的。</w:t>
            </w:r>
          </w:p>
        </w:tc>
        <w:tc>
          <w:tcPr>
            <w:tcW w:w="4253" w:type="dxa"/>
            <w:vAlign w:val="center"/>
          </w:tcPr>
          <w:p w14:paraId="555F5D0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警告，</w:t>
            </w:r>
            <w:r>
              <w:rPr>
                <w:rFonts w:hint="eastAsia" w:ascii="Times New Roman" w:hAnsi="Times New Roman" w:eastAsia="仿宋_GB2312" w:cs="Times New Roman"/>
                <w:color w:val="000000" w:themeColor="text1"/>
                <w:sz w:val="24"/>
                <w:lang w:bidi="ar"/>
                <w14:textFill>
                  <w14:solidFill>
                    <w14:schemeClr w14:val="tx1"/>
                  </w14:solidFill>
                </w14:textFill>
              </w:rPr>
              <w:t>罚款2000元以上5000元及以下。</w:t>
            </w:r>
          </w:p>
        </w:tc>
      </w:tr>
      <w:tr w14:paraId="27C2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701" w:type="dxa"/>
            <w:vAlign w:val="center"/>
          </w:tcPr>
          <w:p w14:paraId="6DF2BE2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938" w:type="dxa"/>
            <w:vAlign w:val="center"/>
          </w:tcPr>
          <w:p w14:paraId="7FAF50C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公共场所经营者安排3名以下未获得有效健康合格证明的从业人员从事直接为顾客服务工作的，逾期不改正的。</w:t>
            </w:r>
          </w:p>
        </w:tc>
        <w:tc>
          <w:tcPr>
            <w:tcW w:w="4253" w:type="dxa"/>
            <w:vAlign w:val="center"/>
          </w:tcPr>
          <w:p w14:paraId="03A3CEAA">
            <w:pPr>
              <w:widowControl w:val="0"/>
              <w:adjustRightInd/>
              <w:snapToGrid/>
              <w:spacing w:after="0" w:line="320" w:lineRule="exact"/>
              <w:jc w:val="both"/>
              <w:rPr>
                <w:rFonts w:hint="eastAsia" w:ascii="Times New Roman" w:hAnsi="Times New Roman" w:eastAsia="仿宋_GB2312" w:cs="Times New Roman"/>
                <w:color w:val="000000" w:themeColor="text1"/>
                <w:sz w:val="24"/>
                <w:lang w:eastAsia="zh-CN" w:bidi="ar"/>
                <w14:textFill>
                  <w14:solidFill>
                    <w14:schemeClr w14:val="tx1"/>
                  </w14:solidFill>
                </w14:textFill>
              </w:rPr>
            </w:pPr>
            <w:r>
              <w:rPr>
                <w:rFonts w:hint="eastAsia" w:ascii="Times New Roman" w:hAnsi="Times New Roman" w:eastAsia="仿宋_GB2312" w:cs="Times New Roman"/>
                <w:color w:val="000000" w:themeColor="text1"/>
                <w:sz w:val="24"/>
                <w:lang w:eastAsia="zh-CN" w:bidi="ar"/>
                <w14:textFill>
                  <w14:solidFill>
                    <w14:schemeClr w14:val="tx1"/>
                  </w14:solidFill>
                </w14:textFill>
              </w:rPr>
              <w:t>警告，</w:t>
            </w:r>
            <w:r>
              <w:rPr>
                <w:rFonts w:hint="eastAsia" w:ascii="Times New Roman" w:hAnsi="Times New Roman" w:eastAsia="仿宋_GB2312" w:cs="Times New Roman"/>
                <w:color w:val="000000" w:themeColor="text1"/>
                <w:sz w:val="24"/>
                <w:lang w:bidi="ar"/>
                <w14:textFill>
                  <w14:solidFill>
                    <w14:schemeClr w14:val="tx1"/>
                  </w14:solidFill>
                </w14:textFill>
              </w:rPr>
              <w:t>罚款5000元以上10000元以下</w:t>
            </w:r>
            <w:r>
              <w:rPr>
                <w:rFonts w:hint="eastAsia" w:ascii="Times New Roman" w:hAnsi="Times New Roman" w:eastAsia="仿宋_GB2312" w:cs="Times New Roman"/>
                <w:color w:val="000000" w:themeColor="text1"/>
                <w:sz w:val="24"/>
                <w:lang w:eastAsia="zh-CN" w:bidi="ar"/>
                <w14:textFill>
                  <w14:solidFill>
                    <w14:schemeClr w14:val="tx1"/>
                  </w14:solidFill>
                </w14:textFill>
              </w:rPr>
              <w:t>。</w:t>
            </w:r>
          </w:p>
        </w:tc>
      </w:tr>
      <w:tr w14:paraId="38A2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701" w:type="dxa"/>
            <w:vMerge w:val="restart"/>
            <w:vAlign w:val="center"/>
          </w:tcPr>
          <w:p w14:paraId="444DE94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938" w:type="dxa"/>
            <w:vAlign w:val="center"/>
          </w:tcPr>
          <w:p w14:paraId="30C17CB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公共场所经营者安排3名以上未获得有效健康合格证明的从业人员从事直接为顾客服务工作的，逾期不改正的。</w:t>
            </w:r>
          </w:p>
        </w:tc>
        <w:tc>
          <w:tcPr>
            <w:tcW w:w="4253" w:type="dxa"/>
            <w:vAlign w:val="center"/>
          </w:tcPr>
          <w:p w14:paraId="3932DF28">
            <w:pPr>
              <w:widowControl w:val="0"/>
              <w:adjustRightInd/>
              <w:snapToGrid/>
              <w:spacing w:after="0" w:line="320" w:lineRule="exact"/>
              <w:jc w:val="both"/>
              <w:rPr>
                <w:rFonts w:hint="eastAsia" w:ascii="Times New Roman" w:hAnsi="Times New Roman" w:eastAsia="仿宋_GB2312" w:cs="Times New Roman"/>
                <w:color w:val="000000" w:themeColor="text1"/>
                <w:sz w:val="24"/>
                <w:lang w:eastAsia="zh-CN" w:bidi="ar"/>
                <w14:textFill>
                  <w14:solidFill>
                    <w14:schemeClr w14:val="tx1"/>
                  </w14:solidFill>
                </w14:textFill>
              </w:rPr>
            </w:pPr>
            <w:r>
              <w:rPr>
                <w:rFonts w:hint="eastAsia" w:ascii="Times New Roman" w:hAnsi="Times New Roman" w:eastAsia="仿宋_GB2312" w:cs="Times New Roman"/>
                <w:color w:val="000000" w:themeColor="text1"/>
                <w:sz w:val="24"/>
                <w:lang w:eastAsia="zh-CN" w:bidi="ar"/>
                <w14:textFill>
                  <w14:solidFill>
                    <w14:schemeClr w14:val="tx1"/>
                  </w14:solidFill>
                </w14:textFill>
              </w:rPr>
              <w:t>警告，</w:t>
            </w:r>
            <w:r>
              <w:rPr>
                <w:rFonts w:hint="eastAsia" w:ascii="Times New Roman" w:hAnsi="Times New Roman" w:eastAsia="仿宋_GB2312" w:cs="Times New Roman"/>
                <w:color w:val="000000" w:themeColor="text1"/>
                <w:sz w:val="24"/>
                <w:lang w:bidi="ar"/>
                <w14:textFill>
                  <w14:solidFill>
                    <w14:schemeClr w14:val="tx1"/>
                  </w14:solidFill>
                </w14:textFill>
              </w:rPr>
              <w:t>罚款10000元以上15000元以下</w:t>
            </w:r>
            <w:r>
              <w:rPr>
                <w:rFonts w:hint="eastAsia" w:ascii="Times New Roman" w:hAnsi="Times New Roman" w:eastAsia="仿宋_GB2312" w:cs="Times New Roman"/>
                <w:color w:val="000000" w:themeColor="text1"/>
                <w:sz w:val="24"/>
                <w:lang w:eastAsia="zh-CN" w:bidi="ar"/>
                <w14:textFill>
                  <w14:solidFill>
                    <w14:schemeClr w14:val="tx1"/>
                  </w14:solidFill>
                </w14:textFill>
              </w:rPr>
              <w:t>，责令停业整顿。</w:t>
            </w:r>
          </w:p>
        </w:tc>
      </w:tr>
      <w:tr w14:paraId="2FE8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701" w:type="dxa"/>
            <w:vMerge w:val="continue"/>
            <w:vAlign w:val="center"/>
          </w:tcPr>
          <w:p w14:paraId="6F896E6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p>
        </w:tc>
        <w:tc>
          <w:tcPr>
            <w:tcW w:w="7938" w:type="dxa"/>
            <w:vAlign w:val="center"/>
          </w:tcPr>
          <w:p w14:paraId="579638F0">
            <w:pPr>
              <w:widowControl w:val="0"/>
              <w:adjustRightInd/>
              <w:snapToGrid/>
              <w:spacing w:after="0" w:line="320" w:lineRule="exact"/>
              <w:jc w:val="both"/>
              <w:rPr>
                <w:rFonts w:hint="eastAsia" w:ascii="Times New Roman" w:hAnsi="Times New Roman" w:eastAsia="仿宋_GB2312" w:cs="Times New Roman"/>
                <w:color w:val="000000" w:themeColor="text1"/>
                <w:sz w:val="24"/>
                <w:lang w:eastAsia="zh-CN" w:bidi="ar"/>
                <w14:textFill>
                  <w14:solidFill>
                    <w14:schemeClr w14:val="tx1"/>
                  </w14:solidFill>
                </w14:textFill>
              </w:rPr>
            </w:pPr>
            <w:r>
              <w:rPr>
                <w:rFonts w:hint="eastAsia" w:ascii="Times New Roman" w:hAnsi="Times New Roman" w:eastAsia="仿宋_GB2312" w:cs="Times New Roman"/>
                <w:color w:val="000000" w:themeColor="text1"/>
                <w:sz w:val="24"/>
                <w:lang w:eastAsia="zh-CN" w:bidi="ar"/>
                <w14:textFill>
                  <w14:solidFill>
                    <w14:schemeClr w14:val="tx1"/>
                  </w14:solidFill>
                </w14:textFill>
              </w:rPr>
              <w:t>产生较大健康影响后果，造成负面社会影响或其它严重情节的。</w:t>
            </w:r>
          </w:p>
        </w:tc>
        <w:tc>
          <w:tcPr>
            <w:tcW w:w="4253" w:type="dxa"/>
            <w:vAlign w:val="center"/>
          </w:tcPr>
          <w:p w14:paraId="71385B44">
            <w:pPr>
              <w:widowControl w:val="0"/>
              <w:adjustRightInd/>
              <w:snapToGrid/>
              <w:spacing w:after="0" w:line="320" w:lineRule="exact"/>
              <w:jc w:val="both"/>
              <w:rPr>
                <w:rFonts w:hint="eastAsia" w:ascii="Times New Roman" w:hAnsi="Times New Roman" w:eastAsia="仿宋_GB2312" w:cs="Times New Roman"/>
                <w:color w:val="000000" w:themeColor="text1"/>
                <w:sz w:val="24"/>
                <w:lang w:eastAsia="zh-CN" w:bidi="ar"/>
                <w14:textFill>
                  <w14:solidFill>
                    <w14:schemeClr w14:val="tx1"/>
                  </w14:solidFill>
                </w14:textFill>
              </w:rPr>
            </w:pPr>
            <w:r>
              <w:rPr>
                <w:rFonts w:hint="eastAsia" w:ascii="Times New Roman" w:hAnsi="Times New Roman" w:eastAsia="仿宋_GB2312" w:cs="Times New Roman"/>
                <w:color w:val="000000" w:themeColor="text1"/>
                <w:sz w:val="24"/>
                <w:lang w:eastAsia="zh-CN" w:bidi="ar"/>
                <w14:textFill>
                  <w14:solidFill>
                    <w14:schemeClr w14:val="tx1"/>
                  </w14:solidFill>
                </w14:textFill>
              </w:rPr>
              <w:t>警告，</w:t>
            </w:r>
            <w:r>
              <w:rPr>
                <w:rFonts w:hint="eastAsia" w:ascii="Times New Roman" w:hAnsi="Times New Roman" w:eastAsia="仿宋_GB2312" w:cs="Times New Roman"/>
                <w:color w:val="000000" w:themeColor="text1"/>
                <w:sz w:val="24"/>
                <w:lang w:bidi="ar"/>
                <w14:textFill>
                  <w14:solidFill>
                    <w14:schemeClr w14:val="tx1"/>
                  </w14:solidFill>
                </w14:textFill>
              </w:rPr>
              <w:t>罚款10000元以上15000元以下</w:t>
            </w:r>
            <w:r>
              <w:rPr>
                <w:rFonts w:hint="eastAsia" w:ascii="Times New Roman" w:hAnsi="Times New Roman" w:eastAsia="仿宋_GB2312" w:cs="Times New Roman"/>
                <w:color w:val="000000" w:themeColor="text1"/>
                <w:sz w:val="24"/>
                <w:lang w:eastAsia="zh-CN" w:bidi="ar"/>
                <w14:textFill>
                  <w14:solidFill>
                    <w14:schemeClr w14:val="tx1"/>
                  </w14:solidFill>
                </w14:textFill>
              </w:rPr>
              <w:t>，吊销卫生许可证。</w:t>
            </w:r>
          </w:p>
        </w:tc>
      </w:tr>
    </w:tbl>
    <w:p w14:paraId="53732C36">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617" w:name="_Toc25117"/>
      <w:bookmarkStart w:id="5618" w:name="_Toc13672"/>
      <w:bookmarkStart w:id="5619" w:name="_Toc24351"/>
      <w:bookmarkStart w:id="5620" w:name="_Toc1435"/>
      <w:bookmarkStart w:id="5621" w:name="_Toc9523"/>
      <w:bookmarkStart w:id="5622" w:name="_Toc24415"/>
      <w:bookmarkStart w:id="5623" w:name="_Toc18145"/>
      <w:bookmarkStart w:id="5624" w:name="_Toc10124"/>
      <w:bookmarkStart w:id="5625" w:name="_Toc4097"/>
      <w:bookmarkStart w:id="5626" w:name="_Toc19430"/>
      <w:bookmarkStart w:id="5627" w:name="_Toc26649"/>
      <w:r>
        <w:rPr>
          <w:rFonts w:hint="eastAsia" w:ascii="Times New Roman" w:hAnsi="Times New Roman" w:cs="仿宋_GB2312"/>
          <w:bCs/>
          <w:color w:val="000000" w:themeColor="text1"/>
          <w14:textFill>
            <w14:solidFill>
              <w14:schemeClr w14:val="tx1"/>
            </w14:solidFill>
          </w14:textFill>
        </w:rPr>
        <w:t>第四百三十七条 公共场所经营者未取得公共场所卫生许可证擅自营业，或涂改、转让、倒卖、伪造的卫生许可证擅自营业的，或未办理卫生备案的</w:t>
      </w:r>
      <w:bookmarkEnd w:id="5617"/>
      <w:bookmarkEnd w:id="5618"/>
      <w:bookmarkEnd w:id="5619"/>
      <w:bookmarkEnd w:id="5620"/>
      <w:bookmarkEnd w:id="5621"/>
      <w:bookmarkEnd w:id="5622"/>
      <w:bookmarkEnd w:id="5623"/>
      <w:bookmarkEnd w:id="5624"/>
      <w:bookmarkEnd w:id="5625"/>
      <w:bookmarkEnd w:id="5626"/>
      <w:bookmarkEnd w:id="5627"/>
    </w:p>
    <w:p w14:paraId="678B07B6">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B660FE8">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《公共场所卫生管理条例》第十四条第一款第（四）项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凡有下列行为之一的单位或者个人，卫生防疫机构可以根据情节轻重，给予警告、罚款、停业整顿、吊销卫生许可证的行政处罚：</w:t>
      </w:r>
    </w:p>
    <w:p w14:paraId="328EFEFB">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w:t>
      </w:r>
      <w:r>
        <w:rPr>
          <w:rFonts w:ascii="Times New Roman" w:hAnsi="Times New Roman" w:eastAsia="仿宋_GB2312" w:cs="仿宋_GB2312"/>
          <w:color w:val="000000" w:themeColor="text1"/>
          <w:sz w:val="32"/>
          <w:szCs w:val="32"/>
          <w14:textFill>
            <w14:solidFill>
              <w14:schemeClr w14:val="tx1"/>
            </w14:solidFill>
          </w14:textFill>
        </w:rPr>
        <w:t>未取得“卫生许可证”擅自营业，或者未办理卫生备案的。</w:t>
      </w:r>
    </w:p>
    <w:p w14:paraId="3BD467BC">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《公共场所卫生管理条例实施细则》第三十五条第一款</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对未依法取得公共场所卫生许可证擅自营业的，由县级以上地方人民政府卫生行政部门责令限期改正，给予警告，并处以五百元以上五千元以下罚款；有下列情形之一的，处以五千元以上三万元以下罚款：</w:t>
      </w:r>
    </w:p>
    <w:p w14:paraId="72F26ECC">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（一）擅自营业曾受过卫生行政部门处罚的；</w:t>
      </w:r>
    </w:p>
    <w:p w14:paraId="48A334E0">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（二）擅自营业时间在三个月以上的；</w:t>
      </w:r>
    </w:p>
    <w:p w14:paraId="7F1F3AC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（三）以涂改、转让、倒卖、伪造的卫生许可证擅自营业的。</w:t>
      </w:r>
    </w:p>
    <w:p w14:paraId="27C19D9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938"/>
        <w:gridCol w:w="4253"/>
      </w:tblGrid>
      <w:tr w14:paraId="77B4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01" w:type="dxa"/>
            <w:vAlign w:val="center"/>
          </w:tcPr>
          <w:p w14:paraId="1397CBE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938" w:type="dxa"/>
            <w:vAlign w:val="center"/>
          </w:tcPr>
          <w:p w14:paraId="2D4C319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53" w:type="dxa"/>
            <w:vAlign w:val="center"/>
          </w:tcPr>
          <w:p w14:paraId="42B6C89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753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01" w:type="dxa"/>
            <w:vMerge w:val="restart"/>
            <w:vAlign w:val="center"/>
          </w:tcPr>
          <w:p w14:paraId="024A6D3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938" w:type="dxa"/>
            <w:vMerge w:val="restart"/>
            <w:vAlign w:val="center"/>
          </w:tcPr>
          <w:p w14:paraId="618AD8C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对未依法取得公共场所卫生许可证擅自营业时间1个月及以下的；或录像厅（室）、音乐厅、展览馆、博物馆、美术馆、图书馆、书店的经营单位在营业之日起30天内未办理卫生备案的。</w:t>
            </w:r>
          </w:p>
        </w:tc>
        <w:tc>
          <w:tcPr>
            <w:tcW w:w="4253" w:type="dxa"/>
            <w:vAlign w:val="center"/>
          </w:tcPr>
          <w:p w14:paraId="425B60A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警告，罚款500元以上3000元以下。</w:t>
            </w:r>
          </w:p>
        </w:tc>
      </w:tr>
      <w:tr w14:paraId="1AF5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701" w:type="dxa"/>
            <w:vMerge w:val="restart"/>
            <w:vAlign w:val="center"/>
          </w:tcPr>
          <w:p w14:paraId="1196A57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938" w:type="dxa"/>
            <w:vMerge w:val="restart"/>
            <w:vAlign w:val="center"/>
          </w:tcPr>
          <w:p w14:paraId="0120389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对未依法取得公共场所卫生许可证擅自营业时间在1个月以上3个月以下的</w:t>
            </w:r>
            <w:r>
              <w:rPr>
                <w:rFonts w:hint="eastAsia" w:ascii="Times New Roman" w:hAnsi="Times New Roman" w:eastAsia="仿宋_GB2312" w:cs="Times New Roman"/>
                <w:color w:val="000000" w:themeColor="text1"/>
                <w:sz w:val="24"/>
                <w:lang w:bidi="ar"/>
                <w14:textFill>
                  <w14:solidFill>
                    <w14:schemeClr w14:val="tx1"/>
                  </w14:solidFill>
                </w14:textFill>
              </w:rPr>
              <w:t>。</w:t>
            </w:r>
          </w:p>
        </w:tc>
        <w:tc>
          <w:tcPr>
            <w:tcW w:w="4253" w:type="dxa"/>
            <w:vAlign w:val="center"/>
          </w:tcPr>
          <w:p w14:paraId="0CB93A9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警告，罚款3000元以上5000元以下。</w:t>
            </w:r>
          </w:p>
        </w:tc>
      </w:tr>
      <w:tr w14:paraId="2CB5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701" w:type="dxa"/>
            <w:vAlign w:val="center"/>
          </w:tcPr>
          <w:p w14:paraId="21A80A8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938" w:type="dxa"/>
            <w:vAlign w:val="center"/>
          </w:tcPr>
          <w:p w14:paraId="65FAA08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对未依法取得公共场所卫生许可证擅自营业时间在3个月以上的。</w:t>
            </w:r>
          </w:p>
        </w:tc>
        <w:tc>
          <w:tcPr>
            <w:tcW w:w="4253" w:type="dxa"/>
            <w:vAlign w:val="center"/>
          </w:tcPr>
          <w:p w14:paraId="2B1400A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eastAsia="zh-CN" w:bidi="ar"/>
                <w14:textFill>
                  <w14:solidFill>
                    <w14:schemeClr w14:val="tx1"/>
                  </w14:solidFill>
                </w14:textFill>
              </w:rPr>
              <w:t>警告，</w:t>
            </w:r>
            <w:r>
              <w:rPr>
                <w:rFonts w:hint="eastAsia" w:ascii="Times New Roman" w:hAnsi="Times New Roman" w:eastAsia="仿宋_GB2312" w:cs="Times New Roman"/>
                <w:color w:val="000000" w:themeColor="text1"/>
                <w:sz w:val="24"/>
                <w:lang w:bidi="ar"/>
                <w14:textFill>
                  <w14:solidFill>
                    <w14:schemeClr w14:val="tx1"/>
                  </w14:solidFill>
                </w14:textFill>
              </w:rPr>
              <w:t>罚款5000元以上20000元以下。</w:t>
            </w:r>
          </w:p>
        </w:tc>
      </w:tr>
      <w:tr w14:paraId="31E5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01" w:type="dxa"/>
            <w:vMerge w:val="restart"/>
            <w:vAlign w:val="center"/>
          </w:tcPr>
          <w:p w14:paraId="5C31AF9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938" w:type="dxa"/>
            <w:vAlign w:val="center"/>
          </w:tcPr>
          <w:p w14:paraId="1CE0E10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擅自营业曾受过卫生行政部门处罚，且现擅自营业；或以涂改、转让、倒卖、伪造卫生许可证擅自营业。</w:t>
            </w:r>
          </w:p>
        </w:tc>
        <w:tc>
          <w:tcPr>
            <w:tcW w:w="4253" w:type="dxa"/>
            <w:vAlign w:val="center"/>
          </w:tcPr>
          <w:p w14:paraId="7856584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eastAsia="zh-CN" w:bidi="ar"/>
                <w14:textFill>
                  <w14:solidFill>
                    <w14:schemeClr w14:val="tx1"/>
                  </w14:solidFill>
                </w14:textFill>
              </w:rPr>
              <w:t>警告，</w:t>
            </w:r>
            <w:r>
              <w:rPr>
                <w:rFonts w:hint="eastAsia" w:ascii="Times New Roman" w:hAnsi="Times New Roman" w:eastAsia="仿宋_GB2312" w:cs="Times New Roman"/>
                <w:color w:val="000000" w:themeColor="text1"/>
                <w:sz w:val="24"/>
                <w:lang w:bidi="ar"/>
                <w14:textFill>
                  <w14:solidFill>
                    <w14:schemeClr w14:val="tx1"/>
                  </w14:solidFill>
                </w14:textFill>
              </w:rPr>
              <w:t>罚款20000元以上30000元以下</w:t>
            </w:r>
            <w:r>
              <w:rPr>
                <w:rFonts w:hint="eastAsia" w:ascii="Times New Roman" w:hAnsi="Times New Roman" w:eastAsia="仿宋_GB2312" w:cs="Times New Roman"/>
                <w:color w:val="000000" w:themeColor="text1"/>
                <w:sz w:val="24"/>
                <w:lang w:eastAsia="zh-CN" w:bidi="ar"/>
                <w14:textFill>
                  <w14:solidFill>
                    <w14:schemeClr w14:val="tx1"/>
                  </w14:solidFill>
                </w14:textFill>
              </w:rPr>
              <w:t>，</w:t>
            </w:r>
            <w:r>
              <w:rPr>
                <w:rFonts w:hint="eastAsia" w:ascii="Times New Roman" w:hAnsi="Times New Roman" w:eastAsia="仿宋_GB2312" w:cs="Times New Roman"/>
                <w:color w:val="000000" w:themeColor="text1"/>
                <w:sz w:val="24"/>
                <w:lang w:bidi="ar"/>
                <w14:textFill>
                  <w14:solidFill>
                    <w14:schemeClr w14:val="tx1"/>
                  </w14:solidFill>
                </w14:textFill>
              </w:rPr>
              <w:t>责令停业整顿。</w:t>
            </w:r>
          </w:p>
        </w:tc>
      </w:tr>
      <w:tr w14:paraId="4F75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01" w:type="dxa"/>
            <w:vMerge w:val="continue"/>
            <w:vAlign w:val="center"/>
          </w:tcPr>
          <w:p w14:paraId="65B8983C">
            <w:pPr>
              <w:widowControl w:val="0"/>
              <w:adjustRightInd/>
              <w:snapToGrid/>
              <w:spacing w:after="0" w:line="34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p>
        </w:tc>
        <w:tc>
          <w:tcPr>
            <w:tcW w:w="7938" w:type="dxa"/>
            <w:vAlign w:val="center"/>
          </w:tcPr>
          <w:p w14:paraId="32CDCE0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eastAsia="zh-CN" w:bidi="ar"/>
                <w14:textFill>
                  <w14:solidFill>
                    <w14:schemeClr w14:val="tx1"/>
                  </w14:solidFill>
                </w14:textFill>
              </w:rPr>
              <w:t>产生较大健康影响后果，造成负面社会影响或其它严重情节的。</w:t>
            </w:r>
          </w:p>
        </w:tc>
        <w:tc>
          <w:tcPr>
            <w:tcW w:w="4253" w:type="dxa"/>
            <w:vAlign w:val="center"/>
          </w:tcPr>
          <w:p w14:paraId="5A00CB5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eastAsia="zh-CN" w:bidi="ar"/>
                <w14:textFill>
                  <w14:solidFill>
                    <w14:schemeClr w14:val="tx1"/>
                  </w14:solidFill>
                </w14:textFill>
              </w:rPr>
              <w:t>警告，</w:t>
            </w:r>
            <w:r>
              <w:rPr>
                <w:rFonts w:hint="eastAsia" w:ascii="Times New Roman" w:hAnsi="Times New Roman" w:eastAsia="仿宋_GB2312" w:cs="Times New Roman"/>
                <w:color w:val="000000" w:themeColor="text1"/>
                <w:sz w:val="24"/>
                <w:lang w:bidi="ar"/>
                <w14:textFill>
                  <w14:solidFill>
                    <w14:schemeClr w14:val="tx1"/>
                  </w14:solidFill>
                </w14:textFill>
              </w:rPr>
              <w:t>罚款20000元以上30000元以下</w:t>
            </w:r>
            <w:r>
              <w:rPr>
                <w:rFonts w:hint="eastAsia" w:ascii="Times New Roman" w:hAnsi="Times New Roman" w:eastAsia="仿宋_GB2312" w:cs="Times New Roman"/>
                <w:color w:val="000000" w:themeColor="text1"/>
                <w:sz w:val="24"/>
                <w:lang w:eastAsia="zh-CN" w:bidi="ar"/>
                <w14:textFill>
                  <w14:solidFill>
                    <w14:schemeClr w14:val="tx1"/>
                  </w14:solidFill>
                </w14:textFill>
              </w:rPr>
              <w:t>，</w:t>
            </w:r>
            <w:r>
              <w:rPr>
                <w:rFonts w:hint="eastAsia" w:ascii="Times New Roman" w:hAnsi="Times New Roman" w:eastAsia="仿宋_GB2312" w:cs="Times New Roman"/>
                <w:color w:val="000000" w:themeColor="text1"/>
                <w:sz w:val="24"/>
                <w:lang w:bidi="ar"/>
                <w14:textFill>
                  <w14:solidFill>
                    <w14:schemeClr w14:val="tx1"/>
                  </w14:solidFill>
                </w14:textFill>
              </w:rPr>
              <w:t>吊销卫生许可证。</w:t>
            </w:r>
          </w:p>
        </w:tc>
      </w:tr>
    </w:tbl>
    <w:p w14:paraId="35FD9139">
      <w:pPr>
        <w:pStyle w:val="4"/>
        <w:widowControl w:val="0"/>
        <w:ind w:firstLine="640"/>
        <w:jc w:val="both"/>
        <w:rPr>
          <w:rFonts w:hint="eastAsia" w:ascii="Times New Roman" w:hAnsi="Times New Roman" w:eastAsia="仿宋_GB2312" w:cs="仿宋_GB2312"/>
          <w:b/>
          <w:bCs/>
          <w:color w:val="000000" w:themeColor="text1"/>
          <w14:textFill>
            <w14:solidFill>
              <w14:schemeClr w14:val="tx1"/>
            </w14:solidFill>
          </w14:textFill>
        </w:rPr>
      </w:pPr>
      <w:bookmarkStart w:id="5628" w:name="_Toc3042"/>
      <w:bookmarkStart w:id="5629" w:name="_Toc4453"/>
      <w:bookmarkStart w:id="5630" w:name="_Toc18278"/>
      <w:bookmarkStart w:id="5631" w:name="_Toc5138"/>
      <w:bookmarkStart w:id="5632" w:name="_Toc20798"/>
      <w:bookmarkStart w:id="5633" w:name="_Toc17562"/>
      <w:bookmarkStart w:id="5634" w:name="_Toc4891"/>
      <w:bookmarkStart w:id="5635" w:name="_Toc5365"/>
      <w:bookmarkStart w:id="5636" w:name="_Toc21932"/>
      <w:bookmarkStart w:id="5637" w:name="_Toc31589"/>
      <w:bookmarkStart w:id="5638" w:name="_Toc19168"/>
      <w:r>
        <w:rPr>
          <w:rFonts w:hint="eastAsia" w:ascii="Times New Roman" w:hAnsi="Times New Roman" w:cs="仿宋_GB2312"/>
          <w:bCs/>
          <w:color w:val="000000" w:themeColor="text1"/>
          <w14:textFill>
            <w14:solidFill>
              <w14:schemeClr w14:val="tx1"/>
            </w14:solidFill>
          </w14:textFill>
        </w:rPr>
        <w:t>第四百三十八条 公共场所经营者未按规定对公共场所卫生质量进行卫生检测的</w:t>
      </w:r>
      <w:bookmarkEnd w:id="5628"/>
      <w:bookmarkEnd w:id="5629"/>
      <w:bookmarkEnd w:id="5630"/>
      <w:bookmarkEnd w:id="5631"/>
      <w:bookmarkEnd w:id="5632"/>
      <w:bookmarkEnd w:id="5633"/>
      <w:bookmarkEnd w:id="5634"/>
      <w:bookmarkEnd w:id="5635"/>
      <w:bookmarkEnd w:id="5636"/>
      <w:bookmarkEnd w:id="5637"/>
      <w:bookmarkEnd w:id="5638"/>
    </w:p>
    <w:p w14:paraId="2BDBAB6E">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0186E29">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《公共场所卫生管理条例》第十四条第一款第（一）项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凡有下列行为之一的单位或者个人，卫生防疫机构可以根据情节轻重，给予警告、罚款、停业整顿、吊销卫生许可证的行政处罚：</w:t>
      </w:r>
    </w:p>
    <w:p w14:paraId="34D04EEB">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（一）卫生质量不符合国家卫生标准和要求，而继续营业的；</w:t>
      </w:r>
    </w:p>
    <w:p w14:paraId="20E3DE07">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《公共场所卫生管理条例实施细则》第三十六条第（一）项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给予警告，并可处以二千元以下罚款；逾期不改正，造成公共场所卫生质量不符合卫生标准和要求的，处以二千元以上二万元以下罚款；情节严重的，可以依法责令停业整顿，直至吊销卫生许可证：</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p>
    <w:p w14:paraId="24A523CA">
      <w:pPr>
        <w:widowControl w:val="0"/>
        <w:adjustRightInd/>
        <w:snapToGrid/>
        <w:spacing w:after="0" w:line="440" w:lineRule="exact"/>
        <w:ind w:firstLine="64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（一）未按照规定对公共场所的空气、微小气候、水质、采光、照明、噪声、顾客用品用具等进行卫生检测的；</w:t>
      </w:r>
    </w:p>
    <w:p w14:paraId="0FC4A699">
      <w:pPr>
        <w:widowControl w:val="0"/>
        <w:spacing w:before="156" w:beforeLines="50" w:after="0" w:line="440" w:lineRule="exact"/>
        <w:jc w:val="center"/>
        <w:rPr>
          <w:rFonts w:hint="eastAsia" w:ascii="Times New Roman" w:hAnsi="Times New Roman" w:eastAsia="仿宋_GB2312" w:cs="仿宋_GB2312"/>
          <w:b/>
          <w:color w:val="000000" w:themeColor="text1"/>
          <w:sz w:val="32"/>
          <w:szCs w:val="32"/>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8242"/>
        <w:gridCol w:w="4285"/>
      </w:tblGrid>
      <w:tr w14:paraId="4CC7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97" w:type="dxa"/>
            <w:vAlign w:val="center"/>
          </w:tcPr>
          <w:p w14:paraId="0865899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242" w:type="dxa"/>
            <w:vAlign w:val="center"/>
          </w:tcPr>
          <w:p w14:paraId="2F97691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85" w:type="dxa"/>
            <w:vAlign w:val="center"/>
          </w:tcPr>
          <w:p w14:paraId="04F3B6C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A66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1397" w:type="dxa"/>
            <w:vAlign w:val="center"/>
          </w:tcPr>
          <w:p w14:paraId="18B3798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242" w:type="dxa"/>
            <w:vAlign w:val="center"/>
          </w:tcPr>
          <w:p w14:paraId="2890A53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对公共场所的空气、微小气候、水质、采光、照明、噪声、顾客用品用具等进行卫生检测的项目或指标不符合有关规定的；或者首次发现卫生质量不符合卫生标准和要求，而继续营业的。</w:t>
            </w:r>
          </w:p>
        </w:tc>
        <w:tc>
          <w:tcPr>
            <w:tcW w:w="4285" w:type="dxa"/>
            <w:vAlign w:val="center"/>
          </w:tcPr>
          <w:p w14:paraId="6E0E99C0">
            <w:pPr>
              <w:widowControl w:val="0"/>
              <w:adjustRightInd/>
              <w:snapToGrid/>
              <w:spacing w:after="0" w:line="320" w:lineRule="exact"/>
              <w:jc w:val="both"/>
              <w:rPr>
                <w:rFonts w:hint="eastAsia" w:ascii="Times New Roman" w:hAnsi="Times New Roman" w:eastAsia="仿宋_GB2312" w:cs="Times New Roman"/>
                <w:color w:val="000000" w:themeColor="text1"/>
                <w:sz w:val="24"/>
                <w:lang w:val="en"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警告，并可处1000元以下罚款</w:t>
            </w:r>
            <w:r>
              <w:rPr>
                <w:rFonts w:hint="eastAsia" w:ascii="Times New Roman" w:hAnsi="Times New Roman" w:eastAsia="仿宋_GB2312" w:cs="Times New Roman"/>
                <w:color w:val="000000" w:themeColor="text1"/>
                <w:sz w:val="24"/>
                <w:lang w:val="en" w:bidi="ar"/>
                <w14:textFill>
                  <w14:solidFill>
                    <w14:schemeClr w14:val="tx1"/>
                  </w14:solidFill>
                </w14:textFill>
              </w:rPr>
              <w:t>。</w:t>
            </w:r>
          </w:p>
        </w:tc>
      </w:tr>
      <w:tr w14:paraId="7BE5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397" w:type="dxa"/>
            <w:vAlign w:val="center"/>
          </w:tcPr>
          <w:p w14:paraId="3C582A0A">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242" w:type="dxa"/>
            <w:vAlign w:val="center"/>
          </w:tcPr>
          <w:p w14:paraId="0945C73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未按照规定对公共场所的空气、微小气候、水质、采光、照明、噪声、顾客用品用具等进行卫生检测。</w:t>
            </w:r>
          </w:p>
        </w:tc>
        <w:tc>
          <w:tcPr>
            <w:tcW w:w="4285" w:type="dxa"/>
            <w:vAlign w:val="center"/>
          </w:tcPr>
          <w:p w14:paraId="51EE27F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警告，罚款1000元以上2000元以下。</w:t>
            </w:r>
          </w:p>
        </w:tc>
      </w:tr>
      <w:tr w14:paraId="24E0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397" w:type="dxa"/>
            <w:vAlign w:val="center"/>
          </w:tcPr>
          <w:p w14:paraId="74DE8967">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242" w:type="dxa"/>
            <w:vAlign w:val="center"/>
          </w:tcPr>
          <w:p w14:paraId="02B38AD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未按照规定对公共场所的空气、微小气候、水质、采光、照明、噪声、 顾客用品用具等进行卫生检测，逾期不改正的；或者卫生质量不符合卫生标准和要求，逾期不改正，而继续营业的。</w:t>
            </w:r>
          </w:p>
        </w:tc>
        <w:tc>
          <w:tcPr>
            <w:tcW w:w="4285" w:type="dxa"/>
            <w:vAlign w:val="center"/>
          </w:tcPr>
          <w:p w14:paraId="48D915B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警告，罚款2000元以上20000元以下。</w:t>
            </w:r>
          </w:p>
        </w:tc>
      </w:tr>
      <w:tr w14:paraId="23EC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397" w:type="dxa"/>
            <w:vAlign w:val="center"/>
          </w:tcPr>
          <w:p w14:paraId="6053824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242" w:type="dxa"/>
            <w:vAlign w:val="center"/>
          </w:tcPr>
          <w:p w14:paraId="0FCA09B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未按照规定对公共场所的空气、微小气候、水质、采光、照明、噪声、 顾客用品用具等进行卫生检测，或者卫生质量不符合卫生标准和要求，而继续营业，造成严重后果的。</w:t>
            </w:r>
          </w:p>
        </w:tc>
        <w:tc>
          <w:tcPr>
            <w:tcW w:w="4285" w:type="dxa"/>
            <w:vAlign w:val="center"/>
          </w:tcPr>
          <w:p w14:paraId="0F4C9E1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责令限期改正，处以二万元罚款，依法责令停业整顿，直至吊销卫生许可证。</w:t>
            </w:r>
          </w:p>
        </w:tc>
      </w:tr>
    </w:tbl>
    <w:p w14:paraId="7B79E9AA">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639" w:name="_Toc9101"/>
      <w:bookmarkStart w:id="5640" w:name="_Toc22379"/>
      <w:bookmarkStart w:id="5641" w:name="_Toc25138"/>
      <w:bookmarkStart w:id="5642" w:name="_Toc30973"/>
      <w:bookmarkStart w:id="5643" w:name="_Toc30158"/>
      <w:bookmarkStart w:id="5644" w:name="_Toc3201"/>
      <w:bookmarkStart w:id="5645" w:name="_Toc23778"/>
      <w:bookmarkStart w:id="5646" w:name="_Toc4119"/>
      <w:bookmarkStart w:id="5647" w:name="_Toc7774"/>
      <w:bookmarkStart w:id="5648" w:name="_Toc20144"/>
      <w:bookmarkStart w:id="5649" w:name="_Toc28511"/>
      <w:r>
        <w:rPr>
          <w:rFonts w:hint="eastAsia" w:ascii="Times New Roman" w:hAnsi="Times New Roman" w:cs="仿宋_GB2312"/>
          <w:bCs/>
          <w:color w:val="000000" w:themeColor="text1"/>
          <w14:textFill>
            <w14:solidFill>
              <w14:schemeClr w14:val="tx1"/>
            </w14:solidFill>
          </w14:textFill>
        </w:rPr>
        <w:t>第四百三十九条 公共场所经营者未按照规定对顾客用品用具进行清洗、消毒、保洁的，或者重复使用一次性用品用具的</w:t>
      </w:r>
      <w:bookmarkEnd w:id="5639"/>
      <w:bookmarkEnd w:id="5640"/>
      <w:bookmarkEnd w:id="5641"/>
      <w:bookmarkEnd w:id="5642"/>
      <w:bookmarkEnd w:id="5643"/>
      <w:bookmarkEnd w:id="5644"/>
      <w:bookmarkEnd w:id="5645"/>
      <w:bookmarkEnd w:id="5646"/>
      <w:bookmarkEnd w:id="5647"/>
      <w:bookmarkEnd w:id="5648"/>
      <w:bookmarkEnd w:id="5649"/>
    </w:p>
    <w:p w14:paraId="4172B29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4370793">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《公共场所卫生管理条例》第十四条第一款第（一）项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凡有下列行为之一的单位或者个人，卫生防疫机构可以根据情节轻重，给予警告、罚款、停业整顿、吊销卫生许可证的行政处罚：</w:t>
      </w:r>
    </w:p>
    <w:p w14:paraId="4103D45C">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（一）卫生质量不符合国家卫生标准和要求，而继续营业的；</w:t>
      </w:r>
    </w:p>
    <w:p w14:paraId="47DE36E3">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《公共场所卫生管理条例实施细则》第三十六条第（二）项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给予警告，并可处以二千元以下罚款；逾期不改正，造成公共场所卫生质量不符合卫生标准和要求的，处以二千元以上二万元以下罚款；情节严重的，可以依法责令停业整顿，直至吊销卫生许可证：</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p>
    <w:p w14:paraId="2E2233CB">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（二）未按照规定对顾客用品用具进行清洗、消毒、保洁，或者重复使用一次性用品用具的。</w:t>
      </w:r>
    </w:p>
    <w:p w14:paraId="45C6660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8242"/>
        <w:gridCol w:w="4285"/>
      </w:tblGrid>
      <w:tr w14:paraId="1363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97" w:type="dxa"/>
            <w:vAlign w:val="center"/>
          </w:tcPr>
          <w:p w14:paraId="1FFCCD2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242" w:type="dxa"/>
            <w:vAlign w:val="center"/>
          </w:tcPr>
          <w:p w14:paraId="522F770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85" w:type="dxa"/>
            <w:vAlign w:val="center"/>
          </w:tcPr>
          <w:p w14:paraId="0E29336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4D5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397" w:type="dxa"/>
            <w:vAlign w:val="center"/>
          </w:tcPr>
          <w:p w14:paraId="408159AB">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242" w:type="dxa"/>
            <w:vAlign w:val="center"/>
          </w:tcPr>
          <w:p w14:paraId="0E45079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未按照规定对顾客用品用具进行清洗、消毒、保洁，或者重复使用一次性用品用具的。</w:t>
            </w:r>
          </w:p>
        </w:tc>
        <w:tc>
          <w:tcPr>
            <w:tcW w:w="4285" w:type="dxa"/>
            <w:vAlign w:val="center"/>
          </w:tcPr>
          <w:p w14:paraId="5683345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警告，并可处罚款2000元以下。</w:t>
            </w:r>
          </w:p>
        </w:tc>
      </w:tr>
      <w:tr w14:paraId="028B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397" w:type="dxa"/>
            <w:vMerge w:val="restart"/>
            <w:vAlign w:val="center"/>
          </w:tcPr>
          <w:p w14:paraId="59904BF4">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242" w:type="dxa"/>
            <w:vMerge w:val="restart"/>
            <w:vAlign w:val="center"/>
          </w:tcPr>
          <w:p w14:paraId="7D82B93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未按照规定对顾客用品用具进行清洗、消毒、保洁，或者重复使用一次性用品用具的，逾期不改正的。</w:t>
            </w:r>
          </w:p>
        </w:tc>
        <w:tc>
          <w:tcPr>
            <w:tcW w:w="4285" w:type="dxa"/>
            <w:vAlign w:val="center"/>
          </w:tcPr>
          <w:p w14:paraId="5B62FF6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警告，罚款2000元以上10000元以下。</w:t>
            </w:r>
          </w:p>
        </w:tc>
      </w:tr>
      <w:tr w14:paraId="2F45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397" w:type="dxa"/>
            <w:vMerge w:val="restart"/>
            <w:vAlign w:val="center"/>
          </w:tcPr>
          <w:p w14:paraId="2C0802E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242" w:type="dxa"/>
            <w:vAlign w:val="center"/>
          </w:tcPr>
          <w:p w14:paraId="6577914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未按照规定对顾客用品用具进行清洗、消毒、保洁，或者重复使用一次性用品用具的，逾期不改正的，造成公共场所卫生质量不符合卫生标准和要求的。</w:t>
            </w:r>
          </w:p>
        </w:tc>
        <w:tc>
          <w:tcPr>
            <w:tcW w:w="4285" w:type="dxa"/>
            <w:vAlign w:val="center"/>
          </w:tcPr>
          <w:p w14:paraId="777797E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警告，罚款10000元以上20000元以下。</w:t>
            </w:r>
          </w:p>
        </w:tc>
      </w:tr>
      <w:tr w14:paraId="6E54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397" w:type="dxa"/>
            <w:vAlign w:val="center"/>
          </w:tcPr>
          <w:p w14:paraId="70EDBFA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242" w:type="dxa"/>
            <w:vAlign w:val="center"/>
          </w:tcPr>
          <w:p w14:paraId="6D119DF9">
            <w:pPr>
              <w:widowControl w:val="0"/>
              <w:adjustRightInd/>
              <w:snapToGrid/>
              <w:spacing w:after="0" w:line="320" w:lineRule="exact"/>
              <w:jc w:val="both"/>
              <w:rPr>
                <w:rFonts w:hint="eastAsia" w:ascii="Times New Roman" w:hAnsi="Times New Roman" w:eastAsia="仿宋_GB2312" w:cs="Times New Roman"/>
                <w:color w:val="000000" w:themeColor="text1"/>
                <w:sz w:val="24"/>
                <w:lang w:val="en"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未按照规定对顾客用品用具进行清洗、消毒、保洁，或者重复使用一次性用品用具，造成严重后果的</w:t>
            </w:r>
            <w:r>
              <w:rPr>
                <w:rFonts w:hint="eastAsia" w:ascii="Times New Roman" w:hAnsi="Times New Roman" w:eastAsia="仿宋_GB2312" w:cs="Times New Roman"/>
                <w:color w:val="000000" w:themeColor="text1"/>
                <w:sz w:val="24"/>
                <w:lang w:val="en" w:bidi="ar"/>
                <w14:textFill>
                  <w14:solidFill>
                    <w14:schemeClr w14:val="tx1"/>
                  </w14:solidFill>
                </w14:textFill>
              </w:rPr>
              <w:t>。</w:t>
            </w:r>
          </w:p>
        </w:tc>
        <w:tc>
          <w:tcPr>
            <w:tcW w:w="4285" w:type="dxa"/>
            <w:vAlign w:val="center"/>
          </w:tcPr>
          <w:p w14:paraId="621CE37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处以二万元罚款，依法责令停业整顿，直至吊销卫生许可证。</w:t>
            </w:r>
          </w:p>
        </w:tc>
      </w:tr>
    </w:tbl>
    <w:p w14:paraId="7B8077D6">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650" w:name="_Toc29743"/>
      <w:bookmarkStart w:id="5651" w:name="_Toc23920"/>
      <w:bookmarkStart w:id="5652" w:name="_Toc32513"/>
      <w:bookmarkStart w:id="5653" w:name="_Toc11697"/>
      <w:bookmarkStart w:id="5654" w:name="_Toc29800"/>
      <w:bookmarkStart w:id="5655" w:name="_Toc31868"/>
      <w:bookmarkStart w:id="5656" w:name="_Toc22286"/>
      <w:bookmarkStart w:id="5657" w:name="_Toc22953"/>
      <w:bookmarkStart w:id="5658" w:name="_Toc1316"/>
      <w:bookmarkStart w:id="5659" w:name="_Toc2681"/>
      <w:bookmarkStart w:id="5660" w:name="_Toc28082"/>
      <w:r>
        <w:rPr>
          <w:rFonts w:hint="eastAsia" w:ascii="Times New Roman" w:hAnsi="Times New Roman" w:cs="仿宋_GB2312"/>
          <w:bCs/>
          <w:color w:val="000000" w:themeColor="text1"/>
          <w14:textFill>
            <w14:solidFill>
              <w14:schemeClr w14:val="tx1"/>
            </w14:solidFill>
          </w14:textFill>
        </w:rPr>
        <w:t>第四百四十条 公共场所经营者未按照规定建立卫生管理制度的，或未按照规定设立卫生管理部门的，或未按照规定配备专（兼）职卫生管理人员的，或未按照规定建立卫生管理档案的</w:t>
      </w:r>
      <w:bookmarkEnd w:id="5650"/>
      <w:bookmarkEnd w:id="5651"/>
      <w:bookmarkEnd w:id="5652"/>
      <w:bookmarkEnd w:id="5653"/>
      <w:bookmarkEnd w:id="5654"/>
      <w:bookmarkEnd w:id="5655"/>
      <w:bookmarkEnd w:id="5656"/>
      <w:bookmarkEnd w:id="5657"/>
      <w:bookmarkEnd w:id="5658"/>
      <w:bookmarkEnd w:id="5659"/>
      <w:bookmarkEnd w:id="5660"/>
    </w:p>
    <w:p w14:paraId="3C4468A2">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F6CF2CF">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《公共场所卫生管理条例实施细则》第三十七条第（一）项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14:paraId="2A482DB6">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（一）未按照规定建立卫生管理制度、设立卫生管理部门或者配备专（兼）职卫生管理人员，或者未建立卫生管理档案的；</w:t>
      </w:r>
    </w:p>
    <w:p w14:paraId="73BDF2A5">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8117"/>
        <w:gridCol w:w="4243"/>
      </w:tblGrid>
      <w:tr w14:paraId="7216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52" w:type="dxa"/>
            <w:vAlign w:val="center"/>
          </w:tcPr>
          <w:p w14:paraId="5D2DA59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17" w:type="dxa"/>
            <w:vAlign w:val="center"/>
          </w:tcPr>
          <w:p w14:paraId="4ADB6DA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3" w:type="dxa"/>
            <w:vAlign w:val="center"/>
          </w:tcPr>
          <w:p w14:paraId="27F3495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FB7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452" w:type="dxa"/>
            <w:vAlign w:val="center"/>
          </w:tcPr>
          <w:p w14:paraId="3CEA7FF9">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17" w:type="dxa"/>
            <w:vAlign w:val="center"/>
          </w:tcPr>
          <w:p w14:paraId="373B77D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有上述违法情节1项，经责令限期改正，逾期不改正的。</w:t>
            </w:r>
          </w:p>
        </w:tc>
        <w:tc>
          <w:tcPr>
            <w:tcW w:w="4243" w:type="dxa"/>
            <w:vAlign w:val="center"/>
          </w:tcPr>
          <w:p w14:paraId="3FE70F5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警告，罚款1000元以上5000元以下。</w:t>
            </w:r>
          </w:p>
        </w:tc>
      </w:tr>
      <w:tr w14:paraId="24AB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452" w:type="dxa"/>
            <w:vAlign w:val="center"/>
          </w:tcPr>
          <w:p w14:paraId="7CC96CFF">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17" w:type="dxa"/>
            <w:vAlign w:val="center"/>
          </w:tcPr>
          <w:p w14:paraId="5D4E178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有上述违法情节2项及以上，经责令限期改正，逾期不改正的。</w:t>
            </w:r>
          </w:p>
        </w:tc>
        <w:tc>
          <w:tcPr>
            <w:tcW w:w="4243" w:type="dxa"/>
            <w:vAlign w:val="center"/>
          </w:tcPr>
          <w:p w14:paraId="2718973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警告，罚款5000元以上10000元以下。</w:t>
            </w:r>
          </w:p>
        </w:tc>
      </w:tr>
      <w:tr w14:paraId="18EC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52" w:type="dxa"/>
            <w:vAlign w:val="center"/>
          </w:tcPr>
          <w:p w14:paraId="17328031">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17" w:type="dxa"/>
            <w:vAlign w:val="center"/>
          </w:tcPr>
          <w:p w14:paraId="3B06EE7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未按照规定建立卫生管理制度、设立卫生管理部门或者配备专（兼）职卫生管理人员，或者未建立卫生管理档案，拒绝监督的。</w:t>
            </w:r>
          </w:p>
        </w:tc>
        <w:tc>
          <w:tcPr>
            <w:tcW w:w="4243" w:type="dxa"/>
            <w:vAlign w:val="center"/>
          </w:tcPr>
          <w:p w14:paraId="739C3BB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警告，罚款10000元以上30000元以下。</w:t>
            </w:r>
          </w:p>
        </w:tc>
      </w:tr>
      <w:tr w14:paraId="6375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52" w:type="dxa"/>
            <w:vAlign w:val="center"/>
          </w:tcPr>
          <w:p w14:paraId="56DAEE42">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17" w:type="dxa"/>
            <w:vAlign w:val="center"/>
          </w:tcPr>
          <w:p w14:paraId="208FB30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未按照规定建立卫生管理制度、设立卫生管理部门或者配备专（兼）职卫生管理人员，或者未建立卫生管理档案，情节恶劣或后果严重的。</w:t>
            </w:r>
          </w:p>
        </w:tc>
        <w:tc>
          <w:tcPr>
            <w:tcW w:w="4243" w:type="dxa"/>
            <w:vAlign w:val="center"/>
          </w:tcPr>
          <w:p w14:paraId="189A0FF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警告，罚款30000元，责令停业整顿，直至吊销卫生许可证。</w:t>
            </w:r>
          </w:p>
        </w:tc>
      </w:tr>
    </w:tbl>
    <w:p w14:paraId="63C7813F">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661" w:name="_Toc23970"/>
      <w:bookmarkStart w:id="5662" w:name="_Toc15559"/>
      <w:bookmarkStart w:id="5663" w:name="_Toc19939"/>
      <w:bookmarkStart w:id="5664" w:name="_Toc31229"/>
      <w:bookmarkStart w:id="5665" w:name="_Toc26482"/>
      <w:bookmarkStart w:id="5666" w:name="_Toc20198"/>
      <w:bookmarkStart w:id="5667" w:name="_Toc29116"/>
      <w:bookmarkStart w:id="5668" w:name="_Toc4573"/>
      <w:bookmarkStart w:id="5669" w:name="_Toc21759"/>
      <w:bookmarkStart w:id="5670" w:name="_Toc28234"/>
      <w:bookmarkStart w:id="5671" w:name="_Toc15711"/>
      <w:r>
        <w:rPr>
          <w:rFonts w:hint="eastAsia" w:ascii="Times New Roman" w:hAnsi="Times New Roman" w:cs="仿宋_GB2312"/>
          <w:bCs/>
          <w:color w:val="000000" w:themeColor="text1"/>
          <w14:textFill>
            <w14:solidFill>
              <w14:schemeClr w14:val="tx1"/>
            </w14:solidFill>
          </w14:textFill>
        </w:rPr>
        <w:t>第四百四十一条 公共场所经营者未按照规定组织培训的，或安排未经相关卫生法律知识和公共场所卫生知识培训考核的从业人员上岗的</w:t>
      </w:r>
      <w:bookmarkEnd w:id="5661"/>
      <w:bookmarkEnd w:id="5662"/>
      <w:bookmarkEnd w:id="5663"/>
      <w:bookmarkEnd w:id="5664"/>
      <w:bookmarkEnd w:id="5665"/>
      <w:bookmarkEnd w:id="5666"/>
      <w:bookmarkEnd w:id="5667"/>
      <w:bookmarkEnd w:id="5668"/>
      <w:bookmarkEnd w:id="5669"/>
      <w:bookmarkEnd w:id="5670"/>
      <w:bookmarkEnd w:id="5671"/>
    </w:p>
    <w:p w14:paraId="65EE8811">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01B8B2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《公共场所卫生管理条例实施细则》第三十七条第（二）项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14:paraId="4F400C2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（二）未按照规定组织从业人员进行相关卫生法律知识和公共场所卫生知识培训，或者安排未经相关卫生法律知识和公共场所卫生知识培训考核的从业人员上岗的；</w:t>
      </w:r>
    </w:p>
    <w:p w14:paraId="07819A9A">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8117"/>
        <w:gridCol w:w="4243"/>
      </w:tblGrid>
      <w:tr w14:paraId="21F9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52" w:type="dxa"/>
            <w:vAlign w:val="center"/>
          </w:tcPr>
          <w:p w14:paraId="370CA8C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17" w:type="dxa"/>
            <w:vAlign w:val="center"/>
          </w:tcPr>
          <w:p w14:paraId="25EF4BF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3" w:type="dxa"/>
            <w:vAlign w:val="center"/>
          </w:tcPr>
          <w:p w14:paraId="3C33728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CF6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452" w:type="dxa"/>
            <w:vAlign w:val="center"/>
          </w:tcPr>
          <w:p w14:paraId="68D6F05A">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17" w:type="dxa"/>
            <w:vAlign w:val="center"/>
          </w:tcPr>
          <w:p w14:paraId="77EF7AE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有上述违法情节1项，经责令限期改正，逾期不改正的。</w:t>
            </w:r>
          </w:p>
        </w:tc>
        <w:tc>
          <w:tcPr>
            <w:tcW w:w="4243" w:type="dxa"/>
            <w:vAlign w:val="center"/>
          </w:tcPr>
          <w:p w14:paraId="2E6C29C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警告，罚款1000元以上5000元以下。</w:t>
            </w:r>
          </w:p>
        </w:tc>
      </w:tr>
      <w:tr w14:paraId="2AF9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52" w:type="dxa"/>
            <w:vAlign w:val="center"/>
          </w:tcPr>
          <w:p w14:paraId="1E2DC55F">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17" w:type="dxa"/>
            <w:vAlign w:val="center"/>
          </w:tcPr>
          <w:p w14:paraId="34D959C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有上述违法情节2项及以上，经责令限期改正，逾期不改正的。</w:t>
            </w:r>
          </w:p>
        </w:tc>
        <w:tc>
          <w:tcPr>
            <w:tcW w:w="4243" w:type="dxa"/>
            <w:vAlign w:val="center"/>
          </w:tcPr>
          <w:p w14:paraId="0BA80A9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警告，罚款5000元以上10000元以下。</w:t>
            </w:r>
          </w:p>
        </w:tc>
      </w:tr>
      <w:tr w14:paraId="6909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452" w:type="dxa"/>
            <w:vAlign w:val="center"/>
          </w:tcPr>
          <w:p w14:paraId="0FBAA01A">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17" w:type="dxa"/>
            <w:vAlign w:val="center"/>
          </w:tcPr>
          <w:p w14:paraId="29F0098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未按照规定组织从业人员进行相关卫生法律知识和公共场所卫生知识培训，或者安排未经相关卫生法律知识和公共场所卫生知识培训考核的从业人员上岗的，拒绝监督的。</w:t>
            </w:r>
          </w:p>
        </w:tc>
        <w:tc>
          <w:tcPr>
            <w:tcW w:w="4243" w:type="dxa"/>
            <w:vAlign w:val="center"/>
          </w:tcPr>
          <w:p w14:paraId="74BAD42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警告，罚款10000元以上30000元以下。</w:t>
            </w:r>
          </w:p>
        </w:tc>
      </w:tr>
      <w:tr w14:paraId="225D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452" w:type="dxa"/>
            <w:vAlign w:val="center"/>
          </w:tcPr>
          <w:p w14:paraId="78015AC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17" w:type="dxa"/>
            <w:vAlign w:val="center"/>
          </w:tcPr>
          <w:p w14:paraId="77665E7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w:t>
            </w: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按照规定组织从业人员进行相关卫生法律知识和公共场所卫生知识培训，或者安排未经相关卫生法律知识和公共场所卫生知识培</w:t>
            </w:r>
            <w:r>
              <w:rPr>
                <w:rFonts w:hint="eastAsia" w:ascii="Times New Roman" w:hAnsi="Times New Roman" w:eastAsia="仿宋_GB2312" w:cs="Times New Roman"/>
                <w:color w:val="000000" w:themeColor="text1"/>
                <w:sz w:val="24"/>
                <w:lang w:bidi="ar"/>
                <w14:textFill>
                  <w14:solidFill>
                    <w14:schemeClr w14:val="tx1"/>
                  </w14:solidFill>
                </w14:textFill>
              </w:rPr>
              <w:t>训考核的从业人员上岗的，情节恶劣或后果严重的。</w:t>
            </w:r>
          </w:p>
        </w:tc>
        <w:tc>
          <w:tcPr>
            <w:tcW w:w="4243" w:type="dxa"/>
            <w:vAlign w:val="center"/>
          </w:tcPr>
          <w:p w14:paraId="6C531BA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警告，罚款30000元，责令停业整顿，直至吊销卫生许可证。</w:t>
            </w:r>
          </w:p>
        </w:tc>
      </w:tr>
    </w:tbl>
    <w:p w14:paraId="577BDEDB">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672" w:name="_Toc753"/>
      <w:bookmarkStart w:id="5673" w:name="_Toc29817"/>
      <w:bookmarkStart w:id="5674" w:name="_Toc10948"/>
      <w:bookmarkStart w:id="5675" w:name="_Toc28524"/>
      <w:bookmarkStart w:id="5676" w:name="_Toc17061"/>
      <w:bookmarkStart w:id="5677" w:name="_Toc13385"/>
      <w:bookmarkStart w:id="5678" w:name="_Toc6514"/>
      <w:bookmarkStart w:id="5679" w:name="_Toc7735"/>
      <w:bookmarkStart w:id="5680" w:name="_Toc15139"/>
      <w:bookmarkStart w:id="5681" w:name="_Toc18127"/>
      <w:bookmarkStart w:id="5682" w:name="_Toc14714"/>
      <w:r>
        <w:rPr>
          <w:rFonts w:hint="eastAsia" w:ascii="Times New Roman" w:hAnsi="Times New Roman" w:cs="仿宋_GB2312"/>
          <w:bCs/>
          <w:color w:val="000000" w:themeColor="text1"/>
          <w14:textFill>
            <w14:solidFill>
              <w14:schemeClr w14:val="tx1"/>
            </w14:solidFill>
          </w14:textFill>
        </w:rPr>
        <w:t>第四百四十二条 公共场所经营者未按照规定设置与其经营规模、项目相适应的清洗、消毒、保洁、盥洗等设施设备和公共卫生间的，或擅自停止使用、拆除上述设施设备，或者挪作他用的</w:t>
      </w:r>
      <w:bookmarkEnd w:id="5672"/>
      <w:bookmarkEnd w:id="5673"/>
      <w:bookmarkEnd w:id="5674"/>
      <w:bookmarkEnd w:id="5675"/>
      <w:bookmarkEnd w:id="5676"/>
      <w:bookmarkEnd w:id="5677"/>
      <w:bookmarkEnd w:id="5678"/>
      <w:bookmarkEnd w:id="5679"/>
      <w:bookmarkEnd w:id="5680"/>
      <w:bookmarkEnd w:id="5681"/>
      <w:bookmarkEnd w:id="5682"/>
    </w:p>
    <w:p w14:paraId="0777DEC8">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188A41A">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《公共场所卫生管理条例实施细则》第三十七条第（三）项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14:paraId="0E7FB22C">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（三）未按照规定设置与其经营规模、项目相适应的清洗、消毒、保洁、盥洗等设施设备和公共卫生间，或者擅自停止使用、拆除上述设施设备，或者挪作他用的；</w:t>
      </w:r>
    </w:p>
    <w:p w14:paraId="6BA00CA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8117"/>
        <w:gridCol w:w="4243"/>
      </w:tblGrid>
      <w:tr w14:paraId="3308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52" w:type="dxa"/>
            <w:vAlign w:val="center"/>
          </w:tcPr>
          <w:p w14:paraId="49E68D4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17" w:type="dxa"/>
            <w:vAlign w:val="center"/>
          </w:tcPr>
          <w:p w14:paraId="71C76DC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3" w:type="dxa"/>
            <w:vAlign w:val="center"/>
          </w:tcPr>
          <w:p w14:paraId="59ECF2E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341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452" w:type="dxa"/>
            <w:vAlign w:val="center"/>
          </w:tcPr>
          <w:p w14:paraId="12B45677">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17" w:type="dxa"/>
            <w:vAlign w:val="center"/>
          </w:tcPr>
          <w:p w14:paraId="121D149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有上述违法情节1项，经责令限期改正，逾期不改正的。</w:t>
            </w:r>
          </w:p>
        </w:tc>
        <w:tc>
          <w:tcPr>
            <w:tcW w:w="4243" w:type="dxa"/>
            <w:vAlign w:val="center"/>
          </w:tcPr>
          <w:p w14:paraId="7FCA768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警告，罚款1000元以上5000元以下。</w:t>
            </w:r>
          </w:p>
        </w:tc>
      </w:tr>
      <w:tr w14:paraId="35B5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52" w:type="dxa"/>
            <w:vAlign w:val="center"/>
          </w:tcPr>
          <w:p w14:paraId="50FDFFDF">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17" w:type="dxa"/>
            <w:vAlign w:val="center"/>
          </w:tcPr>
          <w:p w14:paraId="2B058B5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有上述违法情节2项及以上，经责令限期改正，逾期不改正的。</w:t>
            </w:r>
          </w:p>
        </w:tc>
        <w:tc>
          <w:tcPr>
            <w:tcW w:w="4243" w:type="dxa"/>
            <w:vAlign w:val="center"/>
          </w:tcPr>
          <w:p w14:paraId="02E0228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警告，罚款5000元以上10000元以下。</w:t>
            </w:r>
          </w:p>
        </w:tc>
      </w:tr>
      <w:tr w14:paraId="2819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452" w:type="dxa"/>
            <w:vAlign w:val="center"/>
          </w:tcPr>
          <w:p w14:paraId="364722D3">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17" w:type="dxa"/>
            <w:vAlign w:val="center"/>
          </w:tcPr>
          <w:p w14:paraId="5DB6412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未按照规定设置与其经营规模、项目相适应的清洗、消毒、保洁、盥洗等设施设备和公共卫生间，或者擅自停止使用、拆除上述设施设备，或者挪作他用的，拒绝监督的 。</w:t>
            </w:r>
          </w:p>
        </w:tc>
        <w:tc>
          <w:tcPr>
            <w:tcW w:w="4243" w:type="dxa"/>
            <w:vAlign w:val="center"/>
          </w:tcPr>
          <w:p w14:paraId="5599236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警告，罚款10000元以上30000元以下。</w:t>
            </w:r>
          </w:p>
        </w:tc>
      </w:tr>
      <w:tr w14:paraId="6D2A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452" w:type="dxa"/>
            <w:vAlign w:val="center"/>
          </w:tcPr>
          <w:p w14:paraId="652A38FB">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17" w:type="dxa"/>
            <w:vAlign w:val="center"/>
          </w:tcPr>
          <w:p w14:paraId="3E5523E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未按照规定设置与其经营规模、项目相适应的清洗、消毒、保洁、盥洗等设施设备和公共卫生间，或者擅自停止使用、拆除上述设施设备，或者挪作他用的，情节恶劣或后果严重的。</w:t>
            </w:r>
          </w:p>
        </w:tc>
        <w:tc>
          <w:tcPr>
            <w:tcW w:w="4243" w:type="dxa"/>
            <w:vAlign w:val="center"/>
          </w:tcPr>
          <w:p w14:paraId="79C20A3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警告，罚款30000元，责令停业整顿，直至吊销卫生许可证。</w:t>
            </w:r>
          </w:p>
        </w:tc>
      </w:tr>
    </w:tbl>
    <w:p w14:paraId="6EC1C260">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683" w:name="_Toc30057"/>
      <w:bookmarkStart w:id="5684" w:name="_Toc19683"/>
      <w:bookmarkStart w:id="5685" w:name="_Toc3095"/>
      <w:bookmarkStart w:id="5686" w:name="_Toc22080"/>
      <w:bookmarkStart w:id="5687" w:name="_Toc16186"/>
      <w:bookmarkStart w:id="5688" w:name="_Toc27620"/>
      <w:bookmarkStart w:id="5689" w:name="_Toc27962"/>
      <w:bookmarkStart w:id="5690" w:name="_Toc22597"/>
      <w:bookmarkStart w:id="5691" w:name="_Toc31935"/>
      <w:bookmarkStart w:id="5692" w:name="_Toc27255"/>
      <w:bookmarkStart w:id="5693" w:name="_Toc21728"/>
      <w:r>
        <w:rPr>
          <w:rFonts w:hint="eastAsia" w:ascii="Times New Roman" w:hAnsi="Times New Roman" w:cs="仿宋_GB2312"/>
          <w:bCs/>
          <w:color w:val="000000" w:themeColor="text1"/>
          <w14:textFill>
            <w14:solidFill>
              <w14:schemeClr w14:val="tx1"/>
            </w14:solidFill>
          </w14:textFill>
        </w:rPr>
        <w:t>第四百四十三条 公共场所经营者未按照规定配备预防控制鼠、蚊、蝇、蟑螂和其他病媒生物的设施设备以及废弃物存放专用设施设备，或者擅自停止使用、拆除预防控制鼠、蚊、蝇、蟑螂和其他病媒生物的设施设备以及废弃物存放专用设施设备的</w:t>
      </w:r>
      <w:bookmarkEnd w:id="5683"/>
      <w:bookmarkEnd w:id="5684"/>
      <w:bookmarkEnd w:id="5685"/>
      <w:bookmarkEnd w:id="5686"/>
      <w:bookmarkEnd w:id="5687"/>
      <w:bookmarkEnd w:id="5688"/>
      <w:bookmarkEnd w:id="5689"/>
      <w:bookmarkEnd w:id="5690"/>
      <w:bookmarkEnd w:id="5691"/>
      <w:bookmarkEnd w:id="5692"/>
      <w:bookmarkEnd w:id="5693"/>
    </w:p>
    <w:p w14:paraId="738447B9">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FD143A2">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《公共场所卫生管理条例实施细则》第三十七条第（四）项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14:paraId="15EEA6BA">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未按照规定配备预防控制鼠、蚊、蝇、蟑螂和其他病媒生物的设施设备以及废弃物存放专用设施设备，或者擅自停止使用、拆除预防控制鼠、蚊、蝇、蟑螂和其他病媒生物的设施设备以及废弃物存放专用设施设备的；</w:t>
      </w:r>
    </w:p>
    <w:p w14:paraId="44CA4F0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571"/>
        <w:gridCol w:w="4520"/>
      </w:tblGrid>
      <w:tr w14:paraId="05FB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20" w:type="dxa"/>
            <w:vAlign w:val="center"/>
          </w:tcPr>
          <w:p w14:paraId="02DE090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1" w:type="dxa"/>
            <w:vAlign w:val="center"/>
          </w:tcPr>
          <w:p w14:paraId="41C5399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20" w:type="dxa"/>
            <w:vAlign w:val="center"/>
          </w:tcPr>
          <w:p w14:paraId="09C33CE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648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vAlign w:val="center"/>
          </w:tcPr>
          <w:p w14:paraId="11C6B18A">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7571" w:type="dxa"/>
            <w:vAlign w:val="center"/>
          </w:tcPr>
          <w:p w14:paraId="4CEFF8E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有上述违法情节1项，经责令限期改正，逾期不改正的。</w:t>
            </w:r>
          </w:p>
        </w:tc>
        <w:tc>
          <w:tcPr>
            <w:tcW w:w="4520" w:type="dxa"/>
            <w:vAlign w:val="center"/>
          </w:tcPr>
          <w:p w14:paraId="5F4319A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警告，罚款1000元以上5000元以下。</w:t>
            </w:r>
          </w:p>
        </w:tc>
      </w:tr>
      <w:tr w14:paraId="0C72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vAlign w:val="center"/>
          </w:tcPr>
          <w:p w14:paraId="38420E7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7571" w:type="dxa"/>
            <w:vAlign w:val="center"/>
          </w:tcPr>
          <w:p w14:paraId="0A00D70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有上述违法情节2项及以上，经责令限期改正，逾期不改正的。</w:t>
            </w:r>
          </w:p>
        </w:tc>
        <w:tc>
          <w:tcPr>
            <w:tcW w:w="4520" w:type="dxa"/>
            <w:vAlign w:val="center"/>
          </w:tcPr>
          <w:p w14:paraId="653DC26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警告，罚款5000元以上10000元以下。</w:t>
            </w:r>
          </w:p>
        </w:tc>
      </w:tr>
      <w:tr w14:paraId="41DC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20" w:type="dxa"/>
            <w:vAlign w:val="center"/>
          </w:tcPr>
          <w:p w14:paraId="48E1149E">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7571" w:type="dxa"/>
            <w:vAlign w:val="center"/>
          </w:tcPr>
          <w:p w14:paraId="3956B6B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配备预防控制鼠、蚊、蝇、蟑螂和其他病媒生物的设施设备以及废弃物存放专用设施设备，或者擅自停止使用、拆除预防控制鼠、蚊、蝇、蟑螂和其他病媒生物的设施设备以及废弃物存放专用设施设备的，拒绝监督的。</w:t>
            </w:r>
          </w:p>
        </w:tc>
        <w:tc>
          <w:tcPr>
            <w:tcW w:w="4520" w:type="dxa"/>
            <w:vAlign w:val="center"/>
          </w:tcPr>
          <w:p w14:paraId="6DA8222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警告，罚款10000元以上30000元以下。</w:t>
            </w:r>
          </w:p>
        </w:tc>
      </w:tr>
      <w:tr w14:paraId="5B5A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20" w:type="dxa"/>
            <w:vAlign w:val="center"/>
          </w:tcPr>
          <w:p w14:paraId="658D4B4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7571" w:type="dxa"/>
            <w:vAlign w:val="center"/>
          </w:tcPr>
          <w:p w14:paraId="5C88F74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配备预防控制鼠、蚊、蝇、蟑螂和其他病媒生物的设施设备以及废弃物存放专用设施设备，或者擅自停止使用、拆除预防控制鼠、蚊、蝇、蟑螂和其他病媒生物的设施设备以及废弃物存放专用设施设备的，情节恶劣或后果严重的。</w:t>
            </w:r>
          </w:p>
        </w:tc>
        <w:tc>
          <w:tcPr>
            <w:tcW w:w="4520" w:type="dxa"/>
            <w:vAlign w:val="center"/>
          </w:tcPr>
          <w:p w14:paraId="449E211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警告，罚款30000元，责令停业整顿，直至吊销卫生许可证。</w:t>
            </w:r>
          </w:p>
        </w:tc>
      </w:tr>
    </w:tbl>
    <w:p w14:paraId="345C1B5E">
      <w:pPr>
        <w:pStyle w:val="4"/>
        <w:widowControl w:val="0"/>
        <w:ind w:firstLine="640"/>
        <w:jc w:val="both"/>
        <w:rPr>
          <w:rFonts w:hint="eastAsia" w:ascii="Times New Roman" w:hAnsi="Times New Roman" w:eastAsia="仿宋_GB2312" w:cs="仿宋_GB2312"/>
          <w:b/>
          <w:bCs/>
          <w:color w:val="000000" w:themeColor="text1"/>
          <w:spacing w:val="-6"/>
          <w14:textFill>
            <w14:solidFill>
              <w14:schemeClr w14:val="tx1"/>
            </w14:solidFill>
          </w14:textFill>
        </w:rPr>
      </w:pPr>
      <w:bookmarkStart w:id="5694" w:name="_Toc7800"/>
      <w:bookmarkStart w:id="5695" w:name="_Toc5651"/>
      <w:bookmarkStart w:id="5696" w:name="_Toc1347"/>
      <w:bookmarkStart w:id="5697" w:name="_Toc27858"/>
      <w:bookmarkStart w:id="5698" w:name="_Toc23002"/>
      <w:bookmarkStart w:id="5699" w:name="_Toc11480"/>
      <w:bookmarkStart w:id="5700" w:name="_Toc23387"/>
      <w:bookmarkStart w:id="5701" w:name="_Toc6953"/>
      <w:bookmarkStart w:id="5702" w:name="_Toc1696"/>
      <w:bookmarkStart w:id="5703" w:name="_Toc19722"/>
      <w:bookmarkStart w:id="5704" w:name="_Toc22116"/>
      <w:r>
        <w:rPr>
          <w:rFonts w:hint="eastAsia" w:ascii="Times New Roman" w:hAnsi="Times New Roman" w:cs="仿宋_GB2312"/>
          <w:bCs/>
          <w:color w:val="000000" w:themeColor="text1"/>
          <w14:textFill>
            <w14:solidFill>
              <w14:schemeClr w14:val="tx1"/>
            </w14:solidFill>
          </w14:textFill>
        </w:rPr>
        <w:t xml:space="preserve">第四百四十四条 </w:t>
      </w:r>
      <w:r>
        <w:rPr>
          <w:rFonts w:hint="eastAsia" w:ascii="Times New Roman" w:hAnsi="Times New Roman" w:cs="仿宋_GB2312"/>
          <w:bCs/>
          <w:color w:val="000000" w:themeColor="text1"/>
          <w:spacing w:val="-6"/>
          <w14:textFill>
            <w14:solidFill>
              <w14:schemeClr w14:val="tx1"/>
            </w14:solidFill>
          </w14:textFill>
        </w:rPr>
        <w:t>公共场所经营者未按照规定索取公共卫生用品检验合格证明和其他相关资料的</w:t>
      </w:r>
      <w:bookmarkEnd w:id="5694"/>
      <w:bookmarkEnd w:id="5695"/>
      <w:bookmarkEnd w:id="5696"/>
      <w:bookmarkEnd w:id="5697"/>
      <w:bookmarkEnd w:id="5698"/>
      <w:bookmarkEnd w:id="5699"/>
      <w:bookmarkEnd w:id="5700"/>
      <w:bookmarkEnd w:id="5701"/>
      <w:bookmarkEnd w:id="5702"/>
      <w:bookmarkEnd w:id="5703"/>
      <w:bookmarkEnd w:id="5704"/>
    </w:p>
    <w:p w14:paraId="7EBE9E7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F875DE0">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《公共场所卫生管理条例实施细则》第三十七条第（五）项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14:paraId="2CDBDFC2">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（五）未按照规定索取公共卫生用品检验合格证明和其他相关资料的；</w:t>
      </w:r>
    </w:p>
    <w:p w14:paraId="10A7F0F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8117"/>
        <w:gridCol w:w="4243"/>
      </w:tblGrid>
      <w:tr w14:paraId="5EC4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52" w:type="dxa"/>
            <w:vAlign w:val="center"/>
          </w:tcPr>
          <w:p w14:paraId="7E1D923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17" w:type="dxa"/>
            <w:vAlign w:val="center"/>
          </w:tcPr>
          <w:p w14:paraId="7505898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3" w:type="dxa"/>
            <w:vAlign w:val="center"/>
          </w:tcPr>
          <w:p w14:paraId="437BF51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8DD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52" w:type="dxa"/>
            <w:vAlign w:val="center"/>
          </w:tcPr>
          <w:p w14:paraId="1CE2918D">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17" w:type="dxa"/>
            <w:vAlign w:val="center"/>
          </w:tcPr>
          <w:p w14:paraId="683285C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有上述违法情节1项，经责令限期改正，逾期不改正的。</w:t>
            </w:r>
          </w:p>
        </w:tc>
        <w:tc>
          <w:tcPr>
            <w:tcW w:w="4243" w:type="dxa"/>
            <w:vAlign w:val="center"/>
          </w:tcPr>
          <w:p w14:paraId="1C7BF7F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警告，罚款1000元以上5000元以下。</w:t>
            </w:r>
          </w:p>
        </w:tc>
      </w:tr>
      <w:tr w14:paraId="367D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52" w:type="dxa"/>
            <w:vAlign w:val="center"/>
          </w:tcPr>
          <w:p w14:paraId="45EAE273">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17" w:type="dxa"/>
            <w:vAlign w:val="center"/>
          </w:tcPr>
          <w:p w14:paraId="3C4CE726">
            <w:pPr>
              <w:widowControl w:val="0"/>
              <w:adjustRightInd/>
              <w:snapToGrid/>
              <w:spacing w:after="0" w:line="320" w:lineRule="exact"/>
              <w:jc w:val="both"/>
              <w:rPr>
                <w:rFonts w:hint="eastAsia" w:ascii="Times New Roman" w:hAnsi="Times New Roman" w:eastAsia="仿宋_GB2312" w:cs="Times New Roman"/>
                <w:color w:val="000000" w:themeColor="text1"/>
                <w:sz w:val="24"/>
                <w:lang w:val="en"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有上述违法情节2项及以上，经责令限期改正，逾期不改正的</w:t>
            </w:r>
            <w:r>
              <w:rPr>
                <w:rFonts w:hint="eastAsia" w:ascii="Times New Roman" w:hAnsi="Times New Roman" w:eastAsia="仿宋_GB2312" w:cs="Times New Roman"/>
                <w:color w:val="000000" w:themeColor="text1"/>
                <w:sz w:val="24"/>
                <w:lang w:val="en" w:bidi="ar"/>
                <w14:textFill>
                  <w14:solidFill>
                    <w14:schemeClr w14:val="tx1"/>
                  </w14:solidFill>
                </w14:textFill>
              </w:rPr>
              <w:t>。</w:t>
            </w:r>
          </w:p>
        </w:tc>
        <w:tc>
          <w:tcPr>
            <w:tcW w:w="4243" w:type="dxa"/>
            <w:vAlign w:val="center"/>
          </w:tcPr>
          <w:p w14:paraId="4D6AB87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警告，罚款5000元以上10000元以下。</w:t>
            </w:r>
          </w:p>
        </w:tc>
      </w:tr>
      <w:tr w14:paraId="6B9D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452" w:type="dxa"/>
            <w:vAlign w:val="center"/>
          </w:tcPr>
          <w:p w14:paraId="3A9F96B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17" w:type="dxa"/>
            <w:vAlign w:val="center"/>
          </w:tcPr>
          <w:p w14:paraId="69393BD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未按照规定索取公共卫生用品检验合格证明和其他相关资料的，拒绝监督的。</w:t>
            </w:r>
          </w:p>
        </w:tc>
        <w:tc>
          <w:tcPr>
            <w:tcW w:w="4243" w:type="dxa"/>
            <w:vAlign w:val="center"/>
          </w:tcPr>
          <w:p w14:paraId="2BD1639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警告，罚款10000元以上30000元以下。</w:t>
            </w:r>
          </w:p>
        </w:tc>
      </w:tr>
      <w:tr w14:paraId="7857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52" w:type="dxa"/>
            <w:vAlign w:val="center"/>
          </w:tcPr>
          <w:p w14:paraId="47D93182">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17" w:type="dxa"/>
            <w:vAlign w:val="center"/>
          </w:tcPr>
          <w:p w14:paraId="687BD2D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未按照规定索取公共卫生用品检验合格证明和其他相关资料的，情节恶劣或后果严重的。</w:t>
            </w:r>
          </w:p>
        </w:tc>
        <w:tc>
          <w:tcPr>
            <w:tcW w:w="4243" w:type="dxa"/>
            <w:vAlign w:val="center"/>
          </w:tcPr>
          <w:p w14:paraId="3267F3A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警告，罚款30000元，责令停业整顿，直至吊销卫生许可证。</w:t>
            </w:r>
          </w:p>
        </w:tc>
      </w:tr>
    </w:tbl>
    <w:p w14:paraId="04316EC2">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705" w:name="_Toc32565"/>
      <w:bookmarkStart w:id="5706" w:name="_Toc1904"/>
      <w:bookmarkStart w:id="5707" w:name="_Toc16525"/>
      <w:bookmarkStart w:id="5708" w:name="_Toc29509"/>
      <w:bookmarkStart w:id="5709" w:name="_Toc26932"/>
      <w:bookmarkStart w:id="5710" w:name="_Toc26555"/>
      <w:bookmarkStart w:id="5711" w:name="_Toc5228"/>
      <w:bookmarkStart w:id="5712" w:name="_Toc18395"/>
      <w:bookmarkStart w:id="5713" w:name="_Toc22244"/>
      <w:bookmarkStart w:id="5714" w:name="_Toc12948"/>
      <w:bookmarkStart w:id="5715" w:name="_Toc6361"/>
      <w:r>
        <w:rPr>
          <w:rFonts w:hint="eastAsia" w:ascii="Times New Roman" w:hAnsi="Times New Roman" w:cs="仿宋_GB2312"/>
          <w:bCs/>
          <w:color w:val="000000" w:themeColor="text1"/>
          <w14:textFill>
            <w14:solidFill>
              <w14:schemeClr w14:val="tx1"/>
            </w14:solidFill>
          </w14:textFill>
        </w:rPr>
        <w:t>第四百四十五条 公共场所经营者未按照规定对公共场所新建、改建、扩建项目办理预防性卫生审查手续的</w:t>
      </w:r>
      <w:bookmarkEnd w:id="5705"/>
      <w:bookmarkEnd w:id="5706"/>
      <w:bookmarkEnd w:id="5707"/>
      <w:bookmarkEnd w:id="5708"/>
      <w:bookmarkEnd w:id="5709"/>
      <w:bookmarkEnd w:id="5710"/>
      <w:bookmarkEnd w:id="5711"/>
      <w:bookmarkEnd w:id="5712"/>
      <w:bookmarkEnd w:id="5713"/>
      <w:bookmarkEnd w:id="5714"/>
      <w:bookmarkEnd w:id="5715"/>
    </w:p>
    <w:p w14:paraId="679443E6">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B03FDF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《公共场所卫生管理条例实施细则》第三十七条第（六）项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14:paraId="0D2A50A9">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（六）未按照规定对公共场所新建、改建、扩建项目办理预防性卫生审查手续的；</w:t>
      </w:r>
    </w:p>
    <w:p w14:paraId="51D973E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8117"/>
        <w:gridCol w:w="4243"/>
      </w:tblGrid>
      <w:tr w14:paraId="5C9F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52" w:type="dxa"/>
            <w:vAlign w:val="center"/>
          </w:tcPr>
          <w:p w14:paraId="0100449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17" w:type="dxa"/>
            <w:vAlign w:val="center"/>
          </w:tcPr>
          <w:p w14:paraId="69F267A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3" w:type="dxa"/>
            <w:vAlign w:val="center"/>
          </w:tcPr>
          <w:p w14:paraId="4B42C99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636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52" w:type="dxa"/>
            <w:vAlign w:val="center"/>
          </w:tcPr>
          <w:p w14:paraId="73AAADA3">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17" w:type="dxa"/>
            <w:vAlign w:val="center"/>
          </w:tcPr>
          <w:p w14:paraId="6730918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有上述违法情节1项，经责令限期改正，逾期不改正的。</w:t>
            </w:r>
          </w:p>
        </w:tc>
        <w:tc>
          <w:tcPr>
            <w:tcW w:w="4243" w:type="dxa"/>
            <w:vAlign w:val="center"/>
          </w:tcPr>
          <w:p w14:paraId="2EB3F23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警告，罚款1000元以上5000元以下。</w:t>
            </w:r>
          </w:p>
        </w:tc>
      </w:tr>
      <w:tr w14:paraId="0123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52" w:type="dxa"/>
            <w:vAlign w:val="center"/>
          </w:tcPr>
          <w:p w14:paraId="664F149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17" w:type="dxa"/>
            <w:vAlign w:val="center"/>
          </w:tcPr>
          <w:p w14:paraId="39C5D72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有上述违法情节2项及以上，经责令限期改正，逾期不改正的。</w:t>
            </w:r>
          </w:p>
        </w:tc>
        <w:tc>
          <w:tcPr>
            <w:tcW w:w="4243" w:type="dxa"/>
            <w:vAlign w:val="center"/>
          </w:tcPr>
          <w:p w14:paraId="68D1747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警告，罚款5000元以上10000元以下。</w:t>
            </w:r>
          </w:p>
        </w:tc>
      </w:tr>
      <w:tr w14:paraId="2A21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452" w:type="dxa"/>
            <w:vAlign w:val="center"/>
          </w:tcPr>
          <w:p w14:paraId="08535AAB">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17" w:type="dxa"/>
            <w:vAlign w:val="center"/>
          </w:tcPr>
          <w:p w14:paraId="7C9CFCD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未按照规定对公共场所新建、改建、扩建项目办理预防性卫生审查手续的，拒绝监督的。</w:t>
            </w:r>
          </w:p>
        </w:tc>
        <w:tc>
          <w:tcPr>
            <w:tcW w:w="4243" w:type="dxa"/>
            <w:vAlign w:val="center"/>
          </w:tcPr>
          <w:p w14:paraId="080FD5B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警告，罚款10000元以上30000元以下。</w:t>
            </w:r>
          </w:p>
        </w:tc>
      </w:tr>
      <w:tr w14:paraId="5C74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52" w:type="dxa"/>
            <w:vAlign w:val="center"/>
          </w:tcPr>
          <w:p w14:paraId="4B08B17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17" w:type="dxa"/>
            <w:vAlign w:val="center"/>
          </w:tcPr>
          <w:p w14:paraId="14BD6CD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未按照规定对公共场所新建、改建、扩建项目办理预防性卫生审查手续的，情节恶劣或后果严重的。</w:t>
            </w:r>
          </w:p>
        </w:tc>
        <w:tc>
          <w:tcPr>
            <w:tcW w:w="4243" w:type="dxa"/>
            <w:vAlign w:val="center"/>
          </w:tcPr>
          <w:p w14:paraId="1E8E255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警告，罚款30000元，责令停业整顿，直至吊销卫生许可证。</w:t>
            </w:r>
          </w:p>
        </w:tc>
      </w:tr>
    </w:tbl>
    <w:p w14:paraId="06A7D8C9">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716" w:name="_Toc8273"/>
      <w:bookmarkStart w:id="5717" w:name="_Toc12894"/>
      <w:bookmarkStart w:id="5718" w:name="_Toc5992"/>
      <w:bookmarkStart w:id="5719" w:name="_Toc11565"/>
      <w:bookmarkStart w:id="5720" w:name="_Toc32261"/>
      <w:bookmarkStart w:id="5721" w:name="_Toc10904"/>
      <w:bookmarkStart w:id="5722" w:name="_Toc31734"/>
      <w:bookmarkStart w:id="5723" w:name="_Toc20429"/>
      <w:bookmarkStart w:id="5724" w:name="_Toc23775"/>
      <w:bookmarkStart w:id="5725" w:name="_Toc19053"/>
      <w:bookmarkStart w:id="5726" w:name="_Toc20388"/>
      <w:r>
        <w:rPr>
          <w:rFonts w:hint="eastAsia" w:ascii="Times New Roman" w:hAnsi="Times New Roman" w:cs="仿宋_GB2312"/>
          <w:bCs/>
          <w:color w:val="000000" w:themeColor="text1"/>
          <w14:textFill>
            <w14:solidFill>
              <w14:schemeClr w14:val="tx1"/>
            </w14:solidFill>
          </w14:textFill>
        </w:rPr>
        <w:t>第四百四十六条 公共场所经营者使用未经卫生检测或者评价不合格而投入使用的集中空调通风系统的</w:t>
      </w:r>
      <w:bookmarkEnd w:id="5716"/>
      <w:bookmarkEnd w:id="5717"/>
      <w:bookmarkEnd w:id="5718"/>
      <w:bookmarkEnd w:id="5719"/>
      <w:bookmarkEnd w:id="5720"/>
      <w:bookmarkEnd w:id="5721"/>
      <w:bookmarkEnd w:id="5722"/>
      <w:bookmarkEnd w:id="5723"/>
      <w:bookmarkEnd w:id="5724"/>
      <w:bookmarkEnd w:id="5725"/>
      <w:bookmarkEnd w:id="5726"/>
    </w:p>
    <w:p w14:paraId="2B663CC6">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C68BBCA">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《公共场所卫生管理条例实施细则》第三十七条第（七）项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14:paraId="61FB4BA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（七）公共场所集中空调通风系统未经卫生检测或者评价不合格而投入使用的；</w:t>
      </w:r>
    </w:p>
    <w:p w14:paraId="76976E5A">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8117"/>
        <w:gridCol w:w="4243"/>
      </w:tblGrid>
      <w:tr w14:paraId="2AEC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52" w:type="dxa"/>
            <w:vAlign w:val="center"/>
          </w:tcPr>
          <w:p w14:paraId="3636EF5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17" w:type="dxa"/>
            <w:vAlign w:val="center"/>
          </w:tcPr>
          <w:p w14:paraId="444B6A5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3" w:type="dxa"/>
            <w:vAlign w:val="center"/>
          </w:tcPr>
          <w:p w14:paraId="292B0F8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FF7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52" w:type="dxa"/>
            <w:vAlign w:val="center"/>
          </w:tcPr>
          <w:p w14:paraId="66694EE7">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17" w:type="dxa"/>
            <w:vAlign w:val="center"/>
          </w:tcPr>
          <w:p w14:paraId="4955BB8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有上述违法情节1项，经责令限期改正，逾期不改正的。</w:t>
            </w:r>
          </w:p>
        </w:tc>
        <w:tc>
          <w:tcPr>
            <w:tcW w:w="4243" w:type="dxa"/>
            <w:vAlign w:val="center"/>
          </w:tcPr>
          <w:p w14:paraId="38854FC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警告，罚款1000元以上5000元以下。</w:t>
            </w:r>
          </w:p>
        </w:tc>
      </w:tr>
      <w:tr w14:paraId="3221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52" w:type="dxa"/>
            <w:vAlign w:val="center"/>
          </w:tcPr>
          <w:p w14:paraId="4ECABCA2">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17" w:type="dxa"/>
            <w:vAlign w:val="center"/>
          </w:tcPr>
          <w:p w14:paraId="50E5773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有上述违法情节2项及以上，经责令限期改正，逾期不改正的。</w:t>
            </w:r>
          </w:p>
        </w:tc>
        <w:tc>
          <w:tcPr>
            <w:tcW w:w="4243" w:type="dxa"/>
            <w:vAlign w:val="center"/>
          </w:tcPr>
          <w:p w14:paraId="5926B3C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警告，罚款5000元以上10000元以下。</w:t>
            </w:r>
          </w:p>
        </w:tc>
      </w:tr>
      <w:tr w14:paraId="3C17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452" w:type="dxa"/>
            <w:vAlign w:val="center"/>
          </w:tcPr>
          <w:p w14:paraId="7CF08579">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17" w:type="dxa"/>
            <w:vAlign w:val="center"/>
          </w:tcPr>
          <w:p w14:paraId="670E830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公共场所集中空调通风系统未经卫生检测或者评价不合格而投入使用的，拒绝监督的。</w:t>
            </w:r>
          </w:p>
        </w:tc>
        <w:tc>
          <w:tcPr>
            <w:tcW w:w="4243" w:type="dxa"/>
            <w:vAlign w:val="center"/>
          </w:tcPr>
          <w:p w14:paraId="1884468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警告，罚款10000元以上30000元以下。</w:t>
            </w:r>
          </w:p>
        </w:tc>
      </w:tr>
      <w:tr w14:paraId="287F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52" w:type="dxa"/>
            <w:vAlign w:val="center"/>
          </w:tcPr>
          <w:p w14:paraId="27AE9817">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17" w:type="dxa"/>
            <w:vAlign w:val="center"/>
          </w:tcPr>
          <w:p w14:paraId="75BAA4A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公共场所集中空调通风系统未经卫生检测或者评价不合格而投入使用的，情节恶劣或后果严重的。</w:t>
            </w:r>
          </w:p>
        </w:tc>
        <w:tc>
          <w:tcPr>
            <w:tcW w:w="4243" w:type="dxa"/>
            <w:vAlign w:val="center"/>
          </w:tcPr>
          <w:p w14:paraId="08C2651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警告，罚款30000元，责令停业整顿，直至吊销卫生许可证。</w:t>
            </w:r>
          </w:p>
        </w:tc>
      </w:tr>
    </w:tbl>
    <w:p w14:paraId="4ABCD65D">
      <w:pPr>
        <w:pStyle w:val="4"/>
        <w:widowControl w:val="0"/>
        <w:ind w:firstLine="640"/>
        <w:jc w:val="both"/>
        <w:rPr>
          <w:rFonts w:hint="eastAsia" w:ascii="Times New Roman" w:hAnsi="Times New Roman" w:eastAsia="仿宋_GB2312" w:cs="仿宋_GB2312"/>
          <w:b/>
          <w:bCs/>
          <w:color w:val="000000" w:themeColor="text1"/>
          <w14:textFill>
            <w14:solidFill>
              <w14:schemeClr w14:val="tx1"/>
            </w14:solidFill>
          </w14:textFill>
        </w:rPr>
      </w:pPr>
      <w:bookmarkStart w:id="5727" w:name="_Toc19813"/>
      <w:bookmarkStart w:id="5728" w:name="_Toc18314"/>
      <w:bookmarkStart w:id="5729" w:name="_Toc30935"/>
      <w:bookmarkStart w:id="5730" w:name="_Toc13736"/>
      <w:bookmarkStart w:id="5731" w:name="_Toc7574"/>
      <w:bookmarkStart w:id="5732" w:name="_Toc22957"/>
      <w:bookmarkStart w:id="5733" w:name="_Toc20657"/>
      <w:bookmarkStart w:id="5734" w:name="_Toc30204"/>
      <w:bookmarkStart w:id="5735" w:name="_Toc3606"/>
      <w:bookmarkStart w:id="5736" w:name="_Toc1517"/>
      <w:bookmarkStart w:id="5737" w:name="_Toc19769"/>
      <w:r>
        <w:rPr>
          <w:rFonts w:hint="eastAsia" w:ascii="Times New Roman" w:hAnsi="Times New Roman" w:cs="仿宋_GB2312"/>
          <w:bCs/>
          <w:color w:val="000000" w:themeColor="text1"/>
          <w14:textFill>
            <w14:solidFill>
              <w14:schemeClr w14:val="tx1"/>
            </w14:solidFill>
          </w14:textFill>
        </w:rPr>
        <w:t>第四百四十七条 公共场所经营者未按照规定公示公共场所卫生许可证、卫生检测结果和卫生信誉度等级的</w:t>
      </w:r>
      <w:bookmarkEnd w:id="5727"/>
      <w:bookmarkEnd w:id="5728"/>
      <w:bookmarkEnd w:id="5729"/>
      <w:bookmarkEnd w:id="5730"/>
      <w:bookmarkEnd w:id="5731"/>
      <w:bookmarkEnd w:id="5732"/>
      <w:bookmarkEnd w:id="5733"/>
      <w:bookmarkEnd w:id="5734"/>
      <w:bookmarkEnd w:id="5735"/>
      <w:bookmarkEnd w:id="5736"/>
      <w:bookmarkEnd w:id="5737"/>
    </w:p>
    <w:p w14:paraId="0605A645">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31F6EB2">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《公共场所卫生管理条例实施细则》第三十七条第（八）项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w:t>
      </w:r>
    </w:p>
    <w:p w14:paraId="5E77303F">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（八）未按照规定公示公共场所卫生许可证、卫生检测结果和卫生信誉度等级的；</w:t>
      </w:r>
    </w:p>
    <w:p w14:paraId="7CA3C39A">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8117"/>
        <w:gridCol w:w="4516"/>
      </w:tblGrid>
      <w:tr w14:paraId="7163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52" w:type="dxa"/>
            <w:vAlign w:val="center"/>
          </w:tcPr>
          <w:p w14:paraId="2FED24B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17" w:type="dxa"/>
            <w:vAlign w:val="center"/>
          </w:tcPr>
          <w:p w14:paraId="362EEE9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16" w:type="dxa"/>
            <w:vAlign w:val="center"/>
          </w:tcPr>
          <w:p w14:paraId="5354337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7F7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52" w:type="dxa"/>
            <w:vAlign w:val="center"/>
          </w:tcPr>
          <w:p w14:paraId="4E7D20F4">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17" w:type="dxa"/>
            <w:vAlign w:val="center"/>
          </w:tcPr>
          <w:p w14:paraId="238D783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有上述违法情节1项，经责令限期改正，逾期不改正的。</w:t>
            </w:r>
          </w:p>
        </w:tc>
        <w:tc>
          <w:tcPr>
            <w:tcW w:w="4516" w:type="dxa"/>
            <w:vAlign w:val="center"/>
          </w:tcPr>
          <w:p w14:paraId="3308FEB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警告，罚款1000元以上5000元以下。</w:t>
            </w:r>
          </w:p>
        </w:tc>
      </w:tr>
      <w:tr w14:paraId="51ED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52" w:type="dxa"/>
            <w:vAlign w:val="center"/>
          </w:tcPr>
          <w:p w14:paraId="73FE0022">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17" w:type="dxa"/>
            <w:vAlign w:val="center"/>
          </w:tcPr>
          <w:p w14:paraId="68FC8DA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有上述违法情节2项及以上，经责令限期改正，逾期不改正的。</w:t>
            </w:r>
          </w:p>
        </w:tc>
        <w:tc>
          <w:tcPr>
            <w:tcW w:w="4516" w:type="dxa"/>
            <w:vAlign w:val="center"/>
          </w:tcPr>
          <w:p w14:paraId="057C42E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警告，罚款5000元以上10000元以下。</w:t>
            </w:r>
          </w:p>
        </w:tc>
      </w:tr>
      <w:tr w14:paraId="6B79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452" w:type="dxa"/>
            <w:vAlign w:val="center"/>
          </w:tcPr>
          <w:p w14:paraId="4A9F216C">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17" w:type="dxa"/>
            <w:vAlign w:val="center"/>
          </w:tcPr>
          <w:p w14:paraId="3FAA820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未按照规定公示公共场所卫生许可证、卫生检测结果和卫生信誉度等级的，拒绝监督的。</w:t>
            </w:r>
          </w:p>
        </w:tc>
        <w:tc>
          <w:tcPr>
            <w:tcW w:w="4516" w:type="dxa"/>
            <w:vAlign w:val="center"/>
          </w:tcPr>
          <w:p w14:paraId="4314E92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警告，罚款10000元以上30000元以下。</w:t>
            </w:r>
          </w:p>
        </w:tc>
      </w:tr>
      <w:tr w14:paraId="56E4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52" w:type="dxa"/>
            <w:vAlign w:val="center"/>
          </w:tcPr>
          <w:p w14:paraId="4C435946">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17" w:type="dxa"/>
            <w:vAlign w:val="center"/>
          </w:tcPr>
          <w:p w14:paraId="62E3260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未按照规定公示公共场所卫生许可证、卫生检测结果和卫生信誉度等级的，情节恶劣或后果严重的。</w:t>
            </w:r>
          </w:p>
        </w:tc>
        <w:tc>
          <w:tcPr>
            <w:tcW w:w="4516" w:type="dxa"/>
            <w:vAlign w:val="center"/>
          </w:tcPr>
          <w:p w14:paraId="100E6E8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警告，罚款30000元，责令停业整顿，直至吊销卫生许可证。</w:t>
            </w:r>
          </w:p>
        </w:tc>
      </w:tr>
    </w:tbl>
    <w:p w14:paraId="6616CF9D">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738" w:name="_Toc15305"/>
      <w:bookmarkStart w:id="5739" w:name="_Toc31579"/>
      <w:bookmarkStart w:id="5740" w:name="_Toc18008"/>
      <w:bookmarkStart w:id="5741" w:name="_Toc17379"/>
      <w:bookmarkStart w:id="5742" w:name="_Toc14560"/>
      <w:bookmarkStart w:id="5743" w:name="_Toc29532"/>
      <w:bookmarkStart w:id="5744" w:name="_Toc1819"/>
      <w:bookmarkStart w:id="5745" w:name="_Toc19101"/>
      <w:bookmarkStart w:id="5746" w:name="_Toc27969"/>
      <w:bookmarkStart w:id="5747" w:name="_Toc23076"/>
      <w:bookmarkStart w:id="5748" w:name="_Toc29109"/>
      <w:r>
        <w:rPr>
          <w:rFonts w:hint="eastAsia" w:ascii="Times New Roman" w:hAnsi="Times New Roman" w:cs="仿宋_GB2312"/>
          <w:bCs/>
          <w:color w:val="000000" w:themeColor="text1"/>
          <w14:textFill>
            <w14:solidFill>
              <w14:schemeClr w14:val="tx1"/>
            </w14:solidFill>
          </w14:textFill>
        </w:rPr>
        <w:t>第四百四十八条 公共场所经营者对发生的危害健康事故未立即采取处置措施导致危害扩大，或隐瞒、缓报、谎报危害健康事故的</w:t>
      </w:r>
      <w:bookmarkEnd w:id="5738"/>
      <w:bookmarkEnd w:id="5739"/>
      <w:bookmarkEnd w:id="5740"/>
      <w:bookmarkEnd w:id="5741"/>
      <w:bookmarkEnd w:id="5742"/>
      <w:bookmarkEnd w:id="5743"/>
      <w:bookmarkEnd w:id="5744"/>
      <w:bookmarkEnd w:id="5745"/>
      <w:bookmarkEnd w:id="5746"/>
      <w:bookmarkEnd w:id="5747"/>
      <w:bookmarkEnd w:id="5748"/>
    </w:p>
    <w:p w14:paraId="5657F8F7">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12F84D3">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《公共场所卫生管理条例实施细则》第三十九条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公共场所经营者对发生的危害健康事故未立即采取处置措施，导致危害扩大，或者隐瞒、缓报、谎报的，由县级以上地方人民政府卫生行政部门处以五千元以上三万元以下罚款；情节严重的，可以依法责令停业整顿，直至吊销卫生许可证。构成犯罪的，依法追究刑事责任。</w:t>
      </w:r>
    </w:p>
    <w:p w14:paraId="1B60CEE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8100"/>
        <w:gridCol w:w="4166"/>
      </w:tblGrid>
      <w:tr w14:paraId="77A1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658" w:type="dxa"/>
            <w:vAlign w:val="center"/>
          </w:tcPr>
          <w:p w14:paraId="1249F0A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00" w:type="dxa"/>
            <w:vAlign w:val="center"/>
          </w:tcPr>
          <w:p w14:paraId="2B976F0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66" w:type="dxa"/>
            <w:vAlign w:val="center"/>
          </w:tcPr>
          <w:p w14:paraId="026F597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 xml:space="preserve"> 裁量幅度</w:t>
            </w:r>
          </w:p>
        </w:tc>
      </w:tr>
      <w:tr w14:paraId="20A4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58" w:type="dxa"/>
            <w:vAlign w:val="center"/>
          </w:tcPr>
          <w:p w14:paraId="3624A789">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00" w:type="dxa"/>
            <w:vAlign w:val="center"/>
          </w:tcPr>
          <w:p w14:paraId="3F5456C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公共场所经营者对发生的危害健康事故未立即采取处置措施。</w:t>
            </w:r>
          </w:p>
        </w:tc>
        <w:tc>
          <w:tcPr>
            <w:tcW w:w="4166" w:type="dxa"/>
            <w:vAlign w:val="center"/>
          </w:tcPr>
          <w:p w14:paraId="7D02672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罚款5000元以上10000元以下。</w:t>
            </w:r>
          </w:p>
        </w:tc>
      </w:tr>
      <w:tr w14:paraId="582F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58" w:type="dxa"/>
            <w:vAlign w:val="center"/>
          </w:tcPr>
          <w:p w14:paraId="0CCA228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00" w:type="dxa"/>
            <w:vAlign w:val="center"/>
          </w:tcPr>
          <w:p w14:paraId="2DE6D45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公共场所经营者对发生的危害健康事故未立即采取处置措施，导致危害扩大，或隐瞒、缓报、谎报的。</w:t>
            </w:r>
          </w:p>
        </w:tc>
        <w:tc>
          <w:tcPr>
            <w:tcW w:w="4166" w:type="dxa"/>
            <w:vAlign w:val="center"/>
          </w:tcPr>
          <w:p w14:paraId="3C64DC9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罚款10000元以上20000元以下。</w:t>
            </w:r>
          </w:p>
        </w:tc>
      </w:tr>
      <w:tr w14:paraId="2F29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8" w:type="dxa"/>
            <w:vAlign w:val="center"/>
          </w:tcPr>
          <w:p w14:paraId="4FBA638C">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00" w:type="dxa"/>
            <w:vAlign w:val="center"/>
          </w:tcPr>
          <w:p w14:paraId="021B43A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公共场所经营者对发生的危害健康事故未立即采取处置措施，导致危害扩大，并隐瞒、缓报、谎报的。</w:t>
            </w:r>
          </w:p>
        </w:tc>
        <w:tc>
          <w:tcPr>
            <w:tcW w:w="4166" w:type="dxa"/>
            <w:vAlign w:val="center"/>
          </w:tcPr>
          <w:p w14:paraId="6D03153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罚款20000元以上30000元以下。</w:t>
            </w:r>
          </w:p>
        </w:tc>
      </w:tr>
      <w:tr w14:paraId="7B47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658" w:type="dxa"/>
            <w:vAlign w:val="center"/>
          </w:tcPr>
          <w:p w14:paraId="4DBA5899">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00" w:type="dxa"/>
            <w:vAlign w:val="center"/>
          </w:tcPr>
          <w:p w14:paraId="450E160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公共场所经营者对发生的危害健康事故未及时采取措施，并隐瞒、缓报、谎报的，导致危害扩大，造成严重后果的。</w:t>
            </w:r>
          </w:p>
        </w:tc>
        <w:tc>
          <w:tcPr>
            <w:tcW w:w="4166" w:type="dxa"/>
            <w:vAlign w:val="center"/>
          </w:tcPr>
          <w:p w14:paraId="4988BF4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30000元罚款，责令停业整顿，直至吊销卫生许可证。</w:t>
            </w:r>
          </w:p>
        </w:tc>
      </w:tr>
    </w:tbl>
    <w:p w14:paraId="7E985511">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bCs/>
          <w:color w:val="000000" w:themeColor="text1"/>
          <w:kern w:val="0"/>
          <w14:textFill>
            <w14:solidFill>
              <w14:schemeClr w14:val="tx1"/>
            </w14:solidFill>
          </w14:textFill>
        </w:rPr>
      </w:pPr>
      <w:bookmarkStart w:id="5749" w:name="_Toc3268"/>
      <w:bookmarkStart w:id="5750" w:name="_Toc25241"/>
      <w:bookmarkStart w:id="5751" w:name="_Toc29397"/>
      <w:bookmarkStart w:id="5752" w:name="_Toc27469"/>
      <w:bookmarkStart w:id="5753" w:name="_Toc11598"/>
      <w:bookmarkStart w:id="5754" w:name="_Toc25294"/>
      <w:bookmarkStart w:id="5755" w:name="_Toc26827"/>
      <w:bookmarkStart w:id="5756" w:name="_Toc2343"/>
      <w:bookmarkStart w:id="5757" w:name="_Toc5573"/>
      <w:bookmarkStart w:id="5758" w:name="_Toc13972"/>
      <w:bookmarkStart w:id="5759" w:name="_Toc12971"/>
      <w:bookmarkStart w:id="5760" w:name="_Toc3190"/>
      <w:bookmarkStart w:id="5761" w:name="_Toc12813"/>
      <w:r>
        <w:rPr>
          <w:rFonts w:hint="eastAsia" w:ascii="Times New Roman" w:hAnsi="Times New Roman" w:eastAsia="楷体_GB2312" w:cs="楷体_GB2312"/>
          <w:bCs/>
          <w:color w:val="000000" w:themeColor="text1"/>
          <w:kern w:val="0"/>
          <w14:textFill>
            <w14:solidFill>
              <w14:schemeClr w14:val="tx1"/>
            </w14:solidFill>
          </w14:textFill>
        </w:rPr>
        <w:t>（二）《生活饮用水卫生监督管理办法》</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14:paraId="52A0547E">
      <w:pPr>
        <w:pStyle w:val="4"/>
        <w:widowControl w:val="0"/>
        <w:ind w:firstLine="640"/>
        <w:jc w:val="both"/>
        <w:rPr>
          <w:rFonts w:hint="eastAsia" w:cs="仿宋_GB2312"/>
          <w:bCs/>
          <w:color w:val="000000" w:themeColor="text1"/>
          <w14:textFill>
            <w14:solidFill>
              <w14:schemeClr w14:val="tx1"/>
            </w14:solidFill>
          </w14:textFill>
        </w:rPr>
      </w:pPr>
      <w:bookmarkStart w:id="5762" w:name="_Toc6990"/>
      <w:bookmarkStart w:id="5763" w:name="_Toc9569"/>
      <w:bookmarkStart w:id="5764" w:name="_Toc26579"/>
      <w:bookmarkStart w:id="5765" w:name="_Toc7201"/>
      <w:bookmarkStart w:id="5766" w:name="_Toc24410"/>
      <w:bookmarkStart w:id="5767" w:name="_Toc15957"/>
      <w:bookmarkStart w:id="5768" w:name="_Toc23065"/>
      <w:bookmarkStart w:id="5769" w:name="_Toc11022"/>
      <w:bookmarkStart w:id="5770" w:name="_Toc9156"/>
      <w:bookmarkStart w:id="5771" w:name="_Toc11655"/>
      <w:bookmarkStart w:id="5772" w:name="_Toc31563"/>
      <w:r>
        <w:rPr>
          <w:rFonts w:hint="eastAsia" w:cs="仿宋_GB2312"/>
          <w:bCs/>
          <w:color w:val="000000" w:themeColor="text1"/>
          <w14:textFill>
            <w14:solidFill>
              <w14:schemeClr w14:val="tx1"/>
            </w14:solidFill>
          </w14:textFill>
        </w:rPr>
        <w:t>第四百四十九条</w:t>
      </w:r>
      <w:r>
        <w:rPr>
          <w:rFonts w:hint="eastAsia" w:cs="仿宋_GB2312"/>
          <w:bCs/>
          <w:color w:val="000000" w:themeColor="text1"/>
          <w:lang w:eastAsia="zh-CN"/>
          <w14:textFill>
            <w14:solidFill>
              <w14:schemeClr w14:val="tx1"/>
            </w14:solidFill>
          </w14:textFill>
        </w:rPr>
        <w:t xml:space="preserve"> </w:t>
      </w:r>
      <w:r>
        <w:rPr>
          <w:rFonts w:hint="eastAsia" w:cs="仿宋_GB2312"/>
          <w:bCs/>
          <w:color w:val="000000" w:themeColor="text1"/>
          <w14:textFill>
            <w14:solidFill>
              <w14:schemeClr w14:val="tx1"/>
            </w14:solidFill>
          </w14:textFill>
        </w:rPr>
        <w:t>集中式供水单位安排未取得体检合格证的人员从事直接供、管水工作或安排患有有碍饮用水卫生疾病的或病原携带者从事直接供、管水工作的</w:t>
      </w:r>
      <w:bookmarkEnd w:id="5762"/>
      <w:bookmarkEnd w:id="5763"/>
      <w:bookmarkEnd w:id="5764"/>
      <w:bookmarkEnd w:id="5765"/>
      <w:bookmarkEnd w:id="5766"/>
      <w:bookmarkEnd w:id="5767"/>
      <w:bookmarkEnd w:id="5768"/>
      <w:bookmarkEnd w:id="5769"/>
      <w:bookmarkEnd w:id="5770"/>
      <w:bookmarkEnd w:id="5771"/>
      <w:bookmarkEnd w:id="5772"/>
    </w:p>
    <w:p w14:paraId="55D14AF8">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76DFE70">
      <w:pPr>
        <w:widowControl w:val="0"/>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《生活饮用水卫生监督管理办法》第二十五条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集中式供水单位安排未取得体检合格证的人员从事直接供、管水工作或安排患有有碍饮用水卫生疾病的或病原携带者从事直接供、管水工作的，县级以上地方人民政府卫生计生主管部门应当责令限期改进，并可对供水单位处以20元以上1000元以下的罚款。</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7885"/>
        <w:gridCol w:w="4381"/>
      </w:tblGrid>
      <w:tr w14:paraId="4307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2" w:type="pct"/>
            <w:vAlign w:val="center"/>
          </w:tcPr>
          <w:p w14:paraId="450C9C2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781" w:type="pct"/>
            <w:vAlign w:val="center"/>
          </w:tcPr>
          <w:p w14:paraId="6F8E84A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545" w:type="pct"/>
            <w:vAlign w:val="center"/>
          </w:tcPr>
          <w:p w14:paraId="05A4003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FC3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72" w:type="pct"/>
            <w:vAlign w:val="center"/>
          </w:tcPr>
          <w:p w14:paraId="7E3115A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2781" w:type="pct"/>
            <w:vAlign w:val="center"/>
          </w:tcPr>
          <w:p w14:paraId="24E9225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安排3名以下未取得体检合格证明人员从事直接供、管水工作的。</w:t>
            </w:r>
          </w:p>
        </w:tc>
        <w:tc>
          <w:tcPr>
            <w:tcW w:w="1545" w:type="pct"/>
            <w:vAlign w:val="center"/>
          </w:tcPr>
          <w:p w14:paraId="1E70DB2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罚款20元以上350元以下。</w:t>
            </w:r>
          </w:p>
        </w:tc>
      </w:tr>
      <w:tr w14:paraId="1494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2" w:type="pct"/>
            <w:vAlign w:val="center"/>
          </w:tcPr>
          <w:p w14:paraId="6EF3B5B5">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2781" w:type="pct"/>
            <w:vAlign w:val="center"/>
          </w:tcPr>
          <w:p w14:paraId="51C1DC6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安排3名以上5名以下未取得体检合格证明人员从事直接供、管水工作的。</w:t>
            </w:r>
          </w:p>
        </w:tc>
        <w:tc>
          <w:tcPr>
            <w:tcW w:w="1545" w:type="pct"/>
            <w:vAlign w:val="center"/>
          </w:tcPr>
          <w:p w14:paraId="230C77B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罚款350元以上700元以下。</w:t>
            </w:r>
          </w:p>
        </w:tc>
      </w:tr>
      <w:tr w14:paraId="3E63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72" w:type="pct"/>
            <w:vAlign w:val="center"/>
          </w:tcPr>
          <w:p w14:paraId="0D801C3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2781" w:type="pct"/>
            <w:vAlign w:val="center"/>
          </w:tcPr>
          <w:p w14:paraId="0C4E3B6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安排5名以上未取得体检合格证明人员从事直接供、管水工作，或在未取得体检合格证明的从事直接供、管水工作人员中经体检发现患有有碍饮用水卫生疾病者或病原携带者，或安排明知患有有碍饮用水卫生疾病的或病原携带者从事直接供、管水工作的。</w:t>
            </w:r>
          </w:p>
        </w:tc>
        <w:tc>
          <w:tcPr>
            <w:tcW w:w="1545" w:type="pct"/>
            <w:vAlign w:val="center"/>
          </w:tcPr>
          <w:p w14:paraId="3BBD5EF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罚款700元以上1000元以下。</w:t>
            </w:r>
          </w:p>
        </w:tc>
      </w:tr>
    </w:tbl>
    <w:p w14:paraId="7CA2967D">
      <w:pPr>
        <w:pStyle w:val="4"/>
        <w:widowControl w:val="0"/>
        <w:ind w:firstLine="640"/>
        <w:jc w:val="both"/>
        <w:rPr>
          <w:rFonts w:hint="eastAsia" w:cs="仿宋_GB2312"/>
          <w:b/>
          <w:bCs/>
          <w:color w:val="000000" w:themeColor="text1"/>
          <w:sz w:val="32"/>
          <w14:textFill>
            <w14:solidFill>
              <w14:schemeClr w14:val="tx1"/>
            </w14:solidFill>
          </w14:textFill>
        </w:rPr>
      </w:pPr>
      <w:bookmarkStart w:id="5773" w:name="_Toc4505"/>
      <w:bookmarkStart w:id="5774" w:name="_Toc29588"/>
      <w:bookmarkStart w:id="5775" w:name="_Toc732"/>
      <w:bookmarkStart w:id="5776" w:name="_Toc24837"/>
      <w:bookmarkStart w:id="5777" w:name="_Toc30266"/>
      <w:bookmarkStart w:id="5778" w:name="_Toc25575"/>
      <w:bookmarkStart w:id="5779" w:name="_Toc25651"/>
      <w:bookmarkStart w:id="5780" w:name="_Toc28900"/>
      <w:bookmarkStart w:id="5781" w:name="_Toc395"/>
      <w:bookmarkStart w:id="5782" w:name="_Toc2435"/>
      <w:bookmarkStart w:id="5783" w:name="_Toc19264"/>
      <w:r>
        <w:rPr>
          <w:rFonts w:hint="eastAsia" w:ascii="Times New Roman" w:hAnsi="Times New Roman" w:cs="仿宋_GB2312"/>
          <w:bCs/>
          <w:color w:val="000000" w:themeColor="text1"/>
          <w14:textFill>
            <w14:solidFill>
              <w14:schemeClr w14:val="tx1"/>
            </w14:solidFill>
          </w14:textFill>
        </w:rPr>
        <w:t>第四百五十条 在饮用水水源保护区修建危害水源水质卫生的设施或进行有碍水源水质卫生作业的</w:t>
      </w:r>
      <w:bookmarkEnd w:id="5773"/>
      <w:bookmarkEnd w:id="5774"/>
      <w:bookmarkEnd w:id="5775"/>
      <w:bookmarkEnd w:id="5776"/>
      <w:bookmarkEnd w:id="5777"/>
      <w:bookmarkEnd w:id="5778"/>
      <w:bookmarkEnd w:id="5779"/>
      <w:bookmarkEnd w:id="5780"/>
      <w:bookmarkEnd w:id="5781"/>
      <w:bookmarkEnd w:id="5782"/>
      <w:bookmarkEnd w:id="5783"/>
    </w:p>
    <w:p w14:paraId="7D4E0772">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186F5C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《生活饮用水卫生监督管理办法》第二十六条第（一）项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违反本办法规定，有下列情形之一的，县级以上地方人民政府卫生行政部门应当责令限期改进，并可处以20元以上5000元以下的罚款：</w:t>
      </w:r>
    </w:p>
    <w:p w14:paraId="68C5C33F">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（一）在饮用水水源保护区修建危害水源水质卫生的设施或进行有碍水源水质卫生的作业的；</w:t>
      </w:r>
    </w:p>
    <w:p w14:paraId="0B242109">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0"/>
        <w:gridCol w:w="9032"/>
        <w:gridCol w:w="3229"/>
      </w:tblGrid>
      <w:tr w14:paraId="5EA1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74" w:type="pct"/>
            <w:vAlign w:val="center"/>
          </w:tcPr>
          <w:p w14:paraId="4205A01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3186" w:type="pct"/>
            <w:vAlign w:val="center"/>
          </w:tcPr>
          <w:p w14:paraId="2E7F3CE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139" w:type="pct"/>
            <w:vAlign w:val="center"/>
          </w:tcPr>
          <w:p w14:paraId="1A44E59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FD3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74" w:type="pct"/>
            <w:vAlign w:val="center"/>
          </w:tcPr>
          <w:p w14:paraId="6CB0621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3186" w:type="pct"/>
            <w:vAlign w:val="center"/>
          </w:tcPr>
          <w:p w14:paraId="59CCDB42">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在饮用水水源保护区修建危害水源水质卫生的设施或进行有碍水源水质卫生的作业的持续时间1个月以下，经发现后立即停止并改进，且未造成水源水实质性水质污染的。</w:t>
            </w:r>
          </w:p>
        </w:tc>
        <w:tc>
          <w:tcPr>
            <w:tcW w:w="1139" w:type="pct"/>
            <w:vAlign w:val="center"/>
          </w:tcPr>
          <w:p w14:paraId="25837A4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罚款20元以上1500元以下。</w:t>
            </w:r>
          </w:p>
        </w:tc>
      </w:tr>
      <w:tr w14:paraId="69C9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74" w:type="pct"/>
            <w:vAlign w:val="center"/>
          </w:tcPr>
          <w:p w14:paraId="3A7F45F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3186" w:type="pct"/>
            <w:vAlign w:val="center"/>
          </w:tcPr>
          <w:p w14:paraId="4726357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在饮用水水源保护区修建危害水源水质卫生的设施或进行有碍水源水质卫生的作业的持续时间1个月以上3个月以下，经发现后立即停止并改进，且未造成水源水实质性水质污染的。</w:t>
            </w:r>
          </w:p>
        </w:tc>
        <w:tc>
          <w:tcPr>
            <w:tcW w:w="1139" w:type="pct"/>
            <w:vAlign w:val="center"/>
          </w:tcPr>
          <w:p w14:paraId="6B0960A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罚款1500元以上3500元以下。</w:t>
            </w:r>
          </w:p>
        </w:tc>
      </w:tr>
      <w:tr w14:paraId="5CDC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74" w:type="pct"/>
            <w:vAlign w:val="center"/>
          </w:tcPr>
          <w:p w14:paraId="22B890E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3186" w:type="pct"/>
            <w:vAlign w:val="center"/>
          </w:tcPr>
          <w:p w14:paraId="5675D89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在饮用水水源保护区修建危害水源水质卫生的设施或进行有碍水源水质卫生的作业的持续时间3个月以上，或经责令改正而拒绝改正的，或已经造成水源水水质污染的。</w:t>
            </w:r>
          </w:p>
        </w:tc>
        <w:tc>
          <w:tcPr>
            <w:tcW w:w="1139" w:type="pct"/>
            <w:vAlign w:val="center"/>
          </w:tcPr>
          <w:p w14:paraId="08A2CE7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罚款3500元以上5000元以下。</w:t>
            </w:r>
          </w:p>
        </w:tc>
      </w:tr>
    </w:tbl>
    <w:p w14:paraId="23953EFB">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5784" w:name="_Toc14120"/>
      <w:bookmarkStart w:id="5785" w:name="_Toc11379"/>
      <w:bookmarkStart w:id="5786" w:name="_Toc19935"/>
      <w:bookmarkStart w:id="5787" w:name="_Toc9906"/>
      <w:bookmarkStart w:id="5788" w:name="_Toc10057"/>
      <w:bookmarkStart w:id="5789" w:name="_Toc2149"/>
      <w:bookmarkStart w:id="5790" w:name="_Toc2161"/>
      <w:bookmarkStart w:id="5791" w:name="_Toc29862"/>
      <w:bookmarkStart w:id="5792" w:name="_Toc20702"/>
      <w:bookmarkStart w:id="5793" w:name="_Toc14624"/>
      <w:bookmarkStart w:id="5794" w:name="_Toc28124"/>
      <w:r>
        <w:rPr>
          <w:rFonts w:hint="eastAsia" w:ascii="Times New Roman" w:hAnsi="Times New Roman" w:cs="仿宋_GB2312"/>
          <w:bCs/>
          <w:color w:val="000000" w:themeColor="text1"/>
          <w14:textFill>
            <w14:solidFill>
              <w14:schemeClr w14:val="tx1"/>
            </w14:solidFill>
          </w14:textFill>
        </w:rPr>
        <w:t>第四百五十一条 新建、改建、扩建的饮用水供水项目未经卫生行政部门参加选址、设计审查和竣工验收而擅自供水的</w:t>
      </w:r>
      <w:bookmarkEnd w:id="5784"/>
      <w:bookmarkEnd w:id="5785"/>
      <w:bookmarkEnd w:id="5786"/>
      <w:bookmarkEnd w:id="5787"/>
      <w:bookmarkEnd w:id="5788"/>
      <w:bookmarkEnd w:id="5789"/>
      <w:bookmarkEnd w:id="5790"/>
      <w:bookmarkEnd w:id="5791"/>
      <w:bookmarkEnd w:id="5792"/>
      <w:bookmarkEnd w:id="5793"/>
      <w:bookmarkEnd w:id="5794"/>
    </w:p>
    <w:p w14:paraId="33C1BD6A">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D39656E">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《生活饮用水卫生监督管理办法》第二十六条第（二）项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违反本办法规定，有下列情形之一的，县级以上地方人民政府卫生行政部门应当责令限期改进，并可处以20元以上5000元以下的罚款：</w:t>
      </w:r>
    </w:p>
    <w:p w14:paraId="0854F8D9">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（二）新建、改建、扩建的饮用水供水项目未经卫生行政部门参加选址、设计审查和竣工验收而擅自供水的；</w:t>
      </w:r>
    </w:p>
    <w:p w14:paraId="4E3E1BA3">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0"/>
        <w:gridCol w:w="8825"/>
        <w:gridCol w:w="3436"/>
      </w:tblGrid>
      <w:tr w14:paraId="445D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74" w:type="pct"/>
            <w:vAlign w:val="center"/>
          </w:tcPr>
          <w:p w14:paraId="6AD631D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3113" w:type="pct"/>
            <w:vAlign w:val="center"/>
          </w:tcPr>
          <w:p w14:paraId="1FFBAAA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212" w:type="pct"/>
            <w:vAlign w:val="center"/>
          </w:tcPr>
          <w:p w14:paraId="36526BB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9A8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74" w:type="pct"/>
            <w:vAlign w:val="center"/>
          </w:tcPr>
          <w:p w14:paraId="4D92F40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3113" w:type="pct"/>
            <w:vAlign w:val="center"/>
          </w:tcPr>
          <w:p w14:paraId="64962C7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新建、改建、扩建的饮用水供水项目虽未经卫生行政部门参加选址、设计审查和竣工验收而擅自供水，但各项设施完善，且供水水质符合国家卫生标准的。</w:t>
            </w:r>
          </w:p>
        </w:tc>
        <w:tc>
          <w:tcPr>
            <w:tcW w:w="1212" w:type="pct"/>
            <w:vAlign w:val="center"/>
          </w:tcPr>
          <w:p w14:paraId="0B843CB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罚款20元以上1500元以下。</w:t>
            </w:r>
          </w:p>
        </w:tc>
      </w:tr>
      <w:tr w14:paraId="2762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74" w:type="pct"/>
            <w:vAlign w:val="center"/>
          </w:tcPr>
          <w:p w14:paraId="6BA2A8A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3113" w:type="pct"/>
            <w:vAlign w:val="center"/>
          </w:tcPr>
          <w:p w14:paraId="6DDBE6F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新建、改建、扩建的饮用水供水项目虽未经卫生行政部门参加选址、设计审查和竣工验收而擅自供水，且各项设施相对缺少，但供水水质符合国家卫生标准的。</w:t>
            </w:r>
          </w:p>
        </w:tc>
        <w:tc>
          <w:tcPr>
            <w:tcW w:w="1212" w:type="pct"/>
            <w:vAlign w:val="center"/>
          </w:tcPr>
          <w:p w14:paraId="4BB4609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罚款1500元以上3500元以下。</w:t>
            </w:r>
          </w:p>
        </w:tc>
      </w:tr>
      <w:tr w14:paraId="1538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74" w:type="pct"/>
            <w:vAlign w:val="center"/>
          </w:tcPr>
          <w:p w14:paraId="3EBC08A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3113" w:type="pct"/>
            <w:vAlign w:val="center"/>
          </w:tcPr>
          <w:p w14:paraId="0304773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新建、改建、扩建的饮用水供水项目未经卫生行政部门参加选址、设计审查和竣工验收而擅自供水，供水水质又不符合国家卫生标准的。</w:t>
            </w:r>
          </w:p>
        </w:tc>
        <w:tc>
          <w:tcPr>
            <w:tcW w:w="1212" w:type="pct"/>
            <w:vAlign w:val="center"/>
          </w:tcPr>
          <w:p w14:paraId="18980C0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罚款3500元以上5000元以下。</w:t>
            </w:r>
          </w:p>
        </w:tc>
      </w:tr>
    </w:tbl>
    <w:p w14:paraId="6308BF53">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5795" w:name="_Toc30599"/>
      <w:bookmarkStart w:id="5796" w:name="_Toc2980"/>
      <w:bookmarkStart w:id="5797" w:name="_Toc30620"/>
      <w:bookmarkStart w:id="5798" w:name="_Toc22142"/>
      <w:bookmarkStart w:id="5799" w:name="_Toc29620"/>
      <w:bookmarkStart w:id="5800" w:name="_Toc12754"/>
      <w:bookmarkStart w:id="5801" w:name="_Toc9604"/>
      <w:bookmarkStart w:id="5802" w:name="_Toc6599"/>
      <w:bookmarkStart w:id="5803" w:name="_Toc28265"/>
      <w:bookmarkStart w:id="5804" w:name="_Toc10858"/>
      <w:bookmarkStart w:id="5805" w:name="_Toc25689"/>
      <w:bookmarkStart w:id="5806" w:name="_Toc30949"/>
      <w:bookmarkStart w:id="5807" w:name="_Toc16150"/>
      <w:r>
        <w:rPr>
          <w:rFonts w:hint="eastAsia" w:ascii="Times New Roman" w:hAnsi="Times New Roman" w:eastAsia="楷体_GB2312" w:cs="楷体_GB2312"/>
          <w:color w:val="000000" w:themeColor="text1"/>
          <w14:textFill>
            <w14:solidFill>
              <w14:schemeClr w14:val="tx1"/>
            </w14:solidFill>
          </w14:textFill>
        </w:rPr>
        <w:t>（三）《中华人民共和国传染病防治法》</w:t>
      </w:r>
      <w:bookmarkEnd w:id="5795"/>
      <w:bookmarkEnd w:id="5796"/>
      <w:bookmarkEnd w:id="5797"/>
      <w:bookmarkEnd w:id="5798"/>
      <w:bookmarkEnd w:id="5799"/>
      <w:bookmarkEnd w:id="5800"/>
      <w:bookmarkEnd w:id="5801"/>
      <w:bookmarkEnd w:id="5802"/>
      <w:bookmarkEnd w:id="5803"/>
      <w:bookmarkEnd w:id="5804"/>
      <w:bookmarkEnd w:id="5805"/>
      <w:bookmarkEnd w:id="5806"/>
      <w:bookmarkEnd w:id="5807"/>
    </w:p>
    <w:p w14:paraId="302340F8">
      <w:pPr>
        <w:pStyle w:val="4"/>
        <w:widowControl w:val="0"/>
        <w:ind w:firstLine="640"/>
        <w:jc w:val="both"/>
        <w:rPr>
          <w:rFonts w:hint="eastAsia" w:ascii="Times New Roman" w:hAnsi="Times New Roman" w:cs="仿宋_GB2312"/>
          <w:b/>
          <w:bCs/>
          <w:color w:val="000000" w:themeColor="text1"/>
          <w:highlight w:val="none"/>
          <w14:textFill>
            <w14:solidFill>
              <w14:schemeClr w14:val="tx1"/>
            </w14:solidFill>
          </w14:textFill>
        </w:rPr>
      </w:pPr>
      <w:bookmarkStart w:id="5808" w:name="_Toc641"/>
      <w:bookmarkStart w:id="5809" w:name="_Toc9895"/>
      <w:bookmarkStart w:id="5810" w:name="_Toc22631"/>
      <w:bookmarkStart w:id="5811" w:name="_Toc6150"/>
      <w:bookmarkStart w:id="5812" w:name="_Toc22697"/>
      <w:bookmarkStart w:id="5813" w:name="_Toc2924"/>
      <w:bookmarkStart w:id="5814" w:name="_Toc12376"/>
      <w:bookmarkStart w:id="5815" w:name="_Toc7888"/>
      <w:bookmarkStart w:id="5816" w:name="_Toc28688"/>
      <w:bookmarkStart w:id="5817" w:name="_Toc26119"/>
      <w:bookmarkStart w:id="5818" w:name="_Toc30735"/>
      <w:r>
        <w:rPr>
          <w:rFonts w:hint="eastAsia" w:ascii="Times New Roman" w:hAnsi="Times New Roman" w:cs="仿宋_GB2312"/>
          <w:bCs/>
          <w:color w:val="000000" w:themeColor="text1"/>
          <w:highlight w:val="none"/>
          <w14:textFill>
            <w14:solidFill>
              <w14:schemeClr w14:val="tx1"/>
            </w14:solidFill>
          </w14:textFill>
        </w:rPr>
        <w:t>第四百五十二条 饮用水供水单位未取得卫生许可擅自供水，或者供应的饮用水不符合国家卫生标准和卫生规范造成或者可能造成传染病传播、暴发、流行的</w:t>
      </w:r>
      <w:bookmarkEnd w:id="5808"/>
      <w:bookmarkEnd w:id="5809"/>
      <w:bookmarkEnd w:id="5810"/>
      <w:bookmarkEnd w:id="5811"/>
      <w:bookmarkEnd w:id="5812"/>
      <w:bookmarkEnd w:id="5813"/>
      <w:bookmarkEnd w:id="5814"/>
      <w:bookmarkEnd w:id="5815"/>
      <w:bookmarkEnd w:id="5816"/>
      <w:bookmarkEnd w:id="5817"/>
      <w:bookmarkEnd w:id="5818"/>
    </w:p>
    <w:p w14:paraId="70AAFEA5">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1621E68">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《中华人民共和国传染病防治法》第一百零七条第（一）项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情形之一的，由县级以上人民政府疾病预防控制部门责令改正，给予警告，没收违法所得，可以并处二十万元以下罚款；情节严重的，可以由原发证部门依法吊销相关许可证，对直接负责的主管人员和其他直接责任人员可以禁止其五年内从事相应生产经营活动：</w:t>
      </w:r>
    </w:p>
    <w:p w14:paraId="26AEE479">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（一）饮用水供水单位未取得卫生许可擅自供水，或者供应的饮用水不符合国家卫生标准和卫生规范造成或者可能造成传染病传播、暴发、流行；</w:t>
      </w:r>
    </w:p>
    <w:p w14:paraId="704D4D3D">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4996"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8093"/>
        <w:gridCol w:w="4412"/>
      </w:tblGrid>
      <w:tr w14:paraId="653D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85" w:type="pct"/>
            <w:vAlign w:val="center"/>
          </w:tcPr>
          <w:p w14:paraId="2235972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2856" w:type="pct"/>
            <w:vAlign w:val="center"/>
          </w:tcPr>
          <w:p w14:paraId="164E89E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1557" w:type="pct"/>
            <w:vAlign w:val="center"/>
          </w:tcPr>
          <w:p w14:paraId="1C5E513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0E6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85" w:type="pct"/>
            <w:vAlign w:val="center"/>
          </w:tcPr>
          <w:p w14:paraId="49C48AEB">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2856" w:type="pct"/>
            <w:vAlign w:val="center"/>
          </w:tcPr>
          <w:p w14:paraId="0EF46A6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对饮用水供水单位未取得卫生许可擅自供水时间1个月以下的；或供应的饮用水3项指标以下不符合国家卫生标准和卫生规范。</w:t>
            </w:r>
          </w:p>
        </w:tc>
        <w:tc>
          <w:tcPr>
            <w:tcW w:w="1557" w:type="pct"/>
            <w:vAlign w:val="center"/>
          </w:tcPr>
          <w:p w14:paraId="645DFD63">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责令改正，给予警告，没收违法所得，可以并处25000元以下罚款。</w:t>
            </w:r>
          </w:p>
        </w:tc>
      </w:tr>
      <w:tr w14:paraId="5E24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85" w:type="pct"/>
            <w:vAlign w:val="center"/>
          </w:tcPr>
          <w:p w14:paraId="4986E8E6">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2856" w:type="pct"/>
            <w:vAlign w:val="center"/>
          </w:tcPr>
          <w:p w14:paraId="5614223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对饮用水供水单位未取得卫生许可擅自供水时间1个月以上3个月以下的；或供应的饮用水3项指标以上不符合国家卫生标准和卫生规范。</w:t>
            </w:r>
          </w:p>
        </w:tc>
        <w:tc>
          <w:tcPr>
            <w:tcW w:w="1557" w:type="pct"/>
            <w:vAlign w:val="center"/>
          </w:tcPr>
          <w:p w14:paraId="68D6A8F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责令改正，给予警告，没收违法所得，可以并处以25000元以上50000元以下罚款。</w:t>
            </w:r>
          </w:p>
        </w:tc>
      </w:tr>
      <w:tr w14:paraId="58AF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85" w:type="pct"/>
            <w:vAlign w:val="center"/>
          </w:tcPr>
          <w:p w14:paraId="7A661B95">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2856" w:type="pct"/>
            <w:vAlign w:val="center"/>
          </w:tcPr>
          <w:p w14:paraId="11B3338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对饮用水供水单位未取得卫生许可擅自供水3个月以上，或供应的饮用水指标不符合国家卫生标准和卫生规范可能造成传染病传播、暴发、流行。</w:t>
            </w:r>
          </w:p>
        </w:tc>
        <w:tc>
          <w:tcPr>
            <w:tcW w:w="1557" w:type="pct"/>
            <w:vAlign w:val="center"/>
          </w:tcPr>
          <w:p w14:paraId="5C0999EE">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责令改正，给予警告，没收违法所得，可以并处罚款50000元以上100000元以下。</w:t>
            </w:r>
          </w:p>
        </w:tc>
      </w:tr>
      <w:tr w14:paraId="19FB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85" w:type="pct"/>
            <w:vAlign w:val="center"/>
          </w:tcPr>
          <w:p w14:paraId="24528BD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2856" w:type="pct"/>
            <w:vAlign w:val="center"/>
          </w:tcPr>
          <w:p w14:paraId="63185F1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对饮用水供水单位未取得卫生许可擅自供水，或供应的饮用水指标不符合国家卫生标准和卫生规范，造成传染病传播、暴发、流行。</w:t>
            </w:r>
          </w:p>
        </w:tc>
        <w:tc>
          <w:tcPr>
            <w:tcW w:w="1557" w:type="pct"/>
            <w:vAlign w:val="center"/>
          </w:tcPr>
          <w:p w14:paraId="456B7E5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w:t>
            </w:r>
            <w:r>
              <w:rPr>
                <w:rFonts w:hint="eastAsia" w:ascii="Times New Roman" w:hAnsi="Times New Roman" w:eastAsia="仿宋_GB2312" w:cs="Times New Roman"/>
                <w:color w:val="000000" w:themeColor="text1"/>
                <w:sz w:val="24"/>
                <w:highlight w:val="none"/>
                <w:lang w:bidi="ar"/>
                <w14:textFill>
                  <w14:solidFill>
                    <w14:schemeClr w14:val="tx1"/>
                  </w14:solidFill>
                </w14:textFill>
              </w:rPr>
              <w:t>可以</w:t>
            </w:r>
            <w:r>
              <w:rPr>
                <w:rFonts w:hint="eastAsia" w:ascii="Times New Roman" w:hAnsi="Times New Roman" w:eastAsia="仿宋_GB2312" w:cs="Times New Roman"/>
                <w:color w:val="000000" w:themeColor="text1"/>
                <w:sz w:val="24"/>
                <w:lang w:bidi="ar"/>
                <w14:textFill>
                  <w14:solidFill>
                    <w14:schemeClr w14:val="tx1"/>
                  </w14:solidFill>
                </w14:textFill>
              </w:rPr>
              <w:t>并处100000元以上200000元以下罚款；已取得许可证的，可以由原发证部门依法吊销相关许可证，对直接负责的主管人员和其他直接责任人员可以禁止其五年内从事相应生产经营活动。</w:t>
            </w:r>
          </w:p>
        </w:tc>
      </w:tr>
    </w:tbl>
    <w:p w14:paraId="134E8293">
      <w:pPr>
        <w:pStyle w:val="4"/>
        <w:widowControl w:val="0"/>
        <w:ind w:firstLine="640"/>
        <w:jc w:val="both"/>
        <w:rPr>
          <w:rFonts w:hint="eastAsia" w:ascii="Times New Roman" w:hAnsi="Times New Roman" w:cs="仿宋_GB2312"/>
          <w:b/>
          <w:bCs/>
          <w:color w:val="000000" w:themeColor="text1"/>
          <w:highlight w:val="none"/>
          <w14:textFill>
            <w14:solidFill>
              <w14:schemeClr w14:val="tx1"/>
            </w14:solidFill>
          </w14:textFill>
        </w:rPr>
      </w:pPr>
      <w:bookmarkStart w:id="5819" w:name="_Toc30825"/>
      <w:bookmarkStart w:id="5820" w:name="_Toc26468"/>
      <w:bookmarkStart w:id="5821" w:name="_Toc31136"/>
      <w:bookmarkStart w:id="5822" w:name="_Toc5224"/>
      <w:bookmarkStart w:id="5823" w:name="_Toc26034"/>
      <w:bookmarkStart w:id="5824" w:name="_Toc22283"/>
      <w:bookmarkStart w:id="5825" w:name="_Toc30764"/>
      <w:bookmarkStart w:id="5826" w:name="_Toc9913"/>
      <w:bookmarkStart w:id="5827" w:name="_Toc16673"/>
      <w:bookmarkStart w:id="5828" w:name="_Toc1987"/>
      <w:bookmarkStart w:id="5829" w:name="_Toc5800"/>
      <w:r>
        <w:rPr>
          <w:rFonts w:hint="eastAsia" w:ascii="Times New Roman" w:hAnsi="Times New Roman" w:cs="仿宋_GB2312"/>
          <w:bCs/>
          <w:color w:val="000000" w:themeColor="text1"/>
          <w:highlight w:val="none"/>
          <w14:textFill>
            <w14:solidFill>
              <w14:schemeClr w14:val="tx1"/>
            </w14:solidFill>
          </w14:textFill>
        </w:rPr>
        <w:t>第四百五十三条 生产、销售未取得卫生许可的涉及饮用水卫生安全的产品，或者生产、销售的涉及饮用水卫生安全的产品不符合国家卫生标准和卫生规范的</w:t>
      </w:r>
      <w:bookmarkEnd w:id="5819"/>
      <w:bookmarkEnd w:id="5820"/>
      <w:bookmarkEnd w:id="5821"/>
      <w:bookmarkEnd w:id="5822"/>
      <w:bookmarkEnd w:id="5823"/>
      <w:bookmarkEnd w:id="5824"/>
      <w:bookmarkEnd w:id="5825"/>
      <w:bookmarkEnd w:id="5826"/>
      <w:bookmarkEnd w:id="5827"/>
      <w:bookmarkEnd w:id="5828"/>
      <w:bookmarkEnd w:id="5829"/>
    </w:p>
    <w:p w14:paraId="600F7646">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6C89D92">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《中华人民共和国传染病防治法》</w:t>
      </w:r>
      <w:r>
        <w:rPr>
          <w:rFonts w:ascii="Times New Roman" w:hAnsi="Times New Roman" w:eastAsia="仿宋_GB2312" w:cs="仿宋_GB2312"/>
          <w:color w:val="000000" w:themeColor="text1"/>
          <w:sz w:val="32"/>
          <w:szCs w:val="32"/>
          <w14:textFill>
            <w14:solidFill>
              <w14:schemeClr w14:val="tx1"/>
            </w14:solidFill>
          </w14:textFill>
        </w:rPr>
        <w:t>第一百零七条</w:t>
      </w:r>
      <w:r>
        <w:rPr>
          <w:rFonts w:hint="eastAsia" w:ascii="Times New Roman" w:hAnsi="Times New Roman" w:eastAsia="仿宋_GB2312" w:cs="仿宋_GB2312"/>
          <w:color w:val="000000" w:themeColor="text1"/>
          <w:sz w:val="32"/>
          <w:szCs w:val="32"/>
          <w14:textFill>
            <w14:solidFill>
              <w14:schemeClr w14:val="tx1"/>
            </w14:solidFill>
          </w14:textFill>
        </w:rPr>
        <w:t>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情形之一的，由县级以上人民政府疾病预防控制部门责令改正，给予警告，没收违法所得，可以并处二十万元以下罚款；情节严重的，可以由原发证部门依法吊销相关许可证，对直接负责的主管人员和其他直接责任人员可以禁止其五年内从事相应生产经营活动：</w:t>
      </w:r>
    </w:p>
    <w:p w14:paraId="51D32F50">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（二）生产、销售未取得卫生许可的涉及饮用水卫生安全的产品，或者生产、销售的涉及饮用水卫生安全的产品不符合国家卫生标准和卫生规范；</w:t>
      </w:r>
    </w:p>
    <w:p w14:paraId="70D49DB5">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8101"/>
        <w:gridCol w:w="4426"/>
      </w:tblGrid>
      <w:tr w14:paraId="1715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97" w:type="dxa"/>
            <w:vAlign w:val="center"/>
          </w:tcPr>
          <w:p w14:paraId="366D41E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01" w:type="dxa"/>
            <w:vAlign w:val="center"/>
          </w:tcPr>
          <w:p w14:paraId="4F7C8BE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26" w:type="dxa"/>
            <w:vAlign w:val="center"/>
          </w:tcPr>
          <w:p w14:paraId="322EE96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4F3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97" w:type="dxa"/>
            <w:vAlign w:val="center"/>
          </w:tcPr>
          <w:p w14:paraId="0258AE9E">
            <w:pPr>
              <w:widowControl w:val="0"/>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01" w:type="dxa"/>
            <w:vAlign w:val="center"/>
          </w:tcPr>
          <w:p w14:paraId="7435E88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生产、销售未取得卫生许可的涉及饮用水卫生安全的产品经营时间1个月以下的；或涉及饮用水卫生安全的产品3项以下指标不符合国家卫生标准和卫生规范。</w:t>
            </w:r>
          </w:p>
        </w:tc>
        <w:tc>
          <w:tcPr>
            <w:tcW w:w="4426" w:type="dxa"/>
            <w:vAlign w:val="center"/>
          </w:tcPr>
          <w:p w14:paraId="4A1E6A54">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责令改正，给予警告，没收违法所得，可以并处25000元以下罚款。</w:t>
            </w:r>
          </w:p>
        </w:tc>
      </w:tr>
      <w:tr w14:paraId="5C1C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97" w:type="dxa"/>
            <w:vAlign w:val="center"/>
          </w:tcPr>
          <w:p w14:paraId="7D570B1E">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01" w:type="dxa"/>
            <w:vAlign w:val="center"/>
          </w:tcPr>
          <w:p w14:paraId="2D06680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生产、销售未取得卫生许可的涉及饮用水卫生安全的产品经营时间1个月以上3个月以下的；或涉及饮用水卫生安全的产品3项以上指标不符合国家卫生标准和卫生规范。</w:t>
            </w:r>
          </w:p>
        </w:tc>
        <w:tc>
          <w:tcPr>
            <w:tcW w:w="4426" w:type="dxa"/>
            <w:vAlign w:val="center"/>
          </w:tcPr>
          <w:p w14:paraId="54A6AF1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责令改正，给予警告，没收违法所得，可以并处25000元以上50000元以下罚款。</w:t>
            </w:r>
          </w:p>
        </w:tc>
      </w:tr>
      <w:tr w14:paraId="48B6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397" w:type="dxa"/>
            <w:vAlign w:val="center"/>
          </w:tcPr>
          <w:p w14:paraId="2C332A2D">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01" w:type="dxa"/>
            <w:vAlign w:val="center"/>
          </w:tcPr>
          <w:p w14:paraId="79BA138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生产、销售未取得卫生许可的涉及饮用水卫生安全的产品3个月以上；或涉及饮用水卫生安全的产品不符合国家卫生标准和卫生规范可能造成传染病传播、暴发、流行。</w:t>
            </w:r>
          </w:p>
        </w:tc>
        <w:tc>
          <w:tcPr>
            <w:tcW w:w="4426" w:type="dxa"/>
            <w:vAlign w:val="center"/>
          </w:tcPr>
          <w:p w14:paraId="34309DD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责令改正，给予警告，没收违法所得，可以并处罚款50000元以上100000元以下。</w:t>
            </w:r>
          </w:p>
        </w:tc>
      </w:tr>
      <w:tr w14:paraId="3F05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97" w:type="dxa"/>
            <w:vAlign w:val="center"/>
          </w:tcPr>
          <w:p w14:paraId="6410EF5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01" w:type="dxa"/>
            <w:vAlign w:val="center"/>
          </w:tcPr>
          <w:p w14:paraId="2EB0BD4D">
            <w:pPr>
              <w:widowControl w:val="0"/>
              <w:adjustRightInd/>
              <w:snapToGrid/>
              <w:spacing w:after="0" w:line="320" w:lineRule="exact"/>
              <w:jc w:val="both"/>
              <w:rPr>
                <w:rFonts w:hint="eastAsia" w:ascii="Times New Roman" w:hAnsi="Times New Roman" w:eastAsia="仿宋_GB2312" w:cs="Times New Roman"/>
                <w:color w:val="000000" w:themeColor="text1"/>
                <w:spacing w:val="-6"/>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生产、销售未取得卫生许可的涉及饮用水卫生安全的产品；或涉及饮用水卫生安全的产品不符合国家卫生标准和卫生规范，造成传染病传播、暴发、流行。</w:t>
            </w:r>
          </w:p>
        </w:tc>
        <w:tc>
          <w:tcPr>
            <w:tcW w:w="4426" w:type="dxa"/>
            <w:vAlign w:val="center"/>
          </w:tcPr>
          <w:p w14:paraId="545014B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w:t>
            </w:r>
            <w:r>
              <w:rPr>
                <w:rFonts w:hint="eastAsia" w:ascii="Times New Roman" w:hAnsi="Times New Roman" w:eastAsia="仿宋_GB2312" w:cs="Times New Roman"/>
                <w:color w:val="000000" w:themeColor="text1"/>
                <w:sz w:val="24"/>
                <w:highlight w:val="none"/>
                <w:lang w:bidi="ar"/>
                <w14:textFill>
                  <w14:solidFill>
                    <w14:schemeClr w14:val="tx1"/>
                  </w14:solidFill>
                </w14:textFill>
              </w:rPr>
              <w:t>可以</w:t>
            </w:r>
            <w:r>
              <w:rPr>
                <w:rFonts w:hint="eastAsia" w:ascii="Times New Roman" w:hAnsi="Times New Roman" w:eastAsia="仿宋_GB2312" w:cs="Times New Roman"/>
                <w:color w:val="000000" w:themeColor="text1"/>
                <w:sz w:val="24"/>
                <w:lang w:bidi="ar"/>
                <w14:textFill>
                  <w14:solidFill>
                    <w14:schemeClr w14:val="tx1"/>
                  </w14:solidFill>
                </w14:textFill>
              </w:rPr>
              <w:t>并处100000元以上200000元以下罚款；已取得许可证的，可以由原发证部门依法吊销相关许可证，对直接负责的主管人员和其他直接责任人员可以禁止其五年内从事相应生产经营活动。</w:t>
            </w:r>
          </w:p>
        </w:tc>
      </w:tr>
    </w:tbl>
    <w:p w14:paraId="71224158">
      <w:pPr>
        <w:widowControl w:val="0"/>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14:textFill>
            <w14:solidFill>
              <w14:schemeClr w14:val="tx1"/>
            </w14:solidFill>
          </w14:textFill>
        </w:rPr>
      </w:pPr>
      <w:bookmarkStart w:id="5830" w:name="_Toc27092"/>
      <w:bookmarkStart w:id="5831" w:name="_Toc17169"/>
      <w:bookmarkStart w:id="5832" w:name="_Toc26252"/>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第四百五十四条 学校的卫生条件和传染病预防、控制措施不符合国家卫生标准和卫生规范的</w:t>
      </w:r>
      <w:bookmarkEnd w:id="5830"/>
      <w:bookmarkEnd w:id="5831"/>
      <w:bookmarkEnd w:id="5832"/>
    </w:p>
    <w:p w14:paraId="3C4A6CA7">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578FC152">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《中华人民共和国传染病防治法》第一百零八条第一款第（五）项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w:t>
      </w:r>
    </w:p>
    <w:p w14:paraId="6D105A94">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（五）公共场所、学校、托育机构的卫生条件和传染病预防、控制措施不符合国家卫生标准和卫生规范。</w:t>
      </w:r>
    </w:p>
    <w:p w14:paraId="1227534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8101"/>
        <w:gridCol w:w="4426"/>
      </w:tblGrid>
      <w:tr w14:paraId="2DC2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97" w:type="dxa"/>
            <w:vAlign w:val="center"/>
          </w:tcPr>
          <w:p w14:paraId="415C193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01" w:type="dxa"/>
            <w:vAlign w:val="center"/>
          </w:tcPr>
          <w:p w14:paraId="7097726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26" w:type="dxa"/>
            <w:vAlign w:val="center"/>
          </w:tcPr>
          <w:p w14:paraId="6BE039B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3ED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97" w:type="dxa"/>
            <w:vAlign w:val="center"/>
          </w:tcPr>
          <w:p w14:paraId="1A24F5AE">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01" w:type="dxa"/>
            <w:vAlign w:val="center"/>
          </w:tcPr>
          <w:p w14:paraId="4AD9899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学校的卫生条件和传染病预防、控制措施不符合国家卫生标准和卫生规范。</w:t>
            </w:r>
          </w:p>
        </w:tc>
        <w:tc>
          <w:tcPr>
            <w:tcW w:w="4426" w:type="dxa"/>
            <w:vAlign w:val="center"/>
          </w:tcPr>
          <w:p w14:paraId="5A28E15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highlight w:val="none"/>
                <w:lang w:bidi="ar"/>
                <w14:textFill>
                  <w14:solidFill>
                    <w14:schemeClr w14:val="tx1"/>
                  </w14:solidFill>
                </w14:textFill>
              </w:rPr>
              <w:t>责令改正，给予警告或者通报批评。</w:t>
            </w:r>
          </w:p>
        </w:tc>
      </w:tr>
      <w:tr w14:paraId="5ACD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97" w:type="dxa"/>
            <w:vAlign w:val="center"/>
          </w:tcPr>
          <w:p w14:paraId="5DA606E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01" w:type="dxa"/>
            <w:vAlign w:val="center"/>
          </w:tcPr>
          <w:p w14:paraId="07F6B34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学校的卫生条件和传染病预防、控制措施不符合国家卫生标准和卫生规范，逾期不改正。</w:t>
            </w:r>
          </w:p>
        </w:tc>
        <w:tc>
          <w:tcPr>
            <w:tcW w:w="4426" w:type="dxa"/>
            <w:vAlign w:val="center"/>
          </w:tcPr>
          <w:p w14:paraId="297ABC7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责令改正，给予警告或者通报批评，没收违法所得，可以并处30000元以下罚款。</w:t>
            </w:r>
          </w:p>
        </w:tc>
      </w:tr>
      <w:tr w14:paraId="12D8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397" w:type="dxa"/>
            <w:vAlign w:val="center"/>
          </w:tcPr>
          <w:p w14:paraId="1C6A1F2A">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01" w:type="dxa"/>
            <w:vAlign w:val="center"/>
          </w:tcPr>
          <w:p w14:paraId="0B53A529">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学校的卫生条件和传染病预防、控制措施不符合国家卫生标准和卫生规范，一年内受到两次以上卫生行政部门行政处罚。</w:t>
            </w:r>
          </w:p>
        </w:tc>
        <w:tc>
          <w:tcPr>
            <w:tcW w:w="4426" w:type="dxa"/>
            <w:vAlign w:val="center"/>
          </w:tcPr>
          <w:p w14:paraId="1A0691B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责令改正，给予警告或者通报批评，没收违法所得，可以并处30000元以上65000元以下罚款。</w:t>
            </w:r>
          </w:p>
        </w:tc>
      </w:tr>
      <w:tr w14:paraId="2CE0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97" w:type="dxa"/>
            <w:vAlign w:val="center"/>
          </w:tcPr>
          <w:p w14:paraId="1FCAD73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01" w:type="dxa"/>
            <w:vAlign w:val="center"/>
          </w:tcPr>
          <w:p w14:paraId="6B5BE82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学校的卫生条件和传染病预防、控制措施不符合国家卫生标准和卫生规范，造成传染病传播、暴发、流行</w:t>
            </w:r>
            <w:r>
              <w:rPr>
                <w:rFonts w:hint="eastAsia" w:ascii="Times New Roman" w:hAnsi="Times New Roman" w:eastAsia="仿宋_GB2312" w:cs="Times New Roman"/>
                <w:color w:val="000000" w:themeColor="text1"/>
                <w:sz w:val="24"/>
                <w:lang w:val="en" w:bidi="ar"/>
                <w14:textFill>
                  <w14:solidFill>
                    <w14:schemeClr w14:val="tx1"/>
                  </w14:solidFill>
                </w14:textFill>
              </w:rPr>
              <w:t>。</w:t>
            </w:r>
          </w:p>
        </w:tc>
        <w:tc>
          <w:tcPr>
            <w:tcW w:w="4426" w:type="dxa"/>
            <w:vAlign w:val="center"/>
          </w:tcPr>
          <w:p w14:paraId="79CA240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可以并处65000元以上100000元以下罚款；可以由原发证部门依法吊销相关许可证，对直接负责的主管人员和其他直接责任人员依法给予处分，并可以由原发证部门责令有关责任人员暂停六个月以上一年以下执业活动直至依法吊销执业证书。</w:t>
            </w:r>
          </w:p>
        </w:tc>
      </w:tr>
    </w:tbl>
    <w:p w14:paraId="25ABA285">
      <w:pPr>
        <w:widowControl w:val="0"/>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pacing w:val="-6"/>
          <w:sz w:val="32"/>
          <w:szCs w:val="32"/>
          <w:highlight w:val="none"/>
          <w14:textFill>
            <w14:solidFill>
              <w14:schemeClr w14:val="tx1"/>
            </w14:solidFill>
          </w14:textFill>
        </w:rPr>
      </w:pPr>
      <w:bookmarkStart w:id="5833" w:name="_Toc12964"/>
      <w:bookmarkStart w:id="5834" w:name="_Toc10187"/>
      <w:bookmarkStart w:id="5835" w:name="_Toc4508"/>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 xml:space="preserve">第四百五十五条 </w:t>
      </w:r>
      <w:r>
        <w:rPr>
          <w:rFonts w:hint="eastAsia" w:ascii="Times New Roman" w:hAnsi="Times New Roman" w:eastAsia="仿宋_GB2312" w:cs="仿宋_GB2312"/>
          <w:b/>
          <w:bCs/>
          <w:color w:val="000000" w:themeColor="text1"/>
          <w:spacing w:val="-6"/>
          <w:sz w:val="32"/>
          <w:szCs w:val="32"/>
          <w:highlight w:val="none"/>
          <w14:textFill>
            <w14:solidFill>
              <w14:schemeClr w14:val="tx1"/>
            </w14:solidFill>
          </w14:textFill>
        </w:rPr>
        <w:t>公共场所的卫生条件和传染病预防、控制措施不符合国家卫生标准和卫生规范的</w:t>
      </w:r>
      <w:bookmarkEnd w:id="5833"/>
      <w:bookmarkEnd w:id="5834"/>
      <w:bookmarkEnd w:id="5835"/>
    </w:p>
    <w:p w14:paraId="1E05C9B3">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763170CD">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《中华人民共和国传染病防治法》第一百零八条第一款第（五）项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w:t>
      </w:r>
    </w:p>
    <w:p w14:paraId="44A7A93D">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（五）公共场所、学校、托育机构的卫生条件和传染病预防、控制措施不符合国家卫生标准和卫生规范。</w:t>
      </w:r>
    </w:p>
    <w:p w14:paraId="48F5EB1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8101"/>
        <w:gridCol w:w="4426"/>
      </w:tblGrid>
      <w:tr w14:paraId="5E4A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97" w:type="dxa"/>
            <w:vAlign w:val="center"/>
          </w:tcPr>
          <w:p w14:paraId="0EAC808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01" w:type="dxa"/>
            <w:vAlign w:val="center"/>
          </w:tcPr>
          <w:p w14:paraId="23C44B8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26" w:type="dxa"/>
            <w:vAlign w:val="center"/>
          </w:tcPr>
          <w:p w14:paraId="3CD5100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095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97" w:type="dxa"/>
            <w:vAlign w:val="center"/>
          </w:tcPr>
          <w:p w14:paraId="51C37FF2">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01" w:type="dxa"/>
            <w:vAlign w:val="center"/>
          </w:tcPr>
          <w:p w14:paraId="72CE4C8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公共场所的卫生条件和传染病预防、控制措施不符合国家卫生标准和卫生规范。</w:t>
            </w:r>
          </w:p>
        </w:tc>
        <w:tc>
          <w:tcPr>
            <w:tcW w:w="4426" w:type="dxa"/>
            <w:vAlign w:val="center"/>
          </w:tcPr>
          <w:p w14:paraId="5493272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highlight w:val="none"/>
                <w:lang w:bidi="ar"/>
                <w14:textFill>
                  <w14:solidFill>
                    <w14:schemeClr w14:val="tx1"/>
                  </w14:solidFill>
                </w14:textFill>
              </w:rPr>
              <w:t>责令改正，给予警告或者通报批评。</w:t>
            </w:r>
          </w:p>
        </w:tc>
      </w:tr>
      <w:tr w14:paraId="0641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97" w:type="dxa"/>
            <w:vAlign w:val="center"/>
          </w:tcPr>
          <w:p w14:paraId="23737205">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01" w:type="dxa"/>
            <w:vAlign w:val="center"/>
          </w:tcPr>
          <w:p w14:paraId="6832582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公共场所的卫生条件和传染病预防、控制措施不符合国家卫生标准和卫生规范，逾期不改正。</w:t>
            </w:r>
          </w:p>
        </w:tc>
        <w:tc>
          <w:tcPr>
            <w:tcW w:w="4426" w:type="dxa"/>
            <w:vAlign w:val="center"/>
          </w:tcPr>
          <w:p w14:paraId="3CA9C0D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责令改正，给予警告或者通报批，没收违法所得，可以并处30000元以下罚款。</w:t>
            </w:r>
          </w:p>
        </w:tc>
      </w:tr>
      <w:tr w14:paraId="07A6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397" w:type="dxa"/>
            <w:vAlign w:val="center"/>
          </w:tcPr>
          <w:p w14:paraId="2D97E491">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01" w:type="dxa"/>
            <w:vAlign w:val="center"/>
          </w:tcPr>
          <w:p w14:paraId="6BAAD99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公共场所的卫生条件和传染病预防、控制措施不符合国家卫生标准和卫生规范，一年内受到两次以上卫生行政部门行政处罚。</w:t>
            </w:r>
          </w:p>
        </w:tc>
        <w:tc>
          <w:tcPr>
            <w:tcW w:w="4426" w:type="dxa"/>
            <w:vAlign w:val="center"/>
          </w:tcPr>
          <w:p w14:paraId="5DAF152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责令改正，给予警告或者通报批，没收违法所得，可以并处30000元以上65000元以下罚款。</w:t>
            </w:r>
          </w:p>
        </w:tc>
      </w:tr>
      <w:tr w14:paraId="07E7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Align w:val="center"/>
          </w:tcPr>
          <w:p w14:paraId="2440BAF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01" w:type="dxa"/>
            <w:vAlign w:val="center"/>
          </w:tcPr>
          <w:p w14:paraId="05D5E5C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公共场所的卫生条件和传染病预防、控制措施不符合国家卫生标准和卫生规范，造成传染病传播、暴发、流行。</w:t>
            </w:r>
          </w:p>
        </w:tc>
        <w:tc>
          <w:tcPr>
            <w:tcW w:w="4426" w:type="dxa"/>
            <w:vAlign w:val="center"/>
          </w:tcPr>
          <w:p w14:paraId="1947CB22">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限期改正，给予警告，没收违法所得，可以并处65000元以上100000元以下罚款；可以由原发证部门依法吊销相关许可证，对直接负责的主管人员和其他直接责任人员依法给予处分，并可以由原发证部门责令有关责任人员暂停六个月以上一年以下执业活动直至依法吊销执业证书。</w:t>
            </w:r>
          </w:p>
        </w:tc>
      </w:tr>
    </w:tbl>
    <w:p w14:paraId="3483410C">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p>
    <w:p w14:paraId="16CD4037">
      <w:pPr>
        <w:widowControl w:val="0"/>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pacing w:val="-6"/>
          <w:sz w:val="32"/>
          <w:szCs w:val="32"/>
          <w14:textFill>
            <w14:solidFill>
              <w14:schemeClr w14:val="tx1"/>
            </w14:solidFill>
          </w14:textFill>
        </w:rPr>
      </w:pPr>
      <w:bookmarkStart w:id="5836" w:name="_Toc6312"/>
      <w:bookmarkStart w:id="5837" w:name="_Toc3002"/>
      <w:bookmarkStart w:id="5838" w:name="_Toc19847"/>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 xml:space="preserve">第四百五十六条 </w:t>
      </w:r>
      <w:r>
        <w:rPr>
          <w:rFonts w:hint="eastAsia" w:ascii="Times New Roman" w:hAnsi="Times New Roman" w:eastAsia="仿宋_GB2312" w:cs="仿宋_GB2312"/>
          <w:b/>
          <w:bCs/>
          <w:color w:val="000000" w:themeColor="text1"/>
          <w:spacing w:val="-6"/>
          <w:sz w:val="32"/>
          <w:szCs w:val="32"/>
          <w:highlight w:val="none"/>
          <w14:textFill>
            <w14:solidFill>
              <w14:schemeClr w14:val="tx1"/>
            </w14:solidFill>
          </w14:textFill>
        </w:rPr>
        <w:t>托育机构的卫生条件和传染病预防、控制措施不符合国家卫生标准和卫生规范的</w:t>
      </w:r>
      <w:bookmarkEnd w:id="5836"/>
      <w:bookmarkEnd w:id="5837"/>
      <w:bookmarkEnd w:id="5838"/>
    </w:p>
    <w:p w14:paraId="14692978">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7ADD1098">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《中华人民共和国传染病防治法》第一百零八条第一款第（五）项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情形之一的，由县级以上人民政府卫生健康、疾病预防控制等部门依据职责责令改正，给予警告或者通报批评，没收违法所得，可以并处十万元以下罚款；情节严重的，可以由原发证部门依法吊销相关许可证，对直接负责的主管人员和其他直接责任人员依法给予处分，并可以由原发证部门责令有关责任人员暂停六个月以上一年以下执业活动直至依法吊销执业证书：</w:t>
      </w:r>
    </w:p>
    <w:p w14:paraId="2B220F05">
      <w:pPr>
        <w:widowControl w:val="0"/>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（五）公共场所、学校、托育机构的卫生条件和传染病预防、控制措施不符合国家卫生标准和卫生规范。</w:t>
      </w:r>
    </w:p>
    <w:p w14:paraId="577723C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8101"/>
        <w:gridCol w:w="4426"/>
      </w:tblGrid>
      <w:tr w14:paraId="7933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97" w:type="dxa"/>
            <w:vAlign w:val="center"/>
          </w:tcPr>
          <w:p w14:paraId="2622FF4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01" w:type="dxa"/>
            <w:vAlign w:val="center"/>
          </w:tcPr>
          <w:p w14:paraId="3665F19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26" w:type="dxa"/>
            <w:vAlign w:val="center"/>
          </w:tcPr>
          <w:p w14:paraId="5976639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55E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7" w:type="dxa"/>
            <w:vAlign w:val="center"/>
          </w:tcPr>
          <w:p w14:paraId="4AC2F011">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101" w:type="dxa"/>
            <w:vAlign w:val="center"/>
          </w:tcPr>
          <w:p w14:paraId="5E6538B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pacing w:val="-6"/>
                <w:sz w:val="24"/>
                <w:lang w:bidi="ar"/>
                <w14:textFill>
                  <w14:solidFill>
                    <w14:schemeClr w14:val="tx1"/>
                  </w14:solidFill>
                </w14:textFill>
              </w:rPr>
              <w:t>托育机构的卫生条件和传染病预防、控制措施不符合国家卫生标准和卫生规范</w:t>
            </w:r>
            <w:r>
              <w:rPr>
                <w:rFonts w:hint="eastAsia" w:ascii="Times New Roman" w:hAnsi="Times New Roman" w:eastAsia="仿宋_GB2312" w:cs="Times New Roman"/>
                <w:color w:val="000000" w:themeColor="text1"/>
                <w:sz w:val="24"/>
                <w:lang w:bidi="ar"/>
                <w14:textFill>
                  <w14:solidFill>
                    <w14:schemeClr w14:val="tx1"/>
                  </w14:solidFill>
                </w14:textFill>
              </w:rPr>
              <w:t>。</w:t>
            </w:r>
          </w:p>
        </w:tc>
        <w:tc>
          <w:tcPr>
            <w:tcW w:w="4426" w:type="dxa"/>
            <w:vAlign w:val="center"/>
          </w:tcPr>
          <w:p w14:paraId="4BE6746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责令改正，给予警告或者通报批评。</w:t>
            </w:r>
          </w:p>
        </w:tc>
      </w:tr>
      <w:tr w14:paraId="0E96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397" w:type="dxa"/>
            <w:vAlign w:val="center"/>
          </w:tcPr>
          <w:p w14:paraId="65509371">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101" w:type="dxa"/>
            <w:vAlign w:val="center"/>
          </w:tcPr>
          <w:p w14:paraId="42E3BDC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托育机构的卫生条件和传染病预防、控制措施不符合国家卫生标准和卫生规范，逾期不改正。</w:t>
            </w:r>
          </w:p>
        </w:tc>
        <w:tc>
          <w:tcPr>
            <w:tcW w:w="4426" w:type="dxa"/>
            <w:vAlign w:val="center"/>
          </w:tcPr>
          <w:p w14:paraId="2814C3D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责令改正，给予警告或者通报批评，没收违法所得，可以并处30000元以下罚款。</w:t>
            </w:r>
          </w:p>
        </w:tc>
      </w:tr>
      <w:tr w14:paraId="633F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397" w:type="dxa"/>
            <w:vAlign w:val="center"/>
          </w:tcPr>
          <w:p w14:paraId="5F3A9441">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101" w:type="dxa"/>
            <w:vAlign w:val="center"/>
          </w:tcPr>
          <w:p w14:paraId="45BF266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托育机构的卫生条件和传染病预防、控制措施不符合国家卫生标准和卫生规范，一年内受到两次以上卫生行政部门行政处罚。</w:t>
            </w:r>
          </w:p>
        </w:tc>
        <w:tc>
          <w:tcPr>
            <w:tcW w:w="4426" w:type="dxa"/>
            <w:vAlign w:val="center"/>
          </w:tcPr>
          <w:p w14:paraId="7592DD96">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责令改正，给予警告或者通报批评，没收违法所得，可以并处30000元以上65000元以下罚款。</w:t>
            </w:r>
          </w:p>
        </w:tc>
      </w:tr>
      <w:tr w14:paraId="2859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1397" w:type="dxa"/>
            <w:vAlign w:val="center"/>
          </w:tcPr>
          <w:p w14:paraId="2503338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101" w:type="dxa"/>
            <w:vAlign w:val="center"/>
          </w:tcPr>
          <w:p w14:paraId="5A4BBF3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托育机构的卫生条件和传染病预防、控制措施不符合国家卫生标准和卫生规范，造成传染病传播、暴发、流行。</w:t>
            </w:r>
          </w:p>
        </w:tc>
        <w:tc>
          <w:tcPr>
            <w:tcW w:w="4426" w:type="dxa"/>
            <w:vAlign w:val="center"/>
          </w:tcPr>
          <w:p w14:paraId="7336842A">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责令改正，给予警告，没收违法所得，</w:t>
            </w:r>
            <w:r>
              <w:rPr>
                <w:rFonts w:hint="eastAsia" w:ascii="Times New Roman" w:hAnsi="Times New Roman" w:eastAsia="仿宋_GB2312" w:cs="Times New Roman"/>
                <w:color w:val="000000" w:themeColor="text1"/>
                <w:sz w:val="24"/>
                <w:highlight w:val="none"/>
                <w:lang w:bidi="ar"/>
                <w14:textFill>
                  <w14:solidFill>
                    <w14:schemeClr w14:val="tx1"/>
                  </w14:solidFill>
                </w14:textFill>
              </w:rPr>
              <w:t>可以</w:t>
            </w:r>
            <w:r>
              <w:rPr>
                <w:rFonts w:hint="eastAsia" w:ascii="Times New Roman" w:hAnsi="Times New Roman" w:eastAsia="仿宋_GB2312" w:cs="Times New Roman"/>
                <w:color w:val="000000" w:themeColor="text1"/>
                <w:sz w:val="24"/>
                <w:lang w:bidi="ar"/>
                <w14:textFill>
                  <w14:solidFill>
                    <w14:schemeClr w14:val="tx1"/>
                  </w14:solidFill>
                </w14:textFill>
              </w:rPr>
              <w:t>并处65000元以上100000元以下罚款；可以由原发证部门依法吊销相关许可证，对直接负责的主管人员和其他直接责任人员依法给予处分，并可以由原发证部门责令有关责任人员暂停六个月以上一年以下执业活动直至依法吊销执业证书。</w:t>
            </w:r>
          </w:p>
        </w:tc>
      </w:tr>
    </w:tbl>
    <w:p w14:paraId="14FF91E5">
      <w:pPr>
        <w:pStyle w:val="3"/>
        <w:keepNext w:val="0"/>
        <w:keepLines w:val="0"/>
        <w:widowControl w:val="0"/>
        <w:spacing w:before="157" w:beforeLines="50" w:after="157" w:afterLines="50" w:line="480" w:lineRule="exact"/>
        <w:ind w:firstLine="643" w:firstLineChars="200"/>
        <w:rPr>
          <w:rFonts w:hint="eastAsia" w:ascii="Times New Roman" w:hAnsi="Times New Roman" w:eastAsia="楷体_GB2312" w:cs="楷体_GB2312"/>
          <w:color w:val="000000" w:themeColor="text1"/>
          <w:highlight w:val="none"/>
          <w14:textFill>
            <w14:solidFill>
              <w14:schemeClr w14:val="tx1"/>
            </w14:solidFill>
          </w14:textFill>
        </w:rPr>
      </w:pPr>
      <w:bookmarkStart w:id="5839" w:name="_Toc9894"/>
      <w:bookmarkStart w:id="5840" w:name="_Toc15952"/>
      <w:bookmarkStart w:id="5841" w:name="_Toc17138"/>
      <w:bookmarkStart w:id="5842" w:name="_Toc31129"/>
      <w:bookmarkStart w:id="5843" w:name="_Toc23514"/>
      <w:bookmarkStart w:id="5844" w:name="_Toc32084"/>
      <w:bookmarkStart w:id="5845" w:name="_Toc2977"/>
      <w:bookmarkStart w:id="5846" w:name="_Toc26051"/>
      <w:bookmarkStart w:id="5847" w:name="_Toc3386"/>
      <w:bookmarkStart w:id="5848" w:name="_Toc32727"/>
      <w:bookmarkStart w:id="5849" w:name="_Toc2151"/>
      <w:bookmarkStart w:id="5850" w:name="_Toc15518"/>
      <w:bookmarkStart w:id="5851" w:name="_Toc16655"/>
      <w:r>
        <w:rPr>
          <w:rFonts w:hint="eastAsia" w:ascii="Times New Roman" w:hAnsi="Times New Roman" w:eastAsia="楷体_GB2312" w:cs="楷体_GB2312"/>
          <w:color w:val="000000" w:themeColor="text1"/>
          <w:highlight w:val="none"/>
          <w14:textFill>
            <w14:solidFill>
              <w14:schemeClr w14:val="tx1"/>
            </w14:solidFill>
          </w14:textFill>
        </w:rPr>
        <w:t>（四）</w:t>
      </w:r>
      <w:bookmarkStart w:id="5852" w:name="_Toc132293369"/>
      <w:r>
        <w:rPr>
          <w:rFonts w:hint="eastAsia" w:ascii="Times New Roman" w:hAnsi="Times New Roman" w:eastAsia="楷体_GB2312" w:cs="楷体_GB2312"/>
          <w:color w:val="000000" w:themeColor="text1"/>
          <w:highlight w:val="none"/>
          <w14:textFill>
            <w14:solidFill>
              <w14:schemeClr w14:val="tx1"/>
            </w14:solidFill>
          </w14:textFill>
        </w:rPr>
        <w:t>《艾滋病防治条例》</w:t>
      </w:r>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14:paraId="3FE6EEAC">
      <w:pPr>
        <w:pStyle w:val="4"/>
        <w:widowControl w:val="0"/>
        <w:spacing w:line="480" w:lineRule="exact"/>
        <w:ind w:firstLine="640"/>
        <w:jc w:val="both"/>
        <w:rPr>
          <w:rFonts w:hint="eastAsia" w:ascii="Times New Roman" w:hAnsi="Times New Roman" w:cs="仿宋_GB2312"/>
          <w:b/>
          <w:bCs/>
          <w:color w:val="000000" w:themeColor="text1"/>
          <w:highlight w:val="none"/>
          <w14:textFill>
            <w14:solidFill>
              <w14:schemeClr w14:val="tx1"/>
            </w14:solidFill>
          </w14:textFill>
        </w:rPr>
      </w:pPr>
      <w:bookmarkStart w:id="5853" w:name="_Toc28908"/>
      <w:bookmarkStart w:id="5854" w:name="_Toc21390"/>
      <w:bookmarkStart w:id="5855" w:name="_Toc9442"/>
      <w:bookmarkStart w:id="5856" w:name="_Toc19514"/>
      <w:bookmarkStart w:id="5857" w:name="_Toc12972"/>
      <w:bookmarkStart w:id="5858" w:name="_Toc10180"/>
      <w:bookmarkStart w:id="5859" w:name="_Toc132293370"/>
      <w:bookmarkStart w:id="5860" w:name="_Toc23473"/>
      <w:bookmarkStart w:id="5861" w:name="_Toc19216"/>
      <w:bookmarkStart w:id="5862" w:name="_Toc15222"/>
      <w:bookmarkStart w:id="5863" w:name="_Toc22152"/>
      <w:bookmarkStart w:id="5864" w:name="_Toc6569"/>
      <w:r>
        <w:rPr>
          <w:rFonts w:hint="eastAsia" w:ascii="Times New Roman" w:hAnsi="Times New Roman" w:cs="仿宋_GB2312"/>
          <w:bCs/>
          <w:color w:val="000000" w:themeColor="text1"/>
          <w:highlight w:val="none"/>
          <w14:textFill>
            <w14:solidFill>
              <w14:schemeClr w14:val="tx1"/>
            </w14:solidFill>
          </w14:textFill>
        </w:rPr>
        <w:t>第四百五十七条 公共场所的经营者未查验服务人员的健康合格证明或者允许未取得健康合格证明的人员从事服务工作，省、自治区、直辖市人民政府确定的公共场所的经营者未在公共场所内放置安全套或者设置安全套发售设施的</w:t>
      </w:r>
      <w:bookmarkEnd w:id="5853"/>
      <w:bookmarkEnd w:id="5854"/>
      <w:bookmarkEnd w:id="5855"/>
      <w:bookmarkEnd w:id="5856"/>
      <w:bookmarkEnd w:id="5857"/>
      <w:bookmarkEnd w:id="5858"/>
      <w:bookmarkEnd w:id="5859"/>
      <w:bookmarkEnd w:id="5860"/>
      <w:bookmarkEnd w:id="5861"/>
      <w:bookmarkEnd w:id="5862"/>
      <w:bookmarkEnd w:id="5863"/>
      <w:bookmarkEnd w:id="5864"/>
    </w:p>
    <w:p w14:paraId="04160217">
      <w:pPr>
        <w:widowControl w:val="0"/>
        <w:adjustRightInd/>
        <w:snapToGrid/>
        <w:spacing w:after="0" w:line="480" w:lineRule="exact"/>
        <w:ind w:firstLine="640" w:firstLineChars="200"/>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法律依据：</w:t>
      </w:r>
    </w:p>
    <w:p w14:paraId="04E39BEC">
      <w:pPr>
        <w:widowControl w:val="0"/>
        <w:adjustRightInd/>
        <w:snapToGrid/>
        <w:spacing w:after="0" w:line="480" w:lineRule="exact"/>
        <w:ind w:firstLine="640" w:firstLineChars="200"/>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《艾滋病防治条例》第六十一条 违反本法规定，公共场所的经营者未查验服务人员的健康合格证明或者允许未取得健康合格证明的人员从事服务工作，省、自治区、直辖市人民政府确定的公共场所的经营者未在公共场所内放置安全套或者设置安全套发售设施的，由县级以上人民政府卫生主管部门责令限期改正，给予警告，可以并处 500 元以上 5000 元以下的罚款；逾期不改正的，责令停业整顿；情节严重的，由原发证部门依法吊销其执业许可证件。</w:t>
      </w:r>
    </w:p>
    <w:p w14:paraId="630CA821">
      <w:pPr>
        <w:widowControl w:val="0"/>
        <w:spacing w:before="156" w:beforeLines="50" w:after="0" w:line="440" w:lineRule="exact"/>
        <w:jc w:val="center"/>
        <w:rPr>
          <w:rFonts w:ascii="Times New Roman" w:hAnsi="Times New Roman" w:cs="Times New Roman"/>
          <w:b/>
          <w:bCs/>
          <w:sz w:val="28"/>
          <w:szCs w:val="28"/>
          <w:highlight w:val="none"/>
        </w:rPr>
      </w:pPr>
      <w:r>
        <w:rPr>
          <w:rFonts w:hint="eastAsia" w:ascii="Times New Roman" w:hAnsi="Times New Roman" w:cs="Times New Roman"/>
          <w:b/>
          <w:bCs/>
          <w:sz w:val="28"/>
          <w:szCs w:val="28"/>
          <w:highlight w:val="none"/>
        </w:rPr>
        <w:t>裁量标准</w:t>
      </w:r>
    </w:p>
    <w:tbl>
      <w:tblPr>
        <w:tblStyle w:val="24"/>
        <w:tblW w:w="1392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8115"/>
        <w:gridCol w:w="4414"/>
      </w:tblGrid>
      <w:tr w14:paraId="2DBB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8" w:type="dxa"/>
            <w:shd w:val="clear" w:color="auto" w:fill="auto"/>
            <w:vAlign w:val="center"/>
          </w:tcPr>
          <w:p w14:paraId="377F5A91">
            <w:pPr>
              <w:widowControl/>
              <w:adjustRightInd/>
              <w:snapToGrid/>
              <w:spacing w:after="0" w:line="240" w:lineRule="auto"/>
              <w:jc w:val="center"/>
              <w:textAlignment w:val="auto"/>
              <w:rPr>
                <w:rFonts w:hint="eastAsia" w:ascii="Times New Roman" w:hAnsi="Times New Roman" w:eastAsia="微软雅黑" w:cs="微软雅黑"/>
                <w:b/>
                <w:bCs/>
                <w:color w:val="000000"/>
                <w:sz w:val="28"/>
                <w:szCs w:val="28"/>
                <w:highlight w:val="none"/>
                <w:lang w:bidi="ar"/>
              </w:rPr>
            </w:pPr>
            <w:r>
              <w:rPr>
                <w:rFonts w:hint="eastAsia" w:ascii="Times New Roman" w:hAnsi="Times New Roman" w:eastAsia="微软雅黑" w:cs="微软雅黑"/>
                <w:b/>
                <w:bCs/>
                <w:color w:val="000000"/>
                <w:sz w:val="28"/>
                <w:szCs w:val="28"/>
                <w:highlight w:val="none"/>
                <w:lang w:bidi="ar"/>
              </w:rPr>
              <w:t>违法程度</w:t>
            </w:r>
          </w:p>
        </w:tc>
        <w:tc>
          <w:tcPr>
            <w:tcW w:w="8115" w:type="dxa"/>
            <w:shd w:val="clear" w:color="auto" w:fill="auto"/>
            <w:vAlign w:val="center"/>
          </w:tcPr>
          <w:p w14:paraId="2625F84F">
            <w:pPr>
              <w:widowControl/>
              <w:adjustRightInd/>
              <w:snapToGrid/>
              <w:spacing w:after="0" w:line="240" w:lineRule="auto"/>
              <w:jc w:val="center"/>
              <w:textAlignment w:val="auto"/>
              <w:rPr>
                <w:rFonts w:hint="eastAsia" w:ascii="Times New Roman" w:hAnsi="Times New Roman" w:eastAsia="微软雅黑" w:cs="微软雅黑"/>
                <w:b/>
                <w:bCs/>
                <w:color w:val="000000"/>
                <w:sz w:val="28"/>
                <w:szCs w:val="28"/>
                <w:highlight w:val="none"/>
                <w:lang w:bidi="ar"/>
              </w:rPr>
            </w:pPr>
            <w:r>
              <w:rPr>
                <w:rFonts w:hint="eastAsia" w:ascii="Times New Roman" w:hAnsi="Times New Roman" w:eastAsia="微软雅黑" w:cs="微软雅黑"/>
                <w:b/>
                <w:bCs/>
                <w:color w:val="000000"/>
                <w:sz w:val="28"/>
                <w:szCs w:val="28"/>
                <w:highlight w:val="none"/>
                <w:lang w:bidi="ar"/>
              </w:rPr>
              <w:t>情节后果</w:t>
            </w:r>
          </w:p>
        </w:tc>
        <w:tc>
          <w:tcPr>
            <w:tcW w:w="4414" w:type="dxa"/>
            <w:shd w:val="clear" w:color="auto" w:fill="auto"/>
            <w:vAlign w:val="center"/>
          </w:tcPr>
          <w:p w14:paraId="1B8B5396">
            <w:pPr>
              <w:widowControl/>
              <w:adjustRightInd/>
              <w:snapToGrid/>
              <w:spacing w:after="0" w:line="240" w:lineRule="auto"/>
              <w:jc w:val="center"/>
              <w:textAlignment w:val="auto"/>
              <w:rPr>
                <w:rFonts w:hint="eastAsia" w:ascii="Times New Roman" w:hAnsi="Times New Roman" w:eastAsia="微软雅黑" w:cs="微软雅黑"/>
                <w:b/>
                <w:bCs/>
                <w:color w:val="000000"/>
                <w:sz w:val="28"/>
                <w:szCs w:val="28"/>
                <w:highlight w:val="none"/>
                <w:lang w:bidi="ar"/>
              </w:rPr>
            </w:pPr>
            <w:r>
              <w:rPr>
                <w:rFonts w:hint="eastAsia" w:ascii="Times New Roman" w:hAnsi="Times New Roman" w:eastAsia="微软雅黑" w:cs="微软雅黑"/>
                <w:b/>
                <w:bCs/>
                <w:color w:val="000000"/>
                <w:sz w:val="28"/>
                <w:szCs w:val="28"/>
                <w:highlight w:val="none"/>
                <w:lang w:bidi="ar"/>
              </w:rPr>
              <w:t>裁量幅度</w:t>
            </w:r>
          </w:p>
        </w:tc>
      </w:tr>
      <w:tr w14:paraId="7819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398" w:type="dxa"/>
            <w:vMerge w:val="restart"/>
            <w:shd w:val="clear" w:color="auto" w:fill="auto"/>
            <w:vAlign w:val="center"/>
          </w:tcPr>
          <w:p w14:paraId="733FF755">
            <w:pPr>
              <w:widowControl w:val="0"/>
              <w:spacing w:after="0" w:line="320" w:lineRule="exact"/>
              <w:jc w:val="center"/>
              <w:textAlignment w:val="auto"/>
              <w:rPr>
                <w:rFonts w:hint="eastAsia" w:ascii="Times New Roman" w:hAnsi="Times New Roman" w:eastAsia="仿宋_GB2312" w:cs="仿宋_GB2312"/>
                <w:b/>
                <w:bCs/>
                <w:color w:val="000000"/>
                <w:sz w:val="24"/>
                <w:szCs w:val="22"/>
                <w:highlight w:val="none"/>
              </w:rPr>
            </w:pPr>
            <w:r>
              <w:rPr>
                <w:rFonts w:hint="eastAsia" w:ascii="Times New Roman" w:hAnsi="Times New Roman" w:eastAsia="仿宋_GB2312" w:cs="仿宋_GB2312"/>
                <w:b/>
                <w:bCs/>
                <w:color w:val="000000"/>
                <w:sz w:val="24"/>
                <w:szCs w:val="22"/>
                <w:highlight w:val="none"/>
                <w:lang w:bidi="ar"/>
              </w:rPr>
              <w:t>较轻</w:t>
            </w:r>
          </w:p>
        </w:tc>
        <w:tc>
          <w:tcPr>
            <w:tcW w:w="8115" w:type="dxa"/>
            <w:shd w:val="clear" w:color="auto" w:fill="auto"/>
            <w:vAlign w:val="center"/>
          </w:tcPr>
          <w:p w14:paraId="7D39DDAC">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公共场所的经营者未查验服务人员的健康合格证明或者允许3名以下未取得健康合格证明的人员从事服务工作的</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p>
        </w:tc>
        <w:tc>
          <w:tcPr>
            <w:tcW w:w="4414" w:type="dxa"/>
            <w:vMerge w:val="restart"/>
            <w:shd w:val="clear" w:color="auto" w:fill="auto"/>
            <w:vAlign w:val="center"/>
          </w:tcPr>
          <w:p w14:paraId="53330A95">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警告，可以并处罚款500元以上2000元以下</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p>
        </w:tc>
      </w:tr>
      <w:tr w14:paraId="0B3F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398" w:type="dxa"/>
            <w:vMerge w:val="continue"/>
            <w:shd w:val="clear" w:color="auto" w:fill="auto"/>
            <w:vAlign w:val="center"/>
          </w:tcPr>
          <w:p w14:paraId="347E58FA">
            <w:pPr>
              <w:widowControl w:val="0"/>
              <w:spacing w:after="0" w:line="320" w:lineRule="exact"/>
              <w:jc w:val="center"/>
              <w:rPr>
                <w:rFonts w:hint="eastAsia" w:ascii="Times New Roman" w:hAnsi="Times New Roman" w:eastAsia="仿宋_GB2312" w:cs="仿宋_GB2312"/>
                <w:b/>
                <w:bCs/>
                <w:color w:val="000000"/>
                <w:sz w:val="24"/>
                <w:szCs w:val="22"/>
                <w:highlight w:val="none"/>
              </w:rPr>
            </w:pPr>
          </w:p>
        </w:tc>
        <w:tc>
          <w:tcPr>
            <w:tcW w:w="8115" w:type="dxa"/>
            <w:shd w:val="clear" w:color="auto" w:fill="auto"/>
            <w:vAlign w:val="center"/>
          </w:tcPr>
          <w:p w14:paraId="3DE65452">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省、自治区、直辖市人民政府确定的公共场所未在公共场所内放置安全套或者设置安全套发售设施的</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p>
        </w:tc>
        <w:tc>
          <w:tcPr>
            <w:tcW w:w="4414" w:type="dxa"/>
            <w:vMerge w:val="continue"/>
            <w:shd w:val="clear" w:color="auto" w:fill="auto"/>
            <w:vAlign w:val="center"/>
          </w:tcPr>
          <w:p w14:paraId="724EA37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p>
        </w:tc>
      </w:tr>
      <w:tr w14:paraId="7F61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398" w:type="dxa"/>
            <w:shd w:val="clear" w:color="auto" w:fill="auto"/>
            <w:vAlign w:val="center"/>
          </w:tcPr>
          <w:p w14:paraId="0DBCB244">
            <w:pPr>
              <w:widowControl w:val="0"/>
              <w:spacing w:after="0" w:line="320" w:lineRule="exact"/>
              <w:jc w:val="center"/>
              <w:textAlignment w:val="auto"/>
              <w:rPr>
                <w:rFonts w:hint="eastAsia" w:ascii="Times New Roman" w:hAnsi="Times New Roman" w:eastAsia="仿宋_GB2312" w:cs="仿宋_GB2312"/>
                <w:b/>
                <w:bCs/>
                <w:color w:val="000000"/>
                <w:sz w:val="24"/>
                <w:szCs w:val="22"/>
                <w:highlight w:val="none"/>
              </w:rPr>
            </w:pPr>
            <w:r>
              <w:rPr>
                <w:rFonts w:hint="eastAsia" w:ascii="Times New Roman" w:hAnsi="Times New Roman" w:eastAsia="仿宋_GB2312" w:cs="仿宋_GB2312"/>
                <w:b/>
                <w:bCs/>
                <w:color w:val="000000"/>
                <w:sz w:val="24"/>
                <w:szCs w:val="22"/>
                <w:highlight w:val="none"/>
                <w:lang w:bidi="ar"/>
              </w:rPr>
              <w:t>一般</w:t>
            </w:r>
          </w:p>
        </w:tc>
        <w:tc>
          <w:tcPr>
            <w:tcW w:w="8115" w:type="dxa"/>
            <w:shd w:val="clear" w:color="auto" w:fill="auto"/>
            <w:vAlign w:val="center"/>
          </w:tcPr>
          <w:p w14:paraId="6F74D300">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允许3名以上未取得健康合格证明的人员从事服务工作的</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p>
        </w:tc>
        <w:tc>
          <w:tcPr>
            <w:tcW w:w="4414" w:type="dxa"/>
            <w:shd w:val="clear" w:color="auto" w:fill="auto"/>
            <w:vAlign w:val="center"/>
          </w:tcPr>
          <w:p w14:paraId="19CA627A">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警告，可以并处罚款2000元以上5000元以下</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p>
        </w:tc>
      </w:tr>
      <w:tr w14:paraId="3383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398" w:type="dxa"/>
            <w:vMerge w:val="restart"/>
            <w:shd w:val="clear" w:color="auto" w:fill="auto"/>
            <w:vAlign w:val="center"/>
          </w:tcPr>
          <w:p w14:paraId="145D6959">
            <w:pPr>
              <w:widowControl w:val="0"/>
              <w:spacing w:after="0" w:line="320" w:lineRule="exact"/>
              <w:jc w:val="center"/>
              <w:textAlignment w:val="auto"/>
              <w:rPr>
                <w:rFonts w:hint="eastAsia" w:ascii="Times New Roman" w:hAnsi="Times New Roman" w:eastAsia="仿宋_GB2312" w:cs="仿宋_GB2312"/>
                <w:b/>
                <w:bCs/>
                <w:color w:val="000000"/>
                <w:sz w:val="24"/>
                <w:szCs w:val="22"/>
                <w:highlight w:val="none"/>
              </w:rPr>
            </w:pPr>
            <w:r>
              <w:rPr>
                <w:rFonts w:hint="eastAsia" w:ascii="Times New Roman" w:hAnsi="Times New Roman" w:eastAsia="仿宋_GB2312" w:cs="仿宋_GB2312"/>
                <w:b/>
                <w:bCs/>
                <w:color w:val="000000"/>
                <w:sz w:val="24"/>
                <w:szCs w:val="22"/>
                <w:highlight w:val="none"/>
                <w:lang w:bidi="ar"/>
              </w:rPr>
              <w:t>较重</w:t>
            </w:r>
          </w:p>
        </w:tc>
        <w:tc>
          <w:tcPr>
            <w:tcW w:w="8115" w:type="dxa"/>
            <w:shd w:val="clear" w:color="auto" w:fill="auto"/>
            <w:vAlign w:val="center"/>
          </w:tcPr>
          <w:p w14:paraId="0B2F1ADD">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公共场所的经营者未查验服务人员的健康合格证明或者允许未取得健康合格证明的人员从事服务工作的，逾期不改正的</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p>
        </w:tc>
        <w:tc>
          <w:tcPr>
            <w:tcW w:w="4414" w:type="dxa"/>
            <w:vMerge w:val="restart"/>
            <w:shd w:val="clear" w:color="auto" w:fill="auto"/>
            <w:vAlign w:val="center"/>
          </w:tcPr>
          <w:p w14:paraId="1FD3A21E">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警告，可以并处罚款 5000 元</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责令停业整顿</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p>
        </w:tc>
      </w:tr>
      <w:tr w14:paraId="0CC9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398" w:type="dxa"/>
            <w:vMerge w:val="continue"/>
            <w:shd w:val="clear" w:color="auto" w:fill="auto"/>
            <w:vAlign w:val="center"/>
          </w:tcPr>
          <w:p w14:paraId="4614CF07">
            <w:pPr>
              <w:widowControl w:val="0"/>
              <w:spacing w:after="0" w:line="320" w:lineRule="exact"/>
              <w:jc w:val="center"/>
              <w:rPr>
                <w:rFonts w:hint="eastAsia" w:ascii="Times New Roman" w:hAnsi="Times New Roman" w:eastAsia="仿宋_GB2312" w:cs="仿宋_GB2312"/>
                <w:b/>
                <w:bCs/>
                <w:color w:val="000000"/>
                <w:sz w:val="24"/>
                <w:szCs w:val="22"/>
                <w:highlight w:val="none"/>
              </w:rPr>
            </w:pPr>
          </w:p>
        </w:tc>
        <w:tc>
          <w:tcPr>
            <w:tcW w:w="8115" w:type="dxa"/>
            <w:shd w:val="clear" w:color="auto" w:fill="auto"/>
            <w:vAlign w:val="center"/>
          </w:tcPr>
          <w:p w14:paraId="3263388E">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省、自治区、直辖市人民政府确定的公共场所未在公共场所内放置安全套或者设置安全套发售设施的，逾期不改正的。</w:t>
            </w:r>
          </w:p>
        </w:tc>
        <w:tc>
          <w:tcPr>
            <w:tcW w:w="4414" w:type="dxa"/>
            <w:vMerge w:val="continue"/>
            <w:shd w:val="clear" w:color="auto" w:fill="auto"/>
            <w:vAlign w:val="center"/>
          </w:tcPr>
          <w:p w14:paraId="1417B49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p>
        </w:tc>
      </w:tr>
      <w:tr w14:paraId="40DD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398" w:type="dxa"/>
            <w:shd w:val="clear" w:color="auto" w:fill="auto"/>
            <w:vAlign w:val="center"/>
          </w:tcPr>
          <w:p w14:paraId="1CF5B721">
            <w:pPr>
              <w:widowControl w:val="0"/>
              <w:spacing w:after="0" w:line="320" w:lineRule="exact"/>
              <w:jc w:val="center"/>
              <w:textAlignment w:val="auto"/>
              <w:rPr>
                <w:rFonts w:hint="eastAsia" w:ascii="Times New Roman" w:hAnsi="Times New Roman" w:eastAsia="仿宋_GB2312" w:cs="仿宋_GB2312"/>
                <w:b/>
                <w:bCs/>
                <w:color w:val="000000"/>
                <w:sz w:val="24"/>
                <w:szCs w:val="22"/>
                <w:highlight w:val="none"/>
              </w:rPr>
            </w:pPr>
            <w:r>
              <w:rPr>
                <w:rFonts w:hint="eastAsia" w:ascii="Times New Roman" w:hAnsi="Times New Roman" w:eastAsia="仿宋_GB2312" w:cs="仿宋_GB2312"/>
                <w:b/>
                <w:bCs/>
                <w:color w:val="000000"/>
                <w:sz w:val="24"/>
                <w:szCs w:val="22"/>
                <w:highlight w:val="none"/>
                <w:lang w:bidi="ar"/>
              </w:rPr>
              <w:t>严重</w:t>
            </w:r>
          </w:p>
        </w:tc>
        <w:tc>
          <w:tcPr>
            <w:tcW w:w="8115" w:type="dxa"/>
            <w:shd w:val="clear" w:color="auto" w:fill="auto"/>
            <w:vAlign w:val="center"/>
          </w:tcPr>
          <w:p w14:paraId="040577B4">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违反上述情节，并已发生明确的人体危害健康事故</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的</w:t>
            </w: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w:t>
            </w:r>
          </w:p>
        </w:tc>
        <w:tc>
          <w:tcPr>
            <w:tcW w:w="4414" w:type="dxa"/>
            <w:shd w:val="clear" w:color="auto" w:fill="auto"/>
            <w:vAlign w:val="center"/>
          </w:tcPr>
          <w:p w14:paraId="3FAD5927">
            <w:pPr>
              <w:widowControl w:val="0"/>
              <w:adjustRightInd/>
              <w:snapToGrid/>
              <w:spacing w:after="0" w:line="320" w:lineRule="exact"/>
              <w:jc w:val="both"/>
              <w:textAlignment w:val="auto"/>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警告，可以并处罚款 5000 元</w:t>
            </w:r>
            <w:r>
              <w:rPr>
                <w:rFonts w:hint="eastAsia" w:ascii="Times New Roman" w:hAnsi="Times New Roman" w:eastAsia="仿宋_GB2312" w:cs="Times New Roman"/>
                <w:color w:val="000000" w:themeColor="text1"/>
                <w:sz w:val="24"/>
                <w:szCs w:val="22"/>
                <w:highlight w:val="none"/>
                <w:lang w:eastAsia="zh-CN" w:bidi="ar"/>
                <w14:textFill>
                  <w14:solidFill>
                    <w14:schemeClr w14:val="tx1"/>
                  </w14:solidFill>
                </w14:textFill>
              </w:rPr>
              <w:t>，</w:t>
            </w:r>
            <w:r>
              <w:rPr>
                <w:rFonts w:hint="eastAsia" w:ascii="Times New Roman" w:hAnsi="Times New Roman" w:eastAsia="仿宋_GB2312" w:cs="Times New Roman"/>
                <w:color w:val="000000" w:themeColor="text1"/>
                <w:sz w:val="24"/>
                <w:szCs w:val="22"/>
                <w:highlight w:val="none"/>
                <w:lang w:bidi="ar"/>
                <w14:textFill>
                  <w14:solidFill>
                    <w14:schemeClr w14:val="tx1"/>
                  </w14:solidFill>
                </w14:textFill>
              </w:rPr>
              <w:t>由原发证部门依法吊销其执业许可证件。</w:t>
            </w:r>
          </w:p>
        </w:tc>
      </w:tr>
    </w:tbl>
    <w:p w14:paraId="6401BA37">
      <w:pPr>
        <w:pStyle w:val="3"/>
        <w:keepNext w:val="0"/>
        <w:keepLines w:val="0"/>
        <w:widowControl w:val="0"/>
        <w:spacing w:before="157" w:beforeLines="50" w:after="157" w:afterLines="50" w:line="240" w:lineRule="auto"/>
        <w:ind w:firstLine="643" w:firstLineChars="200"/>
        <w:rPr>
          <w:rFonts w:hint="eastAsia" w:ascii="Times New Roman" w:hAnsi="Times New Roman" w:eastAsia="楷体_GB2312" w:cs="楷体_GB2312"/>
          <w:color w:val="000000" w:themeColor="text1"/>
          <w14:textFill>
            <w14:solidFill>
              <w14:schemeClr w14:val="tx1"/>
            </w14:solidFill>
          </w14:textFill>
        </w:rPr>
      </w:pPr>
      <w:bookmarkStart w:id="5865" w:name="_Toc5703"/>
      <w:bookmarkStart w:id="5866" w:name="_Toc13044"/>
      <w:bookmarkStart w:id="5867" w:name="_Toc9813"/>
      <w:bookmarkStart w:id="5868" w:name="_Toc32353"/>
      <w:bookmarkStart w:id="5869" w:name="_Toc24076"/>
      <w:bookmarkStart w:id="5870" w:name="_Toc11865"/>
      <w:bookmarkStart w:id="5871" w:name="_Toc20973"/>
      <w:bookmarkStart w:id="5872" w:name="_Toc29085"/>
      <w:bookmarkStart w:id="5873" w:name="_Toc21101"/>
      <w:bookmarkStart w:id="5874" w:name="_Toc24148"/>
      <w:bookmarkStart w:id="5875" w:name="_Toc30622"/>
      <w:bookmarkStart w:id="5876" w:name="_Toc16747"/>
      <w:bookmarkStart w:id="5877" w:name="_Toc10912"/>
      <w:r>
        <w:rPr>
          <w:rFonts w:hint="eastAsia" w:ascii="Times New Roman" w:hAnsi="Times New Roman" w:eastAsia="楷体_GB2312" w:cs="楷体_GB2312"/>
          <w:color w:val="000000" w:themeColor="text1"/>
          <w:highlight w:val="none"/>
          <w14:textFill>
            <w14:solidFill>
              <w14:schemeClr w14:val="tx1"/>
            </w14:solidFill>
          </w14:textFill>
        </w:rPr>
        <w:t>（五）</w:t>
      </w:r>
      <w:r>
        <w:rPr>
          <w:rFonts w:hint="eastAsia" w:ascii="Times New Roman" w:hAnsi="Times New Roman" w:eastAsia="楷体_GB2312" w:cs="楷体_GB2312"/>
          <w:color w:val="000000" w:themeColor="text1"/>
          <w14:textFill>
            <w14:solidFill>
              <w14:schemeClr w14:val="tx1"/>
            </w14:solidFill>
          </w14:textFill>
        </w:rPr>
        <w:t>《学校卫生工作条例》</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p>
    <w:p w14:paraId="4DB56EB9">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highlight w:val="none"/>
          <w14:textFill>
            <w14:solidFill>
              <w14:schemeClr w14:val="tx1"/>
            </w14:solidFill>
          </w14:textFill>
        </w:rPr>
      </w:pPr>
      <w:bookmarkStart w:id="5878" w:name="_Toc23620"/>
      <w:bookmarkStart w:id="5879" w:name="_Toc6505"/>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第四百五十八条</w:t>
      </w:r>
      <w:r>
        <w:rPr>
          <w:rFonts w:hint="eastAsia" w:ascii="Times New Roman" w:hAnsi="Times New Roman" w:eastAsia="仿宋_GB2312" w:cs="仿宋_GB2312"/>
          <w:b/>
          <w:bCs/>
          <w:color w:val="000000" w:themeColor="text1"/>
          <w:sz w:val="32"/>
          <w:szCs w:val="32"/>
          <w:highlight w:val="none"/>
          <w:lang w:eastAsia="zh-CN"/>
          <w14:textFill>
            <w14:solidFill>
              <w14:schemeClr w14:val="tx1"/>
            </w14:solidFill>
          </w14:textFill>
        </w:rPr>
        <w:t xml:space="preserve"> </w:t>
      </w:r>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对学校教学建筑、环境噪声、室内微小气候、采光、照明等环境质量以及黑板、课桌椅的设置不符合国家标准的</w:t>
      </w:r>
      <w:bookmarkEnd w:id="5878"/>
      <w:bookmarkEnd w:id="5879"/>
    </w:p>
    <w:p w14:paraId="7F7EB6EA">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B268A42">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《学校卫生工作条例》第三十三条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违反本条例第六条第一款、第七条和第十条规定的，由卫生行政部门对直接责任单位或者个人给予警告并责令限期改进。情节严重的，可以同时建议教育行政部门给予行政处分。</w:t>
      </w:r>
    </w:p>
    <w:p w14:paraId="04FE136F">
      <w:pPr>
        <w:widowControl w:val="0"/>
        <w:spacing w:after="0" w:line="240" w:lineRule="auto"/>
        <w:jc w:val="center"/>
        <w:rPr>
          <w:rFonts w:hint="eastAsia" w:ascii="Times New Roman" w:hAnsi="Times New Roman" w:eastAsia="仿宋" w:cs="仿宋"/>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659"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7762"/>
        <w:gridCol w:w="4453"/>
      </w:tblGrid>
      <w:tr w14:paraId="3F16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444" w:type="dxa"/>
            <w:vAlign w:val="center"/>
          </w:tcPr>
          <w:p w14:paraId="481EC74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62" w:type="dxa"/>
            <w:vAlign w:val="center"/>
          </w:tcPr>
          <w:p w14:paraId="4E7C176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53" w:type="dxa"/>
            <w:vAlign w:val="center"/>
          </w:tcPr>
          <w:p w14:paraId="5A75750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BFE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4" w:type="dxa"/>
            <w:vAlign w:val="center"/>
          </w:tcPr>
          <w:p w14:paraId="7F9A0FC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762" w:type="dxa"/>
            <w:vAlign w:val="center"/>
          </w:tcPr>
          <w:p w14:paraId="2BAB8FEB">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学校教学建筑、环境噪声、室内微小气候、采光、照明等环境质量以及黑板、课桌椅的设置不符合国家有关标准的。</w:t>
            </w:r>
          </w:p>
        </w:tc>
        <w:tc>
          <w:tcPr>
            <w:tcW w:w="4453" w:type="dxa"/>
            <w:vAlign w:val="center"/>
          </w:tcPr>
          <w:p w14:paraId="35A4D85D">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由卫生行政部门对直接责任单位或个人给予警告并责令限期改进。</w:t>
            </w:r>
          </w:p>
        </w:tc>
      </w:tr>
      <w:tr w14:paraId="4727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4" w:type="dxa"/>
            <w:vAlign w:val="center"/>
          </w:tcPr>
          <w:p w14:paraId="4334B1B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762" w:type="dxa"/>
            <w:vAlign w:val="center"/>
          </w:tcPr>
          <w:p w14:paraId="05E00FBA">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造成学生人身损害后果或导致学生群体健康损害事件的。</w:t>
            </w:r>
          </w:p>
        </w:tc>
        <w:tc>
          <w:tcPr>
            <w:tcW w:w="4453" w:type="dxa"/>
            <w:vAlign w:val="center"/>
          </w:tcPr>
          <w:p w14:paraId="0B22885C">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可以同时建议教育行政部门给予行政处分。</w:t>
            </w:r>
          </w:p>
        </w:tc>
      </w:tr>
    </w:tbl>
    <w:p w14:paraId="29FE96BC">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highlight w:val="none"/>
          <w14:textFill>
            <w14:solidFill>
              <w14:schemeClr w14:val="tx1"/>
            </w14:solidFill>
          </w14:textFill>
        </w:rPr>
      </w:pPr>
      <w:bookmarkStart w:id="5880" w:name="_Toc27971"/>
      <w:bookmarkStart w:id="5881" w:name="_Toc9711"/>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第四百五十九条 对学校未按照有关规定为学生设置厕所和洗手设施、未按规定提供充足的符合卫生标准的饮用水，寄宿制学校未按规定为学生提供相应的洗漱、洗澡设施的</w:t>
      </w:r>
      <w:bookmarkEnd w:id="5880"/>
      <w:bookmarkEnd w:id="5881"/>
    </w:p>
    <w:p w14:paraId="1A9FDA42">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55AFE45">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《学校卫生工作条例》第三十三条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违反本条例第六条第一款、第七条和第十条规定的，由卫生行政部门对直接责任单位或者个人给予警告并责令限期改进。情节严重的，可以同时建议教育行政部门给予行政处分。</w:t>
      </w:r>
    </w:p>
    <w:p w14:paraId="57F42E61">
      <w:pPr>
        <w:widowControl w:val="0"/>
        <w:spacing w:after="0" w:line="240" w:lineRule="auto"/>
        <w:jc w:val="center"/>
        <w:rPr>
          <w:rFonts w:hint="eastAsia" w:ascii="Times New Roman" w:hAnsi="Times New Roman" w:eastAsia="仿宋" w:cs="仿宋"/>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45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7652"/>
        <w:gridCol w:w="4385"/>
      </w:tblGrid>
      <w:tr w14:paraId="5E66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21" w:type="dxa"/>
            <w:vAlign w:val="center"/>
          </w:tcPr>
          <w:p w14:paraId="7146C83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652" w:type="dxa"/>
            <w:vAlign w:val="center"/>
          </w:tcPr>
          <w:p w14:paraId="2B7D50A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385" w:type="dxa"/>
            <w:vAlign w:val="center"/>
          </w:tcPr>
          <w:p w14:paraId="7F8B0F3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D3E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421" w:type="dxa"/>
            <w:vAlign w:val="center"/>
          </w:tcPr>
          <w:p w14:paraId="62EC95E5">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652" w:type="dxa"/>
            <w:vAlign w:val="center"/>
          </w:tcPr>
          <w:p w14:paraId="2CB233E4">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对学校未按照有关规定为学生设置厕所和洗手设施，或者未按规定提供充足的符合卫生标准的饮用水，寄宿制学校未按规定为学生提供相应的洗漱、洗澡设施的。</w:t>
            </w:r>
          </w:p>
        </w:tc>
        <w:tc>
          <w:tcPr>
            <w:tcW w:w="4385" w:type="dxa"/>
            <w:vAlign w:val="center"/>
          </w:tcPr>
          <w:p w14:paraId="605C6070">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由卫生行政部门对直接责任单位或个人给予警告并责令限期改进。</w:t>
            </w:r>
          </w:p>
        </w:tc>
      </w:tr>
      <w:tr w14:paraId="1A75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1" w:type="dxa"/>
            <w:vAlign w:val="center"/>
          </w:tcPr>
          <w:p w14:paraId="1E20A55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652" w:type="dxa"/>
            <w:vAlign w:val="center"/>
          </w:tcPr>
          <w:p w14:paraId="6BAD7353">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造成学生人身损害后果或导致学生群体健康损害事件的。</w:t>
            </w:r>
          </w:p>
        </w:tc>
        <w:tc>
          <w:tcPr>
            <w:tcW w:w="4385" w:type="dxa"/>
            <w:vAlign w:val="center"/>
          </w:tcPr>
          <w:p w14:paraId="63F0377E">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可以同时建议教育行政部门给予行政处分。</w:t>
            </w:r>
          </w:p>
        </w:tc>
      </w:tr>
    </w:tbl>
    <w:p w14:paraId="7DC6F017">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highlight w:val="none"/>
          <w14:textFill>
            <w14:solidFill>
              <w14:schemeClr w14:val="tx1"/>
            </w14:solidFill>
          </w14:textFill>
        </w:rPr>
      </w:pPr>
      <w:bookmarkStart w:id="5882" w:name="_Toc14934"/>
      <w:bookmarkStart w:id="5883" w:name="_Toc12286"/>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第四百六十条 对学校体育场地、体育器材不符合卫生和安全要求的</w:t>
      </w:r>
      <w:bookmarkEnd w:id="5882"/>
      <w:bookmarkEnd w:id="5883"/>
    </w:p>
    <w:p w14:paraId="5F055796">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1DD7B2E">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《学校卫生工作条例》第三十三条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违反本条例第六条第一款、第七条和第十条规定的，由卫生行政部门对直接责任单位或者个人给予警告并责令限期改进。情节严重的，可以同时建议教育行政部门给予行政处分。</w:t>
      </w:r>
    </w:p>
    <w:p w14:paraId="030C4734">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59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7750"/>
        <w:gridCol w:w="4412"/>
      </w:tblGrid>
      <w:tr w14:paraId="6DAA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36" w:type="dxa"/>
            <w:vAlign w:val="center"/>
          </w:tcPr>
          <w:p w14:paraId="341431B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50" w:type="dxa"/>
            <w:vAlign w:val="center"/>
          </w:tcPr>
          <w:p w14:paraId="34FEC2A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12" w:type="dxa"/>
            <w:vAlign w:val="center"/>
          </w:tcPr>
          <w:p w14:paraId="168F1E2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7E3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36" w:type="dxa"/>
            <w:vAlign w:val="center"/>
          </w:tcPr>
          <w:p w14:paraId="0DCEFA9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750" w:type="dxa"/>
            <w:vAlign w:val="center"/>
          </w:tcPr>
          <w:p w14:paraId="3798A1BA">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val="en"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学校体育场地和器材不符合卫生和安全要求的</w:t>
            </w:r>
            <w:r>
              <w:rPr>
                <w:rFonts w:hint="eastAsia" w:ascii="Times New Roman" w:hAnsi="Times New Roman" w:eastAsia="仿宋_GB2312" w:cs="Times New Roman"/>
                <w:color w:val="000000" w:themeColor="text1"/>
                <w:sz w:val="24"/>
                <w:lang w:val="en" w:bidi="ar"/>
                <w14:textFill>
                  <w14:solidFill>
                    <w14:schemeClr w14:val="tx1"/>
                  </w14:solidFill>
                </w14:textFill>
              </w:rPr>
              <w:t>。</w:t>
            </w:r>
          </w:p>
        </w:tc>
        <w:tc>
          <w:tcPr>
            <w:tcW w:w="4412" w:type="dxa"/>
            <w:vAlign w:val="center"/>
          </w:tcPr>
          <w:p w14:paraId="05C34168">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由卫生行政部门对直接责任单位或个人给予警告并责令限期改进。</w:t>
            </w:r>
          </w:p>
        </w:tc>
      </w:tr>
      <w:tr w14:paraId="6F07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6" w:type="dxa"/>
            <w:vAlign w:val="center"/>
          </w:tcPr>
          <w:p w14:paraId="21AD308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750" w:type="dxa"/>
            <w:vAlign w:val="center"/>
          </w:tcPr>
          <w:p w14:paraId="5F9303B0">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造成学生人身损害后果或导致学生群体健康损害事件的。</w:t>
            </w:r>
          </w:p>
        </w:tc>
        <w:tc>
          <w:tcPr>
            <w:tcW w:w="4412" w:type="dxa"/>
            <w:vAlign w:val="center"/>
          </w:tcPr>
          <w:p w14:paraId="5A66B3CE">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可以同时建议教育行政部门给予行政处分。</w:t>
            </w:r>
          </w:p>
        </w:tc>
      </w:tr>
    </w:tbl>
    <w:p w14:paraId="75B4389B">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highlight w:val="none"/>
          <w14:textFill>
            <w14:solidFill>
              <w14:schemeClr w14:val="tx1"/>
            </w14:solidFill>
          </w14:textFill>
        </w:rPr>
      </w:pPr>
      <w:bookmarkStart w:id="5884" w:name="_Toc6173"/>
      <w:bookmarkStart w:id="5885" w:name="_Toc2081"/>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第四百六十一条 对学校组织学生参加劳动不符合相关规定，致使学生健康受到损害的处罚学校组织学生参加劳动致使学生健康受到损害的</w:t>
      </w:r>
      <w:bookmarkEnd w:id="5884"/>
      <w:bookmarkEnd w:id="5885"/>
    </w:p>
    <w:p w14:paraId="637C876E">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EEDD82C">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《学校卫生工作条例》第三十四条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违反本条例第十一条规定，致使学生健康受到损害的，由卫生行政部门对直接责任单位或者个人给予警告，责令限期改进。</w:t>
      </w:r>
    </w:p>
    <w:p w14:paraId="689F40D2">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81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7881"/>
        <w:gridCol w:w="4476"/>
      </w:tblGrid>
      <w:tr w14:paraId="66C4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461" w:type="dxa"/>
            <w:vAlign w:val="center"/>
          </w:tcPr>
          <w:p w14:paraId="45FF667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881" w:type="dxa"/>
            <w:vAlign w:val="center"/>
          </w:tcPr>
          <w:p w14:paraId="5682E37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76" w:type="dxa"/>
            <w:vAlign w:val="center"/>
          </w:tcPr>
          <w:p w14:paraId="6E32624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6DE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61" w:type="dxa"/>
            <w:vAlign w:val="center"/>
          </w:tcPr>
          <w:p w14:paraId="7D46F7F3">
            <w:pPr>
              <w:widowControl w:val="0"/>
              <w:adjustRightInd/>
              <w:snapToGrid/>
              <w:spacing w:after="0" w:line="240" w:lineRule="auto"/>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881" w:type="dxa"/>
            <w:vAlign w:val="center"/>
          </w:tcPr>
          <w:p w14:paraId="285CB06A">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学校组织学生参加劳动致使学生健康受到损害的。</w:t>
            </w:r>
          </w:p>
        </w:tc>
        <w:tc>
          <w:tcPr>
            <w:tcW w:w="4476" w:type="dxa"/>
            <w:vAlign w:val="center"/>
          </w:tcPr>
          <w:p w14:paraId="22DBBEDB">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由卫生行政部门对直接责任单位或个人给予警告并责令限期改进。</w:t>
            </w:r>
          </w:p>
        </w:tc>
      </w:tr>
    </w:tbl>
    <w:p w14:paraId="0BC3F087">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14:textFill>
            <w14:solidFill>
              <w14:schemeClr w14:val="tx1"/>
            </w14:solidFill>
          </w14:textFill>
        </w:rPr>
      </w:pPr>
      <w:bookmarkStart w:id="5886" w:name="_Toc4704"/>
      <w:bookmarkStart w:id="5887" w:name="_Toc17466"/>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第四百六十二条 对供学生使用的文具、娱乐器具、保健用品不符合国家有关标准的</w:t>
      </w:r>
      <w:bookmarkEnd w:id="5886"/>
      <w:bookmarkEnd w:id="5887"/>
    </w:p>
    <w:p w14:paraId="1B843DDC">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7157BF4">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《学校卫生工作条例》第三十五条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违反本条例第二十七条规定的，由卫生行政部门对直接责任单位或者个人给予警告。情节严重的，可以会同工商行政部门没收其不符合国家有关卫生标准的物品，并处以非法所得两倍以下的罚款。</w:t>
      </w:r>
    </w:p>
    <w:p w14:paraId="1F6FDE59">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71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7798"/>
        <w:gridCol w:w="4473"/>
      </w:tblGrid>
      <w:tr w14:paraId="3E2E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47" w:type="dxa"/>
            <w:vAlign w:val="center"/>
          </w:tcPr>
          <w:p w14:paraId="6B92185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98" w:type="dxa"/>
            <w:vAlign w:val="center"/>
          </w:tcPr>
          <w:p w14:paraId="21FF7D6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73" w:type="dxa"/>
            <w:vAlign w:val="center"/>
          </w:tcPr>
          <w:p w14:paraId="646BB39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ABF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1447" w:type="dxa"/>
            <w:vAlign w:val="center"/>
          </w:tcPr>
          <w:p w14:paraId="7989FB8B">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798" w:type="dxa"/>
            <w:vAlign w:val="center"/>
          </w:tcPr>
          <w:p w14:paraId="6DBC44E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供学生使用的文具、娱乐器具、保健用品不符合国家有关卫生标准，无违法所得的。</w:t>
            </w:r>
          </w:p>
        </w:tc>
        <w:tc>
          <w:tcPr>
            <w:tcW w:w="4473" w:type="dxa"/>
            <w:vAlign w:val="center"/>
          </w:tcPr>
          <w:p w14:paraId="67EEAF5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由卫生行政部门对直接责任单位或个人给予警告。</w:t>
            </w:r>
          </w:p>
        </w:tc>
      </w:tr>
      <w:tr w14:paraId="4E8E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447" w:type="dxa"/>
            <w:vAlign w:val="center"/>
          </w:tcPr>
          <w:p w14:paraId="26F8243B">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798" w:type="dxa"/>
            <w:vAlign w:val="center"/>
          </w:tcPr>
          <w:p w14:paraId="11B2F23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供学生使用的文具、娱乐器具、保健用品不符合国家有关卫生标准，违法所得5000元以下的。</w:t>
            </w:r>
          </w:p>
        </w:tc>
        <w:tc>
          <w:tcPr>
            <w:tcW w:w="4473" w:type="dxa"/>
            <w:vAlign w:val="center"/>
          </w:tcPr>
          <w:p w14:paraId="03707DC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可以会同工商行政部门没收其不符合国家有关卫生标准的物品，处违法所得1倍罚款。</w:t>
            </w:r>
          </w:p>
        </w:tc>
      </w:tr>
      <w:tr w14:paraId="297B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447" w:type="dxa"/>
            <w:vAlign w:val="center"/>
          </w:tcPr>
          <w:p w14:paraId="2F10792F">
            <w:pPr>
              <w:widowControl w:val="0"/>
              <w:adjustRightInd/>
              <w:snapToGrid/>
              <w:spacing w:after="0" w:line="240" w:lineRule="auto"/>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798" w:type="dxa"/>
            <w:vAlign w:val="center"/>
          </w:tcPr>
          <w:p w14:paraId="0E21EBA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供学生使用的文具、娱乐器具、保健用品不符合国家有关卫生标准，违法所得在5000元以上，或已造成学生个体健康损害、学生间传染病常见病传播流行的。</w:t>
            </w:r>
          </w:p>
        </w:tc>
        <w:tc>
          <w:tcPr>
            <w:tcW w:w="4473" w:type="dxa"/>
            <w:vAlign w:val="center"/>
          </w:tcPr>
          <w:p w14:paraId="728E738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可以会同工商行政部门没收其不符合国家有关卫生标准的物品，处违法所得2倍罚款。</w:t>
            </w:r>
          </w:p>
        </w:tc>
      </w:tr>
    </w:tbl>
    <w:p w14:paraId="6717F88C">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highlight w:val="none"/>
          <w14:textFill>
            <w14:solidFill>
              <w14:schemeClr w14:val="tx1"/>
            </w14:solidFill>
          </w14:textFill>
        </w:rPr>
      </w:pPr>
      <w:bookmarkStart w:id="5888" w:name="_Toc4226"/>
      <w:bookmarkStart w:id="5889" w:name="_Toc31283"/>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第四百六十三条 对拒绝或者妨碍学校卫生监督员依照《学校卫生工作条例》实施卫生监督的</w:t>
      </w:r>
      <w:bookmarkEnd w:id="5888"/>
      <w:bookmarkEnd w:id="5889"/>
    </w:p>
    <w:p w14:paraId="5A9AFB05">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7B4CE1F0">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《学校卫生工作条例》第三十六条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拒绝或者妨碍学校卫生监督员依照本条例实施卫生监督的，由卫生行政部门对直接责任单位或者个人给予警告。情节严重的，可以建议教育行政部门给予行政处分或者处以二百元以下的罚款。</w:t>
      </w:r>
    </w:p>
    <w:p w14:paraId="2923BA73">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71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7823"/>
        <w:gridCol w:w="4447"/>
      </w:tblGrid>
      <w:tr w14:paraId="2989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448" w:type="dxa"/>
            <w:vAlign w:val="center"/>
          </w:tcPr>
          <w:p w14:paraId="4D7EA25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823" w:type="dxa"/>
            <w:vAlign w:val="center"/>
          </w:tcPr>
          <w:p w14:paraId="7B190B0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47" w:type="dxa"/>
            <w:vAlign w:val="center"/>
          </w:tcPr>
          <w:p w14:paraId="685A4E3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4C9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48" w:type="dxa"/>
            <w:vAlign w:val="center"/>
          </w:tcPr>
          <w:p w14:paraId="3F2FDA64">
            <w:pPr>
              <w:widowControl w:val="0"/>
              <w:adjustRightInd/>
              <w:snapToGrid/>
              <w:spacing w:after="0" w:line="240" w:lineRule="auto"/>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823" w:type="dxa"/>
            <w:vAlign w:val="center"/>
          </w:tcPr>
          <w:p w14:paraId="4055019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拒绝或者妨碍学校卫生监督员依照本条例实施卫生监督的。</w:t>
            </w:r>
          </w:p>
        </w:tc>
        <w:tc>
          <w:tcPr>
            <w:tcW w:w="4447" w:type="dxa"/>
            <w:vAlign w:val="center"/>
          </w:tcPr>
          <w:p w14:paraId="74C47000">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由卫生行政部门对直接责任单位或者个人给予警告。</w:t>
            </w:r>
          </w:p>
        </w:tc>
      </w:tr>
      <w:tr w14:paraId="07BF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448" w:type="dxa"/>
            <w:vAlign w:val="center"/>
          </w:tcPr>
          <w:p w14:paraId="64EE0CF0">
            <w:pPr>
              <w:widowControl w:val="0"/>
              <w:adjustRightInd/>
              <w:snapToGrid/>
              <w:spacing w:after="0" w:line="240" w:lineRule="auto"/>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823" w:type="dxa"/>
            <w:vAlign w:val="center"/>
          </w:tcPr>
          <w:p w14:paraId="7B38FF5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造成学生人身损害后果或导致学生群体健康损害事件的。</w:t>
            </w:r>
          </w:p>
        </w:tc>
        <w:tc>
          <w:tcPr>
            <w:tcW w:w="4447" w:type="dxa"/>
            <w:vAlign w:val="center"/>
          </w:tcPr>
          <w:p w14:paraId="0B29303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可以建议教育行政部门给予行政处分或者处以二百元以下的罚款。</w:t>
            </w:r>
          </w:p>
        </w:tc>
      </w:tr>
    </w:tbl>
    <w:p w14:paraId="5167DFB1">
      <w:pPr>
        <w:widowControl w:val="0"/>
        <w:numPr>
          <w:ilvl w:val="0"/>
          <w:numId w:val="0"/>
        </w:numPr>
        <w:adjustRightInd/>
        <w:snapToGrid/>
        <w:spacing w:before="157" w:beforeLines="50" w:after="157" w:afterLines="50" w:line="240" w:lineRule="auto"/>
        <w:ind w:firstLine="643" w:firstLineChars="200"/>
        <w:rPr>
          <w:rFonts w:hint="eastAsia"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lang w:val="en-US" w:eastAsia="zh-CN" w:bidi="ar-SA"/>
          <w14:textFill>
            <w14:solidFill>
              <w14:schemeClr w14:val="tx1"/>
            </w14:solidFill>
          </w14:textFill>
        </w:rPr>
        <w:t>（六）</w:t>
      </w:r>
      <w:r>
        <w:rPr>
          <w:rFonts w:hint="eastAsia" w:ascii="Times New Roman" w:hAnsi="Times New Roman" w:eastAsia="楷体_GB2312" w:cs="楷体_GB2312"/>
          <w:b/>
          <w:bCs/>
          <w:color w:val="000000" w:themeColor="text1"/>
          <w:sz w:val="32"/>
          <w:szCs w:val="32"/>
          <w:highlight w:val="none"/>
          <w14:textFill>
            <w14:solidFill>
              <w14:schemeClr w14:val="tx1"/>
            </w14:solidFill>
          </w14:textFill>
        </w:rPr>
        <w:t>《托儿所幼儿园卫生保健管理办法》</w:t>
      </w:r>
    </w:p>
    <w:p w14:paraId="7CC52B53">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14:textFill>
            <w14:solidFill>
              <w14:schemeClr w14:val="tx1"/>
            </w14:solidFill>
          </w14:textFill>
        </w:rPr>
      </w:pPr>
      <w:bookmarkStart w:id="5890" w:name="_Toc31818"/>
      <w:bookmarkStart w:id="5891" w:name="_Toc16568"/>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第四百六十四条 对托幼机构未按要求设立保健室、卫生室或者配备卫生保健人员的</w:t>
      </w:r>
      <w:bookmarkEnd w:id="5890"/>
      <w:bookmarkEnd w:id="5891"/>
    </w:p>
    <w:p w14:paraId="54A7D7B6">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6E9DEB6">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《托儿所幼儿园卫生保健管理办法》第十九条第一款第一项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托幼机构有下列情形之一的，由卫生行政部门责令限期改正，通报批评；逾期不改的，给予警告；情节严重的，由教育行政部门依法给予行政处罚：</w:t>
      </w:r>
    </w:p>
    <w:p w14:paraId="42639F70">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（一）未按要求设立保健室、卫生室或者配备卫生保健人员的；</w:t>
      </w:r>
    </w:p>
    <w:p w14:paraId="33BD9E86">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711"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7883"/>
        <w:gridCol w:w="4414"/>
      </w:tblGrid>
      <w:tr w14:paraId="6C0C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4" w:type="dxa"/>
            <w:vAlign w:val="center"/>
          </w:tcPr>
          <w:p w14:paraId="2B4DB0D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883" w:type="dxa"/>
            <w:vAlign w:val="center"/>
          </w:tcPr>
          <w:p w14:paraId="732FE1A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14" w:type="dxa"/>
            <w:vAlign w:val="center"/>
          </w:tcPr>
          <w:p w14:paraId="57A735F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412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14" w:type="dxa"/>
            <w:vAlign w:val="center"/>
          </w:tcPr>
          <w:p w14:paraId="510E8D52">
            <w:pPr>
              <w:widowControl w:val="0"/>
              <w:adjustRightInd/>
              <w:snapToGrid/>
              <w:spacing w:after="0" w:line="240" w:lineRule="auto"/>
              <w:jc w:val="center"/>
              <w:rPr>
                <w:rFonts w:hint="eastAsia" w:ascii="Times New Roman" w:hAnsi="Times New Roman" w:eastAsia="仿宋_GB2312" w:cs="仿宋_GB2312"/>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883" w:type="dxa"/>
            <w:vAlign w:val="center"/>
          </w:tcPr>
          <w:p w14:paraId="72826E85">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未按要求设立保健室、卫生室或者配备卫生保健人员的。</w:t>
            </w:r>
          </w:p>
        </w:tc>
        <w:tc>
          <w:tcPr>
            <w:tcW w:w="4414" w:type="dxa"/>
            <w:vAlign w:val="center"/>
          </w:tcPr>
          <w:p w14:paraId="3D52977B">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由卫生行政部门责令限期改正，通报批评；逾期不改的，给予警告。</w:t>
            </w:r>
          </w:p>
        </w:tc>
      </w:tr>
    </w:tbl>
    <w:p w14:paraId="3A1B7BA2">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14:textFill>
            <w14:solidFill>
              <w14:schemeClr w14:val="tx1"/>
            </w14:solidFill>
          </w14:textFill>
        </w:rPr>
      </w:pPr>
      <w:bookmarkStart w:id="5892" w:name="_Toc9260"/>
      <w:bookmarkStart w:id="5893" w:name="_Toc5009"/>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第四百六十五条 对托幼机构聘用未进行健康检查或者健康检查不合格的工作人员的</w:t>
      </w:r>
      <w:bookmarkEnd w:id="5892"/>
      <w:bookmarkEnd w:id="5893"/>
    </w:p>
    <w:p w14:paraId="2EEAC340">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56F24360">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《托儿所幼儿园卫生保健管理办法》第十九条第一款第二项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托幼机构有下列情形之一的，由卫生行政部门责令限期改正，通报批评；逾期不改的，给予警告；情节严重的，由教育行政部门依法给予行政处罚：</w:t>
      </w:r>
    </w:p>
    <w:p w14:paraId="1CF37D92">
      <w:pPr>
        <w:widowControl w:val="0"/>
        <w:spacing w:after="0" w:line="240" w:lineRule="auto"/>
        <w:ind w:firstLine="640" w:firstLineChars="200"/>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（二）聘用未进行健康检查或者健康检查不合格的工作人员的；</w:t>
      </w:r>
    </w:p>
    <w:p w14:paraId="38B8D1EB">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659"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7770"/>
        <w:gridCol w:w="4447"/>
      </w:tblGrid>
      <w:tr w14:paraId="4C5D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442" w:type="dxa"/>
            <w:vAlign w:val="center"/>
          </w:tcPr>
          <w:p w14:paraId="6D58639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70" w:type="dxa"/>
            <w:vAlign w:val="center"/>
          </w:tcPr>
          <w:p w14:paraId="3DED33E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47" w:type="dxa"/>
            <w:vAlign w:val="center"/>
          </w:tcPr>
          <w:p w14:paraId="21C9C89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398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442" w:type="dxa"/>
            <w:vAlign w:val="center"/>
          </w:tcPr>
          <w:p w14:paraId="50161DB4">
            <w:pPr>
              <w:widowControl w:val="0"/>
              <w:adjustRightInd/>
              <w:snapToGrid/>
              <w:spacing w:after="0" w:line="240" w:lineRule="auto"/>
              <w:jc w:val="center"/>
              <w:rPr>
                <w:rFonts w:hint="eastAsia" w:ascii="Times New Roman" w:hAnsi="Times New Roman" w:eastAsia="仿宋_GB2312" w:cs="仿宋_GB2312"/>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770" w:type="dxa"/>
            <w:vAlign w:val="center"/>
          </w:tcPr>
          <w:p w14:paraId="250F84F1">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聘用未进行健康检查或者健康检查不合格的工作人员的。</w:t>
            </w:r>
          </w:p>
        </w:tc>
        <w:tc>
          <w:tcPr>
            <w:tcW w:w="4447" w:type="dxa"/>
            <w:vAlign w:val="center"/>
          </w:tcPr>
          <w:p w14:paraId="20AF070F">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由卫生行政部门责令限期改正，通报批评；逾期不改的，给予警告。</w:t>
            </w:r>
          </w:p>
        </w:tc>
      </w:tr>
    </w:tbl>
    <w:p w14:paraId="2F9FF923">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highlight w:val="none"/>
          <w14:textFill>
            <w14:solidFill>
              <w14:schemeClr w14:val="tx1"/>
            </w14:solidFill>
          </w14:textFill>
        </w:rPr>
      </w:pPr>
      <w:bookmarkStart w:id="5894" w:name="_Toc30612"/>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第四百六十六条 对托幼机构未定期组织工作人员健康检查的</w:t>
      </w:r>
      <w:bookmarkEnd w:id="5894"/>
    </w:p>
    <w:p w14:paraId="6A5BBC2F">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E1B3E22">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《托儿所幼儿园卫生保健管理办法》第十九条第一款第三项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托幼机构有下列情形之一的，由卫生行政部门责令限期改正，通报批评；逾期不改的，给予警告；情节严重的，由教育行政部门依法给予行政处罚：</w:t>
      </w:r>
    </w:p>
    <w:p w14:paraId="1957C7DF">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（三）未定期组织工作人员健康检查的；</w:t>
      </w:r>
    </w:p>
    <w:p w14:paraId="40571CE5">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51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27"/>
        <w:gridCol w:w="7690"/>
        <w:gridCol w:w="4401"/>
      </w:tblGrid>
      <w:tr w14:paraId="5AAC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427" w:type="dxa"/>
            <w:shd w:val="clear" w:color="auto" w:fill="auto"/>
            <w:vAlign w:val="center"/>
          </w:tcPr>
          <w:p w14:paraId="74451E9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690" w:type="dxa"/>
            <w:shd w:val="clear" w:color="auto" w:fill="auto"/>
            <w:vAlign w:val="center"/>
          </w:tcPr>
          <w:p w14:paraId="1AB3853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01" w:type="dxa"/>
            <w:shd w:val="clear" w:color="auto" w:fill="auto"/>
            <w:vAlign w:val="center"/>
          </w:tcPr>
          <w:p w14:paraId="7143A78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3FD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5" w:hRule="atLeast"/>
        </w:trPr>
        <w:tc>
          <w:tcPr>
            <w:tcW w:w="1427" w:type="dxa"/>
            <w:shd w:val="clear" w:color="auto" w:fill="auto"/>
            <w:vAlign w:val="center"/>
          </w:tcPr>
          <w:p w14:paraId="1FE1CED9">
            <w:pPr>
              <w:widowControl w:val="0"/>
              <w:adjustRightInd/>
              <w:snapToGrid/>
              <w:spacing w:after="0" w:line="240" w:lineRule="auto"/>
              <w:jc w:val="center"/>
              <w:rPr>
                <w:rFonts w:hint="eastAsia" w:ascii="Times New Roman" w:hAnsi="Times New Roman" w:eastAsia="仿宋_GB2312" w:cs="仿宋_GB2312"/>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690" w:type="dxa"/>
            <w:shd w:val="clear" w:color="auto" w:fill="auto"/>
            <w:vAlign w:val="center"/>
          </w:tcPr>
          <w:p w14:paraId="3CC455AC">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未定期组织工作人员健康检查的。</w:t>
            </w:r>
          </w:p>
        </w:tc>
        <w:tc>
          <w:tcPr>
            <w:tcW w:w="4401" w:type="dxa"/>
            <w:shd w:val="clear" w:color="auto" w:fill="auto"/>
            <w:vAlign w:val="center"/>
          </w:tcPr>
          <w:p w14:paraId="00B2FD3B">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由卫生行政部门责令限期改正，通报批评；逾期不改的，给予警告。</w:t>
            </w:r>
          </w:p>
        </w:tc>
      </w:tr>
    </w:tbl>
    <w:p w14:paraId="6F4719A8">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z w:val="32"/>
          <w:szCs w:val="32"/>
          <w:highlight w:val="none"/>
          <w14:textFill>
            <w14:solidFill>
              <w14:schemeClr w14:val="tx1"/>
            </w14:solidFill>
          </w14:textFill>
        </w:rPr>
      </w:pPr>
      <w:bookmarkStart w:id="5895" w:name="_Toc12775"/>
      <w:bookmarkStart w:id="5896" w:name="_Toc29869"/>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第四百六十七条 对托幼机构招收未经健康检查或健康检查不合格的儿童入托幼机构的</w:t>
      </w:r>
      <w:bookmarkEnd w:id="5895"/>
      <w:bookmarkEnd w:id="5896"/>
    </w:p>
    <w:p w14:paraId="61BE8E12">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058AD51">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《托儿所幼儿园卫生保健管理办法》第十九条第一款第四项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托幼机构有下列情形之一的，由卫生行政部门责令限期改正，通报批评；逾期不改的，给予警告；情节严重的，由教育行政部门依法给予行政处罚：</w:t>
      </w:r>
    </w:p>
    <w:p w14:paraId="47694E85">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（四）招收未经健康检查或健康检查不合格的儿童入托幼机构的；</w:t>
      </w:r>
    </w:p>
    <w:p w14:paraId="27E2E780">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55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7713"/>
        <w:gridCol w:w="4414"/>
      </w:tblGrid>
      <w:tr w14:paraId="29E7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431" w:type="dxa"/>
            <w:vAlign w:val="center"/>
          </w:tcPr>
          <w:p w14:paraId="6A889DE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13" w:type="dxa"/>
            <w:vAlign w:val="center"/>
          </w:tcPr>
          <w:p w14:paraId="70C6F70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14" w:type="dxa"/>
            <w:vAlign w:val="center"/>
          </w:tcPr>
          <w:p w14:paraId="7B389B6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A8C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431" w:type="dxa"/>
            <w:vAlign w:val="center"/>
          </w:tcPr>
          <w:p w14:paraId="5CE84270">
            <w:pPr>
              <w:widowControl w:val="0"/>
              <w:adjustRightInd/>
              <w:snapToGrid/>
              <w:spacing w:after="0" w:line="240" w:lineRule="auto"/>
              <w:jc w:val="center"/>
              <w:rPr>
                <w:rFonts w:hint="eastAsia" w:ascii="Times New Roman" w:hAnsi="Times New Roman" w:eastAsia="仿宋_GB2312" w:cs="仿宋_GB2312"/>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713" w:type="dxa"/>
            <w:vAlign w:val="center"/>
          </w:tcPr>
          <w:p w14:paraId="0F07861F">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招收未经健康检查或健康检查不合格的儿童入托幼机构的。</w:t>
            </w:r>
          </w:p>
        </w:tc>
        <w:tc>
          <w:tcPr>
            <w:tcW w:w="4414" w:type="dxa"/>
            <w:vAlign w:val="center"/>
          </w:tcPr>
          <w:p w14:paraId="7F54CB47">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由卫生行政部门责令限期改正，通报批评；逾期不改的，给予警告。</w:t>
            </w:r>
          </w:p>
        </w:tc>
      </w:tr>
    </w:tbl>
    <w:p w14:paraId="05BD5D54">
      <w:pPr>
        <w:widowControl w:val="0"/>
        <w:numPr>
          <w:ilvl w:val="255"/>
          <w:numId w:val="0"/>
        </w:numPr>
        <w:adjustRightInd/>
        <w:snapToGrid/>
        <w:spacing w:after="0" w:line="440" w:lineRule="exact"/>
        <w:ind w:firstLine="643" w:firstLineChars="200"/>
        <w:outlineLvl w:val="2"/>
        <w:rPr>
          <w:rFonts w:hint="eastAsia" w:ascii="Times New Roman" w:hAnsi="Times New Roman" w:eastAsia="仿宋_GB2312" w:cs="仿宋_GB2312"/>
          <w:b/>
          <w:bCs/>
          <w:color w:val="000000" w:themeColor="text1"/>
          <w:spacing w:val="-6"/>
          <w:sz w:val="32"/>
          <w:szCs w:val="32"/>
          <w:highlight w:val="none"/>
          <w14:textFill>
            <w14:solidFill>
              <w14:schemeClr w14:val="tx1"/>
            </w14:solidFill>
          </w14:textFill>
        </w:rPr>
      </w:pPr>
      <w:bookmarkStart w:id="5897" w:name="_Toc721"/>
      <w:bookmarkStart w:id="5898" w:name="_Toc31552"/>
      <w:r>
        <w:rPr>
          <w:rFonts w:hint="eastAsia" w:ascii="Times New Roman" w:hAnsi="Times New Roman" w:eastAsia="仿宋_GB2312" w:cs="仿宋_GB2312"/>
          <w:b/>
          <w:bCs/>
          <w:color w:val="000000" w:themeColor="text1"/>
          <w:sz w:val="32"/>
          <w:szCs w:val="32"/>
          <w:highlight w:val="none"/>
          <w14:textFill>
            <w14:solidFill>
              <w14:schemeClr w14:val="tx1"/>
            </w14:solidFill>
          </w14:textFill>
        </w:rPr>
        <w:t xml:space="preserve">第四百六十八条 </w:t>
      </w:r>
      <w:r>
        <w:rPr>
          <w:rFonts w:hint="eastAsia" w:ascii="Times New Roman" w:hAnsi="Times New Roman" w:eastAsia="仿宋_GB2312" w:cs="仿宋_GB2312"/>
          <w:b/>
          <w:bCs/>
          <w:color w:val="000000" w:themeColor="text1"/>
          <w:spacing w:val="-6"/>
          <w:sz w:val="32"/>
          <w:szCs w:val="32"/>
          <w:highlight w:val="none"/>
          <w14:textFill>
            <w14:solidFill>
              <w14:schemeClr w14:val="tx1"/>
            </w14:solidFill>
          </w14:textFill>
        </w:rPr>
        <w:t>对托幼机构未严格按照《托儿所幼儿园卫生保健工作规范》开展卫生保健工作的</w:t>
      </w:r>
      <w:bookmarkEnd w:id="5897"/>
      <w:bookmarkEnd w:id="5898"/>
    </w:p>
    <w:p w14:paraId="0C763F82">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B32EC6A">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《托儿所幼儿园卫生保健管理办法》第十九条第一款第五项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托幼机构有下列情形之一的，由卫生行政部门责令限期改正，通报批评；逾期不改的，给予警告；情节严重的，由教育行政部门依法给予行政处罚：</w:t>
      </w:r>
    </w:p>
    <w:p w14:paraId="7A45D46F">
      <w:pPr>
        <w:widowControl w:val="0"/>
        <w:numPr>
          <w:ilvl w:val="255"/>
          <w:numId w:val="0"/>
        </w:numPr>
        <w:adjustRightInd/>
        <w:snapToGrid/>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（五）未严格按照《托儿所幼儿园卫生保健工作规范》开展卫生保健工作的。</w:t>
      </w:r>
    </w:p>
    <w:p w14:paraId="225CFCC9">
      <w:pPr>
        <w:widowControl w:val="0"/>
        <w:spacing w:after="0" w:line="240" w:lineRule="auto"/>
        <w:jc w:val="center"/>
        <w:rPr>
          <w:rFonts w:ascii="Times New Roman" w:hAnsi="Times New Roman"/>
          <w:b/>
          <w:bCs/>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裁量标准</w:t>
      </w:r>
    </w:p>
    <w:tbl>
      <w:tblPr>
        <w:tblStyle w:val="24"/>
        <w:tblW w:w="1353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6718"/>
        <w:gridCol w:w="5391"/>
      </w:tblGrid>
      <w:tr w14:paraId="0B4C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29" w:type="dxa"/>
            <w:vAlign w:val="center"/>
          </w:tcPr>
          <w:p w14:paraId="02D3A9C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6718" w:type="dxa"/>
            <w:vAlign w:val="center"/>
          </w:tcPr>
          <w:p w14:paraId="2FD02E3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391" w:type="dxa"/>
            <w:vAlign w:val="center"/>
          </w:tcPr>
          <w:p w14:paraId="64D79D2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30E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429" w:type="dxa"/>
            <w:vAlign w:val="center"/>
          </w:tcPr>
          <w:p w14:paraId="7A7EE4CE">
            <w:pPr>
              <w:widowControl w:val="0"/>
              <w:adjustRightInd/>
              <w:snapToGrid/>
              <w:spacing w:after="0" w:line="240" w:lineRule="auto"/>
              <w:jc w:val="center"/>
              <w:rPr>
                <w:rFonts w:hint="eastAsia" w:ascii="Times New Roman" w:hAnsi="Times New Roman" w:eastAsia="仿宋_GB2312" w:cs="仿宋_GB2312"/>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6718" w:type="dxa"/>
            <w:vAlign w:val="center"/>
          </w:tcPr>
          <w:p w14:paraId="2C8628DA">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未严格按照《托儿所幼儿园卫生保健工作规范》开展卫生保健工作的。</w:t>
            </w:r>
          </w:p>
        </w:tc>
        <w:tc>
          <w:tcPr>
            <w:tcW w:w="5391" w:type="dxa"/>
            <w:vAlign w:val="center"/>
          </w:tcPr>
          <w:p w14:paraId="47313495">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由卫生行政部门责令限期改正，通报批评；逾期不改的，给予警告。</w:t>
            </w:r>
          </w:p>
        </w:tc>
      </w:tr>
    </w:tbl>
    <w:p w14:paraId="0A6159EA">
      <w:pPr>
        <w:pStyle w:val="2"/>
        <w:keepNext w:val="0"/>
        <w:keepLines w:val="0"/>
        <w:widowControl w:val="0"/>
        <w:spacing w:before="157" w:beforeLines="50" w:after="157" w:afterLines="50" w:line="240" w:lineRule="auto"/>
        <w:jc w:val="center"/>
        <w:rPr>
          <w:rFonts w:hint="eastAsia" w:ascii="Times New Roman" w:hAnsi="Times New Roman" w:eastAsia="黑体" w:cs="仿宋_GB2312"/>
          <w:color w:val="000000" w:themeColor="text1"/>
          <w:sz w:val="32"/>
          <w:szCs w:val="32"/>
          <w14:textFill>
            <w14:solidFill>
              <w14:schemeClr w14:val="tx1"/>
            </w14:solidFill>
          </w14:textFill>
        </w:rPr>
      </w:pPr>
      <w:bookmarkStart w:id="5899" w:name="_Toc15187"/>
      <w:bookmarkStart w:id="5900" w:name="_Toc14718"/>
      <w:bookmarkStart w:id="5901" w:name="_Toc15455"/>
      <w:bookmarkStart w:id="5902" w:name="_Toc31590"/>
      <w:bookmarkStart w:id="5903" w:name="_Toc16193"/>
      <w:bookmarkStart w:id="5904" w:name="_Toc12755"/>
      <w:bookmarkStart w:id="5905" w:name="_Toc25696"/>
    </w:p>
    <w:p w14:paraId="0E60DAA9">
      <w:pPr>
        <w:spacing w:line="440" w:lineRule="exact"/>
        <w:jc w:val="center"/>
        <w:rPr>
          <w:rFonts w:hint="eastAsia" w:ascii="Times New Roman" w:hAnsi="Times New Roman" w:eastAsia="黑体" w:cs="仿宋_GB2312"/>
          <w:color w:val="000000" w:themeColor="text1"/>
          <w:sz w:val="32"/>
          <w:szCs w:val="32"/>
          <w14:textFill>
            <w14:solidFill>
              <w14:schemeClr w14:val="tx1"/>
            </w14:solidFill>
          </w14:textFill>
        </w:rPr>
      </w:pPr>
      <w:bookmarkStart w:id="5906" w:name="_Toc11670"/>
      <w:bookmarkStart w:id="5907" w:name="_Toc13002"/>
      <w:r>
        <w:rPr>
          <w:rFonts w:hint="eastAsia" w:ascii="Times New Roman" w:hAnsi="Times New Roman" w:eastAsia="黑体" w:cs="仿宋_GB2312"/>
          <w:color w:val="000000" w:themeColor="text1"/>
          <w:sz w:val="32"/>
          <w:szCs w:val="32"/>
          <w14:textFill>
            <w14:solidFill>
              <w14:schemeClr w14:val="tx1"/>
            </w14:solidFill>
          </w14:textFill>
        </w:rPr>
        <w:br w:type="page"/>
      </w:r>
    </w:p>
    <w:p w14:paraId="3A658680">
      <w:pPr>
        <w:pStyle w:val="2"/>
        <w:keepNext w:val="0"/>
        <w:keepLines w:val="0"/>
        <w:widowControl w:val="0"/>
        <w:spacing w:before="157" w:beforeLines="50" w:after="157" w:afterLines="50" w:line="240" w:lineRule="auto"/>
        <w:jc w:val="center"/>
        <w:rPr>
          <w:rFonts w:hint="eastAsia" w:ascii="Times New Roman" w:hAnsi="Times New Roman" w:eastAsia="黑体" w:cs="仿宋_GB2312"/>
          <w:color w:val="000000" w:themeColor="text1"/>
          <w:sz w:val="32"/>
          <w:szCs w:val="32"/>
          <w14:textFill>
            <w14:solidFill>
              <w14:schemeClr w14:val="tx1"/>
            </w14:solidFill>
          </w14:textFill>
        </w:rPr>
      </w:pPr>
      <w:bookmarkStart w:id="5908" w:name="_Toc28185"/>
      <w:bookmarkStart w:id="5909" w:name="_Toc8716"/>
      <w:bookmarkStart w:id="5910" w:name="_Toc7544"/>
      <w:bookmarkStart w:id="5911" w:name="_Toc29699"/>
      <w:bookmarkStart w:id="5912" w:name="_Toc11049"/>
      <w:bookmarkStart w:id="5913" w:name="_Toc3479"/>
      <w:r>
        <w:rPr>
          <w:rFonts w:hint="eastAsia" w:ascii="Times New Roman" w:hAnsi="Times New Roman" w:eastAsia="黑体" w:cs="仿宋_GB2312"/>
          <w:color w:val="000000" w:themeColor="text1"/>
          <w:sz w:val="32"/>
          <w:szCs w:val="32"/>
          <w14:textFill>
            <w14:solidFill>
              <w14:schemeClr w14:val="tx1"/>
            </w14:solidFill>
          </w14:textFill>
        </w:rPr>
        <w:t>五、职业卫生</w:t>
      </w:r>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p>
    <w:p w14:paraId="3121CBD8">
      <w:pPr>
        <w:widowControl w:val="0"/>
        <w:numPr>
          <w:ilvl w:val="255"/>
          <w:numId w:val="0"/>
        </w:numPr>
        <w:adjustRightInd/>
        <w:snapToGrid/>
        <w:spacing w:before="157" w:beforeLines="50" w:after="157" w:afterLines="50" w:line="240" w:lineRule="auto"/>
        <w:ind w:firstLine="643" w:firstLineChars="200"/>
        <w:outlineLvl w:val="1"/>
        <w:rPr>
          <w:rFonts w:hint="eastAsia" w:ascii="Times New Roman" w:hAnsi="Times New Roman" w:eastAsia="楷体_GB2312" w:cs="仿宋_GB2312"/>
          <w:b/>
          <w:bCs/>
          <w:color w:val="000000" w:themeColor="text1"/>
          <w:sz w:val="32"/>
          <w:szCs w:val="32"/>
          <w:highlight w:val="none"/>
          <w14:textFill>
            <w14:solidFill>
              <w14:schemeClr w14:val="tx1"/>
            </w14:solidFill>
          </w14:textFill>
        </w:rPr>
      </w:pPr>
      <w:bookmarkStart w:id="5914" w:name="_Toc6549"/>
      <w:bookmarkStart w:id="5915" w:name="_Toc20024"/>
      <w:bookmarkStart w:id="5916" w:name="_Toc3842"/>
      <w:bookmarkStart w:id="5917" w:name="_Toc31989"/>
      <w:bookmarkStart w:id="5918" w:name="_Toc20577"/>
      <w:bookmarkStart w:id="5919" w:name="_Toc2561"/>
      <w:r>
        <w:rPr>
          <w:rFonts w:hint="eastAsia" w:ascii="Times New Roman" w:hAnsi="Times New Roman" w:eastAsia="楷体_GB2312" w:cs="仿宋_GB2312"/>
          <w:b/>
          <w:bCs/>
          <w:color w:val="000000" w:themeColor="text1"/>
          <w:sz w:val="32"/>
          <w:szCs w:val="32"/>
          <w:highlight w:val="none"/>
          <w14:textFill>
            <w14:solidFill>
              <w14:schemeClr w14:val="tx1"/>
            </w14:solidFill>
          </w14:textFill>
        </w:rPr>
        <w:t>（一）《中华人民共和国职业病防治法》</w:t>
      </w:r>
      <w:bookmarkEnd w:id="5914"/>
      <w:bookmarkEnd w:id="5915"/>
      <w:bookmarkEnd w:id="5916"/>
      <w:bookmarkEnd w:id="5917"/>
      <w:bookmarkEnd w:id="5918"/>
      <w:bookmarkEnd w:id="5919"/>
    </w:p>
    <w:p w14:paraId="6074CD42">
      <w:pPr>
        <w:pStyle w:val="4"/>
        <w:widowControl w:val="0"/>
        <w:ind w:firstLine="640"/>
        <w:jc w:val="both"/>
        <w:rPr>
          <w:rFonts w:hint="eastAsia" w:ascii="Times New Roman" w:hAnsi="Times New Roman" w:cs="仿宋_GB2312"/>
          <w:bCs/>
          <w:color w:val="000000" w:themeColor="text1"/>
          <w14:textFill>
            <w14:solidFill>
              <w14:schemeClr w14:val="tx1"/>
            </w14:solidFill>
          </w14:textFill>
        </w:rPr>
      </w:pPr>
      <w:bookmarkStart w:id="5920" w:name="_Toc25373"/>
      <w:bookmarkStart w:id="5921" w:name="_Toc18931"/>
      <w:bookmarkStart w:id="5922" w:name="_Toc9185"/>
      <w:bookmarkStart w:id="5923" w:name="_Toc2506"/>
      <w:bookmarkStart w:id="5924" w:name="_Toc23735"/>
      <w:bookmarkStart w:id="5925" w:name="_Toc7015"/>
      <w:bookmarkStart w:id="5926" w:name="_Toc3024"/>
      <w:bookmarkStart w:id="5927" w:name="_Toc31197"/>
      <w:bookmarkStart w:id="5928" w:name="_Toc11289"/>
      <w:bookmarkStart w:id="5929" w:name="_Toc29666"/>
      <w:bookmarkStart w:id="5930" w:name="_Toc7725"/>
      <w:r>
        <w:rPr>
          <w:rFonts w:hint="eastAsia" w:ascii="Times New Roman" w:hAnsi="Times New Roman" w:cs="仿宋_GB2312"/>
          <w:bCs/>
          <w:color w:val="000000" w:themeColor="text1"/>
          <w14:textFill>
            <w14:solidFill>
              <w14:schemeClr w14:val="tx1"/>
            </w14:solidFill>
          </w14:textFill>
        </w:rPr>
        <w:t>第四百六十九条 建设单位未按照规定进行职业病危害预评价的</w:t>
      </w:r>
      <w:bookmarkEnd w:id="5920"/>
      <w:bookmarkEnd w:id="5921"/>
      <w:bookmarkEnd w:id="5922"/>
      <w:bookmarkEnd w:id="5923"/>
      <w:bookmarkEnd w:id="5924"/>
      <w:bookmarkEnd w:id="5925"/>
      <w:bookmarkEnd w:id="5926"/>
      <w:bookmarkEnd w:id="5927"/>
      <w:bookmarkEnd w:id="5928"/>
      <w:bookmarkEnd w:id="5929"/>
      <w:bookmarkEnd w:id="5930"/>
    </w:p>
    <w:p w14:paraId="1321BAE3">
      <w:pPr>
        <w:widowControl w:val="0"/>
        <w:adjustRightInd/>
        <w:snapToGrid/>
        <w:spacing w:after="0" w:line="440" w:lineRule="exact"/>
        <w:ind w:firstLine="643"/>
        <w:rPr>
          <w:rFonts w:hint="eastAsia" w:ascii="Times New Roman" w:hAnsi="Times New Roman" w:eastAsia="仿宋_GB2312" w:cs="仿宋_GB2312"/>
          <w:b/>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（一）法律依据：</w:t>
      </w:r>
    </w:p>
    <w:p w14:paraId="4060A0D7">
      <w:pPr>
        <w:widowControl w:val="0"/>
        <w:adjustRightInd/>
        <w:snapToGrid/>
        <w:spacing w:after="0" w:line="440" w:lineRule="exact"/>
        <w:ind w:firstLine="643"/>
        <w:rPr>
          <w:rFonts w:hint="eastAsia" w:ascii="Times New Roman" w:hAnsi="Times New Roman" w:eastAsia="仿宋_GB2312" w:cs="仿宋_GB2312"/>
          <w:b/>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1.《中华人民共和国职业病防治法》第六十九条第（一）项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5B48B7A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（一）未按照规定进行职业病危害预评价的；</w:t>
      </w:r>
    </w:p>
    <w:p w14:paraId="205DB22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2.《使用有毒物品作业场所劳动保护条例》第五十八条第（一）项　用人单位违反本条例的规定，有下列情形之一的，由疾病预防控制部门给予警告，责令限期改正；逾期不改正的，处10万元以上50万元以下的罚款；情节严重的，提请有关人民政府按照国务院规定的权限责令停建、予以关闭；造成严重职业中毒危害或者导致职业中毒事故发生的，对负有责任的主管人员和其他直接责任人员依照刑法关于重大劳动安全事故罪或者其他罪的规定，依法追究刑事责任：</w:t>
      </w:r>
    </w:p>
    <w:p w14:paraId="6DACB2DB">
      <w:pPr>
        <w:widowControl w:val="0"/>
        <w:ind w:firstLine="640" w:firstLineChars="200"/>
        <w:rPr>
          <w:rFonts w:hint="eastAsia" w:ascii="Times New Roman" w:hAnsi="Times New Roman" w:eastAsia="仿宋_GB2312" w:cs="仿宋_GB2312"/>
          <w:color w:val="000000" w:themeColor="text1"/>
          <w:spacing w:val="-6"/>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可能产生职业中毒危害的建设项目，未依照职业病防治法的规定进行职业中毒危害预评价的；</w:t>
      </w:r>
    </w:p>
    <w:p w14:paraId="011048E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3.《建设项目职业病防护设施“三同时”监督管理办法》第三十九条第（一）项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w:t>
      </w:r>
      <w:r>
        <w:rPr>
          <w:rFonts w:ascii="Times New Roman" w:hAnsi="Times New Roman" w:eastAsia="仿宋_GB2312" w:cs="仿宋_GB2312"/>
          <w:color w:val="000000" w:themeColor="text1"/>
          <w:kern w:val="2"/>
          <w:sz w:val="32"/>
          <w:szCs w:val="21"/>
          <w14:textFill>
            <w14:solidFill>
              <w14:schemeClr w14:val="tx1"/>
            </w14:solidFill>
          </w14:textFill>
        </w:rPr>
        <w:t>10</w:t>
      </w:r>
      <w:r>
        <w:rPr>
          <w:rFonts w:hint="eastAsia" w:ascii="Times New Roman" w:hAnsi="Times New Roman" w:eastAsia="仿宋_GB2312" w:cs="仿宋_GB2312"/>
          <w:color w:val="000000" w:themeColor="text1"/>
          <w:kern w:val="2"/>
          <w:sz w:val="32"/>
          <w:szCs w:val="21"/>
          <w14:textFill>
            <w14:solidFill>
              <w14:schemeClr w14:val="tx1"/>
            </w14:solidFill>
          </w14:textFill>
        </w:rPr>
        <w:t>万元以上</w:t>
      </w:r>
      <w:r>
        <w:rPr>
          <w:rFonts w:ascii="Times New Roman" w:hAnsi="Times New Roman" w:eastAsia="仿宋_GB2312" w:cs="仿宋_GB2312"/>
          <w:color w:val="000000" w:themeColor="text1"/>
          <w:kern w:val="2"/>
          <w:sz w:val="32"/>
          <w:szCs w:val="21"/>
          <w14:textFill>
            <w14:solidFill>
              <w14:schemeClr w14:val="tx1"/>
            </w14:solidFill>
          </w14:textFill>
        </w:rPr>
        <w:t>50</w:t>
      </w:r>
      <w:r>
        <w:rPr>
          <w:rFonts w:hint="eastAsia" w:ascii="Times New Roman" w:hAnsi="Times New Roman" w:eastAsia="仿宋_GB2312" w:cs="仿宋_GB2312"/>
          <w:color w:val="000000" w:themeColor="text1"/>
          <w:kern w:val="2"/>
          <w:sz w:val="32"/>
          <w:szCs w:val="21"/>
          <w14:textFill>
            <w14:solidFill>
              <w14:schemeClr w14:val="tx1"/>
            </w14:solidFill>
          </w14:textFill>
        </w:rPr>
        <w:t>万元以下的罚款；情节严重的，责令停止产生职业病危害的作业，或者提请有关人民政府按照国务院规定的权限责令停建、关闭：</w:t>
      </w:r>
    </w:p>
    <w:p w14:paraId="01517D5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（一）未按照规定进行职业病危害预评价的；</w:t>
      </w:r>
    </w:p>
    <w:p w14:paraId="7CEB21A8">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947"/>
        <w:gridCol w:w="4114"/>
      </w:tblGrid>
      <w:tr w14:paraId="5F07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701" w:type="dxa"/>
            <w:vAlign w:val="center"/>
          </w:tcPr>
          <w:p w14:paraId="27C8D3C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947" w:type="dxa"/>
            <w:vAlign w:val="center"/>
          </w:tcPr>
          <w:p w14:paraId="134B6E1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14" w:type="dxa"/>
            <w:vAlign w:val="center"/>
          </w:tcPr>
          <w:p w14:paraId="2EFC2C7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DA9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701" w:type="dxa"/>
            <w:vAlign w:val="center"/>
          </w:tcPr>
          <w:p w14:paraId="69694C30">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较轻</w:t>
            </w:r>
          </w:p>
        </w:tc>
        <w:tc>
          <w:tcPr>
            <w:tcW w:w="7947" w:type="dxa"/>
            <w:vAlign w:val="center"/>
          </w:tcPr>
          <w:p w14:paraId="53C1F41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建设单位未按照规定进行职业病危害预评价的。</w:t>
            </w:r>
          </w:p>
        </w:tc>
        <w:tc>
          <w:tcPr>
            <w:tcW w:w="4114" w:type="dxa"/>
            <w:vAlign w:val="center"/>
          </w:tcPr>
          <w:p w14:paraId="747329B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640F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1701" w:type="dxa"/>
            <w:vAlign w:val="center"/>
          </w:tcPr>
          <w:p w14:paraId="6F6CB079">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947" w:type="dxa"/>
            <w:vAlign w:val="center"/>
          </w:tcPr>
          <w:p w14:paraId="59A1E9A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存在以下未按照规定进行职业病危害预评价行为，经警告，逾期不改正的：</w:t>
            </w:r>
          </w:p>
          <w:p w14:paraId="3BF5B17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A.职业病危害一般类的建设项目未按规定进行职业病危害预评价的；</w:t>
            </w:r>
          </w:p>
          <w:p w14:paraId="5468429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B.GBZ181《职业病危害放射防护评价报告编制规范》中所列 C 类建设项目未按规定进行职业病危害预评价的。</w:t>
            </w:r>
          </w:p>
        </w:tc>
        <w:tc>
          <w:tcPr>
            <w:tcW w:w="4114" w:type="dxa"/>
            <w:vAlign w:val="center"/>
          </w:tcPr>
          <w:p w14:paraId="7F42549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1D0E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701" w:type="dxa"/>
            <w:vAlign w:val="center"/>
          </w:tcPr>
          <w:p w14:paraId="79D848DA">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947" w:type="dxa"/>
            <w:vAlign w:val="center"/>
          </w:tcPr>
          <w:p w14:paraId="4EA5899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可能产生职业病危害严重的建设项目未按照规定进行职业病危害预评价的，经警告，逾期不改正的。 </w:t>
            </w:r>
          </w:p>
        </w:tc>
        <w:tc>
          <w:tcPr>
            <w:tcW w:w="4114" w:type="dxa"/>
            <w:vAlign w:val="center"/>
          </w:tcPr>
          <w:p w14:paraId="128B167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处二十万元以上五十万元以下的罚款。</w:t>
            </w:r>
          </w:p>
        </w:tc>
      </w:tr>
      <w:tr w14:paraId="45F9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701" w:type="dxa"/>
            <w:vAlign w:val="center"/>
          </w:tcPr>
          <w:p w14:paraId="0D5D84E0">
            <w:pPr>
              <w:widowControl w:val="0"/>
              <w:adjustRightInd/>
              <w:snapToGrid/>
              <w:spacing w:after="0" w:line="320" w:lineRule="exact"/>
              <w:jc w:val="center"/>
              <w:rPr>
                <w:rFonts w:hint="eastAsia" w:ascii="Times New Roman" w:hAnsi="Times New Roman" w:eastAsia="仿宋_GB2312" w:cs="仿宋_GB2312"/>
                <w:b/>
                <w:bCs/>
                <w:color w:val="000000" w:themeColor="text1"/>
                <w:kern w:val="2"/>
                <w:sz w:val="24"/>
                <w:szCs w:val="24"/>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947" w:type="dxa"/>
            <w:vAlign w:val="center"/>
          </w:tcPr>
          <w:p w14:paraId="3B2CFEE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建设单位未按照规定对建设项目进行职业病危害预评价，造成严重后果。</w:t>
            </w:r>
          </w:p>
        </w:tc>
        <w:tc>
          <w:tcPr>
            <w:tcW w:w="4114" w:type="dxa"/>
            <w:vAlign w:val="center"/>
          </w:tcPr>
          <w:p w14:paraId="413BE8B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责令停业或停建、关闭。</w:t>
            </w:r>
          </w:p>
        </w:tc>
      </w:tr>
    </w:tbl>
    <w:p w14:paraId="10363A40">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5931" w:name="_Toc10177"/>
      <w:bookmarkStart w:id="5932" w:name="_Toc22986"/>
      <w:bookmarkStart w:id="5933" w:name="_Toc26919"/>
      <w:bookmarkStart w:id="5934" w:name="_Toc8479"/>
      <w:bookmarkStart w:id="5935" w:name="_Toc12502"/>
      <w:bookmarkStart w:id="5936" w:name="_Toc25372"/>
      <w:bookmarkStart w:id="5937" w:name="_Toc5717"/>
      <w:bookmarkStart w:id="5938" w:name="_Toc24681"/>
      <w:bookmarkStart w:id="5939" w:name="_Toc16020"/>
      <w:bookmarkStart w:id="5940" w:name="_Toc14817"/>
      <w:bookmarkStart w:id="5941" w:name="_Toc23173"/>
      <w:r>
        <w:rPr>
          <w:rFonts w:hint="eastAsia" w:ascii="Times New Roman" w:hAnsi="Times New Roman" w:cs="仿宋_GB2312"/>
          <w:bCs/>
          <w:color w:val="000000" w:themeColor="text1"/>
          <w14:textFill>
            <w14:solidFill>
              <w14:schemeClr w14:val="tx1"/>
            </w14:solidFill>
          </w14:textFill>
        </w:rPr>
        <w:t>第四百七十条</w:t>
      </w:r>
      <w:r>
        <w:rPr>
          <w:rFonts w:hint="eastAsia" w:ascii="Times New Roman" w:hAnsi="Times New Roman" w:cs="仿宋_GB2312"/>
          <w:bCs/>
          <w:color w:val="000000" w:themeColor="text1"/>
          <w:kern w:val="0"/>
          <w14:textFill>
            <w14:solidFill>
              <w14:schemeClr w14:val="tx1"/>
            </w14:solidFill>
          </w14:textFill>
        </w:rPr>
        <w:t xml:space="preserve"> </w:t>
      </w:r>
      <w:r>
        <w:rPr>
          <w:rFonts w:hint="eastAsia" w:ascii="Times New Roman" w:hAnsi="Times New Roman" w:cs="仿宋_GB2312"/>
          <w:bCs/>
          <w:color w:val="000000" w:themeColor="text1"/>
          <w:kern w:val="0"/>
          <w:szCs w:val="32"/>
          <w14:textFill>
            <w14:solidFill>
              <w14:schemeClr w14:val="tx1"/>
            </w14:solidFill>
          </w14:textFill>
        </w:rPr>
        <w:t>建设项目的职业病防护设施未按照规定与主体工程同时设计、同时施工、同时投入生产和使用的</w:t>
      </w:r>
      <w:bookmarkEnd w:id="5931"/>
      <w:bookmarkEnd w:id="5932"/>
      <w:bookmarkEnd w:id="5933"/>
      <w:bookmarkEnd w:id="5934"/>
      <w:bookmarkEnd w:id="5935"/>
      <w:bookmarkEnd w:id="5936"/>
      <w:bookmarkEnd w:id="5937"/>
      <w:bookmarkEnd w:id="5938"/>
      <w:bookmarkEnd w:id="5939"/>
      <w:bookmarkEnd w:id="5940"/>
      <w:bookmarkEnd w:id="5941"/>
    </w:p>
    <w:p w14:paraId="0E54329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6EDC0A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1.《中华人民共和国职业病防治法》第六十九条第（三）项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32CD6BC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（三）建设项目的职业病防护设施未按照规定与主体工程同时设计、同时施工、同时投入生产和使用的；</w:t>
      </w:r>
    </w:p>
    <w:p w14:paraId="6868CB1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2.《使用有毒物品作业场所劳动保护条例》第五十八条第（二）项　用人单位违反本条例的规定，有下列情形之一的，由疾病预防控制部门给予警告，责令限期改正；逾期不改正的，处10万元以上50万元以下的罚款；情节严重的，提请有关人民政府按照国务院规定的权限责令停建、予以关闭；造成严重职业中毒危害或者导致职业中毒事故发生的，对负有责任的主管人员和其他直接责任人员依照刑法关于重大劳动安全事故罪或者其他罪的规定，依法追究刑事责任：</w:t>
      </w:r>
    </w:p>
    <w:p w14:paraId="5C29EF26">
      <w:pPr>
        <w:widowControl w:val="0"/>
        <w:spacing w:after="0"/>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（二）职业中毒危害防护设施未与主体工程同时设计，同时施工，同时投入生产和使用的；</w:t>
      </w:r>
    </w:p>
    <w:p w14:paraId="2E43382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3.《建设项目职业病防护设施“三同时”监督管理办法》第三十九条第（二）项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建设单位有下列行为之一的，由安全生产监督管理部门给予警告，责令限期改正；逾期不改正的，处10万元以上50 万元以下的罚款；情节严重的，责令停止产生职业病危害的作业，或者提请有关人民政府按照国务院规定的权限责令停建、关闭：</w:t>
      </w:r>
    </w:p>
    <w:p w14:paraId="7D34408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（二）建设项目的职业病防护设施未按照规定与主体工程同时设计、同时施工、同时投入生产和使用的；</w:t>
      </w:r>
    </w:p>
    <w:p w14:paraId="2C0E07CC">
      <w:pPr>
        <w:widowControl w:val="0"/>
        <w:adjustRightInd/>
        <w:snapToGrid/>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8159"/>
        <w:gridCol w:w="4125"/>
      </w:tblGrid>
      <w:tr w14:paraId="4593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588" w:type="dxa"/>
            <w:vAlign w:val="center"/>
          </w:tcPr>
          <w:p w14:paraId="49F6F7F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159" w:type="dxa"/>
            <w:vAlign w:val="center"/>
          </w:tcPr>
          <w:p w14:paraId="03B33C9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125" w:type="dxa"/>
            <w:vAlign w:val="center"/>
          </w:tcPr>
          <w:p w14:paraId="2F85D72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986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588" w:type="dxa"/>
            <w:vAlign w:val="center"/>
          </w:tcPr>
          <w:p w14:paraId="55E51FB2">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159" w:type="dxa"/>
            <w:vAlign w:val="center"/>
          </w:tcPr>
          <w:p w14:paraId="5C80DC2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建设项目的职业病防护设施未按照规定与主体工程同时设计、同时施工、同时投入生产和使用的。</w:t>
            </w:r>
          </w:p>
        </w:tc>
        <w:tc>
          <w:tcPr>
            <w:tcW w:w="4125" w:type="dxa"/>
            <w:vAlign w:val="center"/>
          </w:tcPr>
          <w:p w14:paraId="61404FB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098C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1588" w:type="dxa"/>
            <w:vAlign w:val="center"/>
          </w:tcPr>
          <w:p w14:paraId="00E2F3F6">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159" w:type="dxa"/>
            <w:vAlign w:val="center"/>
          </w:tcPr>
          <w:p w14:paraId="6260CCE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有下列情形之一的，经责令限期改正，逾期不改正的：</w:t>
            </w:r>
          </w:p>
          <w:p w14:paraId="6AC977D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A.职业病危害一般类别的建设项目职业病危害防护设施未与主体工程同时设计、同时施工、同时投入生产和使用的；</w:t>
            </w:r>
          </w:p>
          <w:p w14:paraId="6A0ACFB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B.GBZ181《职业病危害放射防护评价报告编制规范》中所列 C 类建设项目职业病防护设施未与主体工程同时设计、同时施工、同时投入生产和使用的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c>
          <w:tcPr>
            <w:tcW w:w="4125" w:type="dxa"/>
            <w:vAlign w:val="center"/>
          </w:tcPr>
          <w:p w14:paraId="219917E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0D79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1588" w:type="dxa"/>
            <w:vAlign w:val="center"/>
          </w:tcPr>
          <w:p w14:paraId="66542397">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159" w:type="dxa"/>
            <w:vAlign w:val="center"/>
          </w:tcPr>
          <w:p w14:paraId="23F6877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有下列情形之一的，经责令限期改正，逾期不改正的：</w:t>
            </w:r>
          </w:p>
          <w:p w14:paraId="23635FC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A.职业病危害严重类别的建设项目职业病危害防护设施未与主体工程同时设计、同时施工、同时投入生产和使用的；</w:t>
            </w:r>
          </w:p>
          <w:p w14:paraId="3DBC278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 GBZ181《职业病危害放射防护评价报告编制规范》中所列 A 类或B类建设项目职业病危害防护设施未与主体工程同时设计、同时施工、同时投入生产和使用的；</w:t>
            </w:r>
          </w:p>
          <w:p w14:paraId="465B983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C.曾因违反建设项目职业卫生“三同时”规定，受到“罚款”类行政处罚的。</w:t>
            </w:r>
          </w:p>
        </w:tc>
        <w:tc>
          <w:tcPr>
            <w:tcW w:w="4125" w:type="dxa"/>
            <w:vAlign w:val="center"/>
          </w:tcPr>
          <w:p w14:paraId="4465C8B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处二十万元以上五十万元以下的罚款。</w:t>
            </w:r>
          </w:p>
        </w:tc>
      </w:tr>
      <w:tr w14:paraId="3A41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588" w:type="dxa"/>
            <w:vAlign w:val="center"/>
          </w:tcPr>
          <w:p w14:paraId="62B92BFF">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8159" w:type="dxa"/>
            <w:vAlign w:val="center"/>
          </w:tcPr>
          <w:p w14:paraId="72669FD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职业病危害严重类别的建设项目职业病危害防护设施未与主体工程同时设计、同时施工、同时投入生产和使用，经责令限期改正，逾期不改正，并造成严重后果的。</w:t>
            </w:r>
          </w:p>
        </w:tc>
        <w:tc>
          <w:tcPr>
            <w:tcW w:w="4125" w:type="dxa"/>
            <w:vAlign w:val="center"/>
          </w:tcPr>
          <w:p w14:paraId="19616D8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责令停止产生职业病危害的作业，或者提请有关人民政府按照国务院规定的权限责令停建、关闭。</w:t>
            </w:r>
          </w:p>
        </w:tc>
      </w:tr>
    </w:tbl>
    <w:p w14:paraId="658536F1">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5942" w:name="_Toc538"/>
      <w:bookmarkStart w:id="5943" w:name="_Toc25459"/>
      <w:bookmarkStart w:id="5944" w:name="_Toc458"/>
      <w:bookmarkStart w:id="5945" w:name="_Toc15017"/>
      <w:bookmarkStart w:id="5946" w:name="_Toc17670"/>
      <w:bookmarkStart w:id="5947" w:name="_Toc29818"/>
      <w:bookmarkStart w:id="5948" w:name="_Toc18380"/>
      <w:bookmarkStart w:id="5949" w:name="_Toc22274"/>
      <w:bookmarkStart w:id="5950" w:name="_Toc941"/>
      <w:bookmarkStart w:id="5951" w:name="_Toc28235"/>
      <w:bookmarkStart w:id="5952" w:name="_Toc6621"/>
      <w:r>
        <w:rPr>
          <w:rFonts w:hint="eastAsia" w:ascii="Times New Roman" w:hAnsi="Times New Roman" w:cs="仿宋_GB2312"/>
          <w:bCs/>
          <w:color w:val="000000" w:themeColor="text1"/>
          <w14:textFill>
            <w14:solidFill>
              <w14:schemeClr w14:val="tx1"/>
            </w14:solidFill>
          </w14:textFill>
        </w:rPr>
        <w:t>第四百七十一条</w:t>
      </w:r>
      <w:r>
        <w:rPr>
          <w:rFonts w:hint="eastAsia" w:ascii="Times New Roman" w:hAnsi="Times New Roman" w:cs="仿宋_GB2312"/>
          <w:bCs/>
          <w:color w:val="000000" w:themeColor="text1"/>
          <w:kern w:val="0"/>
          <w14:textFill>
            <w14:solidFill>
              <w14:schemeClr w14:val="tx1"/>
            </w14:solidFill>
          </w14:textFill>
        </w:rPr>
        <w:t xml:space="preserve"> </w:t>
      </w:r>
      <w:r>
        <w:rPr>
          <w:rFonts w:hint="eastAsia" w:ascii="Times New Roman" w:hAnsi="Times New Roman" w:cs="仿宋_GB2312"/>
          <w:bCs/>
          <w:color w:val="000000" w:themeColor="text1"/>
          <w:kern w:val="0"/>
          <w:szCs w:val="32"/>
          <w14:textFill>
            <w14:solidFill>
              <w14:schemeClr w14:val="tx1"/>
            </w14:solidFill>
          </w14:textFill>
        </w:rPr>
        <w:t>建设项目的职业病防护设施设计不符合国家职业卫生标准和卫生要求</w:t>
      </w:r>
      <w:bookmarkEnd w:id="5942"/>
      <w:bookmarkEnd w:id="5943"/>
      <w:bookmarkEnd w:id="5944"/>
      <w:bookmarkEnd w:id="5945"/>
      <w:bookmarkEnd w:id="5946"/>
      <w:bookmarkEnd w:id="5947"/>
      <w:bookmarkEnd w:id="5948"/>
      <w:bookmarkEnd w:id="5949"/>
      <w:bookmarkEnd w:id="5950"/>
      <w:bookmarkEnd w:id="5951"/>
      <w:bookmarkEnd w:id="5952"/>
    </w:p>
    <w:p w14:paraId="6BCA85E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2BF919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1.《中华人民共和国职业病防治法》第六十九条第（四）项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301E4E4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（四）建设项目的职业病防护设施设计不符合国家职业卫生标准和卫生要求，或者医疗机构放射性职业病危害严重的建设项目的防护设施设计未经卫生行政部门审查同意擅自施工的；</w:t>
      </w:r>
    </w:p>
    <w:p w14:paraId="6757D39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2.《建设项目职业病防护设施“三同时”监督管理办法》第三十九条第（三）项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建设单位有下列行为之一的，由安全生产监督管理部门给予警告，责令限期改正；逾期不改正的，处10万元以上 50 万元以下的罚款；情节严重的，责令停止产生职业病危害的作业，或者提请有关人民政府按照国务院规定的权限责令停建、关闭：</w:t>
      </w:r>
    </w:p>
    <w:p w14:paraId="79A50D5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（三）建设项目的职业病防护设施设计不符合国家职业卫生标准和卫生要求的；</w:t>
      </w:r>
    </w:p>
    <w:p w14:paraId="2521113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4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323"/>
        <w:gridCol w:w="3959"/>
      </w:tblGrid>
      <w:tr w14:paraId="6453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560" w:type="dxa"/>
            <w:vAlign w:val="center"/>
          </w:tcPr>
          <w:p w14:paraId="2613E81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323" w:type="dxa"/>
            <w:vAlign w:val="center"/>
          </w:tcPr>
          <w:p w14:paraId="020E1D0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59" w:type="dxa"/>
            <w:vAlign w:val="center"/>
          </w:tcPr>
          <w:p w14:paraId="10C498C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748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560" w:type="dxa"/>
            <w:vAlign w:val="center"/>
          </w:tcPr>
          <w:p w14:paraId="5AC979D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323" w:type="dxa"/>
            <w:vAlign w:val="center"/>
          </w:tcPr>
          <w:p w14:paraId="43C96A0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建设项目的职业病防护设施设计不符合国家职业卫生标准和卫生要求的，或者医疗机构放射性职业病危害严重的建设项目的防护设施设计未经卫生行政部门审查同意擅自施工的。</w:t>
            </w:r>
          </w:p>
        </w:tc>
        <w:tc>
          <w:tcPr>
            <w:tcW w:w="3959" w:type="dxa"/>
            <w:vAlign w:val="center"/>
          </w:tcPr>
          <w:p w14:paraId="4AC437D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20F7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1560" w:type="dxa"/>
            <w:vAlign w:val="center"/>
          </w:tcPr>
          <w:p w14:paraId="5176C3C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323" w:type="dxa"/>
            <w:vAlign w:val="center"/>
          </w:tcPr>
          <w:p w14:paraId="22B6ED7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有下列情形之一的，经责令限期改正，逾期不改正的：</w:t>
            </w:r>
          </w:p>
          <w:p w14:paraId="66820A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A.职业病危害一般类别的建设项目的职业病防护设施设计不符合国家职业卫生标准和卫生要求；</w:t>
            </w:r>
          </w:p>
          <w:p w14:paraId="17EA31C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B.GBZ181《职业病危害放射防护评价报告编制规范》中所列 C 类建设项目的职业病防护设施设计不符合国家职业卫生标准和卫生要求。</w:t>
            </w:r>
          </w:p>
        </w:tc>
        <w:tc>
          <w:tcPr>
            <w:tcW w:w="3959" w:type="dxa"/>
            <w:vAlign w:val="center"/>
          </w:tcPr>
          <w:p w14:paraId="4A9063E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1A71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trPr>
        <w:tc>
          <w:tcPr>
            <w:tcW w:w="1560" w:type="dxa"/>
            <w:vAlign w:val="center"/>
          </w:tcPr>
          <w:p w14:paraId="2A86F7B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323" w:type="dxa"/>
            <w:vAlign w:val="center"/>
          </w:tcPr>
          <w:p w14:paraId="064DB9B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有下列情形之一的，经责令限期改正，逾期不改正的：</w:t>
            </w:r>
          </w:p>
          <w:p w14:paraId="6F364BD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A.职业病危害严重类别的建设项目的职业病防护设施设计不符合国家职业卫生标准和卫生要求，或者医疗机构放射性职业病危害严重的建设项目的防护设施设计未经卫生行政部门审查同意擅自施工的；</w:t>
            </w:r>
          </w:p>
          <w:p w14:paraId="5D2F1AF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 GBZ181《职业病危害放射防护评价报告编制规范》中所列 A 类或B类建设项目的职业病防护设施设计不符合国家职业卫生标准和卫生要求；</w:t>
            </w:r>
          </w:p>
          <w:p w14:paraId="6DBE703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C.曾因违反建设项目职业卫生“三同时”规定，受到“罚款”类行政处罚的。</w:t>
            </w:r>
          </w:p>
        </w:tc>
        <w:tc>
          <w:tcPr>
            <w:tcW w:w="3959" w:type="dxa"/>
            <w:vAlign w:val="center"/>
          </w:tcPr>
          <w:p w14:paraId="0D6A23A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处二十万元以上五十万元以下的罚款。</w:t>
            </w:r>
          </w:p>
        </w:tc>
      </w:tr>
      <w:tr w14:paraId="11B6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560" w:type="dxa"/>
            <w:vAlign w:val="center"/>
          </w:tcPr>
          <w:p w14:paraId="544BAD3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8323" w:type="dxa"/>
            <w:vAlign w:val="center"/>
          </w:tcPr>
          <w:p w14:paraId="464DFAB8">
            <w:pPr>
              <w:widowControl w:val="0"/>
              <w:adjustRightInd/>
              <w:snapToGrid/>
              <w:spacing w:after="0" w:line="320" w:lineRule="exact"/>
              <w:jc w:val="both"/>
              <w:rPr>
                <w:rFonts w:hint="eastAsia" w:ascii="Times New Roman" w:hAnsi="Times New Roman" w:eastAsia="仿宋_GB2312" w:cs="Times New Roman"/>
                <w:color w:val="000000" w:themeColor="text1"/>
                <w:spacing w:val="-1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11"/>
                <w:kern w:val="0"/>
                <w:sz w:val="24"/>
                <w:szCs w:val="22"/>
                <w:lang w:bidi="ar"/>
                <w14:textFill>
                  <w14:solidFill>
                    <w14:schemeClr w14:val="tx1"/>
                  </w14:solidFill>
                </w14:textFill>
              </w:rPr>
              <w:t>职业病危害严重类别的建设项目职业病防护设施设计不符合国家职业卫生标准和卫生要求，或者医疗机构放射性职业病危害严重的建设项目的防护设施设计未经卫生行政部门审查同意擅自施工的，经责令限期改正，逾期不改正，并造成严重后果的。</w:t>
            </w:r>
          </w:p>
        </w:tc>
        <w:tc>
          <w:tcPr>
            <w:tcW w:w="3959" w:type="dxa"/>
            <w:vAlign w:val="center"/>
          </w:tcPr>
          <w:p w14:paraId="52F11A3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责令停止产生职业病危害的作业，或者提请有关人民政府按照国务院规定的权限责令停建、关闭。</w:t>
            </w:r>
          </w:p>
        </w:tc>
      </w:tr>
    </w:tbl>
    <w:p w14:paraId="530DE57A">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5953" w:name="_Toc10104"/>
      <w:bookmarkStart w:id="5954" w:name="_Toc900"/>
      <w:bookmarkStart w:id="5955" w:name="_Toc2906"/>
      <w:bookmarkStart w:id="5956" w:name="_Toc15525"/>
      <w:bookmarkStart w:id="5957" w:name="_Toc5866"/>
      <w:bookmarkStart w:id="5958" w:name="_Toc10415"/>
      <w:bookmarkStart w:id="5959" w:name="_Toc12113"/>
      <w:bookmarkStart w:id="5960" w:name="_Toc6950"/>
      <w:bookmarkStart w:id="5961" w:name="_Toc25340"/>
      <w:bookmarkStart w:id="5962" w:name="_Toc24212"/>
      <w:bookmarkStart w:id="5963" w:name="_Toc12590"/>
      <w:r>
        <w:rPr>
          <w:rFonts w:hint="eastAsia" w:ascii="Times New Roman" w:hAnsi="Times New Roman" w:cs="仿宋_GB2312"/>
          <w:bCs/>
          <w:color w:val="000000" w:themeColor="text1"/>
          <w14:textFill>
            <w14:solidFill>
              <w14:schemeClr w14:val="tx1"/>
            </w14:solidFill>
          </w14:textFill>
        </w:rPr>
        <w:t>第四百七十二条</w:t>
      </w:r>
      <w:r>
        <w:rPr>
          <w:rFonts w:hint="eastAsia" w:ascii="Times New Roman" w:hAnsi="Times New Roman" w:cs="仿宋_GB2312"/>
          <w:bCs/>
          <w:color w:val="000000" w:themeColor="text1"/>
          <w:kern w:val="0"/>
          <w14:textFill>
            <w14:solidFill>
              <w14:schemeClr w14:val="tx1"/>
            </w14:solidFill>
          </w14:textFill>
        </w:rPr>
        <w:t xml:space="preserve"> </w:t>
      </w:r>
      <w:r>
        <w:rPr>
          <w:rFonts w:hint="eastAsia" w:ascii="Times New Roman" w:hAnsi="Times New Roman" w:cs="仿宋_GB2312"/>
          <w:bCs/>
          <w:color w:val="000000" w:themeColor="text1"/>
          <w:kern w:val="0"/>
          <w:szCs w:val="32"/>
          <w14:textFill>
            <w14:solidFill>
              <w14:schemeClr w14:val="tx1"/>
            </w14:solidFill>
          </w14:textFill>
        </w:rPr>
        <w:t>未按照规定对职业病防护设施进行职业病危害控制效果评价的</w:t>
      </w:r>
      <w:bookmarkEnd w:id="5953"/>
      <w:bookmarkEnd w:id="5954"/>
      <w:bookmarkEnd w:id="5955"/>
      <w:bookmarkEnd w:id="5956"/>
      <w:bookmarkEnd w:id="5957"/>
      <w:bookmarkEnd w:id="5958"/>
      <w:bookmarkEnd w:id="5959"/>
      <w:bookmarkEnd w:id="5960"/>
      <w:bookmarkEnd w:id="5961"/>
      <w:bookmarkEnd w:id="5962"/>
      <w:bookmarkEnd w:id="5963"/>
    </w:p>
    <w:p w14:paraId="4603E10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DAE1B7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1.《中华人民共和国职业病防治法》第六十九条第（五）项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385D04B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（五）未按照规定对职业病防护设施进行职业病危害控制效果评价的；</w:t>
      </w:r>
    </w:p>
    <w:p w14:paraId="4C3D521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2.《使用有毒物品作业场所劳动保护条例》第五十八条第（三）项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条例的规定，有下列情形之一的，由疾病预防控制部门给予警告，责令限期改正；逾期不改正的，处10万元以上50万元以下的罚款；情节严重的，提请有关人民政府按照国务院规定的权限责令停建、予以关闭；造成严重职业中毒危害或者导致职业中毒事故发生的，对负有责任的主管人员和其他直接责任人员依照刑法关于重大劳动安全事故罪或者其他罪的规定，依法追究刑事责任：</w:t>
      </w:r>
    </w:p>
    <w:p w14:paraId="4A137EC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（三）建设项目竣工验收前，未进行职业中毒危害控制效果评价，或者职业中毒危害防护设施未经依法组织验收合格，擅自投入生产和使用的；</w:t>
      </w:r>
    </w:p>
    <w:p w14:paraId="0310AEC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3.《建设项目职业病防护设施“三同时”监督管理办法》第三十九条第（四）项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建设单位有下列行为之一的，由安全生产监督管理部门给予警告，责令限期改正；逾期不改正的，处10万元以上50 万元以下的罚款；情节严重的，责令停止产生职业病危害的作业，或者提请有关人民政府按照国务院规定的权限责令停建、关闭：</w:t>
      </w:r>
    </w:p>
    <w:p w14:paraId="5C9C056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（四）未按照本办法规定对职业病防护设施进行职业病危害控制效果评价的；</w:t>
      </w:r>
    </w:p>
    <w:p w14:paraId="2854187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7869"/>
        <w:gridCol w:w="3861"/>
      </w:tblGrid>
      <w:tr w14:paraId="6D8A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444" w:type="dxa"/>
            <w:vAlign w:val="center"/>
          </w:tcPr>
          <w:p w14:paraId="08A4630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869" w:type="dxa"/>
            <w:vAlign w:val="center"/>
          </w:tcPr>
          <w:p w14:paraId="468DBF2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861" w:type="dxa"/>
            <w:vAlign w:val="center"/>
          </w:tcPr>
          <w:p w14:paraId="201C4BF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358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44" w:type="dxa"/>
            <w:vAlign w:val="center"/>
          </w:tcPr>
          <w:p w14:paraId="225559B7">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869" w:type="dxa"/>
            <w:vAlign w:val="center"/>
          </w:tcPr>
          <w:p w14:paraId="424AB9D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未按照规定对职业病防护设施进行职业病危害控制效果评价的。</w:t>
            </w:r>
          </w:p>
        </w:tc>
        <w:tc>
          <w:tcPr>
            <w:tcW w:w="3861" w:type="dxa"/>
            <w:vAlign w:val="center"/>
          </w:tcPr>
          <w:p w14:paraId="5495DB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6A79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2444" w:type="dxa"/>
            <w:vAlign w:val="center"/>
          </w:tcPr>
          <w:p w14:paraId="614C21BA">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869" w:type="dxa"/>
            <w:vAlign w:val="center"/>
          </w:tcPr>
          <w:p w14:paraId="7CEB4CA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有下列情形之一的，经责令限期改正，逾期不改正的：</w:t>
            </w:r>
          </w:p>
          <w:p w14:paraId="51A7BDA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w:t>
            </w:r>
            <w:r>
              <w:rPr>
                <w:rFonts w:hint="eastAsia" w:ascii="Times New Roman" w:hAnsi="Times New Roman" w:eastAsia="仿宋_GB2312" w:cs="Times New Roman"/>
                <w:color w:val="000000" w:themeColor="text1"/>
                <w:spacing w:val="-11"/>
                <w:kern w:val="0"/>
                <w:sz w:val="24"/>
                <w:szCs w:val="22"/>
                <w:lang w:bidi="ar"/>
                <w14:textFill>
                  <w14:solidFill>
                    <w14:schemeClr w14:val="tx1"/>
                  </w14:solidFill>
                </w14:textFill>
              </w:rPr>
              <w:t>职业病危害一般类别的建设项目未按规定进行职业病危害控制效果评价的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p w14:paraId="6AE8401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B.GBZ181《职业病危害放射防护评价报告编制规范》中所列 C 类建设项目未按规定进行职业病危害控制效果评价的。</w:t>
            </w:r>
          </w:p>
        </w:tc>
        <w:tc>
          <w:tcPr>
            <w:tcW w:w="3861" w:type="dxa"/>
            <w:vAlign w:val="center"/>
          </w:tcPr>
          <w:p w14:paraId="756DF72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0D35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444" w:type="dxa"/>
            <w:vAlign w:val="center"/>
          </w:tcPr>
          <w:p w14:paraId="7E7228F7">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869" w:type="dxa"/>
            <w:vAlign w:val="center"/>
          </w:tcPr>
          <w:p w14:paraId="7AE62E3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有下列情形之一的，经责令限期改正，逾期不改正的：</w:t>
            </w:r>
          </w:p>
          <w:p w14:paraId="26D848B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w:t>
            </w:r>
            <w:r>
              <w:rPr>
                <w:rFonts w:hint="eastAsia" w:ascii="Times New Roman" w:hAnsi="Times New Roman" w:eastAsia="仿宋_GB2312" w:cs="Times New Roman"/>
                <w:color w:val="000000" w:themeColor="text1"/>
                <w:spacing w:val="-11"/>
                <w:kern w:val="0"/>
                <w:sz w:val="24"/>
                <w:szCs w:val="22"/>
                <w:lang w:bidi="ar"/>
                <w14:textFill>
                  <w14:solidFill>
                    <w14:schemeClr w14:val="tx1"/>
                  </w14:solidFill>
                </w14:textFill>
              </w:rPr>
              <w:t>职业病危害严重类别的建设项目未按规定进行职业病危害控制效果评价的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p w14:paraId="19A240C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 GBZ181《职业病危害放射防护评价报告编制规范》中所列 A 类或B类建设项目未按规定进行职业病危害控制效果评价的；</w:t>
            </w:r>
          </w:p>
          <w:p w14:paraId="4155BA4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w:t>
            </w: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曾因违反建设项目职业卫生“三同时”规定，受到“罚款”类行政处罚的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tc>
        <w:tc>
          <w:tcPr>
            <w:tcW w:w="3861" w:type="dxa"/>
            <w:vAlign w:val="center"/>
          </w:tcPr>
          <w:p w14:paraId="28B30B8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处二十万元以上五十万元以下的罚款。</w:t>
            </w:r>
          </w:p>
        </w:tc>
      </w:tr>
      <w:tr w14:paraId="19BF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444" w:type="dxa"/>
            <w:vAlign w:val="center"/>
          </w:tcPr>
          <w:p w14:paraId="574882B6">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7869" w:type="dxa"/>
            <w:vAlign w:val="center"/>
          </w:tcPr>
          <w:p w14:paraId="755A669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职业病危害严重类别的建设项目未按规定进行职业病危害控制效果评价，经责令限期改正，逾期不改正，并造成严重后果的。</w:t>
            </w:r>
          </w:p>
        </w:tc>
        <w:tc>
          <w:tcPr>
            <w:tcW w:w="3861" w:type="dxa"/>
            <w:vAlign w:val="center"/>
          </w:tcPr>
          <w:p w14:paraId="5F8A94B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责令停止产生职业病危害的作业，或者提请有关人民政府按照国务院规定的权限责令停建、关闭。</w:t>
            </w:r>
          </w:p>
        </w:tc>
      </w:tr>
    </w:tbl>
    <w:p w14:paraId="01FA1652">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5964" w:name="_Toc5533"/>
      <w:bookmarkStart w:id="5965" w:name="_Toc32749"/>
      <w:bookmarkStart w:id="5966" w:name="_Toc26018"/>
      <w:bookmarkStart w:id="5967" w:name="_Toc6927"/>
      <w:bookmarkStart w:id="5968" w:name="_Toc7578"/>
      <w:bookmarkStart w:id="5969" w:name="_Toc4358"/>
      <w:bookmarkStart w:id="5970" w:name="_Toc27811"/>
      <w:bookmarkStart w:id="5971" w:name="_Toc24662"/>
      <w:bookmarkStart w:id="5972" w:name="_Toc17712"/>
      <w:bookmarkStart w:id="5973" w:name="_Toc25993"/>
      <w:bookmarkStart w:id="5974" w:name="_Toc17580"/>
      <w:r>
        <w:rPr>
          <w:rFonts w:hint="eastAsia" w:ascii="Times New Roman" w:hAnsi="Times New Roman" w:cs="仿宋_GB2312"/>
          <w:bCs/>
          <w:color w:val="000000" w:themeColor="text1"/>
          <w:kern w:val="0"/>
          <w14:textFill>
            <w14:solidFill>
              <w14:schemeClr w14:val="tx1"/>
            </w14:solidFill>
          </w14:textFill>
        </w:rPr>
        <w:t xml:space="preserve">第四百七十三条 </w:t>
      </w:r>
      <w:r>
        <w:rPr>
          <w:rFonts w:hint="eastAsia" w:ascii="Times New Roman" w:hAnsi="Times New Roman" w:cs="仿宋_GB2312"/>
          <w:bCs/>
          <w:color w:val="000000" w:themeColor="text1"/>
          <w:kern w:val="0"/>
          <w:szCs w:val="32"/>
          <w14:textFill>
            <w14:solidFill>
              <w14:schemeClr w14:val="tx1"/>
            </w14:solidFill>
          </w14:textFill>
        </w:rPr>
        <w:t>建设项目竣工投入生产和使用前，职业病防护设施未按照规定验收合格的</w:t>
      </w:r>
      <w:bookmarkEnd w:id="5964"/>
      <w:bookmarkEnd w:id="5965"/>
      <w:bookmarkEnd w:id="5966"/>
      <w:bookmarkEnd w:id="5967"/>
      <w:bookmarkEnd w:id="5968"/>
      <w:bookmarkEnd w:id="5969"/>
      <w:bookmarkEnd w:id="5970"/>
      <w:bookmarkEnd w:id="5971"/>
      <w:bookmarkEnd w:id="5972"/>
      <w:bookmarkEnd w:id="5973"/>
      <w:bookmarkEnd w:id="5974"/>
    </w:p>
    <w:p w14:paraId="18DB1DF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294CF0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1.《中华人民共和国职业病防治法》第六十九条第（六）项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2E7AB53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（六）建设项目竣工投入生产和使用前，职业病防护设施未按照规定验收合格的。</w:t>
      </w:r>
    </w:p>
    <w:p w14:paraId="74AFAE1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2.《建设项目职业病防护设施“三同时”监督管理办法》第三十九条第（五）项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建设单位有下列行为之一的，由安全生产监督管理部门给予警告，责令限期改正；逾期不改正的，处10万元以上 50 万元以下的罚款；情节严重的，责令停止产生职业病危害的作业，或者提请有关人民政府按照国务院规定的权限责令停建、关闭：</w:t>
      </w:r>
    </w:p>
    <w:p w14:paraId="6F208A4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（五）建设项目竣工投入生产和使用前，职业病防护设施未按照本办法规定验收合格的。</w:t>
      </w:r>
    </w:p>
    <w:p w14:paraId="2C17E0F8">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pPr w:leftFromText="180" w:rightFromText="180" w:vertAnchor="text" w:horzAnchor="margin" w:tblpY="77"/>
        <w:tblOverlap w:val="never"/>
        <w:tblW w:w="13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928"/>
        <w:gridCol w:w="4432"/>
      </w:tblGrid>
      <w:tr w14:paraId="25AF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526" w:type="dxa"/>
            <w:vAlign w:val="center"/>
          </w:tcPr>
          <w:p w14:paraId="023A61D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928" w:type="dxa"/>
            <w:vAlign w:val="center"/>
          </w:tcPr>
          <w:p w14:paraId="3525691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32" w:type="dxa"/>
            <w:vAlign w:val="center"/>
          </w:tcPr>
          <w:p w14:paraId="6F4D752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D45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526" w:type="dxa"/>
            <w:vAlign w:val="center"/>
          </w:tcPr>
          <w:p w14:paraId="5A526F19">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928" w:type="dxa"/>
            <w:vAlign w:val="center"/>
          </w:tcPr>
          <w:p w14:paraId="21124FF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建设项目竣工投入生产和使用前，职业病防护设施未按照规定验收合格的。</w:t>
            </w:r>
          </w:p>
        </w:tc>
        <w:tc>
          <w:tcPr>
            <w:tcW w:w="4432" w:type="dxa"/>
            <w:vAlign w:val="center"/>
          </w:tcPr>
          <w:p w14:paraId="2F911ED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7ED9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526" w:type="dxa"/>
            <w:vAlign w:val="center"/>
          </w:tcPr>
          <w:p w14:paraId="70F92F99">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928" w:type="dxa"/>
            <w:vAlign w:val="center"/>
          </w:tcPr>
          <w:p w14:paraId="075F3CC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有下列情形之一的，经责令限期改正，逾期不改正的：</w:t>
            </w:r>
          </w:p>
          <w:p w14:paraId="612C9F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A.职业病危害一般类别的建设项目职业病防护设施未按照规定验收合格的；</w:t>
            </w:r>
          </w:p>
          <w:p w14:paraId="14D3C71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B.GBZ181《职业病危害放射防护评价报告编制规范》中所列 C 类建设项目职业病防护设施未按照规定验收合格的。</w:t>
            </w:r>
          </w:p>
        </w:tc>
        <w:tc>
          <w:tcPr>
            <w:tcW w:w="4432" w:type="dxa"/>
            <w:vAlign w:val="center"/>
          </w:tcPr>
          <w:p w14:paraId="5FD4710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2CCA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26" w:type="dxa"/>
            <w:vAlign w:val="center"/>
          </w:tcPr>
          <w:p w14:paraId="3DBA041A">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928" w:type="dxa"/>
            <w:vAlign w:val="center"/>
          </w:tcPr>
          <w:p w14:paraId="6B7F225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有下列情形之一的，经责令限期改正，逾期不改正的：</w:t>
            </w:r>
          </w:p>
          <w:p w14:paraId="723603C2">
            <w:pPr>
              <w:widowControl w:val="0"/>
              <w:adjustRightInd/>
              <w:snapToGrid/>
              <w:spacing w:after="0" w:line="32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w:t>
            </w: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职业病危害严重类别的建设项目职业病防护设施未按照规定验收合格的；</w:t>
            </w:r>
          </w:p>
          <w:p w14:paraId="2495008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 GBZ181《职业病危害放射防护评价报告编制规范》中所列 A 类或B类建设项目职业病防护设施未按照规定验收合格的；</w:t>
            </w:r>
          </w:p>
          <w:p w14:paraId="726EE9E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w:t>
            </w: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曾因违反建设项目职业卫生“三同时”规定，受到“罚款”类行政处罚的。</w:t>
            </w:r>
          </w:p>
        </w:tc>
        <w:tc>
          <w:tcPr>
            <w:tcW w:w="4432" w:type="dxa"/>
            <w:vAlign w:val="center"/>
          </w:tcPr>
          <w:p w14:paraId="4DE17F7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处二十万元以上五十万元以下的罚款。</w:t>
            </w:r>
          </w:p>
        </w:tc>
      </w:tr>
      <w:tr w14:paraId="5B73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vAlign w:val="center"/>
          </w:tcPr>
          <w:p w14:paraId="16AD96DD">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7928" w:type="dxa"/>
            <w:vAlign w:val="center"/>
          </w:tcPr>
          <w:p w14:paraId="2C65764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职业病危害严重类别的建设项目职业病防护设施未按照规定验收合格，经责令限期改正，逾期不改正，并造成严重后果的。</w:t>
            </w:r>
          </w:p>
        </w:tc>
        <w:tc>
          <w:tcPr>
            <w:tcW w:w="4432" w:type="dxa"/>
            <w:vAlign w:val="center"/>
          </w:tcPr>
          <w:p w14:paraId="1F474F3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责令停止产生职业病危害的作业，或者提请有关人民政府按照国务院规定的权限责令停建、关闭。</w:t>
            </w:r>
          </w:p>
        </w:tc>
      </w:tr>
    </w:tbl>
    <w:p w14:paraId="481893C3">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5975" w:name="_Toc5229"/>
      <w:bookmarkStart w:id="5976" w:name="_Toc6556"/>
      <w:bookmarkStart w:id="5977" w:name="_Toc27366"/>
      <w:bookmarkStart w:id="5978" w:name="_Toc22940"/>
      <w:bookmarkStart w:id="5979" w:name="_Toc18299"/>
      <w:bookmarkStart w:id="5980" w:name="_Toc4425"/>
      <w:bookmarkStart w:id="5981" w:name="_Toc15114"/>
      <w:bookmarkStart w:id="5982" w:name="_Toc26859"/>
      <w:bookmarkStart w:id="5983" w:name="_Toc1798"/>
      <w:bookmarkStart w:id="5984" w:name="_Toc31678"/>
      <w:bookmarkStart w:id="5985" w:name="_Toc18706"/>
      <w:r>
        <w:rPr>
          <w:rFonts w:hint="eastAsia" w:ascii="Times New Roman" w:hAnsi="Times New Roman" w:cs="仿宋_GB2312"/>
          <w:bCs/>
          <w:color w:val="000000" w:themeColor="text1"/>
          <w:kern w:val="0"/>
          <w14:textFill>
            <w14:solidFill>
              <w14:schemeClr w14:val="tx1"/>
            </w14:solidFill>
          </w14:textFill>
        </w:rPr>
        <w:t xml:space="preserve">第四百七十四条 </w:t>
      </w:r>
      <w:r>
        <w:rPr>
          <w:rFonts w:hint="eastAsia" w:ascii="Times New Roman" w:hAnsi="Times New Roman" w:cs="仿宋_GB2312"/>
          <w:bCs/>
          <w:color w:val="000000" w:themeColor="text1"/>
          <w:kern w:val="0"/>
          <w:szCs w:val="32"/>
          <w14:textFill>
            <w14:solidFill>
              <w14:schemeClr w14:val="tx1"/>
            </w14:solidFill>
          </w14:textFill>
        </w:rPr>
        <w:t>工作场所职业病危害因素检测、评价结果没有存档、上报、公布的</w:t>
      </w:r>
      <w:bookmarkEnd w:id="5975"/>
      <w:bookmarkEnd w:id="5976"/>
      <w:bookmarkEnd w:id="5977"/>
      <w:bookmarkEnd w:id="5978"/>
      <w:bookmarkEnd w:id="5979"/>
      <w:bookmarkEnd w:id="5980"/>
      <w:bookmarkEnd w:id="5981"/>
      <w:bookmarkEnd w:id="5982"/>
      <w:bookmarkEnd w:id="5983"/>
      <w:bookmarkEnd w:id="5984"/>
      <w:bookmarkEnd w:id="5985"/>
    </w:p>
    <w:p w14:paraId="028BC27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66D342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违反本法规定，有下列行为之一的，由卫生行政部门给予警告，责令限期改正；逾期不改正的，处十万元以下的罚款：</w:t>
      </w:r>
    </w:p>
    <w:p w14:paraId="6312CB8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（一）工作场所职业病危害因素检测、评价结果没有存档、上报、公布的；</w:t>
      </w:r>
    </w:p>
    <w:p w14:paraId="1159B68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2.《工作场所职业卫生管理规定》第四十八条第（八）项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用人单位有下列情形之一的，责令限期改正，给予警告；逾期未改正的，处十万元以下的罚款；</w:t>
      </w:r>
    </w:p>
    <w:p w14:paraId="516B7C5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（八）工作场所职业病危害因素检测、评价结果未按照规定存档、上报和公布的。</w:t>
      </w:r>
    </w:p>
    <w:p w14:paraId="561FDD75">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8221"/>
        <w:gridCol w:w="3896"/>
      </w:tblGrid>
      <w:tr w14:paraId="6D4F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502" w:type="dxa"/>
            <w:vAlign w:val="center"/>
          </w:tcPr>
          <w:p w14:paraId="2D6A5A9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221" w:type="dxa"/>
            <w:vAlign w:val="center"/>
          </w:tcPr>
          <w:p w14:paraId="71BDA2A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896" w:type="dxa"/>
            <w:vAlign w:val="center"/>
          </w:tcPr>
          <w:p w14:paraId="2A9555B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AC8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502" w:type="dxa"/>
            <w:vAlign w:val="center"/>
          </w:tcPr>
          <w:p w14:paraId="30B2DEEE">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221" w:type="dxa"/>
            <w:vAlign w:val="center"/>
          </w:tcPr>
          <w:p w14:paraId="6FC4BF0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工作场所职业病危害因素检测、评价结果没有存档、上报、公布的。</w:t>
            </w:r>
          </w:p>
        </w:tc>
        <w:tc>
          <w:tcPr>
            <w:tcW w:w="3896" w:type="dxa"/>
            <w:vAlign w:val="center"/>
          </w:tcPr>
          <w:p w14:paraId="787A924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027B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502" w:type="dxa"/>
            <w:vAlign w:val="center"/>
          </w:tcPr>
          <w:p w14:paraId="66596D1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221" w:type="dxa"/>
            <w:vAlign w:val="center"/>
          </w:tcPr>
          <w:p w14:paraId="42D66AC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工作场所职业病危害因素检测、评价结果没有存档、上报、公布，经警告，逾期不改正，仍存在工作场所职业病危害因素检测、评价结果的存档、上报和公布三项行为中有一项违反本规定的。</w:t>
            </w:r>
          </w:p>
        </w:tc>
        <w:tc>
          <w:tcPr>
            <w:tcW w:w="3896" w:type="dxa"/>
            <w:vAlign w:val="center"/>
          </w:tcPr>
          <w:p w14:paraId="622E79D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处三万元以下的罚款。</w:t>
            </w:r>
          </w:p>
        </w:tc>
      </w:tr>
      <w:tr w14:paraId="363B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502" w:type="dxa"/>
            <w:vAlign w:val="center"/>
          </w:tcPr>
          <w:p w14:paraId="7FA4DDB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221" w:type="dxa"/>
            <w:vAlign w:val="center"/>
          </w:tcPr>
          <w:p w14:paraId="29EBA3C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工作场所职业病危害因素检测、评价结果没有存档、上报、公布，经责令限期改正，逾期不改正，仍存在工作场所职业病危害因素检测、评价结果的存档、上报和公布三项行为中有二项违反本规定的。</w:t>
            </w:r>
          </w:p>
        </w:tc>
        <w:tc>
          <w:tcPr>
            <w:tcW w:w="3896" w:type="dxa"/>
            <w:vAlign w:val="center"/>
          </w:tcPr>
          <w:p w14:paraId="046E543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处三万元以上六万元以下的罚款。</w:t>
            </w:r>
          </w:p>
        </w:tc>
      </w:tr>
      <w:tr w14:paraId="2452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502" w:type="dxa"/>
            <w:vAlign w:val="center"/>
          </w:tcPr>
          <w:p w14:paraId="137EACB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221" w:type="dxa"/>
            <w:vAlign w:val="center"/>
          </w:tcPr>
          <w:p w14:paraId="5304FA2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工作场所职业病危害因素检测、评价结果没有存档、上报、公布，经警告，逾期不改正，仍存在工作场所职业病危害因素检测、评价结果的存档、上报和公布均违反本规定的。</w:t>
            </w:r>
          </w:p>
        </w:tc>
        <w:tc>
          <w:tcPr>
            <w:tcW w:w="3896" w:type="dxa"/>
            <w:vAlign w:val="center"/>
          </w:tcPr>
          <w:p w14:paraId="3390B32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处六万元以上八万元以下的罚款。</w:t>
            </w:r>
          </w:p>
        </w:tc>
      </w:tr>
      <w:tr w14:paraId="4067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502" w:type="dxa"/>
            <w:vAlign w:val="center"/>
          </w:tcPr>
          <w:p w14:paraId="392D3ED4">
            <w:pPr>
              <w:widowControl w:val="0"/>
              <w:adjustRightInd/>
              <w:snapToGrid/>
              <w:spacing w:before="0" w:beforeLines="-2147483648" w:after="0" w:line="320" w:lineRule="exact"/>
              <w:jc w:val="center"/>
              <w:rPr>
                <w:rFonts w:hint="eastAsia" w:ascii="Times New Roman" w:hAnsi="Times New Roman" w:eastAsia="仿宋_GB2312" w:cs="仿宋_GB2312"/>
                <w:bCs/>
                <w:color w:val="000000" w:themeColor="text1"/>
                <w:kern w:val="2"/>
                <w:sz w:val="24"/>
                <w:szCs w:val="24"/>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8221" w:type="dxa"/>
            <w:vAlign w:val="center"/>
          </w:tcPr>
          <w:p w14:paraId="2EE7345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检测、评价结果没有存档、上报、公布，经警告，逾期不改正，仍存在工作场所职业病危害因素检测、评价结果的存档、上报和公布三项行为之一，且导致影响劳动者进行诊断确定接害史等不良后果的。</w:t>
            </w:r>
          </w:p>
        </w:tc>
        <w:tc>
          <w:tcPr>
            <w:tcW w:w="3896" w:type="dxa"/>
            <w:vAlign w:val="center"/>
          </w:tcPr>
          <w:p w14:paraId="7C88E17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处八万元以上十万元以下的罚款。</w:t>
            </w:r>
          </w:p>
        </w:tc>
      </w:tr>
    </w:tbl>
    <w:p w14:paraId="2D5430B4">
      <w:pPr>
        <w:pStyle w:val="4"/>
        <w:widowControl w:val="0"/>
        <w:spacing w:line="460" w:lineRule="exact"/>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5986" w:name="_Toc4542"/>
      <w:bookmarkStart w:id="5987" w:name="_Toc29712"/>
      <w:bookmarkStart w:id="5988" w:name="_Toc14882"/>
      <w:bookmarkStart w:id="5989" w:name="_Toc21130"/>
      <w:bookmarkStart w:id="5990" w:name="_Toc18012"/>
      <w:bookmarkStart w:id="5991" w:name="_Toc6428"/>
      <w:bookmarkStart w:id="5992" w:name="_Toc11266"/>
      <w:bookmarkStart w:id="5993" w:name="_Toc2447"/>
      <w:bookmarkStart w:id="5994" w:name="_Toc23857"/>
      <w:bookmarkStart w:id="5995" w:name="_Toc29016"/>
      <w:bookmarkStart w:id="5996" w:name="_Toc30325"/>
      <w:r>
        <w:rPr>
          <w:rFonts w:hint="eastAsia" w:ascii="Times New Roman" w:hAnsi="Times New Roman" w:cs="仿宋_GB2312"/>
          <w:bCs/>
          <w:color w:val="000000" w:themeColor="text1"/>
          <w:kern w:val="0"/>
          <w14:textFill>
            <w14:solidFill>
              <w14:schemeClr w14:val="tx1"/>
            </w14:solidFill>
          </w14:textFill>
        </w:rPr>
        <w:t xml:space="preserve">第四百七十五条 </w:t>
      </w:r>
      <w:r>
        <w:rPr>
          <w:rFonts w:hint="eastAsia" w:ascii="Times New Roman" w:hAnsi="Times New Roman" w:cs="仿宋_GB2312"/>
          <w:bCs/>
          <w:color w:val="000000" w:themeColor="text1"/>
          <w:kern w:val="0"/>
          <w:szCs w:val="32"/>
          <w14:textFill>
            <w14:solidFill>
              <w14:schemeClr w14:val="tx1"/>
            </w14:solidFill>
          </w14:textFill>
        </w:rPr>
        <w:t>未按规定采取职业病防治管理措施的</w:t>
      </w:r>
      <w:bookmarkEnd w:id="5986"/>
      <w:bookmarkEnd w:id="5987"/>
      <w:bookmarkEnd w:id="5988"/>
      <w:bookmarkEnd w:id="5989"/>
      <w:bookmarkEnd w:id="5990"/>
      <w:bookmarkEnd w:id="5991"/>
      <w:bookmarkEnd w:id="5992"/>
      <w:bookmarkEnd w:id="5993"/>
      <w:bookmarkEnd w:id="5994"/>
      <w:bookmarkEnd w:id="5995"/>
      <w:bookmarkEnd w:id="5996"/>
    </w:p>
    <w:p w14:paraId="2C6F292C">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559F91C">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违反本法规定，有下列行为之一的，由卫生行政部门给予警告，责令限期改正；逾期不改正的，处十万元以下的罚款：</w:t>
      </w:r>
    </w:p>
    <w:p w14:paraId="245C31C5">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（二）未采取本法第二十条规定的职业病防治管理措施的；</w:t>
      </w:r>
    </w:p>
    <w:p w14:paraId="2E613D21">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2.《使用有毒物品作业场所劳动保护条例》第六十五条第（四）项　用人单位违反本条例的规定，有下列情形之一的，由疾病预防控制部门给予警告，责令限期改正，处5000元以上2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14:paraId="730B815B">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（四）从事高毒作业未按照规定配备应急救援设施或者制定事故应急救援预案的。</w:t>
      </w:r>
    </w:p>
    <w:p w14:paraId="3B81B47C">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3.《工作场所职业卫生管理规定》第四十八条第（一）项、第（二）项、第（三）项、第（四）项、第（五）项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用人单位有下列情形之一的，责令限期改正，给予警告；逾期未改正的，处十万元以下的罚款：</w:t>
      </w:r>
    </w:p>
    <w:p w14:paraId="01B72390">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（一）未按照规定制定职业病防治计划和实施方案的；</w:t>
      </w:r>
    </w:p>
    <w:p w14:paraId="52D4F864">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（二）未按照规定设置或者指定职业卫生管理机构或者组织，或者未配备专职或者兼职的职业卫生管理人员的；</w:t>
      </w:r>
    </w:p>
    <w:p w14:paraId="5A8AE423">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（三）未按照规定建立、健全职业卫生管理制度和操作规程的；</w:t>
      </w:r>
    </w:p>
    <w:p w14:paraId="0F37E9DE">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（四）未按照规定建立、健全职业卫生档案和劳动者健康监护档案的；</w:t>
      </w:r>
    </w:p>
    <w:p w14:paraId="0B7C9696">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（五）未建立、健全工作场所职业病危害因素监测及评价制度的；</w:t>
      </w:r>
    </w:p>
    <w:p w14:paraId="26F03C19">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8366"/>
        <w:gridCol w:w="3965"/>
      </w:tblGrid>
      <w:tr w14:paraId="1564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528" w:type="dxa"/>
            <w:vAlign w:val="center"/>
          </w:tcPr>
          <w:p w14:paraId="5BBFF16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366" w:type="dxa"/>
            <w:vAlign w:val="center"/>
          </w:tcPr>
          <w:p w14:paraId="3517CAA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65" w:type="dxa"/>
            <w:vAlign w:val="center"/>
          </w:tcPr>
          <w:p w14:paraId="46BD4E5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C46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528" w:type="dxa"/>
            <w:vAlign w:val="center"/>
          </w:tcPr>
          <w:p w14:paraId="5159FEA9">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366" w:type="dxa"/>
            <w:vAlign w:val="center"/>
          </w:tcPr>
          <w:p w14:paraId="7474D3F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未按照规定采取职业病防治管理措施的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c>
          <w:tcPr>
            <w:tcW w:w="3965" w:type="dxa"/>
            <w:vAlign w:val="center"/>
          </w:tcPr>
          <w:p w14:paraId="575A6B6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21BA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528" w:type="dxa"/>
            <w:vAlign w:val="center"/>
          </w:tcPr>
          <w:p w14:paraId="7C97B07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366" w:type="dxa"/>
            <w:vAlign w:val="center"/>
          </w:tcPr>
          <w:p w14:paraId="3B99CD2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有下列情形之一的，经责令限期改正，逾期不改正，仍存在以下违法情形的：</w:t>
            </w:r>
          </w:p>
          <w:p w14:paraId="6FF1700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 未按照规定采取职业病防治管理措施任意 1-2 项的；</w:t>
            </w:r>
          </w:p>
          <w:p w14:paraId="571FDF5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B.未按照规定建立、健全职业卫生管理制度和操作规程，缺少 1-2 项的。</w:t>
            </w:r>
          </w:p>
        </w:tc>
        <w:tc>
          <w:tcPr>
            <w:tcW w:w="3965" w:type="dxa"/>
            <w:vAlign w:val="center"/>
          </w:tcPr>
          <w:p w14:paraId="239BF8E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处三万元以下的罚款</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r>
      <w:tr w14:paraId="0AF8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1528" w:type="dxa"/>
            <w:vAlign w:val="center"/>
          </w:tcPr>
          <w:p w14:paraId="5CAB8D2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366" w:type="dxa"/>
            <w:vAlign w:val="center"/>
          </w:tcPr>
          <w:p w14:paraId="25CE770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有下列情形之一的，经责令限期改正，逾期不改正，仍存在以下违法情形的：</w:t>
            </w:r>
          </w:p>
          <w:p w14:paraId="493A13B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 未按照规定采取职业病防治管理措施任意 3-4 项的；</w:t>
            </w:r>
          </w:p>
          <w:p w14:paraId="2395F4A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B.未按照规定建立、健全职业卫生管理制度和操作规程，缺少 3-5 项的。</w:t>
            </w:r>
          </w:p>
        </w:tc>
        <w:tc>
          <w:tcPr>
            <w:tcW w:w="3965" w:type="dxa"/>
            <w:vAlign w:val="center"/>
          </w:tcPr>
          <w:p w14:paraId="45B1F16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处三万元以上六万元以下的罚款。</w:t>
            </w:r>
          </w:p>
        </w:tc>
      </w:tr>
      <w:tr w14:paraId="32D2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528" w:type="dxa"/>
            <w:vAlign w:val="center"/>
          </w:tcPr>
          <w:p w14:paraId="757D063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366" w:type="dxa"/>
            <w:vAlign w:val="center"/>
          </w:tcPr>
          <w:p w14:paraId="672405B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有下列情形之一的，经责令限期改正，逾期不改正，仍存在以下违法情形的：</w:t>
            </w:r>
          </w:p>
          <w:p w14:paraId="33915F3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 未按照规定采取职业病防治管理措施5项以上的；</w:t>
            </w:r>
          </w:p>
          <w:p w14:paraId="2D613A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B.未按照规定建立、健全职业卫生管理制度和操作规程，缺少 6项的。</w:t>
            </w:r>
          </w:p>
        </w:tc>
        <w:tc>
          <w:tcPr>
            <w:tcW w:w="3965" w:type="dxa"/>
            <w:vAlign w:val="center"/>
          </w:tcPr>
          <w:p w14:paraId="0F0797D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处六万元以上十万元以下的罚款。</w:t>
            </w:r>
          </w:p>
        </w:tc>
      </w:tr>
    </w:tbl>
    <w:p w14:paraId="4E47A11E">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5997" w:name="_Toc13213"/>
      <w:bookmarkStart w:id="5998" w:name="_Toc25901"/>
      <w:bookmarkStart w:id="5999" w:name="_Toc16485"/>
      <w:bookmarkStart w:id="6000" w:name="_Toc26832"/>
      <w:bookmarkStart w:id="6001" w:name="_Toc8828"/>
      <w:bookmarkStart w:id="6002" w:name="_Toc15930"/>
      <w:bookmarkStart w:id="6003" w:name="_Toc4422"/>
      <w:bookmarkStart w:id="6004" w:name="_Toc29208"/>
      <w:bookmarkStart w:id="6005" w:name="_Toc3424"/>
      <w:bookmarkStart w:id="6006" w:name="_Toc7956"/>
      <w:bookmarkStart w:id="6007" w:name="_Toc10292"/>
      <w:r>
        <w:rPr>
          <w:rFonts w:hint="eastAsia" w:ascii="Times New Roman" w:hAnsi="Times New Roman" w:cs="仿宋_GB2312"/>
          <w:bCs/>
          <w:color w:val="000000" w:themeColor="text1"/>
          <w:kern w:val="0"/>
          <w14:textFill>
            <w14:solidFill>
              <w14:schemeClr w14:val="tx1"/>
            </w14:solidFill>
          </w14:textFill>
        </w:rPr>
        <w:t>第四百七十六条</w:t>
      </w:r>
      <w:r>
        <w:rPr>
          <w:rFonts w:hint="eastAsia" w:ascii="Times New Roman" w:hAnsi="Times New Roman" w:cs="仿宋_GB2312"/>
          <w:bCs/>
          <w:color w:val="000000" w:themeColor="text1"/>
          <w:kern w:val="0"/>
          <w:szCs w:val="32"/>
          <w14:textFill>
            <w14:solidFill>
              <w14:schemeClr w14:val="tx1"/>
            </w14:solidFill>
          </w14:textFill>
        </w:rPr>
        <w:t xml:space="preserve"> 未按照规定公布有关职业病防治的规章制度、操作规程、职业病危害事故应急救援措施的</w:t>
      </w:r>
      <w:bookmarkEnd w:id="5997"/>
      <w:bookmarkEnd w:id="5998"/>
      <w:bookmarkEnd w:id="5999"/>
      <w:bookmarkEnd w:id="6000"/>
      <w:bookmarkEnd w:id="6001"/>
      <w:bookmarkEnd w:id="6002"/>
      <w:bookmarkEnd w:id="6003"/>
      <w:bookmarkEnd w:id="6004"/>
      <w:bookmarkEnd w:id="6005"/>
      <w:bookmarkEnd w:id="6006"/>
      <w:bookmarkEnd w:id="6007"/>
    </w:p>
    <w:p w14:paraId="6CE01C0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34D63E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违反本法规定，有下列行为之一的，由卫生行政部门给予警告，责令限期改正；逾期不改正的，处十万元以下的罚款：</w:t>
      </w:r>
    </w:p>
    <w:p w14:paraId="77B804A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（三）未按照规定公布有关职业病防治的规章制度、操作规程、职业病危害事故应急救援措施；</w:t>
      </w:r>
    </w:p>
    <w:p w14:paraId="5FDD58F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2.《工作场所职业卫生管理规定》第四十八条第（六）项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用人单位有下列情形之一的，责令限期改正，给予警告；逾期未改正的，处十万元以下的罚款：</w:t>
      </w:r>
    </w:p>
    <w:p w14:paraId="731CD51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（六）未按照规定公布有关职业病防治的规章制度、操作规程、职业病危害事故应急救援措施的；</w:t>
      </w:r>
    </w:p>
    <w:p w14:paraId="13E6A3CD">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pPr w:leftFromText="180" w:rightFromText="180" w:vertAnchor="text" w:horzAnchor="page" w:tblpX="1234" w:tblpY="208"/>
        <w:tblOverlap w:val="never"/>
        <w:tblW w:w="14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8571"/>
        <w:gridCol w:w="4061"/>
      </w:tblGrid>
      <w:tr w14:paraId="599C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566" w:type="dxa"/>
            <w:vAlign w:val="center"/>
          </w:tcPr>
          <w:p w14:paraId="77B5E78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71" w:type="dxa"/>
            <w:vAlign w:val="center"/>
          </w:tcPr>
          <w:p w14:paraId="122603B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061" w:type="dxa"/>
            <w:vAlign w:val="center"/>
          </w:tcPr>
          <w:p w14:paraId="3C093EC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6F8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66" w:type="dxa"/>
            <w:vAlign w:val="center"/>
          </w:tcPr>
          <w:p w14:paraId="5EE873ED">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571" w:type="dxa"/>
            <w:vAlign w:val="center"/>
          </w:tcPr>
          <w:p w14:paraId="00BF366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未按照规定公布有关职业病防治的规章制度、操作规程、职业病危害事故应急救援措施的。</w:t>
            </w:r>
          </w:p>
        </w:tc>
        <w:tc>
          <w:tcPr>
            <w:tcW w:w="4061" w:type="dxa"/>
            <w:vAlign w:val="center"/>
          </w:tcPr>
          <w:p w14:paraId="5CAC1BD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408F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66" w:type="dxa"/>
            <w:vAlign w:val="center"/>
          </w:tcPr>
          <w:p w14:paraId="15B851E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571" w:type="dxa"/>
            <w:vAlign w:val="center"/>
          </w:tcPr>
          <w:p w14:paraId="7AA47F0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公布有关职业病防治的规章制度、操作规程、职业病危害事故应急救援措施，经警告，逾期不改正，仍存在有关职业病防治的规章制度、操作规程、职业病危害事故应急救援措施中有一项未按照规定公布的。</w:t>
            </w:r>
          </w:p>
        </w:tc>
        <w:tc>
          <w:tcPr>
            <w:tcW w:w="4061" w:type="dxa"/>
            <w:vAlign w:val="center"/>
          </w:tcPr>
          <w:p w14:paraId="380D817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处三万元以下的罚款。</w:t>
            </w:r>
          </w:p>
        </w:tc>
      </w:tr>
      <w:tr w14:paraId="55F0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66" w:type="dxa"/>
            <w:vAlign w:val="center"/>
          </w:tcPr>
          <w:p w14:paraId="439BDA6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571" w:type="dxa"/>
            <w:vAlign w:val="center"/>
          </w:tcPr>
          <w:p w14:paraId="1856315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公布有关职业病防治的规章制度、操作规程、职业病危害事故应急救援措施，经警告，逾期不改正，仍存在有关职业病防治的规章制度、操作规程、职业病危害事故应急救援措施中有两项未按照规定公布的。</w:t>
            </w:r>
          </w:p>
        </w:tc>
        <w:tc>
          <w:tcPr>
            <w:tcW w:w="4061" w:type="dxa"/>
            <w:vAlign w:val="center"/>
          </w:tcPr>
          <w:p w14:paraId="102D389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处三万元以上六万元以下的罚款。</w:t>
            </w:r>
          </w:p>
        </w:tc>
      </w:tr>
      <w:tr w14:paraId="742B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66" w:type="dxa"/>
            <w:vAlign w:val="center"/>
          </w:tcPr>
          <w:p w14:paraId="1452A99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571" w:type="dxa"/>
            <w:vAlign w:val="center"/>
          </w:tcPr>
          <w:p w14:paraId="3DDE903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未按照规定公布有关职业病防治的规章制度、操作规程、职业病危害事故应急救援措施，经警告，逾期不改正，仍存在有关职业病防治的规章制度、操作规程、职业病危害事故应急救援措施均未按照规定公布的。</w:t>
            </w:r>
          </w:p>
        </w:tc>
        <w:tc>
          <w:tcPr>
            <w:tcW w:w="4061" w:type="dxa"/>
            <w:vAlign w:val="center"/>
          </w:tcPr>
          <w:p w14:paraId="6107444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处六万元以上十万元以下的罚款。</w:t>
            </w:r>
          </w:p>
        </w:tc>
      </w:tr>
    </w:tbl>
    <w:p w14:paraId="0E6D5D4F">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008" w:name="_Toc15921"/>
      <w:bookmarkStart w:id="6009" w:name="_Toc12151"/>
      <w:bookmarkStart w:id="6010" w:name="_Toc9931"/>
      <w:bookmarkStart w:id="6011" w:name="_Toc4224"/>
      <w:bookmarkStart w:id="6012" w:name="_Toc108"/>
      <w:bookmarkStart w:id="6013" w:name="_Toc12492"/>
      <w:bookmarkStart w:id="6014" w:name="_Toc30771"/>
      <w:bookmarkStart w:id="6015" w:name="_Toc2650"/>
      <w:bookmarkStart w:id="6016" w:name="_Toc28433"/>
      <w:bookmarkStart w:id="6017" w:name="_Toc1004"/>
      <w:bookmarkStart w:id="6018" w:name="_Toc21857"/>
      <w:r>
        <w:rPr>
          <w:rFonts w:hint="eastAsia" w:ascii="Times New Roman" w:hAnsi="Times New Roman" w:cs="仿宋_GB2312"/>
          <w:bCs/>
          <w:color w:val="000000" w:themeColor="text1"/>
          <w:kern w:val="0"/>
          <w14:textFill>
            <w14:solidFill>
              <w14:schemeClr w14:val="tx1"/>
            </w14:solidFill>
          </w14:textFill>
        </w:rPr>
        <w:t xml:space="preserve">第四百七十七条 </w:t>
      </w:r>
      <w:r>
        <w:rPr>
          <w:rFonts w:hint="eastAsia" w:ascii="Times New Roman" w:hAnsi="Times New Roman" w:cs="仿宋_GB2312"/>
          <w:bCs/>
          <w:color w:val="000000" w:themeColor="text1"/>
          <w:kern w:val="0"/>
          <w:szCs w:val="32"/>
          <w14:textFill>
            <w14:solidFill>
              <w14:schemeClr w14:val="tx1"/>
            </w14:solidFill>
          </w14:textFill>
        </w:rPr>
        <w:t>未按照规定组织劳动者进行职业卫生培训，或者未对劳动者个人职业病防护采取指导、督促措施的</w:t>
      </w:r>
      <w:bookmarkEnd w:id="6008"/>
      <w:bookmarkEnd w:id="6009"/>
      <w:bookmarkEnd w:id="6010"/>
      <w:bookmarkEnd w:id="6011"/>
      <w:bookmarkEnd w:id="6012"/>
      <w:bookmarkEnd w:id="6013"/>
      <w:bookmarkEnd w:id="6014"/>
      <w:bookmarkEnd w:id="6015"/>
      <w:bookmarkEnd w:id="6016"/>
      <w:bookmarkEnd w:id="6017"/>
      <w:bookmarkEnd w:id="6018"/>
    </w:p>
    <w:p w14:paraId="1FAA279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9B7A5B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违反本法规定，有下列行为之一的，由卫生行政部门给予警告，责令限期改正；逾期不改正的，处十万元以下的罚款：</w:t>
      </w:r>
    </w:p>
    <w:p w14:paraId="2BED96B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（四）未按照规定组织劳动者进行职业卫生培训，或者未对劳动者个人职业病防护采取指导、督促措施的；</w:t>
      </w:r>
    </w:p>
    <w:p w14:paraId="299CDE7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2.《使用有毒物品作业场所劳动保护条例》第五十九条第一款第（四）项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条例的规定，有下列情形之一的，由疾病预防控制部门给予警告，责令限期改正；逾期不改正的，处5万元以上20万元以下的罚款；情节严重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14:paraId="021F457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（四）未向从事使用有毒物品作业的劳动者提供符合国家职业卫生标准的防护用品，或者未保证劳动者正确使用的。</w:t>
      </w:r>
    </w:p>
    <w:p w14:paraId="567B82D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3.《工作场所职业卫生管理规定》第四十八条第（七）项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用人单位有下列情形之一的，责令限期改正，给予警告；逾期未改正的，处十万元以下的罚款：</w:t>
      </w:r>
    </w:p>
    <w:p w14:paraId="0517507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（七）未按照规定组织劳动者进行职业卫生培训，或者未对劳动者个人职业病防护采取指导、督促措施的；</w:t>
      </w:r>
    </w:p>
    <w:p w14:paraId="1CFF0DD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8305"/>
        <w:gridCol w:w="3936"/>
      </w:tblGrid>
      <w:tr w14:paraId="3E49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518" w:type="dxa"/>
            <w:vAlign w:val="center"/>
          </w:tcPr>
          <w:p w14:paraId="3403AC1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305" w:type="dxa"/>
            <w:vAlign w:val="center"/>
          </w:tcPr>
          <w:p w14:paraId="66A07FF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36" w:type="dxa"/>
            <w:vAlign w:val="center"/>
          </w:tcPr>
          <w:p w14:paraId="0F48540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41D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518" w:type="dxa"/>
            <w:vAlign w:val="center"/>
          </w:tcPr>
          <w:p w14:paraId="0D99C0DC">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305" w:type="dxa"/>
            <w:vAlign w:val="center"/>
          </w:tcPr>
          <w:p w14:paraId="6FDEE26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未按照规定组织劳动者进行职业卫生培训，或者未对劳动者个人职业病防护采取指导、督促措施的。</w:t>
            </w:r>
          </w:p>
        </w:tc>
        <w:tc>
          <w:tcPr>
            <w:tcW w:w="3936" w:type="dxa"/>
            <w:vAlign w:val="center"/>
          </w:tcPr>
          <w:p w14:paraId="1167144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5538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518" w:type="dxa"/>
            <w:vAlign w:val="center"/>
          </w:tcPr>
          <w:p w14:paraId="7B9CDB1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305" w:type="dxa"/>
            <w:vAlign w:val="center"/>
          </w:tcPr>
          <w:p w14:paraId="1966A0B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未按照规定组织劳动者进行职业卫生培训，或者未对劳动者个体防护采取有效的指导、督促措施，经警告，逾期不改正，仍存在以上违法情形，涉及劳动者 10 名以下的。</w:t>
            </w:r>
          </w:p>
        </w:tc>
        <w:tc>
          <w:tcPr>
            <w:tcW w:w="3936" w:type="dxa"/>
            <w:vAlign w:val="center"/>
          </w:tcPr>
          <w:p w14:paraId="141E926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处三万元以下的罚款。</w:t>
            </w:r>
          </w:p>
        </w:tc>
      </w:tr>
      <w:tr w14:paraId="4A89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518" w:type="dxa"/>
            <w:vAlign w:val="center"/>
          </w:tcPr>
          <w:p w14:paraId="430BCAC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305" w:type="dxa"/>
            <w:vAlign w:val="center"/>
          </w:tcPr>
          <w:p w14:paraId="58AF93D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未按照规定组织劳动者进行职业卫生培训，或者未对劳动者个体防护采取有效的指导、督促措施，经警告，逾期不改正，仍存在以上违法情形，涉及劳动者 11名以上50名以下的。</w:t>
            </w:r>
          </w:p>
        </w:tc>
        <w:tc>
          <w:tcPr>
            <w:tcW w:w="3936" w:type="dxa"/>
            <w:vAlign w:val="center"/>
          </w:tcPr>
          <w:p w14:paraId="1570B8F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处三万元以上六万元以下的罚款。</w:t>
            </w:r>
          </w:p>
        </w:tc>
      </w:tr>
      <w:tr w14:paraId="5A6C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518" w:type="dxa"/>
            <w:vAlign w:val="center"/>
          </w:tcPr>
          <w:p w14:paraId="427D393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305" w:type="dxa"/>
            <w:vAlign w:val="center"/>
          </w:tcPr>
          <w:p w14:paraId="2C4FC84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未按照规定组织劳动者进行职业卫生培训，或者未对劳动者个体防护采取有效的指导、督促措施，经警告，逾期不改正，仍存在以上违法情形，涉及劳动者 51名以上的。</w:t>
            </w:r>
          </w:p>
        </w:tc>
        <w:tc>
          <w:tcPr>
            <w:tcW w:w="3936" w:type="dxa"/>
            <w:vAlign w:val="center"/>
          </w:tcPr>
          <w:p w14:paraId="36FA186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处六万元以上十万元以下的罚款。</w:t>
            </w:r>
          </w:p>
        </w:tc>
      </w:tr>
    </w:tbl>
    <w:p w14:paraId="40A7F3B2">
      <w:pPr>
        <w:widowControl w:val="0"/>
        <w:spacing w:after="0" w:line="440" w:lineRule="exact"/>
        <w:jc w:val="both"/>
        <w:rPr>
          <w:rFonts w:hint="eastAsia" w:ascii="Times New Roman" w:hAnsi="Times New Roman" w:eastAsia="仿宋_GB2312" w:cs="仿宋_GB2312"/>
          <w:b/>
          <w:bCs/>
          <w:color w:val="000000" w:themeColor="text1"/>
          <w:kern w:val="2"/>
          <w:sz w:val="32"/>
          <w:szCs w:val="21"/>
          <w14:textFill>
            <w14:solidFill>
              <w14:schemeClr w14:val="tx1"/>
            </w14:solidFill>
          </w14:textFill>
        </w:rPr>
      </w:pPr>
    </w:p>
    <w:p w14:paraId="6F3DED11">
      <w:pPr>
        <w:pStyle w:val="4"/>
        <w:widowControl w:val="0"/>
        <w:spacing w:line="420" w:lineRule="exact"/>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019" w:name="_Toc29061"/>
      <w:bookmarkStart w:id="6020" w:name="_Toc2142"/>
      <w:bookmarkStart w:id="6021" w:name="_Toc20823"/>
      <w:bookmarkStart w:id="6022" w:name="_Toc1211"/>
      <w:bookmarkStart w:id="6023" w:name="_Toc5891"/>
      <w:bookmarkStart w:id="6024" w:name="_Toc16427"/>
      <w:bookmarkStart w:id="6025" w:name="_Toc13714"/>
      <w:bookmarkStart w:id="6026" w:name="_Toc16757"/>
      <w:bookmarkStart w:id="6027" w:name="_Toc19407"/>
      <w:bookmarkStart w:id="6028" w:name="_Toc16009"/>
      <w:bookmarkStart w:id="6029" w:name="_Toc4478"/>
      <w:r>
        <w:rPr>
          <w:rFonts w:hint="eastAsia" w:ascii="Times New Roman" w:hAnsi="Times New Roman" w:cs="仿宋_GB2312"/>
          <w:bCs/>
          <w:color w:val="000000" w:themeColor="text1"/>
          <w:kern w:val="0"/>
          <w14:textFill>
            <w14:solidFill>
              <w14:schemeClr w14:val="tx1"/>
            </w14:solidFill>
          </w14:textFill>
        </w:rPr>
        <w:t xml:space="preserve">第四百七十八条 </w:t>
      </w:r>
      <w:r>
        <w:rPr>
          <w:rFonts w:hint="eastAsia" w:ascii="Times New Roman" w:hAnsi="Times New Roman" w:cs="仿宋_GB2312"/>
          <w:bCs/>
          <w:color w:val="000000" w:themeColor="text1"/>
          <w:kern w:val="0"/>
          <w:szCs w:val="32"/>
          <w14:textFill>
            <w14:solidFill>
              <w14:schemeClr w14:val="tx1"/>
            </w14:solidFill>
          </w14:textFill>
        </w:rPr>
        <w:t>国内首次使用或者首次进口与职业病危害有关的化学材料，未按照规定报送毒性鉴定资料以及经有关部门登记注册或者批准进口的文件的</w:t>
      </w:r>
      <w:bookmarkEnd w:id="6019"/>
      <w:bookmarkEnd w:id="6020"/>
      <w:bookmarkEnd w:id="6021"/>
      <w:bookmarkEnd w:id="6022"/>
      <w:bookmarkEnd w:id="6023"/>
      <w:bookmarkEnd w:id="6024"/>
      <w:bookmarkEnd w:id="6025"/>
      <w:bookmarkEnd w:id="6026"/>
      <w:bookmarkEnd w:id="6027"/>
      <w:bookmarkEnd w:id="6028"/>
      <w:bookmarkEnd w:id="6029"/>
    </w:p>
    <w:p w14:paraId="7DBFCA68">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9EA8047">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《中华人民共和国职业病防治法》第七十条第（五）项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违反本法规定，有下列行为之一的，由卫生行政部门给予警告，责令限期改正；逾期不改正的，处十万元以下的罚款：</w:t>
      </w:r>
    </w:p>
    <w:p w14:paraId="0AA32583">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（五）国内首次使用或者首次进口与职业病危害有关的化学材料，未按照规定报送毒性鉴定资料以及经有关部门登记注册或者批准进口的文件的。</w:t>
      </w:r>
    </w:p>
    <w:p w14:paraId="64EF717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8269"/>
        <w:gridCol w:w="3919"/>
      </w:tblGrid>
      <w:tr w14:paraId="520E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11" w:type="dxa"/>
            <w:vAlign w:val="center"/>
          </w:tcPr>
          <w:p w14:paraId="2103FCF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269" w:type="dxa"/>
            <w:vAlign w:val="center"/>
          </w:tcPr>
          <w:p w14:paraId="1BBFCC4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19" w:type="dxa"/>
            <w:vAlign w:val="center"/>
          </w:tcPr>
          <w:p w14:paraId="588E93F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63D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1" w:type="dxa"/>
            <w:vAlign w:val="center"/>
          </w:tcPr>
          <w:p w14:paraId="04B77428">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269" w:type="dxa"/>
            <w:vAlign w:val="center"/>
          </w:tcPr>
          <w:p w14:paraId="6B54F19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国内首次使用或者首次进口与职业病危害有关的化学材料，未按照规定报送毒性鉴定资料以及经有关部门登记注册或者批准进口的文件的。</w:t>
            </w:r>
          </w:p>
        </w:tc>
        <w:tc>
          <w:tcPr>
            <w:tcW w:w="3919" w:type="dxa"/>
            <w:vAlign w:val="center"/>
          </w:tcPr>
          <w:p w14:paraId="6D8EE85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76E1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1" w:type="dxa"/>
            <w:vAlign w:val="center"/>
          </w:tcPr>
          <w:p w14:paraId="7703AB2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269" w:type="dxa"/>
            <w:vAlign w:val="center"/>
          </w:tcPr>
          <w:p w14:paraId="085994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国内首次使用或者首次进口与职业病危害有关的化学材料，未按照规定报送毒性鉴定资料以及经有关部门登记注册或者批准进口的文件，经责令限期改正，逾期不改正，仍存在有 1 种未按规定报送毒性鉴定资料以及经有关部门登记注册或者批准进口的文件的。</w:t>
            </w:r>
          </w:p>
        </w:tc>
        <w:tc>
          <w:tcPr>
            <w:tcW w:w="3919" w:type="dxa"/>
            <w:vAlign w:val="center"/>
          </w:tcPr>
          <w:p w14:paraId="18BB939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处三万元以下的罚款。</w:t>
            </w:r>
          </w:p>
        </w:tc>
      </w:tr>
      <w:tr w14:paraId="1836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1" w:type="dxa"/>
            <w:vAlign w:val="center"/>
          </w:tcPr>
          <w:p w14:paraId="3869198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269" w:type="dxa"/>
            <w:vAlign w:val="center"/>
          </w:tcPr>
          <w:p w14:paraId="1AE09D3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国内首次使用或者首次进口与职业病危害有关的化学材料，未按照规定报送毒性鉴定资料以及经有关部门登记注册或者批准进口的文件，经责令限期改正，逾期不改正，仍存在有 2 种未按规定报送毒性鉴定资料以及经有关部门登记注册或者批准进口的文件的。</w:t>
            </w:r>
          </w:p>
        </w:tc>
        <w:tc>
          <w:tcPr>
            <w:tcW w:w="3919" w:type="dxa"/>
            <w:vAlign w:val="center"/>
          </w:tcPr>
          <w:p w14:paraId="4C682EC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处三万元以上六万元以下的罚款。</w:t>
            </w:r>
          </w:p>
        </w:tc>
      </w:tr>
      <w:tr w14:paraId="31B3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1" w:type="dxa"/>
            <w:vAlign w:val="center"/>
          </w:tcPr>
          <w:p w14:paraId="3E37A9D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269" w:type="dxa"/>
            <w:vAlign w:val="center"/>
          </w:tcPr>
          <w:p w14:paraId="3C23EC4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国内首次使用或者首次进口与职业病危害有关的化学材料，未按照规定报送毒性鉴定资料以及经有关部门登记注册或者批准进口的文件，经责令限期改正，逾期不改正，仍存在有 3 种以上未按规定报送毒性鉴定资料以及经有关部门登记注册或者批准进口的文件的。</w:t>
            </w:r>
          </w:p>
        </w:tc>
        <w:tc>
          <w:tcPr>
            <w:tcW w:w="3919" w:type="dxa"/>
            <w:vAlign w:val="center"/>
          </w:tcPr>
          <w:p w14:paraId="092447A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处六万元以上十万元以下的罚款。</w:t>
            </w:r>
          </w:p>
        </w:tc>
      </w:tr>
    </w:tbl>
    <w:p w14:paraId="61053754">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030" w:name="_Toc12263"/>
      <w:bookmarkStart w:id="6031" w:name="_Toc706"/>
      <w:bookmarkStart w:id="6032" w:name="_Toc4712"/>
      <w:bookmarkStart w:id="6033" w:name="_Toc23653"/>
      <w:bookmarkStart w:id="6034" w:name="_Toc11173"/>
      <w:bookmarkStart w:id="6035" w:name="_Toc12513"/>
      <w:bookmarkStart w:id="6036" w:name="_Toc13644"/>
      <w:bookmarkStart w:id="6037" w:name="_Toc14677"/>
      <w:bookmarkStart w:id="6038" w:name="_Toc4163"/>
      <w:bookmarkStart w:id="6039" w:name="_Toc24909"/>
      <w:bookmarkStart w:id="6040" w:name="_Toc16236"/>
      <w:r>
        <w:rPr>
          <w:rFonts w:hint="eastAsia" w:ascii="Times New Roman" w:hAnsi="Times New Roman" w:cs="仿宋_GB2312"/>
          <w:bCs/>
          <w:color w:val="000000" w:themeColor="text1"/>
          <w:kern w:val="0"/>
          <w14:textFill>
            <w14:solidFill>
              <w14:schemeClr w14:val="tx1"/>
            </w14:solidFill>
          </w14:textFill>
        </w:rPr>
        <w:t>第四百七十九条</w:t>
      </w:r>
      <w:r>
        <w:rPr>
          <w:rFonts w:hint="eastAsia" w:ascii="Times New Roman" w:hAnsi="Times New Roman" w:cs="仿宋_GB2312"/>
          <w:bCs/>
          <w:color w:val="000000" w:themeColor="text1"/>
          <w:kern w:val="0"/>
          <w:szCs w:val="32"/>
          <w14:textFill>
            <w14:solidFill>
              <w14:schemeClr w14:val="tx1"/>
            </w14:solidFill>
          </w14:textFill>
        </w:rPr>
        <w:t xml:space="preserve"> 未按照规定及时、如实向卫生行政部门申报产生职业病危害的项目的</w:t>
      </w:r>
      <w:bookmarkEnd w:id="6030"/>
      <w:bookmarkEnd w:id="6031"/>
      <w:bookmarkEnd w:id="6032"/>
      <w:bookmarkEnd w:id="6033"/>
      <w:bookmarkEnd w:id="6034"/>
      <w:bookmarkEnd w:id="6035"/>
      <w:bookmarkEnd w:id="6036"/>
      <w:bookmarkEnd w:id="6037"/>
      <w:bookmarkEnd w:id="6038"/>
      <w:bookmarkEnd w:id="6039"/>
      <w:bookmarkEnd w:id="6040"/>
    </w:p>
    <w:p w14:paraId="58B4A07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16616D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1.《中华人民共和国职业病防治法》第七十一条第（一）项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用人单位违反本法规定，有下列行为之一的，由卫生行政部门责令限期改正，给予警告，可以并处五万元以上十万元以下的罚款：</w:t>
      </w:r>
    </w:p>
    <w:p w14:paraId="39E18D7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（一）未按照规定及时、如实向卫生行政部门申报产生职业病危害的项目的；</w:t>
      </w:r>
    </w:p>
    <w:p w14:paraId="6225FF5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2.《使用有毒物品作业场所劳动保护条例》第六十六条第（一）项　用人单位违反本条例的规定，有下列情形之一的，由疾病预防控制部门给予警告，责令限期改正，处2万元以上5万元以下的罚款；逾期不改正的，提请有关人民政府按照国务院规定的权限予以关闭：</w:t>
      </w:r>
    </w:p>
    <w:p w14:paraId="2F757E5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（一）未按照规定向卫生行政部门申报高毒作业项目的；</w:t>
      </w:r>
    </w:p>
    <w:p w14:paraId="1430130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3.《工作场所职业卫生管理规定》第四十九条第（一）项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用人单位有下列情形之一的，责令限期改正，给予警告，可以并处五万元以上十万元以下的罚款：</w:t>
      </w:r>
    </w:p>
    <w:p w14:paraId="71F4DEB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（一）未按照规定及时、如实向卫生行政部门申报产生职业病危害的项目的；</w:t>
      </w:r>
    </w:p>
    <w:p w14:paraId="6A389DE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4.《职业病危害项目申报办法》第十四条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用人单位未按照本办法规定及时、如实地申报职业病危害项目的，责令限期改正，给予警告，可以并处 5万元以上 10万元以下的罚款。</w:t>
      </w:r>
    </w:p>
    <w:p w14:paraId="1E813AF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8414"/>
        <w:gridCol w:w="3986"/>
      </w:tblGrid>
      <w:tr w14:paraId="4E1A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538" w:type="dxa"/>
            <w:vAlign w:val="center"/>
          </w:tcPr>
          <w:p w14:paraId="68E0DC3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414" w:type="dxa"/>
            <w:vAlign w:val="center"/>
          </w:tcPr>
          <w:p w14:paraId="1BC5F2B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86" w:type="dxa"/>
            <w:vAlign w:val="center"/>
          </w:tcPr>
          <w:p w14:paraId="06BB308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53B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8" w:type="dxa"/>
            <w:vAlign w:val="center"/>
          </w:tcPr>
          <w:p w14:paraId="1BB9C24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414" w:type="dxa"/>
            <w:vAlign w:val="center"/>
          </w:tcPr>
          <w:p w14:paraId="2F26952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 5 种以下危害因素未按照规定申报或有1项变更职业病危害项目未按照规定及时、如实申报的。</w:t>
            </w:r>
          </w:p>
        </w:tc>
        <w:tc>
          <w:tcPr>
            <w:tcW w:w="3986" w:type="dxa"/>
            <w:vAlign w:val="center"/>
          </w:tcPr>
          <w:p w14:paraId="54B4588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给予警告，责令限期改正，可以并处五万元以上六万元以下的罚款。</w:t>
            </w:r>
          </w:p>
        </w:tc>
      </w:tr>
      <w:tr w14:paraId="1D8A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8" w:type="dxa"/>
            <w:vAlign w:val="center"/>
          </w:tcPr>
          <w:p w14:paraId="3DED6C4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414" w:type="dxa"/>
            <w:vAlign w:val="center"/>
          </w:tcPr>
          <w:p w14:paraId="41DC201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有6种以上10种以下危害因素未按照规定申报或有2-3项变更职业病危害项目未按照规定及时、如实申报的。</w:t>
            </w:r>
          </w:p>
        </w:tc>
        <w:tc>
          <w:tcPr>
            <w:tcW w:w="3986" w:type="dxa"/>
            <w:vAlign w:val="center"/>
          </w:tcPr>
          <w:p w14:paraId="3E9654D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给予警告，责令限期改正，并处六万元以上八万元以下的罚款。</w:t>
            </w:r>
          </w:p>
        </w:tc>
      </w:tr>
      <w:tr w14:paraId="1EC5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8" w:type="dxa"/>
            <w:vAlign w:val="center"/>
          </w:tcPr>
          <w:p w14:paraId="5F8CBA9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414" w:type="dxa"/>
            <w:vAlign w:val="center"/>
          </w:tcPr>
          <w:p w14:paraId="5849BB5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4D3E437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A.《高毒物品目录》中高毒物品、矽尘以及放射性职业病危害项目未按规定及时、如实申报的；</w:t>
            </w:r>
          </w:p>
          <w:p w14:paraId="636E64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B.有10种以上危害因素未按照规定申报或有4项以上变更职业病危害项目未按照规定及时、如实申报的。</w:t>
            </w:r>
          </w:p>
        </w:tc>
        <w:tc>
          <w:tcPr>
            <w:tcW w:w="3986" w:type="dxa"/>
            <w:vAlign w:val="center"/>
          </w:tcPr>
          <w:p w14:paraId="385279F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给予警告，责令限期改正，并处八万元以上十万元以下的罚款。</w:t>
            </w:r>
          </w:p>
        </w:tc>
      </w:tr>
    </w:tbl>
    <w:p w14:paraId="02A0FDA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041" w:name="_Toc5607"/>
      <w:bookmarkStart w:id="6042" w:name="_Toc29955"/>
      <w:bookmarkStart w:id="6043" w:name="_Toc26819"/>
      <w:bookmarkStart w:id="6044" w:name="_Toc31725"/>
      <w:bookmarkStart w:id="6045" w:name="_Toc6989"/>
      <w:bookmarkStart w:id="6046" w:name="_Toc11548"/>
      <w:bookmarkStart w:id="6047" w:name="_Toc203"/>
      <w:bookmarkStart w:id="6048" w:name="_Toc12626"/>
      <w:bookmarkStart w:id="6049" w:name="_Toc23865"/>
      <w:bookmarkStart w:id="6050" w:name="_Toc29059"/>
      <w:bookmarkStart w:id="6051" w:name="_Toc17473"/>
      <w:r>
        <w:rPr>
          <w:rFonts w:hint="eastAsia" w:ascii="Times New Roman" w:hAnsi="Times New Roman" w:cs="仿宋_GB2312"/>
          <w:bCs/>
          <w:color w:val="000000" w:themeColor="text1"/>
          <w:kern w:val="0"/>
          <w14:textFill>
            <w14:solidFill>
              <w14:schemeClr w14:val="tx1"/>
            </w14:solidFill>
          </w14:textFill>
        </w:rPr>
        <w:t>第四百八十条</w:t>
      </w:r>
      <w:r>
        <w:rPr>
          <w:rFonts w:hint="eastAsia" w:ascii="Times New Roman" w:hAnsi="Times New Roman" w:cs="仿宋_GB2312"/>
          <w:bCs/>
          <w:color w:val="000000" w:themeColor="text1"/>
          <w:kern w:val="0"/>
          <w:szCs w:val="32"/>
          <w14:textFill>
            <w14:solidFill>
              <w14:schemeClr w14:val="tx1"/>
            </w14:solidFill>
          </w14:textFill>
        </w:rPr>
        <w:t xml:space="preserve"> 未实施由专人负责的职业病危害因素日常监测，或者监测系统不能正常监测的</w:t>
      </w:r>
      <w:bookmarkEnd w:id="6041"/>
      <w:bookmarkEnd w:id="6042"/>
      <w:bookmarkEnd w:id="6043"/>
      <w:bookmarkEnd w:id="6044"/>
      <w:bookmarkEnd w:id="6045"/>
      <w:bookmarkEnd w:id="6046"/>
      <w:bookmarkEnd w:id="6047"/>
      <w:bookmarkEnd w:id="6048"/>
      <w:bookmarkEnd w:id="6049"/>
      <w:bookmarkEnd w:id="6050"/>
      <w:bookmarkEnd w:id="6051"/>
    </w:p>
    <w:p w14:paraId="48B754D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0BE08F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1.《中华人民共和国职业病防治法》第七十一条第（二）项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用人单位违反本法规定，有下列行为之一的，由卫生行政部门责令限期改正，给予警告，可以并处五万元以上十万元以下的罚款：</w:t>
      </w:r>
    </w:p>
    <w:p w14:paraId="6B0D226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（二）未实施由专人负责的职业病危害因素日常监测，或者监测系统不能正常监测的；</w:t>
      </w:r>
    </w:p>
    <w:p w14:paraId="4476F3C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2.《工作场所职业卫生管理规定》第四十九条第（二）项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用人单位有下列情形之一的，责令限期改正，给予警告，可以并处五万元以上十万元以下的罚款：</w:t>
      </w:r>
    </w:p>
    <w:p w14:paraId="0435700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（二）未实施由专人负责职业病危害因素日常监测，或者监测系统不能正常监测的；</w:t>
      </w:r>
    </w:p>
    <w:p w14:paraId="68444E1F">
      <w:pPr>
        <w:widowControl w:val="0"/>
        <w:spacing w:before="0" w:beforeLines="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028"/>
        <w:gridCol w:w="4427"/>
      </w:tblGrid>
      <w:tr w14:paraId="04E8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67" w:type="dxa"/>
            <w:vAlign w:val="center"/>
          </w:tcPr>
          <w:p w14:paraId="0230AD6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28" w:type="dxa"/>
            <w:vAlign w:val="center"/>
          </w:tcPr>
          <w:p w14:paraId="73D4FB3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427" w:type="dxa"/>
            <w:vAlign w:val="center"/>
          </w:tcPr>
          <w:p w14:paraId="6F18B96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559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67" w:type="dxa"/>
            <w:vAlign w:val="center"/>
          </w:tcPr>
          <w:p w14:paraId="27C8A47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028" w:type="dxa"/>
            <w:vAlign w:val="center"/>
          </w:tcPr>
          <w:p w14:paraId="301C5CA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职业病危害一般类别的用人单位安排专人负责的职业病危害因素日常监测，但监测系统不能正常监测的。</w:t>
            </w:r>
          </w:p>
        </w:tc>
        <w:tc>
          <w:tcPr>
            <w:tcW w:w="4427" w:type="dxa"/>
            <w:vAlign w:val="center"/>
          </w:tcPr>
          <w:p w14:paraId="5583B99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给予警告，责令限期改正，可以并处五万元以上六万元以下的罚款。</w:t>
            </w:r>
          </w:p>
        </w:tc>
      </w:tr>
      <w:tr w14:paraId="2659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67" w:type="dxa"/>
            <w:vAlign w:val="center"/>
          </w:tcPr>
          <w:p w14:paraId="5928CD8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lang w:val="en"/>
                <w14:textFill>
                  <w14:solidFill>
                    <w14:schemeClr w14:val="tx1"/>
                  </w14:solidFill>
                </w14:textFill>
              </w:rPr>
            </w:pPr>
            <w:r>
              <w:rPr>
                <w:rFonts w:hint="eastAsia" w:ascii="Times New Roman" w:hAnsi="Times New Roman" w:eastAsia="仿宋_GB2312" w:cs="仿宋_GB2312"/>
                <w:b/>
                <w:bCs/>
                <w:color w:val="000000" w:themeColor="text1"/>
                <w:kern w:val="0"/>
                <w:sz w:val="24"/>
                <w:szCs w:val="22"/>
                <w:lang w:val="en"/>
                <w14:textFill>
                  <w14:solidFill>
                    <w14:schemeClr w14:val="tx1"/>
                  </w14:solidFill>
                </w14:textFill>
              </w:rPr>
              <w:t>较重</w:t>
            </w:r>
          </w:p>
        </w:tc>
        <w:tc>
          <w:tcPr>
            <w:tcW w:w="8028" w:type="dxa"/>
            <w:vAlign w:val="center"/>
          </w:tcPr>
          <w:p w14:paraId="62FBAAB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职业病危害一般类别的用人单位未实施由专人负责的职业病危害因素日常监测和监测系统不能正常监测的。</w:t>
            </w:r>
          </w:p>
        </w:tc>
        <w:tc>
          <w:tcPr>
            <w:tcW w:w="4427" w:type="dxa"/>
            <w:vAlign w:val="center"/>
          </w:tcPr>
          <w:p w14:paraId="371FC56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给予警告，责令限期改正，可以并处六万元以上八万元以下的罚款。</w:t>
            </w:r>
          </w:p>
        </w:tc>
      </w:tr>
      <w:tr w14:paraId="4C2E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67" w:type="dxa"/>
            <w:vAlign w:val="center"/>
          </w:tcPr>
          <w:p w14:paraId="319F8CB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028" w:type="dxa"/>
            <w:vAlign w:val="center"/>
          </w:tcPr>
          <w:p w14:paraId="0C4EF8E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职业病危害严重类别的用人单位未实施由专人负责的职业病危害因素日常监测，或者监测系统不能正常监测的。</w:t>
            </w:r>
          </w:p>
        </w:tc>
        <w:tc>
          <w:tcPr>
            <w:tcW w:w="4427" w:type="dxa"/>
            <w:vAlign w:val="center"/>
          </w:tcPr>
          <w:p w14:paraId="26862A7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给予警告，责令限期改正，并处八万元以上十万元以下的罚款。</w:t>
            </w:r>
          </w:p>
        </w:tc>
      </w:tr>
    </w:tbl>
    <w:p w14:paraId="48B69D98">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052" w:name="_Toc19658"/>
      <w:bookmarkStart w:id="6053" w:name="_Toc3175"/>
      <w:bookmarkStart w:id="6054" w:name="_Toc23462"/>
      <w:bookmarkStart w:id="6055" w:name="_Toc20786"/>
      <w:bookmarkStart w:id="6056" w:name="_Toc20410"/>
      <w:bookmarkStart w:id="6057" w:name="_Toc6381"/>
      <w:bookmarkStart w:id="6058" w:name="_Toc22002"/>
      <w:bookmarkStart w:id="6059" w:name="_Toc24522"/>
      <w:bookmarkStart w:id="6060" w:name="_Toc18345"/>
      <w:bookmarkStart w:id="6061" w:name="_Toc8263"/>
      <w:bookmarkStart w:id="6062" w:name="_Toc6562"/>
      <w:r>
        <w:rPr>
          <w:rFonts w:hint="eastAsia" w:ascii="Times New Roman" w:hAnsi="Times New Roman" w:cs="仿宋_GB2312"/>
          <w:bCs/>
          <w:color w:val="000000" w:themeColor="text1"/>
          <w:kern w:val="0"/>
          <w14:textFill>
            <w14:solidFill>
              <w14:schemeClr w14:val="tx1"/>
            </w14:solidFill>
          </w14:textFill>
        </w:rPr>
        <w:t>第四百八十一条</w:t>
      </w:r>
      <w:r>
        <w:rPr>
          <w:rFonts w:hint="eastAsia" w:ascii="Times New Roman" w:hAnsi="Times New Roman" w:cs="仿宋_GB2312"/>
          <w:bCs/>
          <w:color w:val="000000" w:themeColor="text1"/>
          <w:kern w:val="0"/>
          <w:szCs w:val="32"/>
          <w14:textFill>
            <w14:solidFill>
              <w14:schemeClr w14:val="tx1"/>
            </w14:solidFill>
          </w14:textFill>
        </w:rPr>
        <w:t xml:space="preserve"> 订立或者变更劳动合同时，未告知劳动者职业病危害真实情况的</w:t>
      </w:r>
      <w:bookmarkEnd w:id="6052"/>
      <w:bookmarkEnd w:id="6053"/>
      <w:bookmarkEnd w:id="6054"/>
      <w:bookmarkEnd w:id="6055"/>
      <w:bookmarkEnd w:id="6056"/>
      <w:bookmarkEnd w:id="6057"/>
      <w:bookmarkEnd w:id="6058"/>
      <w:bookmarkEnd w:id="6059"/>
      <w:bookmarkEnd w:id="6060"/>
      <w:bookmarkEnd w:id="6061"/>
      <w:bookmarkEnd w:id="6062"/>
    </w:p>
    <w:p w14:paraId="1369FF9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198195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1.《中华人民共和国职业病防治法》第七十一条第（三）项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用人单位违反本法规定，有下列行为之一的，由卫生行政部门责令限期改正，给予警告，可以并处五万元以上十万元以下的罚款：</w:t>
      </w:r>
    </w:p>
    <w:p w14:paraId="5947B4D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（三）订立或者变更劳动合同时，未告知劳动者职业病危害真实情况的；</w:t>
      </w:r>
    </w:p>
    <w:p w14:paraId="50E5CBF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2.《工作场所职业卫生管理规定》第四十九条第（三）项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用人单位有下列情形之一的，责令限期改正，给予警告，可以并处五万元以上十万元以下的罚款：</w:t>
      </w:r>
    </w:p>
    <w:p w14:paraId="792D668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（三）订立或者变更劳动合同时，未告知劳动者职业病危害真实情况的。</w:t>
      </w:r>
    </w:p>
    <w:p w14:paraId="788156C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8341"/>
        <w:gridCol w:w="3954"/>
      </w:tblGrid>
      <w:tr w14:paraId="330D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523" w:type="dxa"/>
            <w:vAlign w:val="center"/>
          </w:tcPr>
          <w:p w14:paraId="2CDDCBC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341" w:type="dxa"/>
            <w:vAlign w:val="center"/>
          </w:tcPr>
          <w:p w14:paraId="2C889B9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54" w:type="dxa"/>
            <w:vAlign w:val="center"/>
          </w:tcPr>
          <w:p w14:paraId="163C311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BBA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3" w:type="dxa"/>
            <w:vAlign w:val="center"/>
          </w:tcPr>
          <w:p w14:paraId="3B1C0F66">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341" w:type="dxa"/>
            <w:vAlign w:val="center"/>
          </w:tcPr>
          <w:p w14:paraId="66027A8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在订立或者变更劳动合同时，未告知劳动者职业病危害真实情况，涉及人数在10人以下的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c>
          <w:tcPr>
            <w:tcW w:w="3954" w:type="dxa"/>
            <w:vAlign w:val="center"/>
          </w:tcPr>
          <w:p w14:paraId="713F9ED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给予警告，责令限期改正，可以并处五万元以上六万五千元以下的罚款。</w:t>
            </w:r>
          </w:p>
        </w:tc>
      </w:tr>
      <w:tr w14:paraId="3185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3" w:type="dxa"/>
            <w:vAlign w:val="center"/>
          </w:tcPr>
          <w:p w14:paraId="349976F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341" w:type="dxa"/>
            <w:vAlign w:val="center"/>
          </w:tcPr>
          <w:p w14:paraId="4FD19DA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在订立或者变更劳动合同时，未告知劳动者职业病危害真实情况，涉及人数在11人以上50人以下的。</w:t>
            </w:r>
          </w:p>
        </w:tc>
        <w:tc>
          <w:tcPr>
            <w:tcW w:w="3954" w:type="dxa"/>
            <w:vAlign w:val="center"/>
          </w:tcPr>
          <w:p w14:paraId="04021E0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警告，罚款六万五千元以上八万五千元以下。</w:t>
            </w:r>
          </w:p>
        </w:tc>
      </w:tr>
      <w:tr w14:paraId="6797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523" w:type="dxa"/>
            <w:vAlign w:val="center"/>
          </w:tcPr>
          <w:p w14:paraId="5D8018F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341" w:type="dxa"/>
            <w:vAlign w:val="center"/>
          </w:tcPr>
          <w:p w14:paraId="09AEB7B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在订立或者变更劳动合同时，未告知劳动者职业病危害真实情况，涉及人数在51人以上的。</w:t>
            </w:r>
          </w:p>
        </w:tc>
        <w:tc>
          <w:tcPr>
            <w:tcW w:w="3954" w:type="dxa"/>
            <w:vAlign w:val="center"/>
          </w:tcPr>
          <w:p w14:paraId="574CBE2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警告，罚款八万五千元以上十万元以下。</w:t>
            </w:r>
          </w:p>
        </w:tc>
      </w:tr>
    </w:tbl>
    <w:p w14:paraId="7C22C2DF">
      <w:pPr>
        <w:pStyle w:val="4"/>
        <w:widowControl w:val="0"/>
        <w:spacing w:line="480" w:lineRule="exact"/>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063" w:name="_Toc15755"/>
      <w:bookmarkStart w:id="6064" w:name="_Toc25777"/>
      <w:bookmarkStart w:id="6065" w:name="_Toc30867"/>
      <w:bookmarkStart w:id="6066" w:name="_Toc6749"/>
      <w:bookmarkStart w:id="6067" w:name="_Toc9449"/>
      <w:bookmarkStart w:id="6068" w:name="_Toc125"/>
      <w:bookmarkStart w:id="6069" w:name="_Toc15442"/>
      <w:bookmarkStart w:id="6070" w:name="_Toc16177"/>
      <w:bookmarkStart w:id="6071" w:name="_Toc12459"/>
      <w:bookmarkStart w:id="6072" w:name="_Toc26601"/>
      <w:bookmarkStart w:id="6073" w:name="_Toc29813"/>
      <w:r>
        <w:rPr>
          <w:rFonts w:hint="eastAsia" w:ascii="Times New Roman" w:hAnsi="Times New Roman" w:cs="仿宋_GB2312"/>
          <w:bCs/>
          <w:color w:val="000000" w:themeColor="text1"/>
          <w:kern w:val="0"/>
          <w14:textFill>
            <w14:solidFill>
              <w14:schemeClr w14:val="tx1"/>
            </w14:solidFill>
          </w14:textFill>
        </w:rPr>
        <w:t>第四百八十二条</w:t>
      </w:r>
      <w:r>
        <w:rPr>
          <w:rFonts w:hint="eastAsia" w:ascii="Times New Roman" w:hAnsi="Times New Roman" w:cs="仿宋_GB2312"/>
          <w:bCs/>
          <w:color w:val="000000" w:themeColor="text1"/>
          <w:kern w:val="0"/>
          <w:szCs w:val="32"/>
          <w14:textFill>
            <w14:solidFill>
              <w14:schemeClr w14:val="tx1"/>
            </w14:solidFill>
          </w14:textFill>
        </w:rPr>
        <w:t xml:space="preserve"> 未按照规定组织职业健康检查、建立职业健康监护档案或者未将检查结果书面告知劳动者的</w:t>
      </w:r>
      <w:bookmarkEnd w:id="6063"/>
      <w:bookmarkEnd w:id="6064"/>
      <w:bookmarkEnd w:id="6065"/>
      <w:bookmarkEnd w:id="6066"/>
      <w:bookmarkEnd w:id="6067"/>
      <w:bookmarkEnd w:id="6068"/>
      <w:bookmarkEnd w:id="6069"/>
      <w:bookmarkEnd w:id="6070"/>
      <w:bookmarkEnd w:id="6071"/>
      <w:bookmarkEnd w:id="6072"/>
      <w:bookmarkEnd w:id="6073"/>
    </w:p>
    <w:p w14:paraId="3C1FDA6C">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664F475">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1.《中华人民共和国职业病防治法》第七十一条第（四）项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用人单位违反本法规定，有下列行为之一的，由卫生行政部门责令限期改正，给予警告，可以并处五万元以上十万元以下的罚款：</w:t>
      </w:r>
    </w:p>
    <w:p w14:paraId="3B46079B">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（四）未按照规定组织职业健康检查、建立职业健康监护档案或者未将检查结果书面告知劳动者的；</w:t>
      </w:r>
    </w:p>
    <w:p w14:paraId="3CB2D928">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2.《中华人民共和国尘肺病防治条例》第二十三条第（六）项　 凡违反本条　例规定，有下列行为之一的，卫生行政部门和劳动部门，可视其情节轻重，给予警告、限期治理、罚款和停业整顿的处罚。但停业整顿的处罚，需经当地人民政府同意。　　</w:t>
      </w:r>
    </w:p>
    <w:p w14:paraId="67C667FA">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（六）不执行健康检查制度的；</w:t>
      </w:r>
    </w:p>
    <w:p w14:paraId="3D0BD7F1">
      <w:pPr>
        <w:widowControl w:val="0"/>
        <w:spacing w:after="0" w:line="480" w:lineRule="exact"/>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3.《使用有毒物品作业场所劳动保护条例》第六十七条第（一）项、第（二）项、第（五）项、第（六）项　 用人单位违反本条例的规定，有下列行为之一的，由疾病预防控制部门给予警告，责令限期改正，可以并处5万元以上10万元以下的罚款；逾期不改正的，责令停止使用有毒物品作业，或者提请有关人民政府按照国务院规定的权限予以关闭：</w:t>
      </w:r>
    </w:p>
    <w:p w14:paraId="358EE6FC">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（一）未组织从事使用有毒物品作业的劳动者进行定期职业健康检查的；</w:t>
      </w:r>
    </w:p>
    <w:p w14:paraId="7E0C3BEB">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（二）未组织从事使用有毒物品作业的劳动者进行离岗职业健康检查的；</w:t>
      </w:r>
    </w:p>
    <w:p w14:paraId="3E68434C">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（五）对受到或者可能受到急性职业中毒危害的劳动者，未及时组织进行健康检查和医学观察的；</w:t>
      </w:r>
    </w:p>
    <w:p w14:paraId="331DB2E6">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（六）未建立职业健康监护档案的；</w:t>
      </w:r>
    </w:p>
    <w:p w14:paraId="07E909BF">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4.《工作场所职业卫生管理规定》第四十九条第（四）项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用人单位有下列情形之一的，责令限期改正，给予警告，可以并处五万元以上十万元以下的罚款：</w:t>
      </w:r>
    </w:p>
    <w:p w14:paraId="442A7E7C">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（四）未按照规定组织劳动者进行职业健康检查、建立职业健康监护档案或者未将检查结果书面告知劳动者的；</w:t>
      </w:r>
    </w:p>
    <w:p w14:paraId="38115364">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5.《用人单位职业健康监护监督管理办法》第二十七条第（一）项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用人单位有下列行为之一的，责令限期改正，给予警告，可以并处5万元以上10万元以下的罚款：</w:t>
      </w:r>
    </w:p>
    <w:p w14:paraId="6D53B761">
      <w:pPr>
        <w:widowControl w:val="0"/>
        <w:adjustRightInd/>
        <w:snapToGrid/>
        <w:spacing w:after="0" w:line="480" w:lineRule="exact"/>
        <w:ind w:firstLine="643"/>
        <w:rPr>
          <w:rFonts w:hint="eastAsia" w:ascii="Times New Roman" w:hAnsi="Times New Roman" w:eastAsia="仿宋_GB2312" w:cs="仿宋_GB2312"/>
          <w:color w:val="000000" w:themeColor="text1"/>
          <w:spacing w:val="-6"/>
          <w:kern w:val="2"/>
          <w:sz w:val="32"/>
          <w:szCs w:val="21"/>
          <w14:textFill>
            <w14:solidFill>
              <w14:schemeClr w14:val="tx1"/>
            </w14:solidFill>
          </w14:textFill>
        </w:rPr>
      </w:pP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（一）未按照规定组织职业健康检查、建立职业健康监护档案或者未将检查结果如实告知劳动者的。</w:t>
      </w:r>
    </w:p>
    <w:p w14:paraId="5474A50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8378"/>
        <w:gridCol w:w="3970"/>
      </w:tblGrid>
      <w:tr w14:paraId="7663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31" w:type="dxa"/>
            <w:vAlign w:val="center"/>
          </w:tcPr>
          <w:p w14:paraId="1D57021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378" w:type="dxa"/>
            <w:vAlign w:val="center"/>
          </w:tcPr>
          <w:p w14:paraId="73CF87D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970" w:type="dxa"/>
            <w:vAlign w:val="center"/>
          </w:tcPr>
          <w:p w14:paraId="3BF5D55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274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31" w:type="dxa"/>
            <w:vAlign w:val="center"/>
          </w:tcPr>
          <w:p w14:paraId="093105EB">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较轻</w:t>
            </w:r>
          </w:p>
        </w:tc>
        <w:tc>
          <w:tcPr>
            <w:tcW w:w="8378" w:type="dxa"/>
            <w:vAlign w:val="center"/>
          </w:tcPr>
          <w:p w14:paraId="637AE49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未按照规定组织职业健康检查，建立职业健康监护档案或者未将检查结果书面告知劳动者，涉及人数在10人以下的。</w:t>
            </w:r>
          </w:p>
        </w:tc>
        <w:tc>
          <w:tcPr>
            <w:tcW w:w="3970" w:type="dxa"/>
            <w:vAlign w:val="center"/>
          </w:tcPr>
          <w:p w14:paraId="5B58408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给予警告，责令限期改正，可以并处五万元以上六万五千元以下的罚款。</w:t>
            </w:r>
          </w:p>
        </w:tc>
      </w:tr>
      <w:tr w14:paraId="6A88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531" w:type="dxa"/>
            <w:vAlign w:val="center"/>
          </w:tcPr>
          <w:p w14:paraId="2BBF5A0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378" w:type="dxa"/>
            <w:vAlign w:val="center"/>
          </w:tcPr>
          <w:p w14:paraId="31177AF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未按照规定组织职业健康检查，建立职业健康监护档案或者未将检查结果书面告知劳动者，涉及人数在11人以上50人以下的。</w:t>
            </w:r>
          </w:p>
        </w:tc>
        <w:tc>
          <w:tcPr>
            <w:tcW w:w="3970" w:type="dxa"/>
            <w:vAlign w:val="center"/>
          </w:tcPr>
          <w:p w14:paraId="53937FF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警告，罚款六万五千元以上八万五千元以下。</w:t>
            </w:r>
          </w:p>
        </w:tc>
      </w:tr>
      <w:tr w14:paraId="15C4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531" w:type="dxa"/>
            <w:vAlign w:val="center"/>
          </w:tcPr>
          <w:p w14:paraId="3518AE8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378" w:type="dxa"/>
            <w:vAlign w:val="center"/>
          </w:tcPr>
          <w:p w14:paraId="5DB04C7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未按照规定组织职业健康检查，建立职业健康监护档案或者未将检查结果书面告知劳动者，涉及人数在51人以上的。</w:t>
            </w:r>
          </w:p>
        </w:tc>
        <w:tc>
          <w:tcPr>
            <w:tcW w:w="3970" w:type="dxa"/>
            <w:vAlign w:val="center"/>
          </w:tcPr>
          <w:p w14:paraId="3B82FB4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警告，罚款八万五千元以上十万元以下。</w:t>
            </w:r>
          </w:p>
        </w:tc>
      </w:tr>
    </w:tbl>
    <w:p w14:paraId="4845F467">
      <w:pPr>
        <w:pStyle w:val="4"/>
        <w:widowControl w:val="0"/>
        <w:ind w:firstLine="640"/>
        <w:rPr>
          <w:rFonts w:hint="eastAsia" w:ascii="Times New Roman" w:hAnsi="Times New Roman" w:cs="仿宋_GB2312"/>
          <w:color w:val="000000" w:themeColor="text1"/>
          <w:kern w:val="2"/>
          <w:szCs w:val="21"/>
          <w14:textFill>
            <w14:solidFill>
              <w14:schemeClr w14:val="tx1"/>
            </w14:solidFill>
          </w14:textFill>
        </w:rPr>
      </w:pPr>
      <w:bookmarkStart w:id="6074" w:name="_Toc20602"/>
      <w:bookmarkStart w:id="6075" w:name="_Toc16911"/>
      <w:bookmarkStart w:id="6076" w:name="_Toc29976"/>
      <w:bookmarkStart w:id="6077" w:name="_Toc6443"/>
      <w:bookmarkStart w:id="6078" w:name="_Toc23174"/>
      <w:bookmarkStart w:id="6079" w:name="_Toc20125"/>
      <w:bookmarkStart w:id="6080" w:name="_Toc31497"/>
      <w:bookmarkStart w:id="6081" w:name="_Toc14471"/>
      <w:bookmarkStart w:id="6082" w:name="_Toc12348"/>
      <w:bookmarkStart w:id="6083" w:name="_Toc30491"/>
      <w:bookmarkStart w:id="6084" w:name="_Toc19555"/>
      <w:r>
        <w:rPr>
          <w:rFonts w:hint="eastAsia" w:ascii="Times New Roman" w:hAnsi="Times New Roman" w:cs="仿宋_GB2312"/>
          <w:bCs/>
          <w:color w:val="000000" w:themeColor="text1"/>
          <w:kern w:val="0"/>
          <w14:textFill>
            <w14:solidFill>
              <w14:schemeClr w14:val="tx1"/>
            </w14:solidFill>
          </w14:textFill>
        </w:rPr>
        <w:t>第四百八十三条</w:t>
      </w:r>
      <w:r>
        <w:rPr>
          <w:rFonts w:hint="eastAsia" w:ascii="Times New Roman" w:hAnsi="Times New Roman" w:cs="仿宋_GB2312"/>
          <w:bCs/>
          <w:color w:val="000000" w:themeColor="text1"/>
          <w:kern w:val="0"/>
          <w:szCs w:val="32"/>
          <w14:textFill>
            <w14:solidFill>
              <w14:schemeClr w14:val="tx1"/>
            </w14:solidFill>
          </w14:textFill>
        </w:rPr>
        <w:t xml:space="preserve"> 未依照本法规定在劳动者离开用人单位时提供职业健康监护档案复印件的</w:t>
      </w:r>
      <w:bookmarkEnd w:id="6074"/>
      <w:bookmarkEnd w:id="6075"/>
      <w:bookmarkEnd w:id="6076"/>
      <w:bookmarkEnd w:id="6077"/>
      <w:bookmarkEnd w:id="6078"/>
      <w:bookmarkEnd w:id="6079"/>
      <w:bookmarkEnd w:id="6080"/>
      <w:bookmarkEnd w:id="6081"/>
      <w:bookmarkEnd w:id="6082"/>
      <w:bookmarkEnd w:id="6083"/>
      <w:bookmarkEnd w:id="6084"/>
    </w:p>
    <w:p w14:paraId="431DDCA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3C84AA1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1.《中华人民共和国职业病防治法》第七十一条第（五）项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用人单位违反本法规定，有下列行为之一的，由卫生行政部门责令限期改正，给予警告，可以并处五万元以上十万元以下的罚款：</w:t>
      </w:r>
    </w:p>
    <w:p w14:paraId="0B59697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（五）未依照本法规定在劳动者离开用人单位时提供职业健康监护档案复印件的。</w:t>
      </w:r>
    </w:p>
    <w:p w14:paraId="7D096A1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2.《使用有毒物品作业场所劳动保护条例》第六十七条第（七）项　用人单位违反本条例的规定，有下列行为之一的，由疾病预防控制部门给予警告，责令限期改正，可以并处5万元以上10万元以下的罚款；逾期不改正的，责令停止使用有毒物品作业，或者提请有关人民政府按照国务院规定的权限予以关闭：</w:t>
      </w:r>
    </w:p>
    <w:p w14:paraId="6981947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（七）劳动者离开用人单位时，用人单位未如实、无偿提供职业健康监护档案的；</w:t>
      </w:r>
    </w:p>
    <w:p w14:paraId="566F729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3.《工作场所职业卫生管理规定》第四十九条第（五）项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用人单位有下列情形之一的，责令限期改正，给予警告，可以并处五万元以上十万元以下的罚款：</w:t>
      </w:r>
    </w:p>
    <w:p w14:paraId="166B862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（五）未按照规定在劳动者离开用人单位时提供职业健康监护档案复印件的；</w:t>
      </w:r>
    </w:p>
    <w:p w14:paraId="4983464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4.《用人单位职业健康监护监督管理办法》第二十七条第（二）项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用人单位有下列行为之一的，责令限期改正，给予警告，可以并处 5 万元以上 10 万元以下的罚款：</w:t>
      </w:r>
    </w:p>
    <w:p w14:paraId="7CFE580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（二）未按照规定在劳动者离开用人单位时提供职业健康监护档案复印件的。</w:t>
      </w:r>
    </w:p>
    <w:p w14:paraId="06346C68">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8518"/>
        <w:gridCol w:w="3651"/>
      </w:tblGrid>
      <w:tr w14:paraId="3440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09" w:type="dxa"/>
            <w:vAlign w:val="center"/>
          </w:tcPr>
          <w:p w14:paraId="1B825AF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18" w:type="dxa"/>
            <w:vAlign w:val="center"/>
          </w:tcPr>
          <w:p w14:paraId="3B0A114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651" w:type="dxa"/>
            <w:vAlign w:val="center"/>
          </w:tcPr>
          <w:p w14:paraId="1FB5002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2EF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509" w:type="dxa"/>
            <w:vAlign w:val="center"/>
          </w:tcPr>
          <w:p w14:paraId="1F883696">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518" w:type="dxa"/>
            <w:vAlign w:val="center"/>
          </w:tcPr>
          <w:p w14:paraId="68D03EB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未依照本法规定在劳动者离开用人单位时提供职业健康监护档案复印件的，涉及人数5人以下的。</w:t>
            </w:r>
          </w:p>
        </w:tc>
        <w:tc>
          <w:tcPr>
            <w:tcW w:w="3651" w:type="dxa"/>
            <w:vAlign w:val="center"/>
          </w:tcPr>
          <w:p w14:paraId="2C27580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给予警告，责令限期改正，可以并处五万元以上六万五千元以下的罚款。</w:t>
            </w:r>
          </w:p>
        </w:tc>
      </w:tr>
      <w:tr w14:paraId="0DA8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09" w:type="dxa"/>
            <w:vAlign w:val="center"/>
          </w:tcPr>
          <w:p w14:paraId="32D7B8E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518" w:type="dxa"/>
            <w:vAlign w:val="center"/>
          </w:tcPr>
          <w:p w14:paraId="15B2029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未依照本法规定在劳动者离开用人单位时提供职业健康监护档案复印件的，涉及人数在6人以上10人以下的。</w:t>
            </w:r>
          </w:p>
        </w:tc>
        <w:tc>
          <w:tcPr>
            <w:tcW w:w="3651" w:type="dxa"/>
            <w:vAlign w:val="center"/>
          </w:tcPr>
          <w:p w14:paraId="3CFC59B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警告，罚款六万五千元以上八万五千元以下。</w:t>
            </w:r>
          </w:p>
        </w:tc>
      </w:tr>
      <w:tr w14:paraId="1660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509" w:type="dxa"/>
            <w:vAlign w:val="center"/>
          </w:tcPr>
          <w:p w14:paraId="53A98DF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518" w:type="dxa"/>
            <w:vAlign w:val="center"/>
          </w:tcPr>
          <w:p w14:paraId="53BFF87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未依照本法规定在劳动者离开用人单位时提供职业健康监护档案复印件的，涉及人数在11人以上的。</w:t>
            </w:r>
          </w:p>
        </w:tc>
        <w:tc>
          <w:tcPr>
            <w:tcW w:w="3651" w:type="dxa"/>
            <w:vAlign w:val="center"/>
          </w:tcPr>
          <w:p w14:paraId="73D7E50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警告，罚款八万五千元以上十万元以下。</w:t>
            </w:r>
          </w:p>
        </w:tc>
      </w:tr>
    </w:tbl>
    <w:p w14:paraId="2A90BAA0">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085" w:name="_Toc27522"/>
      <w:bookmarkStart w:id="6086" w:name="_Toc10685"/>
      <w:bookmarkStart w:id="6087" w:name="_Toc17887"/>
      <w:bookmarkStart w:id="6088" w:name="_Toc3244"/>
      <w:bookmarkStart w:id="6089" w:name="_Toc13525"/>
      <w:bookmarkStart w:id="6090" w:name="_Toc12485"/>
      <w:bookmarkStart w:id="6091" w:name="_Toc9937"/>
      <w:bookmarkStart w:id="6092" w:name="_Toc12835"/>
      <w:bookmarkStart w:id="6093" w:name="_Toc23467"/>
      <w:bookmarkStart w:id="6094" w:name="_Toc2257"/>
      <w:bookmarkStart w:id="6095" w:name="_Toc10622"/>
      <w:r>
        <w:rPr>
          <w:rFonts w:hint="eastAsia" w:ascii="Times New Roman" w:hAnsi="Times New Roman" w:cs="仿宋_GB2312"/>
          <w:bCs/>
          <w:color w:val="000000" w:themeColor="text1"/>
          <w:kern w:val="0"/>
          <w14:textFill>
            <w14:solidFill>
              <w14:schemeClr w14:val="tx1"/>
            </w14:solidFill>
          </w14:textFill>
        </w:rPr>
        <w:t>第四百八十四条</w:t>
      </w:r>
      <w:r>
        <w:rPr>
          <w:rFonts w:hint="eastAsia" w:ascii="Times New Roman" w:hAnsi="Times New Roman" w:cs="仿宋_GB2312"/>
          <w:bCs/>
          <w:color w:val="000000" w:themeColor="text1"/>
          <w:kern w:val="0"/>
          <w:szCs w:val="32"/>
          <w14:textFill>
            <w14:solidFill>
              <w14:schemeClr w14:val="tx1"/>
            </w14:solidFill>
          </w14:textFill>
        </w:rPr>
        <w:t xml:space="preserve"> 工作场所职业病危害因素的强度或者浓度超过国家职业卫生标准的</w:t>
      </w:r>
      <w:bookmarkEnd w:id="6085"/>
      <w:bookmarkEnd w:id="6086"/>
      <w:bookmarkEnd w:id="6087"/>
      <w:bookmarkEnd w:id="6088"/>
      <w:bookmarkEnd w:id="6089"/>
      <w:bookmarkEnd w:id="6090"/>
      <w:bookmarkEnd w:id="6091"/>
      <w:bookmarkEnd w:id="6092"/>
      <w:bookmarkEnd w:id="6093"/>
      <w:bookmarkEnd w:id="6094"/>
      <w:bookmarkEnd w:id="6095"/>
    </w:p>
    <w:p w14:paraId="69A41F9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CC75AB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6E030AA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（一）工作场所职业病危害因素的强度或者浓度超过国家职业卫生标准的；</w:t>
      </w:r>
    </w:p>
    <w:p w14:paraId="49F1AA7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2.《中华人民共和国尘肺病防治条例》第二十三条第（一）项　 凡违反本条例规定，有下列行为之一的，卫生行政部门和劳动部门，可视其情节轻重，给予警告、限期治理、罚款和停业整顿的处罚。但停业整顿的处罚，需经当地人民政府同意。　　</w:t>
      </w:r>
    </w:p>
    <w:p w14:paraId="350A249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（一）作业场所粉尘浓度超过国家卫生标准，逾期不采取措施的；</w:t>
      </w:r>
    </w:p>
    <w:p w14:paraId="434B3CF4">
      <w:pPr>
        <w:widowControl w:val="0"/>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3.《使用有毒物品作业场所劳动保护条例》第六十一条第（一）项　 从事使用高毒物品作业的用人单位违反本条例的规定，有下列行为之一的，由疾病预防控制部门给予警告，责令限期改正，处5万元以上20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14:paraId="4AFB566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（一）作业场所职业中毒危害因素不符合国家职业卫生标准和卫生要求而不立即停止高毒作业并采取相应的治理措施的，或者职业中毒危害因素治理不符合国家职业卫生标准和卫生要求重新作业的；</w:t>
      </w:r>
    </w:p>
    <w:p w14:paraId="08DCE95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4.《工作场所职业卫生管理规定》第五十条第（一）项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五万元以上二十万元以下的罚款；情节严重的，责令停止产生职业病危害的作业，或者提请有关人民政府按照国务院规定的权限责令关闭：</w:t>
      </w:r>
    </w:p>
    <w:p w14:paraId="430751E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（一）工作场所职业病危害因素的强度或者浓度超过国家职业卫生标准的。</w:t>
      </w:r>
    </w:p>
    <w:p w14:paraId="7191A37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8617"/>
        <w:gridCol w:w="3695"/>
      </w:tblGrid>
      <w:tr w14:paraId="2935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27" w:type="dxa"/>
            <w:vAlign w:val="center"/>
          </w:tcPr>
          <w:p w14:paraId="43E82B5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617" w:type="dxa"/>
            <w:vAlign w:val="center"/>
          </w:tcPr>
          <w:p w14:paraId="5552F4B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695" w:type="dxa"/>
            <w:vAlign w:val="center"/>
          </w:tcPr>
          <w:p w14:paraId="49143C1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43D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27" w:type="dxa"/>
            <w:vAlign w:val="center"/>
          </w:tcPr>
          <w:p w14:paraId="1BAECB3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617" w:type="dxa"/>
            <w:vAlign w:val="center"/>
          </w:tcPr>
          <w:p w14:paraId="5302500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工作场所职业病危害因素的强度或者浓度超过国家职业卫生标准的。</w:t>
            </w:r>
          </w:p>
        </w:tc>
        <w:tc>
          <w:tcPr>
            <w:tcW w:w="3695" w:type="dxa"/>
            <w:vAlign w:val="center"/>
          </w:tcPr>
          <w:p w14:paraId="2029707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5E57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527" w:type="dxa"/>
            <w:vAlign w:val="center"/>
          </w:tcPr>
          <w:p w14:paraId="419814F8">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617" w:type="dxa"/>
            <w:vAlign w:val="center"/>
          </w:tcPr>
          <w:p w14:paraId="04303D5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工作场所职业病危害因素的强度或者浓度超过国家职业卫生标准，经责令限期改正，逾期不改正，仍存在以上违法情形，涉及 3个检测点（或工种）以下的。</w:t>
            </w:r>
          </w:p>
        </w:tc>
        <w:tc>
          <w:tcPr>
            <w:tcW w:w="3695" w:type="dxa"/>
            <w:vAlign w:val="center"/>
          </w:tcPr>
          <w:p w14:paraId="4CDEC3E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40A5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527" w:type="dxa"/>
            <w:vAlign w:val="center"/>
          </w:tcPr>
          <w:p w14:paraId="2F127CC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617" w:type="dxa"/>
            <w:vAlign w:val="center"/>
          </w:tcPr>
          <w:p w14:paraId="384D993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工作场所职业病危害因素的强度或者浓度超过国家职业卫生标准，经责令限期改正，逾期不改正，仍存在以上违法情形，涉及 4～6个检测点（或工种）的。</w:t>
            </w:r>
          </w:p>
        </w:tc>
        <w:tc>
          <w:tcPr>
            <w:tcW w:w="3695" w:type="dxa"/>
            <w:vAlign w:val="center"/>
          </w:tcPr>
          <w:p w14:paraId="60FD56C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02B5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6" w:hRule="atLeast"/>
        </w:trPr>
        <w:tc>
          <w:tcPr>
            <w:tcW w:w="1527" w:type="dxa"/>
            <w:vAlign w:val="center"/>
          </w:tcPr>
          <w:p w14:paraId="3A23D17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617" w:type="dxa"/>
            <w:vAlign w:val="center"/>
          </w:tcPr>
          <w:p w14:paraId="7EE7746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工作场所职业病危害因素的强度或者浓度超过国家职业卫生标准，经责令限期改正，逾期不改正，仍存在以下违法情形之一的：</w:t>
            </w:r>
          </w:p>
          <w:p w14:paraId="54E63A3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A.工作场所职业病危害因素的强度或者浓度超过国家职业卫生标准，涉及 7个检测点（或工种）以上的；</w:t>
            </w:r>
          </w:p>
          <w:p w14:paraId="0E05CC6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B.工作场所职业病危害因素的强度或者浓度超过国家职业卫生标准两倍以上的；</w:t>
            </w:r>
          </w:p>
          <w:p w14:paraId="3849001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C.《高毒物品目录》中职业病危害因素或矽尘、放射职业病危害因素超标的。</w:t>
            </w:r>
          </w:p>
        </w:tc>
        <w:tc>
          <w:tcPr>
            <w:tcW w:w="3695" w:type="dxa"/>
            <w:vAlign w:val="center"/>
          </w:tcPr>
          <w:p w14:paraId="1511B1E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5D8EDC4F">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096" w:name="_Toc238"/>
      <w:bookmarkStart w:id="6097" w:name="_Toc31073"/>
      <w:bookmarkStart w:id="6098" w:name="_Toc9008"/>
      <w:bookmarkStart w:id="6099" w:name="_Toc11222"/>
      <w:bookmarkStart w:id="6100" w:name="_Toc24616"/>
      <w:bookmarkStart w:id="6101" w:name="_Toc23388"/>
      <w:bookmarkStart w:id="6102" w:name="_Toc31475"/>
      <w:bookmarkStart w:id="6103" w:name="_Toc12141"/>
      <w:bookmarkStart w:id="6104" w:name="_Toc8157"/>
      <w:bookmarkStart w:id="6105" w:name="_Toc31585"/>
      <w:bookmarkStart w:id="6106" w:name="_Toc4295"/>
      <w:r>
        <w:rPr>
          <w:rFonts w:hint="eastAsia" w:ascii="Times New Roman" w:hAnsi="Times New Roman" w:cs="仿宋_GB2312"/>
          <w:bCs/>
          <w:color w:val="000000" w:themeColor="text1"/>
          <w:kern w:val="0"/>
          <w14:textFill>
            <w14:solidFill>
              <w14:schemeClr w14:val="tx1"/>
            </w14:solidFill>
          </w14:textFill>
        </w:rPr>
        <w:t>第四百八十五条</w:t>
      </w:r>
      <w:r>
        <w:rPr>
          <w:rFonts w:hint="eastAsia" w:ascii="Times New Roman" w:hAnsi="Times New Roman" w:cs="仿宋_GB2312"/>
          <w:bCs/>
          <w:color w:val="000000" w:themeColor="text1"/>
          <w:kern w:val="0"/>
          <w:szCs w:val="32"/>
          <w14:textFill>
            <w14:solidFill>
              <w14:schemeClr w14:val="tx1"/>
            </w14:solidFill>
          </w14:textFill>
        </w:rPr>
        <w:t xml:space="preserve"> 未提供职业病防护设施和个人使用的职业病防护用品，或者提供的职业病防护设施和个人使用的职业病防护用品不符合国家职业卫生标准和卫生要求的</w:t>
      </w:r>
      <w:bookmarkEnd w:id="6096"/>
      <w:bookmarkEnd w:id="6097"/>
      <w:bookmarkEnd w:id="6098"/>
      <w:bookmarkEnd w:id="6099"/>
      <w:bookmarkEnd w:id="6100"/>
      <w:bookmarkEnd w:id="6101"/>
      <w:bookmarkEnd w:id="6102"/>
      <w:bookmarkEnd w:id="6103"/>
      <w:bookmarkEnd w:id="6104"/>
      <w:bookmarkEnd w:id="6105"/>
      <w:bookmarkEnd w:id="6106"/>
    </w:p>
    <w:p w14:paraId="5557540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998938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10644B6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（二）未提供职业病防护设施和个人使用的职业病防护用品，或者提供的职业病防护设施和个人使用的职业病防护用品不符合国家职业卫生标准和卫生要求的；</w:t>
      </w:r>
    </w:p>
    <w:p w14:paraId="5CA239B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2.《使用有毒物品作业场所劳动保护条例》第五十九条第一款第（四）项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条例的规定，有下列情形之一的，由疾病预防控制部门给予警告，责令限期改正；逾期不改正的，处5万元以上20万元以下的罚款；情节严重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14:paraId="3D6A0EF7">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（四）未向从事使用有毒物品作业的劳动者提供符合国家职业卫生标准的防护用品，或者未保证劳动者正确使用的。</w:t>
      </w:r>
    </w:p>
    <w:p w14:paraId="1F276C8D">
      <w:pPr>
        <w:widowControl w:val="0"/>
        <w:spacing w:after="0" w:line="480" w:lineRule="exact"/>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第六十条第（一）项　用人单位违反本条例的规定，有下列情形之一的，由疾病预防控制部门给予警告，责令限期改正，处5万元以上30万元以下的罚款；逾期不改正的，提请有关人民政府按照国务院规定的权限予以关闭；造成严重职业中毒危害或者导致职业中毒事故发生的，对负有责任的主管人员和其他直接责任人员依照刑法关于重大责任事故罪、重大劳动安全事故罪或者其他罪的规定，依法追究刑事责任：</w:t>
      </w:r>
    </w:p>
    <w:p w14:paraId="00A8AB3A">
      <w:pPr>
        <w:widowControl w:val="0"/>
        <w:spacing w:after="0" w:line="480" w:lineRule="exact"/>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（一）使用有毒物品作业场所未设置有效通风装置的，或者可能突然泄漏大量有毒物品或者易造成急性中毒的作业场所未设置自动报警装置或者事故通风设施的；</w:t>
      </w:r>
    </w:p>
    <w:p w14:paraId="7D5AF588">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3.《工作场所职业卫生管理规定》第五十条第（二）项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五万元以上二十万元以下的罚款；情节严重的，责令停止产生职业病危害的作业，或者提请有关人民政府按照国务院规定的权限责令关闭：</w:t>
      </w:r>
    </w:p>
    <w:p w14:paraId="74CE6BE3">
      <w:pPr>
        <w:widowControl w:val="0"/>
        <w:adjustRightInd/>
        <w:snapToGrid/>
        <w:spacing w:after="0" w:line="48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（二）未提供职业病防护设施和劳动者使用的职业病防护用品，或者提供的职业病防护设施和劳动者使用的职业病防护用品不符合国家职业卫生标准和卫生要求的。</w:t>
      </w:r>
    </w:p>
    <w:p w14:paraId="2996B35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8668"/>
        <w:gridCol w:w="3717"/>
      </w:tblGrid>
      <w:tr w14:paraId="7BE8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534" w:type="dxa"/>
            <w:vAlign w:val="center"/>
          </w:tcPr>
          <w:p w14:paraId="6825270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668" w:type="dxa"/>
            <w:vAlign w:val="center"/>
          </w:tcPr>
          <w:p w14:paraId="0DE8570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717" w:type="dxa"/>
            <w:vAlign w:val="center"/>
          </w:tcPr>
          <w:p w14:paraId="5FA3EEF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237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534" w:type="dxa"/>
            <w:vAlign w:val="center"/>
          </w:tcPr>
          <w:p w14:paraId="7311A137">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668" w:type="dxa"/>
            <w:vAlign w:val="center"/>
          </w:tcPr>
          <w:p w14:paraId="159CAF7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未提供职业病防护设施和个人使用的职业病防护用品，或者提供的职业病防护设施和个人使用的职业病防护用品不符合国家职业卫生标准和卫生要求的。</w:t>
            </w:r>
          </w:p>
        </w:tc>
        <w:tc>
          <w:tcPr>
            <w:tcW w:w="3717" w:type="dxa"/>
            <w:vAlign w:val="center"/>
          </w:tcPr>
          <w:p w14:paraId="4BF70E7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79E2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trPr>
        <w:tc>
          <w:tcPr>
            <w:tcW w:w="1534" w:type="dxa"/>
            <w:vAlign w:val="center"/>
          </w:tcPr>
          <w:p w14:paraId="37397F2D">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668" w:type="dxa"/>
            <w:vAlign w:val="center"/>
          </w:tcPr>
          <w:p w14:paraId="625E264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未提供职业病防护设施和个人使用的职业病防护用品，或者提供的职业病防护设施和个人使用的职业病防护用品不符合国家职业卫生标准和卫生要求，经责令限期改正，逾期不改正，仍存在以下违法情形之一的：</w:t>
            </w:r>
          </w:p>
          <w:p w14:paraId="2B229B7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A.用人单位未提供职业病防护设施或者提供的职业病防护设施不符合国家职业卫生标准和卫生要求，涉及职业病防护设施 1 处的；</w:t>
            </w:r>
          </w:p>
          <w:p w14:paraId="2B339CA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B.用人单位未提供个人使用的职业病防护用品或个人使用的职业病防护用品不符合国家职业卫生标准和卫生要求，涉及劳动者 5 人以下的。</w:t>
            </w:r>
          </w:p>
        </w:tc>
        <w:tc>
          <w:tcPr>
            <w:tcW w:w="3717" w:type="dxa"/>
            <w:vAlign w:val="center"/>
          </w:tcPr>
          <w:p w14:paraId="673E62F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268A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1534" w:type="dxa"/>
            <w:vAlign w:val="center"/>
          </w:tcPr>
          <w:p w14:paraId="2D2DCBAE">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668" w:type="dxa"/>
            <w:vAlign w:val="center"/>
          </w:tcPr>
          <w:p w14:paraId="16CF985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未提供职业病防护设施和个人使用的职业病防护用品，或者提供的职业病防护设施和个人使用的职业病防护用品不符合国家职业卫生标准和卫生要求，经责令限期改正，逾期不改正，仍存在以下违法情形之一的：</w:t>
            </w:r>
          </w:p>
          <w:p w14:paraId="7DEA2A0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A.用人单位未提供职业病防护设施或者提供的职业病防护设施不符合国家职业卫生标准和卫生要求，涉及职业病防护设施 2 处的；</w:t>
            </w:r>
          </w:p>
          <w:p w14:paraId="0658EB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B.用人单位未提供个人使用的职业病防护用品或个人使用的职业病防护用品不符合国家职业卫生标准和卫生要求，涉及劳动者 6-10 人的。</w:t>
            </w:r>
          </w:p>
        </w:tc>
        <w:tc>
          <w:tcPr>
            <w:tcW w:w="3717" w:type="dxa"/>
            <w:vAlign w:val="center"/>
          </w:tcPr>
          <w:p w14:paraId="23D1870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5AC6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1534" w:type="dxa"/>
            <w:vAlign w:val="center"/>
          </w:tcPr>
          <w:p w14:paraId="7EDA82AF">
            <w:pPr>
              <w:widowControl w:val="0"/>
              <w:adjustRightInd/>
              <w:snapToGrid/>
              <w:spacing w:after="0" w:line="320" w:lineRule="exact"/>
              <w:jc w:val="center"/>
              <w:rPr>
                <w:rFonts w:hint="eastAsia" w:ascii="Times New Roman" w:hAnsi="Times New Roman" w:eastAsia="仿宋_GB2312" w:cs="仿宋_GB2312"/>
                <w:b/>
                <w:color w:val="000000" w:themeColor="text1"/>
                <w:kern w:val="2"/>
                <w:sz w:val="24"/>
                <w:szCs w:val="24"/>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668" w:type="dxa"/>
            <w:vAlign w:val="center"/>
          </w:tcPr>
          <w:p w14:paraId="296AB8B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未提供职业病防护设施和个人使用的职业病防护用品，或者提供的职业病防护设施和个人使用的职业病防护用品不符合国家职业卫生标准和卫生要求，经责令限期改正，逾期不改正，仍存在以下违法情形的：</w:t>
            </w:r>
          </w:p>
          <w:p w14:paraId="3B2874D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A.用人单位未提供职业病防护设施或者提供的职业病防护设施不符合国家职业卫生标准和卫生要求，涉及职业病防护设施 3 处以上的；</w:t>
            </w:r>
          </w:p>
          <w:p w14:paraId="0A6528B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B.用人单位未提供个人使用的职业病防护用品或个人使用的职业病防护用品不符合国家职业卫生标准和卫生要求，涉及劳动者 11 人以上的；</w:t>
            </w:r>
          </w:p>
          <w:p w14:paraId="0B2237E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C.对产生严重职业病危害的作业岗位未提供职业病防护设施或者提供的职业病防护设施不符合国家职业卫生标准和卫生要求的。</w:t>
            </w:r>
          </w:p>
        </w:tc>
        <w:tc>
          <w:tcPr>
            <w:tcW w:w="3717" w:type="dxa"/>
            <w:vAlign w:val="center"/>
          </w:tcPr>
          <w:p w14:paraId="4399AE2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3DD937BD">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07" w:name="_Toc9144"/>
      <w:bookmarkStart w:id="6108" w:name="_Toc140"/>
      <w:bookmarkStart w:id="6109" w:name="_Toc32076"/>
      <w:bookmarkStart w:id="6110" w:name="_Toc6661"/>
      <w:bookmarkStart w:id="6111" w:name="_Toc25830"/>
      <w:bookmarkStart w:id="6112" w:name="_Toc25315"/>
      <w:bookmarkStart w:id="6113" w:name="_Toc3522"/>
      <w:bookmarkStart w:id="6114" w:name="_Toc28907"/>
      <w:bookmarkStart w:id="6115" w:name="_Toc26718"/>
      <w:bookmarkStart w:id="6116" w:name="_Toc24748"/>
      <w:bookmarkStart w:id="6117" w:name="_Toc24342"/>
      <w:r>
        <w:rPr>
          <w:rFonts w:hint="eastAsia" w:ascii="Times New Roman" w:hAnsi="Times New Roman" w:cs="仿宋_GB2312"/>
          <w:bCs/>
          <w:color w:val="000000" w:themeColor="text1"/>
          <w:kern w:val="0"/>
          <w14:textFill>
            <w14:solidFill>
              <w14:schemeClr w14:val="tx1"/>
            </w14:solidFill>
          </w14:textFill>
        </w:rPr>
        <w:t>第四百八十六条</w:t>
      </w:r>
      <w:r>
        <w:rPr>
          <w:rFonts w:hint="eastAsia" w:ascii="Times New Roman" w:hAnsi="Times New Roman" w:cs="仿宋_GB2312"/>
          <w:bCs/>
          <w:color w:val="000000" w:themeColor="text1"/>
          <w:kern w:val="0"/>
          <w:szCs w:val="32"/>
          <w14:textFill>
            <w14:solidFill>
              <w14:schemeClr w14:val="tx1"/>
            </w14:solidFill>
          </w14:textFill>
        </w:rPr>
        <w:t xml:space="preserve"> 对职业病防护设备、应急救援设施和个人使用的职业病防护用品未按照规定进行维护、检修、检测，或者不能保持正常运行、使用状态的</w:t>
      </w:r>
      <w:bookmarkEnd w:id="6107"/>
      <w:bookmarkEnd w:id="6108"/>
      <w:bookmarkEnd w:id="6109"/>
      <w:bookmarkEnd w:id="6110"/>
      <w:bookmarkEnd w:id="6111"/>
      <w:bookmarkEnd w:id="6112"/>
      <w:bookmarkEnd w:id="6113"/>
      <w:bookmarkEnd w:id="6114"/>
      <w:bookmarkEnd w:id="6115"/>
      <w:bookmarkEnd w:id="6116"/>
      <w:bookmarkEnd w:id="6117"/>
    </w:p>
    <w:p w14:paraId="54A7FF0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8E74BA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3911645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（三）对职业病防护设备、应急救援设施和个人使用的职业病防护用品未按照规定进行维护、检修、检测，或者不能保持正常运行、使用状态的；</w:t>
      </w:r>
    </w:p>
    <w:p w14:paraId="2F522399">
      <w:pPr>
        <w:widowControl w:val="0"/>
        <w:spacing w:after="0"/>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2.《使用有毒物品作业场所劳动保护条例》第五十九条第一款第（二）项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条例的规定，有下列情形之一的，由疾病预防控制部门给予警告，责令限期改正；逾期不改正的，处5万元以上20万元以下的罚款；情节严重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14:paraId="657A248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 xml:space="preserve">（二）未对职业卫生防护设备、应急救援设施、通讯报警装置进行维护、检修和定期检测，导致上述设施处于不正常状态的； </w:t>
      </w:r>
    </w:p>
    <w:p w14:paraId="254D7D5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3.《工作场所职业卫生管理规定》第五十条第（三）项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五万元以上二十万元以下的罚款；情节严重的，责令停止产生职业病危害的作业，或者提请有关人民政府按照国务院规定的权限责令关闭：</w:t>
      </w:r>
    </w:p>
    <w:p w14:paraId="092F072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（三）未按照规定对职业病防护设备、应急救援设施和劳动者职业病防护用品进行维护、检修、检测，或者不能保持正常运行、使用状态的；</w:t>
      </w:r>
    </w:p>
    <w:p w14:paraId="46EC322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8703"/>
        <w:gridCol w:w="3413"/>
      </w:tblGrid>
      <w:tr w14:paraId="06AA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503" w:type="dxa"/>
            <w:vAlign w:val="center"/>
          </w:tcPr>
          <w:p w14:paraId="49216E2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703" w:type="dxa"/>
            <w:vAlign w:val="center"/>
          </w:tcPr>
          <w:p w14:paraId="3CDABF1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413" w:type="dxa"/>
            <w:vAlign w:val="center"/>
          </w:tcPr>
          <w:p w14:paraId="5ED4F20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557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03" w:type="dxa"/>
            <w:vAlign w:val="center"/>
          </w:tcPr>
          <w:p w14:paraId="0BF9636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703" w:type="dxa"/>
            <w:vAlign w:val="center"/>
          </w:tcPr>
          <w:p w14:paraId="2EB9C99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对职业病防护设备、应急救援设施和个人使用的职业病防护用品未按照规定进行维护、检修、检测，或者不能保持正常运行、使用状态的。</w:t>
            </w:r>
          </w:p>
        </w:tc>
        <w:tc>
          <w:tcPr>
            <w:tcW w:w="3413" w:type="dxa"/>
            <w:vAlign w:val="center"/>
          </w:tcPr>
          <w:p w14:paraId="07AC595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2053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1503" w:type="dxa"/>
            <w:vAlign w:val="center"/>
          </w:tcPr>
          <w:p w14:paraId="29DB8930">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703" w:type="dxa"/>
            <w:vAlign w:val="center"/>
          </w:tcPr>
          <w:p w14:paraId="1FCBF2A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对职业病防护设备、应急救援设施和个人使用的职业病防护用品未按照规定进行维护、检修、检测，或者不能保持正常运行、使用状态，经责令限期改正，逾期不改正，仍存在对 3 处以下职业病防护设备、应急救援设施或 5 人以下个人使用的职业病防护用品未按照规定进行维护、检修、检测，或者不能保持正常运行、使用状态的。</w:t>
            </w:r>
          </w:p>
        </w:tc>
        <w:tc>
          <w:tcPr>
            <w:tcW w:w="3413" w:type="dxa"/>
            <w:vAlign w:val="center"/>
          </w:tcPr>
          <w:p w14:paraId="05B071D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3CBB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03" w:type="dxa"/>
            <w:vAlign w:val="center"/>
          </w:tcPr>
          <w:p w14:paraId="795BC16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703" w:type="dxa"/>
            <w:vAlign w:val="center"/>
          </w:tcPr>
          <w:p w14:paraId="5F27895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对职业病防护设备、应急救援设施和个人使用的职业病防护用品未按照规定进行维护、检修、检测，或者不能保持正常运行、使用状态，经责令限期改正，逾期不改正，仍存在对 3 处以上5处以下职业病防护设备、应急救援设施或 5 人以上10人以下个人使用的职业病防护用品未按照规定进行了维护、检修、检测，或者不能保持正常运行、使用状态的。</w:t>
            </w:r>
          </w:p>
        </w:tc>
        <w:tc>
          <w:tcPr>
            <w:tcW w:w="3413" w:type="dxa"/>
            <w:vAlign w:val="center"/>
          </w:tcPr>
          <w:p w14:paraId="5ED381F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4B54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03" w:type="dxa"/>
            <w:vAlign w:val="center"/>
          </w:tcPr>
          <w:p w14:paraId="1A34EC4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703" w:type="dxa"/>
            <w:vAlign w:val="center"/>
          </w:tcPr>
          <w:p w14:paraId="43792D7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对职业病防护设备、应急救援设施和个人使用的职业病防护用品未按照规定进行维护、检修、检测，或者不能保持正常运行、使用状态，经责令限期改正，逾期不改正，仍存在以下违法情形的：</w:t>
            </w:r>
          </w:p>
          <w:p w14:paraId="71AFEF4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A.对 5处以上职业病防护设备、应急救援设施或 10人以上个人使用的职业病防护用品未按照规定进行维护、检修、检测，或不能保持正常运行、使用状态的；</w:t>
            </w:r>
          </w:p>
          <w:p w14:paraId="65F5C14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B.对产生严重职业病危害的作业岗位职业病防护设备、应急救援设施和个人使用的职业病防护用品未按照规定进行维护、检修、检测，或不能保持正常运行、使用状态的。</w:t>
            </w:r>
          </w:p>
        </w:tc>
        <w:tc>
          <w:tcPr>
            <w:tcW w:w="3413" w:type="dxa"/>
            <w:vAlign w:val="center"/>
          </w:tcPr>
          <w:p w14:paraId="4A4040E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责令停止产生职业危害的作业，或者提请有关人民政府按照国务院规定的权限责令关闭。</w:t>
            </w:r>
          </w:p>
        </w:tc>
      </w:tr>
    </w:tbl>
    <w:p w14:paraId="5426C2B7">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18" w:name="_Toc12826"/>
      <w:bookmarkStart w:id="6119" w:name="_Toc4403"/>
      <w:bookmarkStart w:id="6120" w:name="_Toc10110"/>
      <w:bookmarkStart w:id="6121" w:name="_Toc1015"/>
      <w:bookmarkStart w:id="6122" w:name="_Toc13928"/>
      <w:bookmarkStart w:id="6123" w:name="_Toc26860"/>
      <w:bookmarkStart w:id="6124" w:name="_Toc10521"/>
      <w:bookmarkStart w:id="6125" w:name="_Toc12222"/>
      <w:bookmarkStart w:id="6126" w:name="_Toc16833"/>
      <w:bookmarkStart w:id="6127" w:name="_Toc28154"/>
      <w:bookmarkStart w:id="6128" w:name="_Toc31558"/>
      <w:r>
        <w:rPr>
          <w:rFonts w:hint="eastAsia" w:ascii="Times New Roman" w:hAnsi="Times New Roman" w:cs="仿宋_GB2312"/>
          <w:bCs/>
          <w:color w:val="000000" w:themeColor="text1"/>
          <w:kern w:val="0"/>
          <w14:textFill>
            <w14:solidFill>
              <w14:schemeClr w14:val="tx1"/>
            </w14:solidFill>
          </w14:textFill>
        </w:rPr>
        <w:t>第四百八十七条</w:t>
      </w:r>
      <w:r>
        <w:rPr>
          <w:rFonts w:hint="eastAsia" w:ascii="Times New Roman" w:hAnsi="Times New Roman" w:cs="仿宋_GB2312"/>
          <w:bCs/>
          <w:color w:val="000000" w:themeColor="text1"/>
          <w:kern w:val="0"/>
          <w:szCs w:val="32"/>
          <w14:textFill>
            <w14:solidFill>
              <w14:schemeClr w14:val="tx1"/>
            </w14:solidFill>
          </w14:textFill>
        </w:rPr>
        <w:t xml:space="preserve"> 未按照规定对工作场所职业病危害因素进行检测、评价的</w:t>
      </w:r>
      <w:bookmarkEnd w:id="6118"/>
      <w:bookmarkEnd w:id="6119"/>
      <w:bookmarkEnd w:id="6120"/>
      <w:bookmarkEnd w:id="6121"/>
      <w:bookmarkEnd w:id="6122"/>
      <w:bookmarkEnd w:id="6123"/>
      <w:bookmarkEnd w:id="6124"/>
      <w:bookmarkEnd w:id="6125"/>
      <w:bookmarkEnd w:id="6126"/>
      <w:bookmarkEnd w:id="6127"/>
      <w:bookmarkEnd w:id="6128"/>
    </w:p>
    <w:p w14:paraId="376D10F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083A35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32090EE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（四）未按照规定对工作场所职业病危害因素进行检测、评价的；</w:t>
      </w:r>
    </w:p>
    <w:p w14:paraId="17E0B42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2.《中华人民共和国尘肺病防治条例》第二十三条第（六）项　 凡违反本条例规定，有下列行为之一的，卫生行政部门和劳动部门，可视其情节轻重，给予警告、限期治理、罚款和停业整顿的处罚。但停业整顿的处罚，需经当地人民政府同意。</w:t>
      </w:r>
    </w:p>
    <w:p w14:paraId="3001915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（六）不执行健康检查制度和测尘制度的；</w:t>
      </w:r>
    </w:p>
    <w:p w14:paraId="1796D82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3.《使用有毒物品作业场所劳动保护条例》第五十九条第一款第（三）项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条例的规定，有下列情形之一的，由疾病预防控制部门给予警告，责令限期改正；逾期不改正的，处5万元以上20万元以下的罚款；情节严重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14:paraId="25EFD29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（三）未依照本条例的规定进行职业中毒危害因素检测和职业中毒危害控制效果评价的；</w:t>
      </w:r>
    </w:p>
    <w:p w14:paraId="0E07A31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4.《工作场所职业卫生管理规定》第五十条第（四）项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五万元以上二十万元以下的罚款；情节严重的，责令停止产生职业病危害的作业，或者提请有关人民政府按照国务院规定的权限责令关闭：</w:t>
      </w:r>
    </w:p>
    <w:p w14:paraId="78717132">
      <w:pPr>
        <w:widowControl w:val="0"/>
        <w:adjustRightInd/>
        <w:snapToGrid/>
        <w:spacing w:after="0" w:line="440" w:lineRule="exact"/>
        <w:ind w:firstLine="643"/>
        <w:rPr>
          <w:rFonts w:hint="eastAsia" w:ascii="Times New Roman" w:hAnsi="Times New Roman" w:eastAsia="仿宋_GB2312" w:cs="仿宋_GB2312"/>
          <w:bCs/>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（四）未按照规定对工作场所职业</w:t>
      </w:r>
      <w:r>
        <w:rPr>
          <w:rFonts w:hint="eastAsia" w:ascii="Times New Roman" w:hAnsi="Times New Roman" w:eastAsia="仿宋_GB2312" w:cs="仿宋_GB2312"/>
          <w:bCs/>
          <w:color w:val="000000" w:themeColor="text1"/>
          <w:kern w:val="2"/>
          <w:sz w:val="32"/>
          <w:szCs w:val="21"/>
          <w14:textFill>
            <w14:solidFill>
              <w14:schemeClr w14:val="tx1"/>
            </w14:solidFill>
          </w14:textFill>
        </w:rPr>
        <w:t>病危害因素进行检测、现状评价的。</w:t>
      </w:r>
    </w:p>
    <w:p w14:paraId="312649D3">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9101"/>
        <w:gridCol w:w="3247"/>
      </w:tblGrid>
      <w:tr w14:paraId="4104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531" w:type="dxa"/>
            <w:vAlign w:val="center"/>
          </w:tcPr>
          <w:p w14:paraId="548C143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9101" w:type="dxa"/>
            <w:vAlign w:val="center"/>
          </w:tcPr>
          <w:p w14:paraId="5463F7A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247" w:type="dxa"/>
            <w:vAlign w:val="center"/>
          </w:tcPr>
          <w:p w14:paraId="776D2CD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A19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531" w:type="dxa"/>
            <w:vAlign w:val="center"/>
          </w:tcPr>
          <w:p w14:paraId="6F5BD4E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101" w:type="dxa"/>
            <w:vAlign w:val="center"/>
          </w:tcPr>
          <w:p w14:paraId="0A64C80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未按照规定对工作场所职业病危害因素进行检测、评价的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c>
          <w:tcPr>
            <w:tcW w:w="3247" w:type="dxa"/>
            <w:vAlign w:val="center"/>
          </w:tcPr>
          <w:p w14:paraId="69CE11C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0EA5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531" w:type="dxa"/>
            <w:vAlign w:val="center"/>
          </w:tcPr>
          <w:p w14:paraId="654C98A2">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101" w:type="dxa"/>
            <w:vAlign w:val="center"/>
          </w:tcPr>
          <w:p w14:paraId="75F8E1E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未按照规定对工作场所职业病危害因素进行检测、评价，经责令限期改正，逾期不改正，仍存在工作场所职业病危害因素检测点（或工种）不全，缺检数量 3个以下的。</w:t>
            </w:r>
          </w:p>
        </w:tc>
        <w:tc>
          <w:tcPr>
            <w:tcW w:w="3247" w:type="dxa"/>
            <w:vAlign w:val="center"/>
          </w:tcPr>
          <w:p w14:paraId="257B38D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27B0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1531" w:type="dxa"/>
            <w:vAlign w:val="center"/>
          </w:tcPr>
          <w:p w14:paraId="4E270AA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101" w:type="dxa"/>
            <w:vAlign w:val="center"/>
          </w:tcPr>
          <w:p w14:paraId="5BE80AC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未按照规定对工作场所职业病危害因素进行检测、评价，经责令限期改正，逾期不改正，仍存在以下违法情形之一的：</w:t>
            </w:r>
          </w:p>
          <w:p w14:paraId="3F84132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A.工作场所职业病危害因素检测点（或工种）不全，缺检数量 4～6个的；</w:t>
            </w:r>
          </w:p>
          <w:p w14:paraId="0668014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B.未按规定对工作场所职业病危害因素进行评价的。</w:t>
            </w:r>
          </w:p>
        </w:tc>
        <w:tc>
          <w:tcPr>
            <w:tcW w:w="3247" w:type="dxa"/>
            <w:vAlign w:val="center"/>
          </w:tcPr>
          <w:p w14:paraId="11273A7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 二十万元以下的罚款。</w:t>
            </w:r>
          </w:p>
        </w:tc>
      </w:tr>
      <w:tr w14:paraId="1E69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531" w:type="dxa"/>
            <w:vAlign w:val="center"/>
          </w:tcPr>
          <w:p w14:paraId="4C9C01A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101" w:type="dxa"/>
            <w:vAlign w:val="center"/>
          </w:tcPr>
          <w:p w14:paraId="6329882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未按照规定对工作场所职业病危害因素进行检测、评价，经责令限期改正，逾期不改正，仍存在以下违法情形之一的：</w:t>
            </w:r>
          </w:p>
          <w:p w14:paraId="3681071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A.工作场所职业病危害因素检测点（或工种）不全，缺检数量 7个以上的；</w:t>
            </w:r>
          </w:p>
          <w:p w14:paraId="578F37D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B.工作场所职业病危害因素检测点（或工种）不全，危害因素为《高毒物品目录》中职业病危害因素或矽尘、放射职业病危害因素的。</w:t>
            </w:r>
          </w:p>
        </w:tc>
        <w:tc>
          <w:tcPr>
            <w:tcW w:w="3247" w:type="dxa"/>
            <w:vAlign w:val="center"/>
          </w:tcPr>
          <w:p w14:paraId="17F86D5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1D83EB1E">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29" w:name="_Toc6260"/>
      <w:bookmarkStart w:id="6130" w:name="_Toc9332"/>
      <w:bookmarkStart w:id="6131" w:name="_Toc14536"/>
      <w:bookmarkStart w:id="6132" w:name="_Toc20105"/>
      <w:bookmarkStart w:id="6133" w:name="_Toc2923"/>
      <w:bookmarkStart w:id="6134" w:name="_Toc22757"/>
      <w:bookmarkStart w:id="6135" w:name="_Toc6283"/>
      <w:bookmarkStart w:id="6136" w:name="_Toc31987"/>
      <w:bookmarkStart w:id="6137" w:name="_Toc27710"/>
      <w:bookmarkStart w:id="6138" w:name="_Toc31486"/>
      <w:bookmarkStart w:id="6139" w:name="_Toc31430"/>
      <w:r>
        <w:rPr>
          <w:rFonts w:hint="eastAsia" w:ascii="Times New Roman" w:hAnsi="Times New Roman" w:cs="仿宋_GB2312"/>
          <w:bCs/>
          <w:color w:val="000000" w:themeColor="text1"/>
          <w:kern w:val="0"/>
          <w14:textFill>
            <w14:solidFill>
              <w14:schemeClr w14:val="tx1"/>
            </w14:solidFill>
          </w14:textFill>
        </w:rPr>
        <w:t>第四百八十八条</w:t>
      </w:r>
      <w:r>
        <w:rPr>
          <w:rFonts w:hint="eastAsia" w:ascii="Times New Roman" w:hAnsi="Times New Roman" w:cs="仿宋_GB2312"/>
          <w:bCs/>
          <w:color w:val="000000" w:themeColor="text1"/>
          <w:kern w:val="0"/>
          <w:szCs w:val="32"/>
          <w14:textFill>
            <w14:solidFill>
              <w14:schemeClr w14:val="tx1"/>
            </w14:solidFill>
          </w14:textFill>
        </w:rPr>
        <w:t xml:space="preserve"> 工作场所职业病危害因素经治理仍然达不到国家职业卫生标准和卫生要求时，未停止存在职业病危害因素的作业的</w:t>
      </w:r>
      <w:bookmarkEnd w:id="6129"/>
      <w:bookmarkEnd w:id="6130"/>
      <w:bookmarkEnd w:id="6131"/>
      <w:bookmarkEnd w:id="6132"/>
      <w:bookmarkEnd w:id="6133"/>
      <w:bookmarkEnd w:id="6134"/>
      <w:bookmarkEnd w:id="6135"/>
      <w:bookmarkEnd w:id="6136"/>
      <w:bookmarkEnd w:id="6137"/>
      <w:bookmarkEnd w:id="6138"/>
      <w:bookmarkEnd w:id="6139"/>
    </w:p>
    <w:p w14:paraId="5A9C90C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6EC799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43966B8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（五）工作场所职业病危害因素经治理仍然达不到国家职业卫生标准和卫生要求时，未停止存在职业病危害因素的作业的；</w:t>
      </w:r>
    </w:p>
    <w:p w14:paraId="5899E34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2.《使用有毒物品作业场所劳动保护条例》第六十一条第（一）项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从事使用高毒物品作业的用人单位违反本条例的规定，有下列行为之一的，由疾病预防控制部门给予警告，责令限期改正，处5万元以上20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14:paraId="782AC34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（一）作业场所职业中毒危害因素不符合国家职业卫生标准和卫生要求而不立即停止高毒作业并采取相应的治理措施的，或者职业中毒危害因素治理不符合国家职业卫生标准和卫生要求重新作业的；</w:t>
      </w:r>
    </w:p>
    <w:p w14:paraId="7FFC458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3.《工作场所职业卫生管理规定》第五十条第（五）项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五万元以上二十万元以下的罚款；情节严重的，责令停止产生职业病危害的作业，或者提请有关人民政府按照国务院规定的权限责令关闭：</w:t>
      </w:r>
    </w:p>
    <w:p w14:paraId="129B672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（五）工作场所职业病危害因素经治理仍然达不到国家职业卫生标准和卫生要求时，未停止存在职业病危害因素的作业的；</w:t>
      </w:r>
    </w:p>
    <w:p w14:paraId="194BCA7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8934"/>
        <w:gridCol w:w="3449"/>
      </w:tblGrid>
      <w:tr w14:paraId="1F9F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535" w:type="dxa"/>
            <w:vAlign w:val="center"/>
          </w:tcPr>
          <w:p w14:paraId="6614B30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934" w:type="dxa"/>
            <w:vAlign w:val="center"/>
          </w:tcPr>
          <w:p w14:paraId="61EDA6F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449" w:type="dxa"/>
            <w:vAlign w:val="center"/>
          </w:tcPr>
          <w:p w14:paraId="4BD5767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9A5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535" w:type="dxa"/>
            <w:vAlign w:val="center"/>
          </w:tcPr>
          <w:p w14:paraId="4BBA455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934" w:type="dxa"/>
            <w:vAlign w:val="center"/>
          </w:tcPr>
          <w:p w14:paraId="7FFE6E3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工作场所职业病危害因素经治理仍然达不到国家职业卫生标准和卫生要求时，未停止存在职业病危害因素的作业的。</w:t>
            </w:r>
          </w:p>
        </w:tc>
        <w:tc>
          <w:tcPr>
            <w:tcW w:w="3449" w:type="dxa"/>
            <w:vAlign w:val="center"/>
          </w:tcPr>
          <w:p w14:paraId="2EDF051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27FC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1535" w:type="dxa"/>
            <w:vAlign w:val="center"/>
          </w:tcPr>
          <w:p w14:paraId="448F03F0">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34" w:type="dxa"/>
            <w:vAlign w:val="center"/>
          </w:tcPr>
          <w:p w14:paraId="4D37E97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工作场所职业病危害因素经治理仍然达不到国家职业卫生标准和卫生要求时，未停止存在职业病危害因素的作业，经责令限期改正，逾期不改正，仍存在 1 处工作场所职业病危害因素经治理仍然达不到国家职业卫生标准和卫生要求，且该处未停止存在职业病危害因素的作业的。</w:t>
            </w:r>
          </w:p>
        </w:tc>
        <w:tc>
          <w:tcPr>
            <w:tcW w:w="3449" w:type="dxa"/>
            <w:vAlign w:val="center"/>
          </w:tcPr>
          <w:p w14:paraId="69B5ACF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2E81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1535" w:type="dxa"/>
            <w:vAlign w:val="center"/>
          </w:tcPr>
          <w:p w14:paraId="7965D44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34" w:type="dxa"/>
            <w:vAlign w:val="center"/>
          </w:tcPr>
          <w:p w14:paraId="354F7B9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工作场所职业病危害因素经治理仍然达不到国家职业卫生标准和卫生要求时，未停止存在职业病危害因素的作业，经责令限期改正，逾期不改正，仍存在 2 处工作场所职业病危害因素经治理仍然达不到国家职业卫生标准和卫生要求，且该 2 处未停止存在职业病危害因素的作业的。</w:t>
            </w:r>
          </w:p>
        </w:tc>
        <w:tc>
          <w:tcPr>
            <w:tcW w:w="3449" w:type="dxa"/>
            <w:vAlign w:val="center"/>
          </w:tcPr>
          <w:p w14:paraId="0072B1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01BF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1535" w:type="dxa"/>
            <w:vAlign w:val="center"/>
          </w:tcPr>
          <w:p w14:paraId="2469D20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34" w:type="dxa"/>
            <w:vAlign w:val="center"/>
          </w:tcPr>
          <w:p w14:paraId="09A6258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工作场所职业病危害因素经治理仍然达不到国家职业卫生标准和卫生要求时，未停止存在职业病危害因素的作业，经责令限期改正，逾期不改正，仍存在 3 处以上工作场所职业病危害因素经治理仍然达不到国家职业卫生标准和卫生要求，且该 3 处以上工作场所未停止存在职业病危害因素的作业的。</w:t>
            </w:r>
          </w:p>
        </w:tc>
        <w:tc>
          <w:tcPr>
            <w:tcW w:w="3449" w:type="dxa"/>
            <w:vAlign w:val="center"/>
          </w:tcPr>
          <w:p w14:paraId="787D51F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5F1B5AF8">
      <w:pPr>
        <w:pStyle w:val="4"/>
        <w:widowControl w:val="0"/>
        <w:spacing w:line="420" w:lineRule="exact"/>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40" w:name="_Toc15076"/>
      <w:bookmarkStart w:id="6141" w:name="_Toc14128"/>
      <w:bookmarkStart w:id="6142" w:name="_Toc1016"/>
      <w:bookmarkStart w:id="6143" w:name="_Toc28247"/>
      <w:bookmarkStart w:id="6144" w:name="_Toc28875"/>
      <w:bookmarkStart w:id="6145" w:name="_Toc3625"/>
      <w:bookmarkStart w:id="6146" w:name="_Toc6764"/>
      <w:bookmarkStart w:id="6147" w:name="_Toc12188"/>
      <w:bookmarkStart w:id="6148" w:name="_Toc26059"/>
      <w:bookmarkStart w:id="6149" w:name="_Toc2840"/>
      <w:bookmarkStart w:id="6150" w:name="_Toc8209"/>
      <w:r>
        <w:rPr>
          <w:rFonts w:hint="eastAsia" w:ascii="Times New Roman" w:hAnsi="Times New Roman" w:cs="仿宋_GB2312"/>
          <w:bCs/>
          <w:color w:val="000000" w:themeColor="text1"/>
          <w:kern w:val="0"/>
          <w14:textFill>
            <w14:solidFill>
              <w14:schemeClr w14:val="tx1"/>
            </w14:solidFill>
          </w14:textFill>
        </w:rPr>
        <w:t>第四百八十九条</w:t>
      </w:r>
      <w:r>
        <w:rPr>
          <w:rFonts w:hint="eastAsia" w:ascii="Times New Roman" w:hAnsi="Times New Roman" w:cs="仿宋_GB2312"/>
          <w:bCs/>
          <w:color w:val="000000" w:themeColor="text1"/>
          <w:kern w:val="0"/>
          <w:szCs w:val="32"/>
          <w14:textFill>
            <w14:solidFill>
              <w14:schemeClr w14:val="tx1"/>
            </w14:solidFill>
          </w14:textFill>
        </w:rPr>
        <w:t xml:space="preserve"> 未按照规定安排职业病病人、疑似职业病病人进行诊治的</w:t>
      </w:r>
      <w:bookmarkEnd w:id="6140"/>
      <w:bookmarkEnd w:id="6141"/>
      <w:bookmarkEnd w:id="6142"/>
      <w:bookmarkEnd w:id="6143"/>
      <w:bookmarkEnd w:id="6144"/>
      <w:bookmarkEnd w:id="6145"/>
      <w:bookmarkEnd w:id="6146"/>
      <w:bookmarkEnd w:id="6147"/>
      <w:bookmarkEnd w:id="6148"/>
      <w:bookmarkEnd w:id="6149"/>
      <w:bookmarkEnd w:id="6150"/>
    </w:p>
    <w:p w14:paraId="48BCD48D">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3AD2AA0F">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1.《中华人民共和国职业病防治法》第七十二条第（六）项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4685C5E4">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（六）未按照规定安排职业病病人、疑似职业病病人进行诊治的；</w:t>
      </w:r>
    </w:p>
    <w:p w14:paraId="2B2B6912">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2.《用人单位职业健康监护监督管理办法》第二十八条第（一）项　用人单位有下列情形之一的，给予警告，责令限期改正，逾期不改正的，处5万元以上20万元以下的罚款；情节严重的，责令停止产生职业病危害的作业，或者提请有关人民政府按照国务院规定的权限责令关闭：</w:t>
      </w:r>
    </w:p>
    <w:p w14:paraId="40C704BF">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（一）未按照规定安排职业病病人、疑似职业病病人进行诊治的；</w:t>
      </w:r>
    </w:p>
    <w:p w14:paraId="0C9023F0">
      <w:pPr>
        <w:widowControl w:val="0"/>
        <w:adjustRightInd/>
        <w:snapToGrid/>
        <w:spacing w:after="0" w:line="4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3.《职业病诊断与鉴定管理办法》第六十条第（一）项  用人单位有下列行为之一的，由县级以上地方卫生健康主管部门按照《职业病防治法》第七十二条规定进行处理：</w:t>
      </w:r>
    </w:p>
    <w:p w14:paraId="438FFAFB">
      <w:pPr>
        <w:widowControl w:val="0"/>
        <w:adjustRightInd/>
        <w:snapToGrid/>
        <w:spacing w:after="0" w:line="420" w:lineRule="exact"/>
        <w:ind w:firstLine="643"/>
        <w:rPr>
          <w:rFonts w:hint="eastAsia" w:ascii="Times New Roman" w:hAnsi="Times New Roman" w:eastAsia="仿宋_GB2312" w:cs="仿宋_GB2312"/>
          <w:bCs/>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（一）未按照规定安排职业病病人</w:t>
      </w:r>
      <w:r>
        <w:rPr>
          <w:rFonts w:hint="eastAsia" w:ascii="Times New Roman" w:hAnsi="Times New Roman" w:eastAsia="仿宋_GB2312" w:cs="仿宋_GB2312"/>
          <w:bCs/>
          <w:color w:val="000000" w:themeColor="text1"/>
          <w:kern w:val="2"/>
          <w:sz w:val="32"/>
          <w:szCs w:val="21"/>
          <w14:textFill>
            <w14:solidFill>
              <w14:schemeClr w14:val="tx1"/>
            </w14:solidFill>
          </w14:textFill>
        </w:rPr>
        <w:t>、疑似职业病病人进行诊治的；</w:t>
      </w:r>
    </w:p>
    <w:p w14:paraId="060F8B1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8587"/>
        <w:gridCol w:w="3871"/>
      </w:tblGrid>
      <w:tr w14:paraId="15A5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76" w:type="dxa"/>
            <w:vAlign w:val="center"/>
          </w:tcPr>
          <w:p w14:paraId="3E29DE6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87" w:type="dxa"/>
            <w:vAlign w:val="center"/>
          </w:tcPr>
          <w:p w14:paraId="25B5AC9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871" w:type="dxa"/>
            <w:vAlign w:val="center"/>
          </w:tcPr>
          <w:p w14:paraId="1A52BA6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0CB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476" w:type="dxa"/>
            <w:vAlign w:val="center"/>
          </w:tcPr>
          <w:p w14:paraId="69FE158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587" w:type="dxa"/>
            <w:vAlign w:val="center"/>
          </w:tcPr>
          <w:p w14:paraId="0D11D15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未按照规定安排职业病病人、疑似职业病病人进行诊治的。</w:t>
            </w:r>
          </w:p>
        </w:tc>
        <w:tc>
          <w:tcPr>
            <w:tcW w:w="3871" w:type="dxa"/>
            <w:vAlign w:val="center"/>
          </w:tcPr>
          <w:p w14:paraId="3B71E1C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6714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76" w:type="dxa"/>
            <w:vAlign w:val="center"/>
          </w:tcPr>
          <w:p w14:paraId="02E957A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587" w:type="dxa"/>
            <w:vAlign w:val="center"/>
          </w:tcPr>
          <w:p w14:paraId="440E1DA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未按照规定安排职业病病人、疑似职业病病人进行诊治，经责令限期改正，逾期不改正，仍存在以上违法情形，涉及职业病病人、疑似职业病病人1例的。</w:t>
            </w:r>
          </w:p>
        </w:tc>
        <w:tc>
          <w:tcPr>
            <w:tcW w:w="3871" w:type="dxa"/>
            <w:vAlign w:val="center"/>
          </w:tcPr>
          <w:p w14:paraId="1194C73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27B2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76" w:type="dxa"/>
            <w:vAlign w:val="center"/>
          </w:tcPr>
          <w:p w14:paraId="7C8D35C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587" w:type="dxa"/>
            <w:vAlign w:val="center"/>
          </w:tcPr>
          <w:p w14:paraId="29F74AB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未按照规定安排职业病病人、疑似职业病病人进行诊治，经责令限期改正，逾期不改正，仍存在以上违法情形，涉及职业病病人、疑似职业病病人2-3例的。</w:t>
            </w:r>
          </w:p>
        </w:tc>
        <w:tc>
          <w:tcPr>
            <w:tcW w:w="3871" w:type="dxa"/>
            <w:vAlign w:val="center"/>
          </w:tcPr>
          <w:p w14:paraId="2C1B948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509F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76" w:type="dxa"/>
            <w:vAlign w:val="center"/>
          </w:tcPr>
          <w:p w14:paraId="053A2C9E">
            <w:pPr>
              <w:widowControl w:val="0"/>
              <w:adjustRightInd/>
              <w:snapToGrid/>
              <w:spacing w:before="0" w:beforeLines="-2147483648" w:after="0" w:line="320" w:lineRule="exact"/>
              <w:jc w:val="center"/>
              <w:rPr>
                <w:rFonts w:hint="eastAsia" w:ascii="Times New Roman" w:hAnsi="Times New Roman" w:eastAsia="仿宋_GB2312" w:cs="仿宋_GB2312"/>
                <w:b/>
                <w:color w:val="000000" w:themeColor="text1"/>
                <w:kern w:val="2"/>
                <w:sz w:val="24"/>
                <w:szCs w:val="24"/>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587" w:type="dxa"/>
            <w:vAlign w:val="center"/>
          </w:tcPr>
          <w:p w14:paraId="4192FCC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未按照规定安排职业病病人、疑似职业病病人进行诊治，经责令限期改正，逾期不改正，仍存在以上违法情形，涉及职业病病人、疑似职业病病人 4例以上的。</w:t>
            </w:r>
          </w:p>
        </w:tc>
        <w:tc>
          <w:tcPr>
            <w:tcW w:w="3871" w:type="dxa"/>
            <w:vAlign w:val="center"/>
          </w:tcPr>
          <w:p w14:paraId="6E4B309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639596B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51" w:name="_Toc17289"/>
      <w:bookmarkStart w:id="6152" w:name="_Toc17902"/>
      <w:bookmarkStart w:id="6153" w:name="_Toc25116"/>
      <w:bookmarkStart w:id="6154" w:name="_Toc25095"/>
      <w:bookmarkStart w:id="6155" w:name="_Toc7011"/>
      <w:bookmarkStart w:id="6156" w:name="_Toc2554"/>
      <w:bookmarkStart w:id="6157" w:name="_Toc27624"/>
      <w:bookmarkStart w:id="6158" w:name="_Toc7386"/>
      <w:bookmarkStart w:id="6159" w:name="_Toc4490"/>
      <w:bookmarkStart w:id="6160" w:name="_Toc4004"/>
      <w:bookmarkStart w:id="6161" w:name="_Toc26689"/>
      <w:r>
        <w:rPr>
          <w:rFonts w:hint="eastAsia" w:ascii="Times New Roman" w:hAnsi="Times New Roman" w:cs="仿宋_GB2312"/>
          <w:bCs/>
          <w:color w:val="000000" w:themeColor="text1"/>
          <w:kern w:val="0"/>
          <w14:textFill>
            <w14:solidFill>
              <w14:schemeClr w14:val="tx1"/>
            </w14:solidFill>
          </w14:textFill>
        </w:rPr>
        <w:t>第四百九十条</w:t>
      </w:r>
      <w:r>
        <w:rPr>
          <w:rFonts w:hint="eastAsia" w:ascii="Times New Roman" w:hAnsi="Times New Roman" w:cs="仿宋_GB2312"/>
          <w:bCs/>
          <w:color w:val="000000" w:themeColor="text1"/>
          <w:kern w:val="0"/>
          <w:szCs w:val="32"/>
          <w14:textFill>
            <w14:solidFill>
              <w14:schemeClr w14:val="tx1"/>
            </w14:solidFill>
          </w14:textFill>
        </w:rPr>
        <w:t xml:space="preserve"> 发生或者可能发生急性职业病危害事故时，未立即采取应急救援和控制措施或者未按照规定及时报告的</w:t>
      </w:r>
      <w:bookmarkEnd w:id="6151"/>
      <w:bookmarkEnd w:id="6152"/>
      <w:bookmarkEnd w:id="6153"/>
      <w:bookmarkEnd w:id="6154"/>
      <w:bookmarkEnd w:id="6155"/>
      <w:bookmarkEnd w:id="6156"/>
      <w:bookmarkEnd w:id="6157"/>
      <w:bookmarkEnd w:id="6158"/>
      <w:bookmarkEnd w:id="6159"/>
      <w:bookmarkEnd w:id="6160"/>
      <w:bookmarkEnd w:id="6161"/>
    </w:p>
    <w:p w14:paraId="7A90BBB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8E30E6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1.《中华人民共和国职业病防治法》第七十二条第（七）项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3A08FF6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（七）发生或者可能发生急性职业病危害事故时，未立即采取应急救援和控制措施或者未按照规定及时报告的；</w:t>
      </w:r>
    </w:p>
    <w:p w14:paraId="34509CC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2.《工作场所职业卫生管理规定》第五十条第（六）项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逾期未改正的，处五万元以上二十万元以下的罚款；情节严重的，责令停止产生职业病危害的作业，或者提请有关人民政府按照国务院规定的权限责令关闭：</w:t>
      </w:r>
    </w:p>
    <w:p w14:paraId="26E869A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（六）发生或者可能发生急性职业病危害事故，未立即采取应急救援和控制措施或者未按照规定及时报告的。</w:t>
      </w:r>
    </w:p>
    <w:p w14:paraId="19223EED">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9055"/>
        <w:gridCol w:w="3460"/>
      </w:tblGrid>
      <w:tr w14:paraId="2733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44" w:type="dxa"/>
            <w:vAlign w:val="center"/>
          </w:tcPr>
          <w:p w14:paraId="19AA8F5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9055" w:type="dxa"/>
            <w:vAlign w:val="center"/>
          </w:tcPr>
          <w:p w14:paraId="7D8A4AB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460" w:type="dxa"/>
            <w:vAlign w:val="center"/>
          </w:tcPr>
          <w:p w14:paraId="06393EA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EB6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444" w:type="dxa"/>
            <w:vAlign w:val="center"/>
          </w:tcPr>
          <w:p w14:paraId="4FADFEC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055" w:type="dxa"/>
            <w:vAlign w:val="center"/>
          </w:tcPr>
          <w:p w14:paraId="270C2AD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发生或者可能发生急性职业病危害事故时，未立即采取应急救援和控制措施或者未按照规定及时报告的。</w:t>
            </w:r>
          </w:p>
        </w:tc>
        <w:tc>
          <w:tcPr>
            <w:tcW w:w="3460" w:type="dxa"/>
            <w:vAlign w:val="center"/>
          </w:tcPr>
          <w:p w14:paraId="2BAA619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3BE9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444" w:type="dxa"/>
            <w:vAlign w:val="center"/>
          </w:tcPr>
          <w:p w14:paraId="29035F0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055" w:type="dxa"/>
            <w:vAlign w:val="center"/>
          </w:tcPr>
          <w:p w14:paraId="73EEEF0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或者可能发生急性职业病危害事故时，未立即采取应急救援和控制措施或者未按照规定及时报告，经警告，逾期不改正，仍存在发生急性职业病危害事故时，采取应急救援和控制措施，而未按照规定及时报告的。</w:t>
            </w:r>
          </w:p>
        </w:tc>
        <w:tc>
          <w:tcPr>
            <w:tcW w:w="3460" w:type="dxa"/>
            <w:vAlign w:val="center"/>
          </w:tcPr>
          <w:p w14:paraId="71AA823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0EC2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444" w:type="dxa"/>
            <w:vAlign w:val="center"/>
          </w:tcPr>
          <w:p w14:paraId="4D7FBC9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055" w:type="dxa"/>
            <w:vAlign w:val="center"/>
          </w:tcPr>
          <w:p w14:paraId="6DE9EF9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或者可能发生急性职业病危害事故时，未立即采取应急救援和控制措施或者未按照规定及时报告，经警告，逾期不改正，仍存在发生急性职业病危害事故时，按照规定及时报告，而未立即采取应急救援和控制措施。</w:t>
            </w:r>
          </w:p>
        </w:tc>
        <w:tc>
          <w:tcPr>
            <w:tcW w:w="3460" w:type="dxa"/>
            <w:vAlign w:val="center"/>
          </w:tcPr>
          <w:p w14:paraId="77C7061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处十万元以上十五万元以下的罚款；责令停止产生职业病危害的作业。</w:t>
            </w:r>
          </w:p>
        </w:tc>
      </w:tr>
      <w:tr w14:paraId="24FB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444" w:type="dxa"/>
            <w:vAlign w:val="center"/>
          </w:tcPr>
          <w:p w14:paraId="6CAB961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9055" w:type="dxa"/>
            <w:vAlign w:val="center"/>
          </w:tcPr>
          <w:p w14:paraId="797F671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发生或者可能发生急性职业病危害事故时，未立即采取应急救援和控制措施或者未按照规定及时报告，经警告，逾期不改正，仍存在可能发生急性职业病危害事故时，未立即采取应急救援和控制措施，且未按照规定及时报告的。</w:t>
            </w:r>
          </w:p>
        </w:tc>
        <w:tc>
          <w:tcPr>
            <w:tcW w:w="3460" w:type="dxa"/>
            <w:vAlign w:val="center"/>
          </w:tcPr>
          <w:p w14:paraId="4569361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处十五万元以上二十万元以下的罚款；责令停止产生职业病危害的作业</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或者提请有关人民政府按照国务院规定的权限责令关闭。</w:t>
            </w:r>
          </w:p>
        </w:tc>
      </w:tr>
    </w:tbl>
    <w:p w14:paraId="67D59F86">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62" w:name="_Toc10943"/>
      <w:bookmarkStart w:id="6163" w:name="_Toc5565"/>
      <w:bookmarkStart w:id="6164" w:name="_Toc13816"/>
      <w:bookmarkStart w:id="6165" w:name="_Toc28043"/>
      <w:bookmarkStart w:id="6166" w:name="_Toc30339"/>
      <w:bookmarkStart w:id="6167" w:name="_Toc21550"/>
      <w:bookmarkStart w:id="6168" w:name="_Toc28060"/>
      <w:bookmarkStart w:id="6169" w:name="_Toc1144"/>
      <w:bookmarkStart w:id="6170" w:name="_Toc26634"/>
      <w:bookmarkStart w:id="6171" w:name="_Toc23138"/>
      <w:bookmarkStart w:id="6172" w:name="_Toc11105"/>
      <w:r>
        <w:rPr>
          <w:rFonts w:hint="eastAsia" w:ascii="Times New Roman" w:hAnsi="Times New Roman" w:cs="仿宋_GB2312"/>
          <w:bCs/>
          <w:color w:val="000000" w:themeColor="text1"/>
          <w:kern w:val="0"/>
          <w14:textFill>
            <w14:solidFill>
              <w14:schemeClr w14:val="tx1"/>
            </w14:solidFill>
          </w14:textFill>
        </w:rPr>
        <w:t>第四百九十一条</w:t>
      </w:r>
      <w:r>
        <w:rPr>
          <w:rFonts w:hint="eastAsia" w:ascii="Times New Roman" w:hAnsi="Times New Roman" w:cs="仿宋_GB2312"/>
          <w:bCs/>
          <w:color w:val="000000" w:themeColor="text1"/>
          <w:kern w:val="0"/>
          <w:szCs w:val="32"/>
          <w14:textFill>
            <w14:solidFill>
              <w14:schemeClr w14:val="tx1"/>
            </w14:solidFill>
          </w14:textFill>
        </w:rPr>
        <w:t xml:space="preserve"> 未按照规定在产生严重职业病危害的作业岗位醒目位置设置警示标识和中文警示说明的</w:t>
      </w:r>
      <w:bookmarkEnd w:id="6162"/>
      <w:bookmarkEnd w:id="6163"/>
      <w:bookmarkEnd w:id="6164"/>
      <w:bookmarkEnd w:id="6165"/>
      <w:bookmarkEnd w:id="6166"/>
      <w:bookmarkEnd w:id="6167"/>
      <w:bookmarkEnd w:id="6168"/>
      <w:bookmarkEnd w:id="6169"/>
      <w:bookmarkEnd w:id="6170"/>
      <w:bookmarkEnd w:id="6171"/>
      <w:bookmarkEnd w:id="6172"/>
    </w:p>
    <w:p w14:paraId="07D2D2E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EC9EA6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1.《中华人民共和国职业病防治法》第七十二条第（八）项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5F8322C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（八）未按照规定在产生严重职业病危害的作业岗位醒目位置设置警示标识和中文警示说明的；</w:t>
      </w:r>
    </w:p>
    <w:p w14:paraId="557B154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2.《使用有毒物品作业场所劳动保护条例》第五十九条第一款第（一）项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条例的规定，有下列情形之一的，由疾病预防控制部门给予警告，责令限期改正；逾期不改正的，处5万元以上20万元以下的罚款；情节严重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14:paraId="4BC84EC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（一）使用有毒物品作业场所未按照规定设置警示标识和中文警示说明的；</w:t>
      </w:r>
    </w:p>
    <w:p w14:paraId="6333F5D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3.《工作场所职业卫生管理规定》第五十条第（七）项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用人单位有下列情形之一的，给予警告，责令限期改正；逾期未改正的，处5万元以上20万元以下的罚款；情节严重的，责令停止产生职业病危害的作业，或者提请有关人民政府按照国务院规定的权限责令关闭：</w:t>
      </w:r>
    </w:p>
    <w:p w14:paraId="66D0C28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（七）未按照规定在产生严重职业病危害的作业岗位醒目位置设置警示标识和中文警示说明的。</w:t>
      </w:r>
    </w:p>
    <w:p w14:paraId="0F43DC4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8977"/>
        <w:gridCol w:w="3430"/>
      </w:tblGrid>
      <w:tr w14:paraId="1D69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431" w:type="dxa"/>
            <w:vAlign w:val="center"/>
          </w:tcPr>
          <w:p w14:paraId="744D23B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977" w:type="dxa"/>
            <w:vAlign w:val="center"/>
          </w:tcPr>
          <w:p w14:paraId="0DA5066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430" w:type="dxa"/>
            <w:vAlign w:val="center"/>
          </w:tcPr>
          <w:p w14:paraId="26DC979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718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31" w:type="dxa"/>
            <w:vAlign w:val="center"/>
          </w:tcPr>
          <w:p w14:paraId="0D3C0A5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977" w:type="dxa"/>
            <w:vAlign w:val="center"/>
          </w:tcPr>
          <w:p w14:paraId="26961AA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未按照规定在产生严重职业病危害的作业岗位醒目位置设置警示标识和中文警示说明的。</w:t>
            </w:r>
          </w:p>
        </w:tc>
        <w:tc>
          <w:tcPr>
            <w:tcW w:w="3430" w:type="dxa"/>
            <w:vAlign w:val="center"/>
          </w:tcPr>
          <w:p w14:paraId="34CC75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3E98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431" w:type="dxa"/>
            <w:vAlign w:val="center"/>
          </w:tcPr>
          <w:p w14:paraId="0D592B0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77" w:type="dxa"/>
            <w:vAlign w:val="center"/>
          </w:tcPr>
          <w:p w14:paraId="45A932F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未按照规定在产生严重职业病危害的作业岗位醒目位置设置警示标识和中文警示说明，经责令限期改正，逾期不改正，仍存在未按照规定在 5处以下产生严重职业病危害的作业岗位醒目位置设置警示标识和中文警示说明的。</w:t>
            </w:r>
          </w:p>
        </w:tc>
        <w:tc>
          <w:tcPr>
            <w:tcW w:w="3430" w:type="dxa"/>
            <w:vAlign w:val="center"/>
          </w:tcPr>
          <w:p w14:paraId="612214B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3B53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31" w:type="dxa"/>
            <w:vAlign w:val="center"/>
          </w:tcPr>
          <w:p w14:paraId="14C42F7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77" w:type="dxa"/>
            <w:vAlign w:val="center"/>
          </w:tcPr>
          <w:p w14:paraId="1A746FA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在产生严重职业病危害的作业岗位醒目位置设置警示标识和中文警示说明，经责令限期改正，逾期不改正，仍存在未按照规定在6-10处产生严重职业病危害的作业岗位醒目位置设置警示标识和中文警示说明的。</w:t>
            </w:r>
          </w:p>
        </w:tc>
        <w:tc>
          <w:tcPr>
            <w:tcW w:w="3430" w:type="dxa"/>
            <w:vAlign w:val="center"/>
          </w:tcPr>
          <w:p w14:paraId="24589D3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613A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1431" w:type="dxa"/>
            <w:vAlign w:val="center"/>
          </w:tcPr>
          <w:p w14:paraId="5B14116C">
            <w:pPr>
              <w:widowControl w:val="0"/>
              <w:adjustRightInd/>
              <w:snapToGrid/>
              <w:spacing w:before="0" w:beforeLines="-2147483648" w:after="0" w:line="320" w:lineRule="exact"/>
              <w:jc w:val="center"/>
              <w:rPr>
                <w:rFonts w:hint="eastAsia" w:ascii="Times New Roman" w:hAnsi="Times New Roman" w:eastAsia="仿宋_GB2312" w:cs="仿宋_GB2312"/>
                <w:b/>
                <w:color w:val="000000" w:themeColor="text1"/>
                <w:kern w:val="2"/>
                <w:sz w:val="24"/>
                <w:szCs w:val="24"/>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77" w:type="dxa"/>
            <w:vAlign w:val="center"/>
          </w:tcPr>
          <w:p w14:paraId="50D063A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未按照规定在产生严重职业病危害的作业岗位醒目位置设置警示标识和中文警示说明，经责令限期改正，逾期不改正，仍存在未按照规定在 11处以上产生严重职业病危害的作业岗位醒目位置设置警示标识和中文警示说明的。</w:t>
            </w:r>
          </w:p>
        </w:tc>
        <w:tc>
          <w:tcPr>
            <w:tcW w:w="3430" w:type="dxa"/>
            <w:vAlign w:val="center"/>
          </w:tcPr>
          <w:p w14:paraId="2A7E5AE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0992B0D2">
      <w:pPr>
        <w:pStyle w:val="4"/>
        <w:widowControl w:val="0"/>
        <w:spacing w:line="450" w:lineRule="exact"/>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73" w:name="_Toc31955"/>
      <w:bookmarkStart w:id="6174" w:name="_Toc24021"/>
      <w:bookmarkStart w:id="6175" w:name="_Toc14492"/>
      <w:bookmarkStart w:id="6176" w:name="_Toc3118"/>
      <w:bookmarkStart w:id="6177" w:name="_Toc1249"/>
      <w:bookmarkStart w:id="6178" w:name="_Toc23145"/>
      <w:bookmarkStart w:id="6179" w:name="_Toc9385"/>
      <w:bookmarkStart w:id="6180" w:name="_Toc31202"/>
      <w:bookmarkStart w:id="6181" w:name="_Toc2715"/>
      <w:bookmarkStart w:id="6182" w:name="_Toc27700"/>
      <w:bookmarkStart w:id="6183" w:name="_Toc3504"/>
      <w:r>
        <w:rPr>
          <w:rFonts w:hint="eastAsia" w:ascii="Times New Roman" w:hAnsi="Times New Roman" w:cs="仿宋_GB2312"/>
          <w:bCs/>
          <w:color w:val="000000" w:themeColor="text1"/>
          <w:kern w:val="0"/>
          <w14:textFill>
            <w14:solidFill>
              <w14:schemeClr w14:val="tx1"/>
            </w14:solidFill>
          </w14:textFill>
        </w:rPr>
        <w:t>第四百九十二条</w:t>
      </w:r>
      <w:r>
        <w:rPr>
          <w:rFonts w:hint="eastAsia" w:ascii="Times New Roman" w:hAnsi="Times New Roman" w:cs="仿宋_GB2312"/>
          <w:bCs/>
          <w:color w:val="000000" w:themeColor="text1"/>
          <w:kern w:val="0"/>
          <w:szCs w:val="32"/>
          <w14:textFill>
            <w14:solidFill>
              <w14:schemeClr w14:val="tx1"/>
            </w14:solidFill>
          </w14:textFill>
        </w:rPr>
        <w:t xml:space="preserve"> 用人单位拒绝职业卫生监督管理部门监督检查的</w:t>
      </w:r>
      <w:bookmarkEnd w:id="6173"/>
      <w:bookmarkEnd w:id="6174"/>
      <w:bookmarkEnd w:id="6175"/>
      <w:bookmarkEnd w:id="6176"/>
      <w:bookmarkEnd w:id="6177"/>
      <w:bookmarkEnd w:id="6178"/>
      <w:bookmarkEnd w:id="6179"/>
      <w:bookmarkEnd w:id="6180"/>
      <w:bookmarkEnd w:id="6181"/>
      <w:bookmarkEnd w:id="6182"/>
      <w:bookmarkEnd w:id="6183"/>
    </w:p>
    <w:p w14:paraId="4A239C8B">
      <w:pPr>
        <w:widowControl w:val="0"/>
        <w:adjustRightInd/>
        <w:snapToGrid/>
        <w:spacing w:after="0" w:line="45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F15DF37">
      <w:pPr>
        <w:widowControl w:val="0"/>
        <w:adjustRightInd/>
        <w:snapToGrid/>
        <w:spacing w:after="0" w:line="45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1.《中华人民共和国职业病防治法》第七十二条第（九）项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36CF029B">
      <w:pPr>
        <w:widowControl w:val="0"/>
        <w:adjustRightInd/>
        <w:snapToGrid/>
        <w:spacing w:after="0" w:line="45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（九）拒绝职业卫生监督管理部门监督检查的；</w:t>
      </w:r>
    </w:p>
    <w:p w14:paraId="3D32BD3B">
      <w:pPr>
        <w:widowControl w:val="0"/>
        <w:adjustRightInd/>
        <w:snapToGrid/>
        <w:spacing w:after="0" w:line="45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2.《工作场所职业卫生管理规定》第五十条第（八）项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用人单位有下列情形之一的，给予警告，责令限期改正；逾期未改正的，处 5万元以上 20 万元以下的罚款；情节严重的，责令停止产生职业病危害的作业，或者提请有关人民政府按照国务院规定的权限责令关闭：</w:t>
      </w:r>
    </w:p>
    <w:p w14:paraId="1E19022E">
      <w:pPr>
        <w:widowControl w:val="0"/>
        <w:adjustRightInd/>
        <w:snapToGrid/>
        <w:spacing w:after="0" w:line="45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（八）拒绝安全生产监督管理部门监督检查的。</w:t>
      </w:r>
    </w:p>
    <w:p w14:paraId="20F919AB">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9196"/>
        <w:gridCol w:w="3512"/>
      </w:tblGrid>
      <w:tr w14:paraId="2E74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66" w:type="dxa"/>
            <w:vAlign w:val="center"/>
          </w:tcPr>
          <w:p w14:paraId="558EBCE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9196" w:type="dxa"/>
            <w:vAlign w:val="center"/>
          </w:tcPr>
          <w:p w14:paraId="7362A58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512" w:type="dxa"/>
            <w:vAlign w:val="center"/>
          </w:tcPr>
          <w:p w14:paraId="03A2574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C4F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66" w:type="dxa"/>
            <w:vAlign w:val="center"/>
          </w:tcPr>
          <w:p w14:paraId="7B329FB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196" w:type="dxa"/>
            <w:vAlign w:val="center"/>
          </w:tcPr>
          <w:p w14:paraId="19A7375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用人单位拒绝职业卫生监督管理部门监督检查的。</w:t>
            </w:r>
          </w:p>
        </w:tc>
        <w:tc>
          <w:tcPr>
            <w:tcW w:w="3512" w:type="dxa"/>
            <w:vAlign w:val="center"/>
          </w:tcPr>
          <w:p w14:paraId="29DC1C16">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18F4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466" w:type="dxa"/>
            <w:vAlign w:val="center"/>
          </w:tcPr>
          <w:p w14:paraId="6BF4FF7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196" w:type="dxa"/>
            <w:vAlign w:val="center"/>
          </w:tcPr>
          <w:p w14:paraId="0A96742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用人单位拒绝职业卫生监督管理部门监督检查，经责令限期改正，逾期不改正，仍存在不予配合、消极抵制职业卫生监督管理部门监督检查的。</w:t>
            </w:r>
          </w:p>
        </w:tc>
        <w:tc>
          <w:tcPr>
            <w:tcW w:w="3512" w:type="dxa"/>
            <w:vAlign w:val="center"/>
          </w:tcPr>
          <w:p w14:paraId="6FADB20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16BE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466" w:type="dxa"/>
            <w:vAlign w:val="center"/>
          </w:tcPr>
          <w:p w14:paraId="1F211B6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196" w:type="dxa"/>
            <w:vAlign w:val="center"/>
          </w:tcPr>
          <w:p w14:paraId="4597A24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用人单位拒绝职业卫生监督管理部门监督检查，经责令限期改正，逾期不改正，仍存在以主动方式（吵闹、谩骂等）阻碍职业卫生监督管理部门监督检查的。</w:t>
            </w:r>
          </w:p>
        </w:tc>
        <w:tc>
          <w:tcPr>
            <w:tcW w:w="3512" w:type="dxa"/>
            <w:vAlign w:val="center"/>
          </w:tcPr>
          <w:p w14:paraId="1CE570F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r>
      <w:tr w14:paraId="4D61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66" w:type="dxa"/>
            <w:vAlign w:val="center"/>
          </w:tcPr>
          <w:p w14:paraId="78F85AF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196" w:type="dxa"/>
            <w:vAlign w:val="center"/>
          </w:tcPr>
          <w:p w14:paraId="1AD2E1F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用人单位拒绝职业卫生监督管理部门监督检查，经责令限期改正，逾期不改正，仍存在以暴力手段拒绝职业卫生监督检查，对执法人员造成健康损害的。</w:t>
            </w:r>
          </w:p>
        </w:tc>
        <w:tc>
          <w:tcPr>
            <w:tcW w:w="3512" w:type="dxa"/>
            <w:vAlign w:val="center"/>
          </w:tcPr>
          <w:p w14:paraId="57E3DB7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5F050575">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84" w:name="_Toc29710"/>
      <w:bookmarkStart w:id="6185" w:name="_Toc31775"/>
      <w:bookmarkStart w:id="6186" w:name="_Toc2912"/>
      <w:bookmarkStart w:id="6187" w:name="_Toc5915"/>
      <w:bookmarkStart w:id="6188" w:name="_Toc4125"/>
      <w:bookmarkStart w:id="6189" w:name="_Toc26497"/>
      <w:bookmarkStart w:id="6190" w:name="_Toc20473"/>
      <w:bookmarkStart w:id="6191" w:name="_Toc19018"/>
      <w:bookmarkStart w:id="6192" w:name="_Toc27529"/>
      <w:bookmarkStart w:id="6193" w:name="_Toc6879"/>
      <w:bookmarkStart w:id="6194" w:name="_Toc10361"/>
      <w:r>
        <w:rPr>
          <w:rFonts w:hint="eastAsia" w:ascii="Times New Roman" w:hAnsi="Times New Roman" w:cs="仿宋_GB2312"/>
          <w:bCs/>
          <w:color w:val="000000" w:themeColor="text1"/>
          <w:kern w:val="0"/>
          <w14:textFill>
            <w14:solidFill>
              <w14:schemeClr w14:val="tx1"/>
            </w14:solidFill>
          </w14:textFill>
        </w:rPr>
        <w:t>第四百九十三条</w:t>
      </w:r>
      <w:r>
        <w:rPr>
          <w:rFonts w:hint="eastAsia" w:ascii="Times New Roman" w:hAnsi="Times New Roman" w:cs="仿宋_GB2312"/>
          <w:bCs/>
          <w:color w:val="000000" w:themeColor="text1"/>
          <w:kern w:val="0"/>
          <w:szCs w:val="32"/>
          <w14:textFill>
            <w14:solidFill>
              <w14:schemeClr w14:val="tx1"/>
            </w14:solidFill>
          </w14:textFill>
        </w:rPr>
        <w:t xml:space="preserve"> 隐瞒、伪造、篡改、毁损职业健康监护档案、工作场所职业病危害因素检测评价结果等相关资料，或者拒不提供职业病诊断、鉴定所需资料的</w:t>
      </w:r>
      <w:bookmarkEnd w:id="6184"/>
      <w:bookmarkEnd w:id="6185"/>
      <w:bookmarkEnd w:id="6186"/>
      <w:bookmarkEnd w:id="6187"/>
      <w:bookmarkEnd w:id="6188"/>
      <w:bookmarkEnd w:id="6189"/>
      <w:bookmarkEnd w:id="6190"/>
      <w:bookmarkEnd w:id="6191"/>
      <w:bookmarkEnd w:id="6192"/>
      <w:bookmarkEnd w:id="6193"/>
      <w:bookmarkEnd w:id="6194"/>
    </w:p>
    <w:p w14:paraId="4822489C">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9295014">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1.《中华人民共和国职业病防治法》第七十二条第（十）项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4B9342D3">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（十）隐瞒、伪造、篡改、毁损职业健康监护档案、工作场所职业病危害因素检测评价结果等相关资料，或者拒不提供职业病诊断、鉴定所需资料的；</w:t>
      </w:r>
    </w:p>
    <w:p w14:paraId="19BE77BB">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2.《工作场所职业卫生管理规定》第五十条第（九）项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用人单位有下列情形之一的，给予警告，责令限期改正；逾期未改正的，处5万元以上20万元以下的罚款；情节严重的，责令停止产生职业病危害的作业，或者提请有关人民政府按照国务院规定的权限责令关闭：</w:t>
      </w:r>
    </w:p>
    <w:p w14:paraId="3B9342F8">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（九）隐瞒、伪造、篡改、毁损职业健康监护档案、工作场所职业病危害因素检测评价结果等相关资料，或者不提供职业病诊断、鉴定所需要资料的；</w:t>
      </w:r>
    </w:p>
    <w:p w14:paraId="28AF80B9">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3.《用人单位职业健康监护监督管理办法》第二十八条第（二）项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用人单位有下列情形之一的，给予警告，责令限期改正，逾期不改正的，处5万元以上20万元以下的罚款；情节严重的，责令停止产生职业病危害的作业，或者提请有关人民政府按照国务院规定的权限责令关闭：</w:t>
      </w:r>
    </w:p>
    <w:p w14:paraId="01CA24F8">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（二）隐瞒、伪造、篡改、损毁职业健康监护档案等相关资料，或者拒不提供职业病诊断、鉴定所需资料的。</w:t>
      </w:r>
    </w:p>
    <w:p w14:paraId="25A0EDAB">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4.《职业病诊断与鉴定管理办法》第六十条第（二）项  用人单位有下列行为之一的，由县级以上地方卫生健康主管部门按照《职业病防治法》第七十二条规定进行处理：</w:t>
      </w:r>
    </w:p>
    <w:p w14:paraId="3A385440">
      <w:pPr>
        <w:widowControl w:val="0"/>
        <w:adjustRightInd/>
        <w:snapToGrid/>
        <w:spacing w:after="0" w:line="420" w:lineRule="exact"/>
        <w:ind w:firstLine="641"/>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（二）拒不提供职业病诊断、鉴定所需资料的；</w:t>
      </w:r>
    </w:p>
    <w:p w14:paraId="059F8425">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9350"/>
        <w:gridCol w:w="2986"/>
      </w:tblGrid>
      <w:tr w14:paraId="6D87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dxa"/>
            <w:vAlign w:val="center"/>
          </w:tcPr>
          <w:p w14:paraId="2F3EA3C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9350" w:type="dxa"/>
            <w:vAlign w:val="center"/>
          </w:tcPr>
          <w:p w14:paraId="33A1949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2986" w:type="dxa"/>
            <w:vAlign w:val="center"/>
          </w:tcPr>
          <w:p w14:paraId="4B32D3B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C4B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23" w:type="dxa"/>
            <w:vAlign w:val="center"/>
          </w:tcPr>
          <w:p w14:paraId="19708D6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350" w:type="dxa"/>
            <w:vAlign w:val="center"/>
          </w:tcPr>
          <w:p w14:paraId="08ACA66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隐瞒、伪造、篡改、毁损职业健康监护档案、工作场所职业病危害因素检测评价结果等相关资料，或者拒不提供职业病诊断、鉴定所需资料的。</w:t>
            </w:r>
          </w:p>
        </w:tc>
        <w:tc>
          <w:tcPr>
            <w:tcW w:w="2986" w:type="dxa"/>
            <w:vAlign w:val="center"/>
          </w:tcPr>
          <w:p w14:paraId="3C51B52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0E05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23" w:type="dxa"/>
            <w:vAlign w:val="center"/>
          </w:tcPr>
          <w:p w14:paraId="59EC9F7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350" w:type="dxa"/>
            <w:vAlign w:val="center"/>
          </w:tcPr>
          <w:p w14:paraId="092BC16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隐瞒、伪造、篡改、毁损职业健康监护档案、工作场所职业病危害因素检测评价结果等相关资料，或者拒不提供职业病诊断、鉴定所需资料，经责令限期改正，逾期不改正，仍存在隐瞒、伪造、篡改、损毁职业健康监护档案、工作场所职业病危害因素检测评价结果等相关资料 1 份，或者拒不提供职业病诊断、鉴定所需资料 1 份的。</w:t>
            </w:r>
          </w:p>
        </w:tc>
        <w:tc>
          <w:tcPr>
            <w:tcW w:w="2986" w:type="dxa"/>
            <w:vAlign w:val="center"/>
          </w:tcPr>
          <w:p w14:paraId="350EB86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42D3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23" w:type="dxa"/>
            <w:vAlign w:val="center"/>
          </w:tcPr>
          <w:p w14:paraId="4E0A853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350" w:type="dxa"/>
            <w:vAlign w:val="center"/>
          </w:tcPr>
          <w:p w14:paraId="275907C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隐瞒、伪造、篡改、毁损职业健康监护档案、工作场所职业病危害因素检测评价结果等相关资料，或者拒不提供职业病诊断、鉴定所需资料，经责令限期改正，逾期不改正，仍存在隐瞒、伪造、篡改、损毁职业健康监护档案、工作场所职业病危害因素检测评价结果等相关资料 2 份，或者拒不提供职业病诊断、鉴定所需资料 2 份的。</w:t>
            </w:r>
          </w:p>
        </w:tc>
        <w:tc>
          <w:tcPr>
            <w:tcW w:w="2986" w:type="dxa"/>
            <w:vAlign w:val="center"/>
          </w:tcPr>
          <w:p w14:paraId="258885D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0DE9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23" w:type="dxa"/>
            <w:vAlign w:val="center"/>
          </w:tcPr>
          <w:p w14:paraId="129DAED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350" w:type="dxa"/>
            <w:vAlign w:val="center"/>
          </w:tcPr>
          <w:p w14:paraId="155DE6D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隐瞒、伪造、篡改、毁损职业健康监护档案、工作场所职业病危害因素检测评价结果等相关资料，或者拒不提供职业病诊断、鉴定所需资料，经责令限期改正，逾期不改正，仍存在隐瞒、伪造、篡改、损毁职业健康监护档案、工作场所职业病危害因素检测评价结果等相关资料 3 份以上，或者拒不提供职业病诊断、鉴定所需资料 3份以上的。</w:t>
            </w:r>
          </w:p>
        </w:tc>
        <w:tc>
          <w:tcPr>
            <w:tcW w:w="2986" w:type="dxa"/>
            <w:vAlign w:val="center"/>
          </w:tcPr>
          <w:p w14:paraId="0873EE6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423C7722">
      <w:pPr>
        <w:pStyle w:val="4"/>
        <w:widowControl w:val="0"/>
        <w:spacing w:line="470" w:lineRule="exact"/>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195" w:name="_Toc11545"/>
      <w:bookmarkStart w:id="6196" w:name="_Toc17368"/>
      <w:bookmarkStart w:id="6197" w:name="_Toc11271"/>
      <w:bookmarkStart w:id="6198" w:name="_Toc23214"/>
      <w:bookmarkStart w:id="6199" w:name="_Toc31827"/>
      <w:bookmarkStart w:id="6200" w:name="_Toc22561"/>
      <w:bookmarkStart w:id="6201" w:name="_Toc22698"/>
      <w:bookmarkStart w:id="6202" w:name="_Toc23769"/>
      <w:bookmarkStart w:id="6203" w:name="_Toc19505"/>
      <w:bookmarkStart w:id="6204" w:name="_Toc31161"/>
      <w:bookmarkStart w:id="6205" w:name="_Toc18300"/>
      <w:r>
        <w:rPr>
          <w:rFonts w:hint="eastAsia" w:ascii="Times New Roman" w:hAnsi="Times New Roman" w:cs="仿宋_GB2312"/>
          <w:bCs/>
          <w:color w:val="000000" w:themeColor="text1"/>
          <w:kern w:val="0"/>
          <w14:textFill>
            <w14:solidFill>
              <w14:schemeClr w14:val="tx1"/>
            </w14:solidFill>
          </w14:textFill>
        </w:rPr>
        <w:t>第四百九十四条</w:t>
      </w:r>
      <w:r>
        <w:rPr>
          <w:rFonts w:hint="eastAsia" w:ascii="Times New Roman" w:hAnsi="Times New Roman" w:cs="仿宋_GB2312"/>
          <w:bCs/>
          <w:color w:val="000000" w:themeColor="text1"/>
          <w:kern w:val="0"/>
          <w:szCs w:val="32"/>
          <w14:textFill>
            <w14:solidFill>
              <w14:schemeClr w14:val="tx1"/>
            </w14:solidFill>
          </w14:textFill>
        </w:rPr>
        <w:t xml:space="preserve"> 按照规定承担职业病诊断、鉴定费用和职业病病人的医疗、生活保障费用的</w:t>
      </w:r>
      <w:bookmarkEnd w:id="6195"/>
      <w:bookmarkEnd w:id="6196"/>
      <w:bookmarkEnd w:id="6197"/>
      <w:bookmarkEnd w:id="6198"/>
      <w:bookmarkEnd w:id="6199"/>
      <w:bookmarkEnd w:id="6200"/>
      <w:bookmarkEnd w:id="6201"/>
      <w:bookmarkEnd w:id="6202"/>
      <w:bookmarkEnd w:id="6203"/>
      <w:bookmarkEnd w:id="6204"/>
      <w:bookmarkEnd w:id="6205"/>
    </w:p>
    <w:p w14:paraId="06A7C1C3">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73248D5">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1.《中华人民共和国职业病防治法》第七十二条第（十一）项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1377E012">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（十一）未按照规定承担职业病诊断、鉴定费用和职业病病人的医疗、生活保障费用的；</w:t>
      </w:r>
    </w:p>
    <w:p w14:paraId="2E358CF8">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2.《工作场所职业卫生管理规定》第五十条第（十）项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用人单位有下列情形之一的，给予警告，责令限期改正；逾期未改正的，处 5万元以上 20 万元以下的罚款；情节严重的，责令停止产生职业病危害的作业，或者提请有关人民政府按照国务院规定的权限责令关闭：</w:t>
      </w:r>
    </w:p>
    <w:p w14:paraId="2FEEFEE6">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（十）未按照规定承担职业病诊断、鉴定费用和职业病病人的医疗、生活保障费用的。</w:t>
      </w:r>
    </w:p>
    <w:p w14:paraId="0AD24C95">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3.《职业病诊断与鉴定管理办法》第六十条第（三）项  用人单位有下列行为之一的，由县级以上地方卫生健康主管部门按照《职业病防治法》第七十二条规定进行处理：</w:t>
      </w:r>
    </w:p>
    <w:p w14:paraId="12F3203D">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（三）未按照规定承担职业病诊断、鉴定费用。</w:t>
      </w:r>
    </w:p>
    <w:p w14:paraId="56051E3B">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8939"/>
        <w:gridCol w:w="3415"/>
      </w:tblGrid>
      <w:tr w14:paraId="74B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4" w:type="dxa"/>
            <w:vAlign w:val="center"/>
          </w:tcPr>
          <w:p w14:paraId="6D4C1FA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939" w:type="dxa"/>
            <w:vAlign w:val="center"/>
          </w:tcPr>
          <w:p w14:paraId="352B474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415" w:type="dxa"/>
            <w:vAlign w:val="center"/>
          </w:tcPr>
          <w:p w14:paraId="444F3C0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BDD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424" w:type="dxa"/>
            <w:vAlign w:val="center"/>
          </w:tcPr>
          <w:p w14:paraId="1DFEC86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939" w:type="dxa"/>
            <w:vAlign w:val="center"/>
          </w:tcPr>
          <w:p w14:paraId="0C9DF11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未按照规定承担职业病诊断、鉴定费用和职业病病人的医疗、生活保障费用的。</w:t>
            </w:r>
          </w:p>
        </w:tc>
        <w:tc>
          <w:tcPr>
            <w:tcW w:w="3415" w:type="dxa"/>
            <w:vAlign w:val="center"/>
          </w:tcPr>
          <w:p w14:paraId="7CEF4A2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11C3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424" w:type="dxa"/>
            <w:vAlign w:val="center"/>
          </w:tcPr>
          <w:p w14:paraId="733AE4A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39" w:type="dxa"/>
            <w:vAlign w:val="center"/>
          </w:tcPr>
          <w:p w14:paraId="685F73C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未按照规定承担职业病诊断、鉴定费用和职业病病人的医疗、生活保障费用，经责令限期改正，逾期不改正，仍存在以上违法情形，涉及劳动者 2 人以下的。</w:t>
            </w:r>
          </w:p>
        </w:tc>
        <w:tc>
          <w:tcPr>
            <w:tcW w:w="3415" w:type="dxa"/>
            <w:vAlign w:val="center"/>
          </w:tcPr>
          <w:p w14:paraId="0C3E883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4C66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424" w:type="dxa"/>
            <w:vAlign w:val="center"/>
          </w:tcPr>
          <w:p w14:paraId="52D32F7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39" w:type="dxa"/>
            <w:vAlign w:val="center"/>
          </w:tcPr>
          <w:p w14:paraId="0BAAC72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未按照规定承担职业病诊断、鉴定费用和职业病病人的医疗、生活保障费用，经责令限期改正，逾期不改正，仍存在以上违法情形，涉及劳动者 3-6 人的。</w:t>
            </w:r>
          </w:p>
        </w:tc>
        <w:tc>
          <w:tcPr>
            <w:tcW w:w="3415" w:type="dxa"/>
            <w:vAlign w:val="center"/>
          </w:tcPr>
          <w:p w14:paraId="7A111CE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5331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424" w:type="dxa"/>
            <w:vAlign w:val="center"/>
          </w:tcPr>
          <w:p w14:paraId="69BAC22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39" w:type="dxa"/>
            <w:vAlign w:val="center"/>
          </w:tcPr>
          <w:p w14:paraId="221EB49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未按照规定承担职业病诊断、鉴定费用和职业病病人的医疗、生活保障费用，经责令限期改正，逾期不改正，仍存在以上违法情形，涉及劳动者 7 人以上的。</w:t>
            </w:r>
          </w:p>
        </w:tc>
        <w:tc>
          <w:tcPr>
            <w:tcW w:w="3415" w:type="dxa"/>
            <w:vAlign w:val="center"/>
          </w:tcPr>
          <w:p w14:paraId="4A0F826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722D6CD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206" w:name="_Toc18742"/>
      <w:bookmarkStart w:id="6207" w:name="_Toc3791"/>
      <w:bookmarkStart w:id="6208" w:name="_Toc679"/>
      <w:bookmarkStart w:id="6209" w:name="_Toc20281"/>
      <w:bookmarkStart w:id="6210" w:name="_Toc1935"/>
      <w:bookmarkStart w:id="6211" w:name="_Toc26916"/>
      <w:bookmarkStart w:id="6212" w:name="_Toc21678"/>
      <w:bookmarkStart w:id="6213" w:name="_Toc8552"/>
      <w:bookmarkStart w:id="6214" w:name="_Toc20527"/>
      <w:bookmarkStart w:id="6215" w:name="_Toc32133"/>
      <w:bookmarkStart w:id="6216" w:name="_Toc164"/>
      <w:r>
        <w:rPr>
          <w:rFonts w:hint="eastAsia" w:ascii="Times New Roman" w:hAnsi="Times New Roman" w:cs="仿宋_GB2312"/>
          <w:bCs/>
          <w:color w:val="000000" w:themeColor="text1"/>
          <w:kern w:val="0"/>
          <w14:textFill>
            <w14:solidFill>
              <w14:schemeClr w14:val="tx1"/>
            </w14:solidFill>
          </w14:textFill>
        </w:rPr>
        <w:t>第四百九十五条</w:t>
      </w:r>
      <w:r>
        <w:rPr>
          <w:rFonts w:hint="eastAsia" w:ascii="Times New Roman" w:hAnsi="Times New Roman" w:cs="仿宋_GB2312"/>
          <w:bCs/>
          <w:color w:val="000000" w:themeColor="text1"/>
          <w:kern w:val="0"/>
          <w:szCs w:val="32"/>
          <w14:textFill>
            <w14:solidFill>
              <w14:schemeClr w14:val="tx1"/>
            </w14:solidFill>
          </w14:textFill>
        </w:rPr>
        <w:t xml:space="preserve"> 向用人单位提供可能产生职业病危害的设备、材料，未按照规定提供中文说明书或者设置警示标识和中文警示说明的</w:t>
      </w:r>
      <w:bookmarkEnd w:id="6206"/>
      <w:bookmarkEnd w:id="6207"/>
      <w:bookmarkEnd w:id="6208"/>
      <w:bookmarkEnd w:id="6209"/>
      <w:bookmarkEnd w:id="6210"/>
      <w:bookmarkEnd w:id="6211"/>
      <w:bookmarkEnd w:id="6212"/>
      <w:bookmarkEnd w:id="6213"/>
      <w:bookmarkEnd w:id="6214"/>
      <w:bookmarkEnd w:id="6215"/>
      <w:bookmarkEnd w:id="6216"/>
    </w:p>
    <w:p w14:paraId="0EEDAEC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10A193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1.《中华人民共和国职业病防治法》第七十三条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 xml:space="preserve">向用人单位提供可能产生职业病危害的设备、材料，未按照规定提供中文说明书或者设置警示标识和中文警示说明的，由卫生行政部门责令限期改正，给予警告，并处五万元以上二十万元以下的罚款。 </w:t>
      </w:r>
    </w:p>
    <w:p w14:paraId="22A230C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2.《工作场所职业卫生管理规定》第五十三条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向用人单位提供可能产生职业病危害的设备或者材料，未按照规定提供中文说明书或者设置警示标识和中文警示说明的，责令限期改正，给予警告，并处五万元以上二十万元以下的罚款。</w:t>
      </w:r>
    </w:p>
    <w:p w14:paraId="31E8411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8634"/>
        <w:gridCol w:w="3773"/>
      </w:tblGrid>
      <w:tr w14:paraId="24AF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431" w:type="dxa"/>
            <w:vAlign w:val="center"/>
          </w:tcPr>
          <w:p w14:paraId="6AB81B2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634" w:type="dxa"/>
            <w:vAlign w:val="center"/>
          </w:tcPr>
          <w:p w14:paraId="43AC410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773" w:type="dxa"/>
            <w:vAlign w:val="center"/>
          </w:tcPr>
          <w:p w14:paraId="3F83F88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37B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31" w:type="dxa"/>
            <w:vAlign w:val="center"/>
          </w:tcPr>
          <w:p w14:paraId="4202A2D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634" w:type="dxa"/>
            <w:vAlign w:val="center"/>
          </w:tcPr>
          <w:p w14:paraId="261BFC6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向用人单位提供3种以下可能产生职业病危害的设备、材料，未按照规定提供中文说明书或者设置警示标识和中文警示说明的。</w:t>
            </w:r>
          </w:p>
        </w:tc>
        <w:tc>
          <w:tcPr>
            <w:tcW w:w="3773" w:type="dxa"/>
            <w:vAlign w:val="center"/>
          </w:tcPr>
          <w:p w14:paraId="01846BE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责令限期改正，给予警告，并处五万元以上十万元以下的罚款。</w:t>
            </w:r>
          </w:p>
        </w:tc>
      </w:tr>
      <w:tr w14:paraId="3354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31" w:type="dxa"/>
            <w:vAlign w:val="center"/>
          </w:tcPr>
          <w:p w14:paraId="33E9EA4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634" w:type="dxa"/>
            <w:vAlign w:val="center"/>
          </w:tcPr>
          <w:p w14:paraId="6D68DA9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向用人单位提供4种以上6种以下可能产生职业病危害的设备、材料，未按照规定提供中文说明书或者设置警示标识和中文警示说明的。</w:t>
            </w:r>
          </w:p>
        </w:tc>
        <w:tc>
          <w:tcPr>
            <w:tcW w:w="3773" w:type="dxa"/>
            <w:vAlign w:val="center"/>
          </w:tcPr>
          <w:p w14:paraId="157F68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责令限期改正，给予警告，并处十万元以上十五万元以下的罚款。</w:t>
            </w:r>
          </w:p>
        </w:tc>
      </w:tr>
      <w:tr w14:paraId="3952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31" w:type="dxa"/>
            <w:vAlign w:val="center"/>
          </w:tcPr>
          <w:p w14:paraId="4FEDE719">
            <w:pPr>
              <w:widowControl w:val="0"/>
              <w:adjustRightInd/>
              <w:snapToGrid/>
              <w:spacing w:before="0" w:beforeLines="-2147483648" w:after="0" w:line="320" w:lineRule="exact"/>
              <w:jc w:val="center"/>
              <w:rPr>
                <w:rFonts w:hint="eastAsia" w:ascii="Times New Roman" w:hAnsi="Times New Roman" w:eastAsia="仿宋_GB2312" w:cs="仿宋_GB2312"/>
                <w:b/>
                <w:color w:val="000000" w:themeColor="text1"/>
                <w:kern w:val="2"/>
                <w:sz w:val="24"/>
                <w:szCs w:val="24"/>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634" w:type="dxa"/>
            <w:vAlign w:val="center"/>
          </w:tcPr>
          <w:p w14:paraId="493CD1C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向用人单位提供7种以上可能产生职业病危害的设备、材料，未按照规定提供中文说明书或者设置警示标识和中文警示说明，或者造成危害后果的。</w:t>
            </w:r>
          </w:p>
        </w:tc>
        <w:tc>
          <w:tcPr>
            <w:tcW w:w="3773" w:type="dxa"/>
            <w:vAlign w:val="center"/>
          </w:tcPr>
          <w:p w14:paraId="5B583C8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责令限期改正，给予警告，并处十五万元以上二十万元以下的罚款。</w:t>
            </w:r>
          </w:p>
        </w:tc>
      </w:tr>
    </w:tbl>
    <w:p w14:paraId="6D49281B">
      <w:pPr>
        <w:pStyle w:val="4"/>
        <w:widowControl w:val="0"/>
        <w:ind w:firstLine="640"/>
        <w:jc w:val="both"/>
        <w:rPr>
          <w:rFonts w:hint="eastAsia" w:ascii="Times New Roman" w:hAnsi="Times New Roman" w:cs="仿宋_GB2312"/>
          <w:bCs/>
          <w:color w:val="000000" w:themeColor="text1"/>
          <w:spacing w:val="-6"/>
          <w:kern w:val="0"/>
          <w:szCs w:val="32"/>
          <w14:textFill>
            <w14:solidFill>
              <w14:schemeClr w14:val="tx1"/>
            </w14:solidFill>
          </w14:textFill>
        </w:rPr>
      </w:pPr>
      <w:bookmarkStart w:id="6217" w:name="_Toc3534"/>
      <w:bookmarkStart w:id="6218" w:name="_Toc29106"/>
      <w:bookmarkStart w:id="6219" w:name="_Toc16752"/>
      <w:bookmarkStart w:id="6220" w:name="_Toc18279"/>
      <w:bookmarkStart w:id="6221" w:name="_Toc6485"/>
      <w:bookmarkStart w:id="6222" w:name="_Toc20355"/>
      <w:bookmarkStart w:id="6223" w:name="_Toc17478"/>
      <w:bookmarkStart w:id="6224" w:name="_Toc9200"/>
      <w:bookmarkStart w:id="6225" w:name="_Toc2136"/>
      <w:bookmarkStart w:id="6226" w:name="_Toc2675"/>
      <w:bookmarkStart w:id="6227" w:name="_Toc15466"/>
      <w:r>
        <w:rPr>
          <w:rFonts w:hint="eastAsia" w:ascii="Times New Roman" w:hAnsi="Times New Roman" w:cs="仿宋_GB2312"/>
          <w:bCs/>
          <w:color w:val="000000" w:themeColor="text1"/>
          <w:kern w:val="0"/>
          <w14:textFill>
            <w14:solidFill>
              <w14:schemeClr w14:val="tx1"/>
            </w14:solidFill>
          </w14:textFill>
        </w:rPr>
        <w:t>第四百九十六条</w:t>
      </w:r>
      <w:r>
        <w:rPr>
          <w:rFonts w:hint="eastAsia" w:ascii="Times New Roman" w:hAnsi="Times New Roman" w:cs="仿宋_GB2312"/>
          <w:bCs/>
          <w:color w:val="000000" w:themeColor="text1"/>
          <w:kern w:val="0"/>
          <w:szCs w:val="32"/>
          <w14:textFill>
            <w14:solidFill>
              <w14:schemeClr w14:val="tx1"/>
            </w14:solidFill>
          </w14:textFill>
        </w:rPr>
        <w:t xml:space="preserve"> </w:t>
      </w:r>
      <w:r>
        <w:rPr>
          <w:rFonts w:hint="eastAsia" w:ascii="Times New Roman" w:hAnsi="Times New Roman" w:cs="仿宋_GB2312"/>
          <w:bCs/>
          <w:color w:val="000000" w:themeColor="text1"/>
          <w:spacing w:val="-6"/>
          <w:kern w:val="0"/>
          <w:szCs w:val="32"/>
          <w14:textFill>
            <w14:solidFill>
              <w14:schemeClr w14:val="tx1"/>
            </w14:solidFill>
          </w14:textFill>
        </w:rPr>
        <w:t>用人单位和医疗卫生机构未按照规定报告职业病、疑似职业病的或者弄虚作假的</w:t>
      </w:r>
      <w:bookmarkEnd w:id="6217"/>
      <w:bookmarkEnd w:id="6218"/>
      <w:bookmarkEnd w:id="6219"/>
      <w:bookmarkEnd w:id="6220"/>
      <w:bookmarkEnd w:id="6221"/>
      <w:bookmarkEnd w:id="6222"/>
      <w:bookmarkEnd w:id="6223"/>
      <w:bookmarkEnd w:id="6224"/>
      <w:bookmarkEnd w:id="6225"/>
      <w:bookmarkEnd w:id="6226"/>
      <w:bookmarkEnd w:id="6227"/>
    </w:p>
    <w:p w14:paraId="1649809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B62597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1.《中华人民共和国职业病防治法》第七十四条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 xml:space="preserve">用人单位和医疗卫生机构未按照规定报告职业病、疑似职业病的，由有关主管部门依据职责分工责令限期改正，给予警告，可以并处一万元以下的罚款；弄虚作假的，并处二万元以上五万元以下的罚款；对直接负责的主管人员和其他直接责任人员，可以依法给予降级或者撤职的处分。 </w:t>
      </w:r>
    </w:p>
    <w:p w14:paraId="5AB9EF5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2.《中华人民共和国尘肺病防治条例》第二十三条第（八）项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凡违反《中华人民共和国尘肺病防治条例》规定，有下列行为之一的，卫生行政部门和劳动部门，可视其情节轻重，给予警告、限期治理、罚款和停业整顿的处罚。但停业整顿的处罚，需经当地人民政府同意。</w:t>
      </w:r>
    </w:p>
    <w:p w14:paraId="0659316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（八）假报测尘结果或尘肺病诊断结果的；</w:t>
      </w:r>
    </w:p>
    <w:p w14:paraId="78E96B8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3.《工作场所职业卫生管理规定》第五十四条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用人单位未按照规定报告职业病、疑似职业病的，责令限期改正，给予警告，可以并处一万元以下的罚款；弄虚作假的，并处二万元以上五万元以下的罚款。</w:t>
      </w:r>
    </w:p>
    <w:p w14:paraId="1D40DE0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4.《用人单位职业健康监护监督管理办法》第三十条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用人单位职业健康监护监督管理办法》规定，未报告职业病、疑似职业病的，由安全生产监督管理部门责令限期改正，给予警告，可以并处1万元以下的罚款；弄虚作假的，并处2万元以上5万元以下的罚款。</w:t>
      </w:r>
    </w:p>
    <w:p w14:paraId="5710AAE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5.《职业健康检查管理办法》第二十六条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职业健康检查机构未按照规定报告疑似职业病的，由县级以上地方卫生健康主管部门依据《职业病防治法》第七十四条的规定进行处理。</w:t>
      </w:r>
    </w:p>
    <w:p w14:paraId="1E059D6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6.《职业病诊断与鉴定管理办法》第六十一条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用人单位未按照规定报告职业病、疑似职业病的，由县级以上地方卫生健康主管部门按照《职业病防治法》第七十四条规定进行处理。</w:t>
      </w:r>
    </w:p>
    <w:p w14:paraId="26EA16D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7.《职业病诊断与鉴定管理办法》第五十六条  职业病诊断机构未按照规定报告职业病、疑似职业病的，由县级以上地方卫生健康主管部门按照《职业病防治法》第七十四条的规定进行处理。</w:t>
      </w:r>
    </w:p>
    <w:p w14:paraId="315A209A">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7159"/>
        <w:gridCol w:w="5302"/>
      </w:tblGrid>
      <w:tr w14:paraId="16D2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38" w:type="dxa"/>
            <w:vAlign w:val="center"/>
          </w:tcPr>
          <w:p w14:paraId="596279E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159" w:type="dxa"/>
            <w:vAlign w:val="center"/>
          </w:tcPr>
          <w:p w14:paraId="78D8BDA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302" w:type="dxa"/>
            <w:vAlign w:val="center"/>
          </w:tcPr>
          <w:p w14:paraId="2B62DFB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13C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38" w:type="dxa"/>
            <w:vAlign w:val="center"/>
          </w:tcPr>
          <w:p w14:paraId="7484B7F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159" w:type="dxa"/>
            <w:vAlign w:val="center"/>
          </w:tcPr>
          <w:p w14:paraId="388CDA5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用人单位和医疗卫生机构未按照规定报告 3 例以下职业病或疑似职业病的。</w:t>
            </w:r>
          </w:p>
        </w:tc>
        <w:tc>
          <w:tcPr>
            <w:tcW w:w="5302" w:type="dxa"/>
            <w:vAlign w:val="center"/>
          </w:tcPr>
          <w:p w14:paraId="1D734F1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责令限期改正，给予警告，可以并处五千元以下罚款。</w:t>
            </w:r>
          </w:p>
        </w:tc>
      </w:tr>
      <w:tr w14:paraId="18B3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38" w:type="dxa"/>
            <w:vAlign w:val="center"/>
          </w:tcPr>
          <w:p w14:paraId="0DD30E6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159" w:type="dxa"/>
            <w:vAlign w:val="center"/>
          </w:tcPr>
          <w:p w14:paraId="0C05F64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用人单位和医疗卫生机构未按照规定报告4例以上职业病或疑似职业病的。</w:t>
            </w:r>
          </w:p>
        </w:tc>
        <w:tc>
          <w:tcPr>
            <w:tcW w:w="5302" w:type="dxa"/>
            <w:vAlign w:val="center"/>
          </w:tcPr>
          <w:p w14:paraId="7A5609C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责令限期改正，给予警告，并处五千元以上一万元以下的罚款。</w:t>
            </w:r>
          </w:p>
        </w:tc>
      </w:tr>
      <w:tr w14:paraId="1EAA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38" w:type="dxa"/>
            <w:vAlign w:val="center"/>
          </w:tcPr>
          <w:p w14:paraId="4877E9F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159" w:type="dxa"/>
            <w:vAlign w:val="center"/>
          </w:tcPr>
          <w:p w14:paraId="0B35E8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用人单位和医疗卫生机构未按规定报告职业病、疑似职业病，弄虚作假的。</w:t>
            </w:r>
          </w:p>
        </w:tc>
        <w:tc>
          <w:tcPr>
            <w:tcW w:w="5302" w:type="dxa"/>
            <w:vAlign w:val="center"/>
          </w:tcPr>
          <w:p w14:paraId="3B38409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责令限期改正，给予警告，并处二万元以上四万元以下的罚款。</w:t>
            </w:r>
          </w:p>
        </w:tc>
      </w:tr>
      <w:tr w14:paraId="00C7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438" w:type="dxa"/>
            <w:vAlign w:val="center"/>
          </w:tcPr>
          <w:p w14:paraId="25CEBC1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159" w:type="dxa"/>
            <w:vAlign w:val="center"/>
          </w:tcPr>
          <w:p w14:paraId="0026FDB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用人单位和医疗卫生机构未按照规定报告职业病、疑似职业病，弄虚作假，造成严重后果的。</w:t>
            </w:r>
          </w:p>
        </w:tc>
        <w:tc>
          <w:tcPr>
            <w:tcW w:w="5302" w:type="dxa"/>
            <w:vAlign w:val="center"/>
          </w:tcPr>
          <w:p w14:paraId="0114A75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责令限期改正，给予警告，并处四万元以上五万元以下罚款。</w:t>
            </w:r>
          </w:p>
        </w:tc>
      </w:tr>
    </w:tbl>
    <w:p w14:paraId="1BF301C6">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228" w:name="_Toc2481"/>
      <w:bookmarkStart w:id="6229" w:name="_Toc28301"/>
      <w:bookmarkStart w:id="6230" w:name="_Toc7423"/>
      <w:bookmarkStart w:id="6231" w:name="_Toc12247"/>
      <w:bookmarkStart w:id="6232" w:name="_Toc1908"/>
      <w:bookmarkStart w:id="6233" w:name="_Toc16069"/>
      <w:bookmarkStart w:id="6234" w:name="_Toc7172"/>
      <w:bookmarkStart w:id="6235" w:name="_Toc15950"/>
      <w:bookmarkStart w:id="6236" w:name="_Toc15369"/>
      <w:bookmarkStart w:id="6237" w:name="_Toc28499"/>
      <w:bookmarkStart w:id="6238" w:name="_Toc30528"/>
      <w:r>
        <w:rPr>
          <w:rFonts w:hint="eastAsia" w:ascii="Times New Roman" w:hAnsi="Times New Roman" w:cs="仿宋_GB2312"/>
          <w:bCs/>
          <w:color w:val="000000" w:themeColor="text1"/>
          <w:kern w:val="0"/>
          <w14:textFill>
            <w14:solidFill>
              <w14:schemeClr w14:val="tx1"/>
            </w14:solidFill>
          </w14:textFill>
        </w:rPr>
        <w:t>第四百九十七条</w:t>
      </w:r>
      <w:r>
        <w:rPr>
          <w:rFonts w:hint="eastAsia" w:ascii="Times New Roman" w:hAnsi="Times New Roman" w:cs="仿宋_GB2312"/>
          <w:bCs/>
          <w:color w:val="000000" w:themeColor="text1"/>
          <w:kern w:val="0"/>
          <w:szCs w:val="32"/>
          <w14:textFill>
            <w14:solidFill>
              <w14:schemeClr w14:val="tx1"/>
            </w14:solidFill>
          </w14:textFill>
        </w:rPr>
        <w:t xml:space="preserve"> 隐瞒技术、工艺、设备、材料所产生的职业病危害而采用的</w:t>
      </w:r>
      <w:bookmarkEnd w:id="6228"/>
      <w:bookmarkEnd w:id="6229"/>
      <w:bookmarkEnd w:id="6230"/>
      <w:bookmarkEnd w:id="6231"/>
      <w:bookmarkEnd w:id="6232"/>
      <w:bookmarkEnd w:id="6233"/>
      <w:bookmarkEnd w:id="6234"/>
      <w:bookmarkEnd w:id="6235"/>
      <w:bookmarkEnd w:id="6236"/>
      <w:bookmarkEnd w:id="6237"/>
      <w:bookmarkEnd w:id="6238"/>
    </w:p>
    <w:p w14:paraId="06E2FFC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F868317">
      <w:pPr>
        <w:widowControl w:val="0"/>
        <w:adjustRightInd/>
        <w:snapToGrid/>
        <w:spacing w:after="0" w:line="440" w:lineRule="exact"/>
        <w:ind w:firstLine="643"/>
        <w:rPr>
          <w:rFonts w:hint="eastAsia" w:ascii="Times New Roman" w:hAnsi="Times New Roman" w:eastAsia="仿宋_GB2312" w:cs="仿宋_GB2312"/>
          <w:color w:val="000000" w:themeColor="text1"/>
          <w:spacing w:val="-6"/>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1.《中华人民共和国职业病防治法》第七十五条第（一）项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违反《中华人民共和国职业病防治法》规定，有下列情形之一的，由卫生行政部门责令限期治理，并处五万元以上三十万元以下的罚款；</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情节严重的，责令停止产生职业病危害的作业，或者提请有关人民政府按照国务院规定的权限责令关闭：</w:t>
      </w:r>
    </w:p>
    <w:p w14:paraId="53EF854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（一）隐瞒技术、工艺、设备、材料所产生的职业病危害而采用的；</w:t>
      </w:r>
    </w:p>
    <w:p w14:paraId="2A731F7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2.《工作场所职业卫生管理规定》第五十一条第（一）项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用人单位有下列情形之一的，依法责令限期改正，并处五万元以上三十万元以下的罚款；情节严重的，责令停止产生职业病危害的作业，或者提请有关人民政府按照国务院规定的权限责令关闭：</w:t>
      </w:r>
    </w:p>
    <w:p w14:paraId="06B5386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（一）隐瞒技术、工艺、设备、材料所产生的职业病危害而采用的；</w:t>
      </w:r>
    </w:p>
    <w:p w14:paraId="7580EA0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8078"/>
        <w:gridCol w:w="4240"/>
      </w:tblGrid>
      <w:tr w14:paraId="68B6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420" w:type="dxa"/>
            <w:vAlign w:val="center"/>
          </w:tcPr>
          <w:p w14:paraId="23BB0A4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78" w:type="dxa"/>
            <w:vAlign w:val="center"/>
          </w:tcPr>
          <w:p w14:paraId="3F5985E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40" w:type="dxa"/>
            <w:vAlign w:val="center"/>
          </w:tcPr>
          <w:p w14:paraId="6A9F3CD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263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420" w:type="dxa"/>
            <w:vAlign w:val="center"/>
          </w:tcPr>
          <w:p w14:paraId="48C7CC9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078" w:type="dxa"/>
            <w:vAlign w:val="center"/>
          </w:tcPr>
          <w:p w14:paraId="039DE20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用人单位隐瞒 1 处技术、工艺、设备、材料所产生的职业病危害而采用的。</w:t>
            </w:r>
          </w:p>
        </w:tc>
        <w:tc>
          <w:tcPr>
            <w:tcW w:w="4240" w:type="dxa"/>
            <w:vAlign w:val="center"/>
          </w:tcPr>
          <w:p w14:paraId="7E9E0AE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707D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20" w:type="dxa"/>
            <w:vAlign w:val="center"/>
          </w:tcPr>
          <w:p w14:paraId="60AD5EE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078" w:type="dxa"/>
            <w:vAlign w:val="center"/>
          </w:tcPr>
          <w:p w14:paraId="030FA77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用人单位隐瞒 2 处技术、工艺、设备、材料所产生的职业病危害而采用的。</w:t>
            </w:r>
          </w:p>
        </w:tc>
        <w:tc>
          <w:tcPr>
            <w:tcW w:w="4240" w:type="dxa"/>
            <w:vAlign w:val="center"/>
          </w:tcPr>
          <w:p w14:paraId="22FA02C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205C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20" w:type="dxa"/>
            <w:vAlign w:val="center"/>
          </w:tcPr>
          <w:p w14:paraId="162534E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078" w:type="dxa"/>
            <w:vAlign w:val="center"/>
          </w:tcPr>
          <w:p w14:paraId="74D6FCA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用人单位隐瞒 3 处技术、工艺、设备、材料所产生的职业病危害而采用的。</w:t>
            </w:r>
          </w:p>
        </w:tc>
        <w:tc>
          <w:tcPr>
            <w:tcW w:w="4240" w:type="dxa"/>
            <w:vAlign w:val="center"/>
          </w:tcPr>
          <w:p w14:paraId="4329152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二十万元以上三十万元以下的罚款。</w:t>
            </w:r>
          </w:p>
        </w:tc>
      </w:tr>
      <w:tr w14:paraId="00E0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420" w:type="dxa"/>
            <w:vAlign w:val="center"/>
          </w:tcPr>
          <w:p w14:paraId="274E27F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078" w:type="dxa"/>
            <w:vAlign w:val="center"/>
          </w:tcPr>
          <w:p w14:paraId="5E03F12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用人单位隐瞒 4 处以上技术、工艺、设备、材料所产生的职业病危害而采用的。</w:t>
            </w:r>
          </w:p>
        </w:tc>
        <w:tc>
          <w:tcPr>
            <w:tcW w:w="4240" w:type="dxa"/>
            <w:vAlign w:val="center"/>
          </w:tcPr>
          <w:p w14:paraId="2108021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7FF675A7">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239" w:name="_Toc10383"/>
      <w:bookmarkStart w:id="6240" w:name="_Toc25551"/>
      <w:bookmarkStart w:id="6241" w:name="_Toc9907"/>
      <w:bookmarkStart w:id="6242" w:name="_Toc21748"/>
      <w:bookmarkStart w:id="6243" w:name="_Toc16014"/>
      <w:bookmarkStart w:id="6244" w:name="_Toc14846"/>
      <w:bookmarkStart w:id="6245" w:name="_Toc23762"/>
      <w:bookmarkStart w:id="6246" w:name="_Toc26637"/>
      <w:bookmarkStart w:id="6247" w:name="_Toc19649"/>
      <w:bookmarkStart w:id="6248" w:name="_Toc1951"/>
      <w:bookmarkStart w:id="6249" w:name="_Toc7676"/>
      <w:r>
        <w:rPr>
          <w:rFonts w:hint="eastAsia" w:ascii="Times New Roman" w:hAnsi="Times New Roman" w:cs="仿宋_GB2312"/>
          <w:bCs/>
          <w:color w:val="000000" w:themeColor="text1"/>
          <w:kern w:val="0"/>
          <w14:textFill>
            <w14:solidFill>
              <w14:schemeClr w14:val="tx1"/>
            </w14:solidFill>
          </w14:textFill>
        </w:rPr>
        <w:t>第四百九十八条</w:t>
      </w:r>
      <w:r>
        <w:rPr>
          <w:rFonts w:hint="eastAsia" w:ascii="Times New Roman" w:hAnsi="Times New Roman" w:cs="仿宋_GB2312"/>
          <w:bCs/>
          <w:color w:val="000000" w:themeColor="text1"/>
          <w:kern w:val="0"/>
          <w:szCs w:val="32"/>
          <w14:textFill>
            <w14:solidFill>
              <w14:schemeClr w14:val="tx1"/>
            </w14:solidFill>
          </w14:textFill>
        </w:rPr>
        <w:t xml:space="preserve"> 隐瞒本单位职业卫生真实情况的</w:t>
      </w:r>
      <w:bookmarkEnd w:id="6239"/>
      <w:bookmarkEnd w:id="6240"/>
      <w:bookmarkEnd w:id="6241"/>
      <w:bookmarkEnd w:id="6242"/>
      <w:bookmarkEnd w:id="6243"/>
      <w:bookmarkEnd w:id="6244"/>
      <w:bookmarkEnd w:id="6245"/>
      <w:bookmarkEnd w:id="6246"/>
      <w:bookmarkEnd w:id="6247"/>
      <w:bookmarkEnd w:id="6248"/>
      <w:bookmarkEnd w:id="6249"/>
    </w:p>
    <w:p w14:paraId="50589F2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3AF61A0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1.《中华人民共和国职业病防治法》第七十五条第（二）项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违反《中华人民共和国职业病防治法》规定，有下列情形之一的，由卫生行政部门责令限期治理，并处五万元以上三十万元以下的罚款；</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情节严重的，责令停止产生职业病危害的作业，或者提请有关人民政府按照国务院规定的权限责令关闭：</w:t>
      </w:r>
    </w:p>
    <w:p w14:paraId="1322917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（二）隐瞒本单位职业卫生真实情况的；</w:t>
      </w:r>
    </w:p>
    <w:p w14:paraId="19AB7DF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2.《工作场所职业卫生管理规定》第五十一条第（二）项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用人单位有下列情形之一的，依法责令限期改正，并处五万元以上三十万元以下的罚款；情节严重的，责令停止产生职业病危害的作业，或者提请有关人民政府按照国务院规定的权限责令关闭：</w:t>
      </w:r>
    </w:p>
    <w:p w14:paraId="694AAE3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（二）隐瞒本单位职业卫生真实情况的。</w:t>
      </w:r>
    </w:p>
    <w:p w14:paraId="1D8B87E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7196"/>
        <w:gridCol w:w="5230"/>
      </w:tblGrid>
      <w:tr w14:paraId="4DCF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33" w:type="dxa"/>
            <w:vAlign w:val="center"/>
          </w:tcPr>
          <w:p w14:paraId="616EED0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196" w:type="dxa"/>
            <w:vAlign w:val="center"/>
          </w:tcPr>
          <w:p w14:paraId="0595D06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230" w:type="dxa"/>
            <w:vAlign w:val="center"/>
          </w:tcPr>
          <w:p w14:paraId="36EC660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E81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433" w:type="dxa"/>
            <w:vAlign w:val="center"/>
          </w:tcPr>
          <w:p w14:paraId="0688985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196" w:type="dxa"/>
            <w:vAlign w:val="center"/>
          </w:tcPr>
          <w:p w14:paraId="46A6A7F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用人单位隐瞒 1 项（处）职业卫生真实情况的。</w:t>
            </w:r>
          </w:p>
        </w:tc>
        <w:tc>
          <w:tcPr>
            <w:tcW w:w="5230" w:type="dxa"/>
            <w:vAlign w:val="center"/>
          </w:tcPr>
          <w:p w14:paraId="77F4DD8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78A2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433" w:type="dxa"/>
            <w:vAlign w:val="center"/>
          </w:tcPr>
          <w:p w14:paraId="373C0D3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196" w:type="dxa"/>
            <w:vAlign w:val="center"/>
          </w:tcPr>
          <w:p w14:paraId="521513B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用人单位隐瞒 2 项（处）职业卫生真实情况的。</w:t>
            </w:r>
          </w:p>
        </w:tc>
        <w:tc>
          <w:tcPr>
            <w:tcW w:w="5230" w:type="dxa"/>
            <w:vAlign w:val="center"/>
          </w:tcPr>
          <w:p w14:paraId="4486DDB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3C3F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3" w:type="dxa"/>
            <w:vAlign w:val="center"/>
          </w:tcPr>
          <w:p w14:paraId="540D03C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196" w:type="dxa"/>
            <w:vAlign w:val="center"/>
          </w:tcPr>
          <w:p w14:paraId="4B5C9FE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用人单位隐瞒 3 项（处）职业卫生真实情况的。</w:t>
            </w:r>
          </w:p>
        </w:tc>
        <w:tc>
          <w:tcPr>
            <w:tcW w:w="5230" w:type="dxa"/>
            <w:vAlign w:val="center"/>
          </w:tcPr>
          <w:p w14:paraId="32D163E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处二十万元以上三十万元以下的罚款。</w:t>
            </w:r>
          </w:p>
        </w:tc>
      </w:tr>
      <w:tr w14:paraId="5928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433" w:type="dxa"/>
            <w:vAlign w:val="center"/>
          </w:tcPr>
          <w:p w14:paraId="05EAF9C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196" w:type="dxa"/>
            <w:vAlign w:val="center"/>
          </w:tcPr>
          <w:p w14:paraId="369011C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用人单位隐瞒 4 项（处）以上职业卫生真实情况的。</w:t>
            </w:r>
          </w:p>
        </w:tc>
        <w:tc>
          <w:tcPr>
            <w:tcW w:w="5230" w:type="dxa"/>
            <w:vAlign w:val="center"/>
          </w:tcPr>
          <w:p w14:paraId="54C3135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648D020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250" w:name="_Toc1644"/>
      <w:bookmarkStart w:id="6251" w:name="_Toc12677"/>
      <w:bookmarkStart w:id="6252" w:name="_Toc21813"/>
      <w:bookmarkStart w:id="6253" w:name="_Toc4221"/>
      <w:bookmarkStart w:id="6254" w:name="_Toc1975"/>
      <w:bookmarkStart w:id="6255" w:name="_Toc16278"/>
      <w:bookmarkStart w:id="6256" w:name="_Toc5514"/>
      <w:bookmarkStart w:id="6257" w:name="_Toc21196"/>
      <w:bookmarkStart w:id="6258" w:name="_Toc5373"/>
      <w:bookmarkStart w:id="6259" w:name="_Toc3622"/>
      <w:bookmarkStart w:id="6260" w:name="_Toc3198"/>
      <w:r>
        <w:rPr>
          <w:rFonts w:hint="eastAsia" w:ascii="Times New Roman" w:hAnsi="Times New Roman" w:cs="仿宋_GB2312"/>
          <w:bCs/>
          <w:color w:val="000000" w:themeColor="text1"/>
          <w:kern w:val="0"/>
          <w14:textFill>
            <w14:solidFill>
              <w14:schemeClr w14:val="tx1"/>
            </w14:solidFill>
          </w14:textFill>
        </w:rPr>
        <w:t>第四百九十九条</w:t>
      </w:r>
      <w:r>
        <w:rPr>
          <w:rFonts w:hint="eastAsia" w:ascii="Times New Roman" w:hAnsi="Times New Roman" w:cs="仿宋_GB2312"/>
          <w:bCs/>
          <w:color w:val="000000" w:themeColor="text1"/>
          <w:kern w:val="0"/>
          <w:szCs w:val="32"/>
          <w14:textFill>
            <w14:solidFill>
              <w14:schemeClr w14:val="tx1"/>
            </w14:solidFill>
          </w14:textFill>
        </w:rPr>
        <w:t xml:space="preserve"> 可能发生急性职业损伤的有毒、有害工作场所（用人单位应当设置报警装置，配置现场急救用品、冲洗设备、应急撤离通道和必要的泄险区）、放射工作场所或者放射性同位素的运输、贮存（用人单位必须配置防护设备和报警装置，保证接触放射线的工作人员佩戴个人剂量计）不符合本法第二十五条规定的</w:t>
      </w:r>
      <w:bookmarkEnd w:id="6250"/>
      <w:bookmarkEnd w:id="6251"/>
      <w:bookmarkEnd w:id="6252"/>
      <w:bookmarkEnd w:id="6253"/>
      <w:bookmarkEnd w:id="6254"/>
      <w:bookmarkEnd w:id="6255"/>
      <w:bookmarkEnd w:id="6256"/>
      <w:bookmarkEnd w:id="6257"/>
      <w:bookmarkEnd w:id="6258"/>
      <w:bookmarkEnd w:id="6259"/>
      <w:bookmarkEnd w:id="6260"/>
    </w:p>
    <w:p w14:paraId="0CD29EC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A00ED6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1.《中华人民共和国职业病防治法》第七十五条第（三）项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违反《中华人民共和国职业病防治法》规定，有下列情形之一的，由卫生行政部门责令限期治理，并处五万元以上三十万元以下的罚款；</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情节严重的，责令停止产生职业病危害的作业，或者提请有关人民政府按照国务院规定的权限责令关闭</w:t>
      </w:r>
      <w:r>
        <w:rPr>
          <w:rFonts w:hint="eastAsia" w:ascii="Times New Roman" w:hAnsi="Times New Roman" w:eastAsia="仿宋_GB2312" w:cs="仿宋_GB2312"/>
          <w:color w:val="000000" w:themeColor="text1"/>
          <w:kern w:val="2"/>
          <w:sz w:val="32"/>
          <w:szCs w:val="21"/>
          <w14:textFill>
            <w14:solidFill>
              <w14:schemeClr w14:val="tx1"/>
            </w14:solidFill>
          </w14:textFill>
        </w:rPr>
        <w:t>：</w:t>
      </w:r>
    </w:p>
    <w:p w14:paraId="40E9CF6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（三）可能发生急性职业损伤的有毒、有害工作场所、放射工作场所或者放射性同位素的运输、贮存不符合本法第二十五条规定的。</w:t>
      </w:r>
    </w:p>
    <w:p w14:paraId="31F2577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2.《使用有毒物品作业场所劳动保护条例》第五十九条第二款第（一）项、第（二）项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本条例的规定，有下列情形之一的，由疾病预防控制部门给予警告，责令限期改正，处5万元以上20万元以下的罚款；逾期不改正的，提请有关人民政府按照国务院规定的权限予以关闭；造成严重职业中毒危害或者导致职业中毒事故发生的，对负有责任的主管人员和其他直接责任人员依照刑法关于重大劳动安全事故罪或者其他罪的规定，依法追究刑事责任：</w:t>
      </w:r>
    </w:p>
    <w:p w14:paraId="501187E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（一）高毒作业场所未按照规定设置撤离通道和泄险区的；</w:t>
      </w:r>
    </w:p>
    <w:p w14:paraId="15EEA6B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（二）高毒作业场所未按照规定设置警示线的；</w:t>
      </w:r>
    </w:p>
    <w:p w14:paraId="168B8185">
      <w:pPr>
        <w:widowControl w:val="0"/>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3.《使用有毒物品作业场所劳动保护条例》第六十五条第（四）项　用人单位违反本条例的规定，有下列情形之一的，由疾病预防控制部门给予警告，责令限期改正，处5000元以上2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14:paraId="119A04B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（四）从事高毒作业未按照规定配备应急救援设施或者制定事故应急救援预案的。</w:t>
      </w:r>
    </w:p>
    <w:p w14:paraId="3EDD0EA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4.《工作场所职业卫生管理规定》第五十一条第（三）项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用人单位有下列情形之一的，依法责令限期改正，并处五万元以上三十万元以下的罚款；情节严重的，责令停止产生职业病危害的作业，或者提请有关人民政府按照国务院规定的权限责令关闭：</w:t>
      </w:r>
    </w:p>
    <w:p w14:paraId="746F324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（三）可能发生急性职业损伤的有毒、有害工作场所或者放射工作场所不符合法律有关规定的；</w:t>
      </w:r>
    </w:p>
    <w:p w14:paraId="26EEBCA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7809"/>
        <w:gridCol w:w="4741"/>
      </w:tblGrid>
      <w:tr w14:paraId="76FC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05" w:type="dxa"/>
            <w:vAlign w:val="center"/>
          </w:tcPr>
          <w:p w14:paraId="2E49EEB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809" w:type="dxa"/>
            <w:vAlign w:val="center"/>
          </w:tcPr>
          <w:p w14:paraId="307C18F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41" w:type="dxa"/>
            <w:vAlign w:val="center"/>
          </w:tcPr>
          <w:p w14:paraId="4C9262C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4E0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405" w:type="dxa"/>
            <w:vAlign w:val="center"/>
          </w:tcPr>
          <w:p w14:paraId="2EBF786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809" w:type="dxa"/>
            <w:vAlign w:val="center"/>
          </w:tcPr>
          <w:p w14:paraId="58E4132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用人单位有 1 处可能发生急性职业损伤的有毒、有害工作场所、放射工作场所或者放射性同位素的运输、贮存不符合本法第二十五条规定的。</w:t>
            </w:r>
          </w:p>
        </w:tc>
        <w:tc>
          <w:tcPr>
            <w:tcW w:w="4741" w:type="dxa"/>
            <w:vAlign w:val="center"/>
          </w:tcPr>
          <w:p w14:paraId="7D7575E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2FB6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05" w:type="dxa"/>
            <w:vAlign w:val="center"/>
          </w:tcPr>
          <w:p w14:paraId="74AE4BA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809" w:type="dxa"/>
            <w:vAlign w:val="center"/>
          </w:tcPr>
          <w:p w14:paraId="78CF1DE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用人单位有 2 处可能发生急性职业损伤的有毒、有害工作场所、放射工作场所或者放射性同位素的运输、贮存不符合本法第二十五条规定的。</w:t>
            </w:r>
          </w:p>
        </w:tc>
        <w:tc>
          <w:tcPr>
            <w:tcW w:w="4741" w:type="dxa"/>
            <w:vAlign w:val="center"/>
          </w:tcPr>
          <w:p w14:paraId="1EDCA86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60AB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05" w:type="dxa"/>
            <w:vAlign w:val="center"/>
          </w:tcPr>
          <w:p w14:paraId="3052F82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809" w:type="dxa"/>
            <w:vAlign w:val="center"/>
          </w:tcPr>
          <w:p w14:paraId="76233DD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用人单位有 3 处可能发生急性职业损伤的有毒、有害工作场所、放射工作场所或者放射性同位素的运输、贮存不符合本法第二十五条规定的。</w:t>
            </w:r>
          </w:p>
        </w:tc>
        <w:tc>
          <w:tcPr>
            <w:tcW w:w="4741" w:type="dxa"/>
            <w:vAlign w:val="center"/>
          </w:tcPr>
          <w:p w14:paraId="7391395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 xml:space="preserve">处二十万元以上三十万元以下的罚款。 </w:t>
            </w:r>
          </w:p>
        </w:tc>
      </w:tr>
      <w:tr w14:paraId="6D5C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05" w:type="dxa"/>
            <w:vAlign w:val="center"/>
          </w:tcPr>
          <w:p w14:paraId="6F27444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809" w:type="dxa"/>
            <w:vAlign w:val="center"/>
          </w:tcPr>
          <w:p w14:paraId="7F292F4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用人单位有 4 处以上可能发生急性职业损伤的有毒、有害工作场所、放射工作场所或者放射性同位素的运输、贮存不符合本法第二十五条规定的。</w:t>
            </w:r>
          </w:p>
        </w:tc>
        <w:tc>
          <w:tcPr>
            <w:tcW w:w="4741" w:type="dxa"/>
            <w:vAlign w:val="center"/>
          </w:tcPr>
          <w:p w14:paraId="1ED31A2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21502450">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261" w:name="_Toc699"/>
      <w:bookmarkStart w:id="6262" w:name="_Toc27216"/>
      <w:bookmarkStart w:id="6263" w:name="_Toc9842"/>
      <w:bookmarkStart w:id="6264" w:name="_Toc5563"/>
      <w:bookmarkStart w:id="6265" w:name="_Toc31071"/>
      <w:bookmarkStart w:id="6266" w:name="_Toc25163"/>
      <w:bookmarkStart w:id="6267" w:name="_Toc4074"/>
      <w:bookmarkStart w:id="6268" w:name="_Toc3423"/>
      <w:bookmarkStart w:id="6269" w:name="_Toc16231"/>
      <w:bookmarkStart w:id="6270" w:name="_Toc13809"/>
      <w:bookmarkStart w:id="6271" w:name="_Toc17238"/>
      <w:r>
        <w:rPr>
          <w:rFonts w:hint="eastAsia" w:ascii="Times New Roman" w:hAnsi="Times New Roman" w:cs="仿宋_GB2312"/>
          <w:bCs/>
          <w:color w:val="000000" w:themeColor="text1"/>
          <w:kern w:val="0"/>
          <w14:textFill>
            <w14:solidFill>
              <w14:schemeClr w14:val="tx1"/>
            </w14:solidFill>
          </w14:textFill>
        </w:rPr>
        <w:t>第五百条</w:t>
      </w:r>
      <w:r>
        <w:rPr>
          <w:rFonts w:hint="eastAsia" w:ascii="Times New Roman" w:hAnsi="Times New Roman" w:cs="仿宋_GB2312"/>
          <w:bCs/>
          <w:color w:val="000000" w:themeColor="text1"/>
          <w:kern w:val="0"/>
          <w:szCs w:val="32"/>
          <w14:textFill>
            <w14:solidFill>
              <w14:schemeClr w14:val="tx1"/>
            </w14:solidFill>
          </w14:textFill>
        </w:rPr>
        <w:t xml:space="preserve"> 使用国家明令禁止使用的可能产生职业病危害的设备或者材料的</w:t>
      </w:r>
      <w:bookmarkEnd w:id="6261"/>
      <w:bookmarkEnd w:id="6262"/>
      <w:bookmarkEnd w:id="6263"/>
      <w:bookmarkEnd w:id="6264"/>
      <w:bookmarkEnd w:id="6265"/>
      <w:bookmarkEnd w:id="6266"/>
      <w:bookmarkEnd w:id="6267"/>
      <w:bookmarkEnd w:id="6268"/>
      <w:bookmarkEnd w:id="6269"/>
      <w:bookmarkEnd w:id="6270"/>
      <w:bookmarkEnd w:id="6271"/>
    </w:p>
    <w:p w14:paraId="17FFEB4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59C21F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1.《中华人民共和国职业病防治法》第七十五条第（四）项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违反《中华人民共和国职业病防治法》规定，有下列情形之一的，由卫生行政部门责令限期治理，并处五万元以上三十万元以下的罚款；</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情节严重的，责令停止产生职业病危害的作业，或者提请有关人民政府按照国务院规定的权限责令关闭</w:t>
      </w:r>
      <w:r>
        <w:rPr>
          <w:rFonts w:hint="eastAsia" w:ascii="Times New Roman" w:hAnsi="Times New Roman" w:eastAsia="仿宋_GB2312" w:cs="仿宋_GB2312"/>
          <w:color w:val="000000" w:themeColor="text1"/>
          <w:kern w:val="2"/>
          <w:sz w:val="32"/>
          <w:szCs w:val="21"/>
          <w14:textFill>
            <w14:solidFill>
              <w14:schemeClr w14:val="tx1"/>
            </w14:solidFill>
          </w14:textFill>
        </w:rPr>
        <w:t>：</w:t>
      </w:r>
    </w:p>
    <w:p w14:paraId="38B8D47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（四）使用国家明令禁止使用的可能产生职业病危害的设备或者材料的。</w:t>
      </w:r>
    </w:p>
    <w:p w14:paraId="0F6B339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2.《使用有毒物品作业场所劳动保护条例》第六十二条　 在作业场所使用国家明令禁止使用的有毒物品或者使用不符合国家标准的有毒物品的，由疾病预防控制部门责令立即停止使用，处5万元以上30万元以下的罚款；情节严重的，责令停止使用有毒物品作业，或者提请有关人民政府按照国务院规定的权限予以关闭；造成严重职业中毒危害或者导致职业中毒事故发生的，对负有责任的主管人员和其他直接责任人员依照刑法关于危险物品肇事罪、重大责任事故罪或者其他罪的规定，依法追究刑事责任。</w:t>
      </w:r>
    </w:p>
    <w:p w14:paraId="1BCB897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3.《工作场所职业卫生管理规定》第五十一条第四项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用人单位有下列情形之一的，依法责令限期改正，并处五万元以上三十万元以下的罚款；情节严重的，责令停止产生职业病危害的作业，或者提请有关人民政府按照国务院规定的权限责令关闭：</w:t>
      </w:r>
    </w:p>
    <w:p w14:paraId="6B9E3C5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（四）使用国家明令禁止使用的可能产生职业病危害的设备或者材料的；</w:t>
      </w:r>
    </w:p>
    <w:p w14:paraId="7FCAA8D5">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8643"/>
        <w:gridCol w:w="3693"/>
      </w:tblGrid>
      <w:tr w14:paraId="5092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422" w:type="dxa"/>
            <w:vAlign w:val="center"/>
          </w:tcPr>
          <w:p w14:paraId="346B582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643" w:type="dxa"/>
            <w:vAlign w:val="center"/>
          </w:tcPr>
          <w:p w14:paraId="2114196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693" w:type="dxa"/>
            <w:vAlign w:val="center"/>
          </w:tcPr>
          <w:p w14:paraId="49AAA6A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72F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22" w:type="dxa"/>
            <w:vAlign w:val="center"/>
          </w:tcPr>
          <w:p w14:paraId="06F92DA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643" w:type="dxa"/>
            <w:vAlign w:val="center"/>
          </w:tcPr>
          <w:p w14:paraId="28B9007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使用3台（种）以下国家明令禁止使用的可能产生职业病危害的设备或者材料的。</w:t>
            </w:r>
          </w:p>
        </w:tc>
        <w:tc>
          <w:tcPr>
            <w:tcW w:w="3693" w:type="dxa"/>
            <w:vAlign w:val="center"/>
          </w:tcPr>
          <w:p w14:paraId="25515440">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73EC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22" w:type="dxa"/>
            <w:vAlign w:val="center"/>
          </w:tcPr>
          <w:p w14:paraId="1C6FBFB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643" w:type="dxa"/>
            <w:vAlign w:val="center"/>
          </w:tcPr>
          <w:p w14:paraId="7981FB3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使用4台（种）以上6台（种）以下国家明令禁止使用的可能产生职业病危害的设备或者材料的。</w:t>
            </w:r>
          </w:p>
        </w:tc>
        <w:tc>
          <w:tcPr>
            <w:tcW w:w="3693" w:type="dxa"/>
            <w:vAlign w:val="center"/>
          </w:tcPr>
          <w:p w14:paraId="43CDCA0C">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7B73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422" w:type="dxa"/>
            <w:vAlign w:val="center"/>
          </w:tcPr>
          <w:p w14:paraId="0D31B76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643" w:type="dxa"/>
            <w:vAlign w:val="center"/>
          </w:tcPr>
          <w:p w14:paraId="30AF287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使用7台（种）以上10台以下国家明令禁止使用的可能产生职业病危害的设备或者材料的。</w:t>
            </w:r>
          </w:p>
        </w:tc>
        <w:tc>
          <w:tcPr>
            <w:tcW w:w="3693" w:type="dxa"/>
            <w:vAlign w:val="center"/>
          </w:tcPr>
          <w:p w14:paraId="264A9BC9">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处二十万元以上三十万元以下的罚款。</w:t>
            </w:r>
          </w:p>
        </w:tc>
      </w:tr>
      <w:tr w14:paraId="5A4C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422" w:type="dxa"/>
            <w:vAlign w:val="center"/>
          </w:tcPr>
          <w:p w14:paraId="6C1B99B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643" w:type="dxa"/>
            <w:vAlign w:val="center"/>
          </w:tcPr>
          <w:p w14:paraId="5856FD5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使用11台（种）以上国家明令禁止使用的可能产生职业病危害的设备或者材料的，或使用国家明令禁止使用的可能产生职业病危害的设备或者材料造成严重后果的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tc>
        <w:tc>
          <w:tcPr>
            <w:tcW w:w="3693" w:type="dxa"/>
            <w:vAlign w:val="center"/>
          </w:tcPr>
          <w:p w14:paraId="4931B0A7">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0167C39B">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272" w:name="_Toc2679"/>
      <w:bookmarkStart w:id="6273" w:name="_Toc32611"/>
      <w:bookmarkStart w:id="6274" w:name="_Toc3677"/>
      <w:bookmarkStart w:id="6275" w:name="_Toc30669"/>
      <w:bookmarkStart w:id="6276" w:name="_Toc9864"/>
      <w:bookmarkStart w:id="6277" w:name="_Toc10170"/>
      <w:bookmarkStart w:id="6278" w:name="_Toc19706"/>
      <w:bookmarkStart w:id="6279" w:name="_Toc7898"/>
      <w:bookmarkStart w:id="6280" w:name="_Toc2884"/>
      <w:bookmarkStart w:id="6281" w:name="_Toc12324"/>
      <w:bookmarkStart w:id="6282" w:name="_Toc5942"/>
      <w:r>
        <w:rPr>
          <w:rFonts w:hint="eastAsia" w:ascii="Times New Roman" w:hAnsi="Times New Roman" w:cs="仿宋_GB2312"/>
          <w:bCs/>
          <w:color w:val="000000" w:themeColor="text1"/>
          <w:kern w:val="0"/>
          <w14:textFill>
            <w14:solidFill>
              <w14:schemeClr w14:val="tx1"/>
            </w14:solidFill>
          </w14:textFill>
        </w:rPr>
        <w:t>第五百零一条</w:t>
      </w:r>
      <w:r>
        <w:rPr>
          <w:rFonts w:hint="eastAsia" w:ascii="Times New Roman" w:hAnsi="Times New Roman" w:cs="仿宋_GB2312"/>
          <w:bCs/>
          <w:color w:val="000000" w:themeColor="text1"/>
          <w:kern w:val="0"/>
          <w:szCs w:val="32"/>
          <w14:textFill>
            <w14:solidFill>
              <w14:schemeClr w14:val="tx1"/>
            </w14:solidFill>
          </w14:textFill>
        </w:rPr>
        <w:t xml:space="preserve"> 将产生职业病危害的作业转移给没有职业病防护条件的单位和个人，或者没有职业病防护条件的单位和个人接受产生职业病危害的作业的</w:t>
      </w:r>
      <w:bookmarkEnd w:id="6272"/>
      <w:bookmarkEnd w:id="6273"/>
      <w:bookmarkEnd w:id="6274"/>
      <w:bookmarkEnd w:id="6275"/>
      <w:bookmarkEnd w:id="6276"/>
      <w:bookmarkEnd w:id="6277"/>
      <w:bookmarkEnd w:id="6278"/>
      <w:bookmarkEnd w:id="6279"/>
      <w:bookmarkEnd w:id="6280"/>
      <w:bookmarkEnd w:id="6281"/>
      <w:bookmarkEnd w:id="6282"/>
    </w:p>
    <w:p w14:paraId="2FEE814E">
      <w:pPr>
        <w:widowControl w:val="0"/>
        <w:adjustRightInd/>
        <w:snapToGrid/>
        <w:spacing w:after="0" w:line="44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9B3E757">
      <w:pPr>
        <w:widowControl w:val="0"/>
        <w:adjustRightInd/>
        <w:snapToGrid/>
        <w:spacing w:after="0" w:line="44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1.《中华人民共和国职业病防治法》第七十五条第（五）项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违反《中华人民共和国职业病防治法》规定，有下列情形之一的，由卫生行政部门责令限期治理，并处五万元以上三十万元以下的罚款；</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情节严重的，责令停止产生职业病危害的作业，或者提请有关人民政府按照国务院规定的权限责令关闭：</w:t>
      </w:r>
    </w:p>
    <w:p w14:paraId="1E47EB0A">
      <w:pPr>
        <w:widowControl w:val="0"/>
        <w:adjustRightInd/>
        <w:snapToGrid/>
        <w:spacing w:after="0" w:line="44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（五）将产生职业病危害的作业转移给没有职业病防护条件的单位和个人，或者没有职业病防护条件的单位和个人接受产生职业病危害的作业的；</w:t>
      </w:r>
    </w:p>
    <w:p w14:paraId="018C2206">
      <w:pPr>
        <w:widowControl w:val="0"/>
        <w:adjustRightInd/>
        <w:snapToGrid/>
        <w:spacing w:after="0" w:line="44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2.《中华人民共和国尘肺病防治条例》第二十三条第（五）项　 凡违反《中华人民共和国尘肺病防治条例》规定，有下列行为之一的，卫生行政部门和劳动部门，可视其情节轻重，给予警告、限期治理、罚款和停业整顿的处罚。但停业整顿的处罚，需经当地人民政府同意。</w:t>
      </w:r>
    </w:p>
    <w:p w14:paraId="2C6C654A">
      <w:pPr>
        <w:widowControl w:val="0"/>
        <w:adjustRightInd/>
        <w:snapToGrid/>
        <w:spacing w:after="0" w:line="440" w:lineRule="exact"/>
        <w:ind w:firstLine="643"/>
        <w:jc w:val="both"/>
        <w:rPr>
          <w:rFonts w:hint="eastAsia" w:ascii="Times New Roman" w:hAnsi="Times New Roman" w:eastAsia="仿宋_GB2312" w:cs="仿宋_GB2312"/>
          <w:color w:val="000000" w:themeColor="text1"/>
          <w:spacing w:val="-6"/>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将粉尘作业转嫁、外包或 以联营的形式给没有防尘设施的乡镇、街道企业或个体工商户的；</w:t>
      </w:r>
    </w:p>
    <w:p w14:paraId="344F32F0">
      <w:pPr>
        <w:widowControl w:val="0"/>
        <w:adjustRightInd/>
        <w:snapToGrid/>
        <w:spacing w:after="0" w:line="44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3.《工作场所职业卫生管理规定》第五十一条第（五）项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用人单位有下列情形之一的，依法责令限期改正，并处五万元以上三十万元以下的罚款；情节严重的，责令停止产生职业病危害的作业，或者提请有关人民政府按照国务院规定的权限责令关闭：</w:t>
      </w:r>
    </w:p>
    <w:p w14:paraId="3261A2BB">
      <w:pPr>
        <w:widowControl w:val="0"/>
        <w:adjustRightInd/>
        <w:snapToGrid/>
        <w:spacing w:after="0" w:line="44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（五）将产生职业病危害的作业转移给没有职业病防护条件的单位和个人，或者没有职业病防护条件的单位和个人接受产生职业病危害的作业的；</w:t>
      </w:r>
    </w:p>
    <w:p w14:paraId="7273C74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9320"/>
        <w:gridCol w:w="3195"/>
      </w:tblGrid>
      <w:tr w14:paraId="4A13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3" w:type="dxa"/>
            <w:vAlign w:val="center"/>
          </w:tcPr>
          <w:p w14:paraId="745ECE0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9320" w:type="dxa"/>
            <w:vAlign w:val="center"/>
          </w:tcPr>
          <w:p w14:paraId="659CB6A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195" w:type="dxa"/>
            <w:vAlign w:val="center"/>
          </w:tcPr>
          <w:p w14:paraId="3625237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39B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443" w:type="dxa"/>
            <w:vAlign w:val="center"/>
          </w:tcPr>
          <w:p w14:paraId="18E82D5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320" w:type="dxa"/>
            <w:vAlign w:val="center"/>
          </w:tcPr>
          <w:p w14:paraId="5B3D340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将产生职业病危害的作业转移给没有职业病防护条件的单位和个人，或者没有职业病防护条件的单位和个人接受产生职业病危害的作业，涉及人数 20 人以下的。</w:t>
            </w:r>
          </w:p>
        </w:tc>
        <w:tc>
          <w:tcPr>
            <w:tcW w:w="3195" w:type="dxa"/>
            <w:vAlign w:val="center"/>
          </w:tcPr>
          <w:p w14:paraId="6942A509">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4A35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1443" w:type="dxa"/>
            <w:vAlign w:val="center"/>
          </w:tcPr>
          <w:p w14:paraId="0B02D9D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320" w:type="dxa"/>
            <w:vAlign w:val="center"/>
          </w:tcPr>
          <w:p w14:paraId="3DCF533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将产生职业病危害的作业转移给没有职业病防护条件的单位和个人，或者没有职业病防护条件的单位和个人接受产生职业病危害的作业，涉及人数 21-50 人的。</w:t>
            </w:r>
          </w:p>
        </w:tc>
        <w:tc>
          <w:tcPr>
            <w:tcW w:w="3195" w:type="dxa"/>
            <w:vAlign w:val="center"/>
          </w:tcPr>
          <w:p w14:paraId="614E2017">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处十万元以上二十万元以下的罚款。</w:t>
            </w:r>
          </w:p>
        </w:tc>
      </w:tr>
      <w:tr w14:paraId="37CB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1443" w:type="dxa"/>
            <w:vAlign w:val="center"/>
          </w:tcPr>
          <w:p w14:paraId="13B5DBC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320" w:type="dxa"/>
            <w:vAlign w:val="center"/>
          </w:tcPr>
          <w:p w14:paraId="0019D22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将产生职业病危害的作业转移给没有职业病防护条件的单位和个人，或者没有职业病防护条件的单位和个人接受产生职业病危害的作业，涉及人数 51-100 人的。</w:t>
            </w:r>
          </w:p>
        </w:tc>
        <w:tc>
          <w:tcPr>
            <w:tcW w:w="3195" w:type="dxa"/>
            <w:vAlign w:val="center"/>
          </w:tcPr>
          <w:p w14:paraId="40214413">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处二十万元以上三十万元以下的罚款。</w:t>
            </w:r>
          </w:p>
        </w:tc>
      </w:tr>
      <w:tr w14:paraId="7EFD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443" w:type="dxa"/>
            <w:vAlign w:val="center"/>
          </w:tcPr>
          <w:p w14:paraId="5B20F60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320" w:type="dxa"/>
            <w:vAlign w:val="center"/>
          </w:tcPr>
          <w:p w14:paraId="68D39D7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将产生职业病危害的作业转移给没有职业病防护条件的单位和个人，或者没有职业病防护条件的单位和个人接受产生职业病危害的作业，涉及人数 100 人以上的，或将产生职业病危害的作业转移给没有职业病防护条件的单位和个人，或者没有职业病防护条件的单位和个人接受产生职业病危害的作业，造成严重后果的。</w:t>
            </w:r>
          </w:p>
        </w:tc>
        <w:tc>
          <w:tcPr>
            <w:tcW w:w="3195" w:type="dxa"/>
            <w:vAlign w:val="center"/>
          </w:tcPr>
          <w:p w14:paraId="385662AB">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39E4F8FF">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283" w:name="_Toc5047"/>
      <w:bookmarkStart w:id="6284" w:name="_Toc26064"/>
      <w:bookmarkStart w:id="6285" w:name="_Toc5447"/>
      <w:bookmarkStart w:id="6286" w:name="_Toc13572"/>
      <w:bookmarkStart w:id="6287" w:name="_Toc20261"/>
      <w:bookmarkStart w:id="6288" w:name="_Toc26243"/>
      <w:bookmarkStart w:id="6289" w:name="_Toc14030"/>
      <w:bookmarkStart w:id="6290" w:name="_Toc12577"/>
      <w:bookmarkStart w:id="6291" w:name="_Toc24209"/>
      <w:bookmarkStart w:id="6292" w:name="_Toc5425"/>
      <w:bookmarkStart w:id="6293" w:name="_Toc18667"/>
      <w:r>
        <w:rPr>
          <w:rFonts w:hint="eastAsia" w:ascii="Times New Roman" w:hAnsi="Times New Roman" w:cs="仿宋_GB2312"/>
          <w:bCs/>
          <w:color w:val="000000" w:themeColor="text1"/>
          <w:kern w:val="0"/>
          <w14:textFill>
            <w14:solidFill>
              <w14:schemeClr w14:val="tx1"/>
            </w14:solidFill>
          </w14:textFill>
        </w:rPr>
        <w:t>第五百零二条</w:t>
      </w:r>
      <w:r>
        <w:rPr>
          <w:rFonts w:hint="eastAsia" w:cs="仿宋_GB2312"/>
          <w:bCs/>
          <w:color w:val="000000" w:themeColor="text1"/>
          <w:kern w:val="0"/>
          <w:szCs w:val="32"/>
          <w:lang w:eastAsia="zh-CN"/>
          <w14:textFill>
            <w14:solidFill>
              <w14:schemeClr w14:val="tx1"/>
            </w14:solidFill>
          </w14:textFill>
        </w:rPr>
        <w:t xml:space="preserve"> </w:t>
      </w:r>
      <w:r>
        <w:rPr>
          <w:rFonts w:hint="eastAsia" w:ascii="Times New Roman" w:hAnsi="Times New Roman" w:cs="仿宋_GB2312"/>
          <w:bCs/>
          <w:color w:val="000000" w:themeColor="text1"/>
          <w:kern w:val="0"/>
          <w:szCs w:val="32"/>
          <w14:textFill>
            <w14:solidFill>
              <w14:schemeClr w14:val="tx1"/>
            </w14:solidFill>
          </w14:textFill>
        </w:rPr>
        <w:t>擅自拆除、停止使用职业病防护设备或者应急救援设施的</w:t>
      </w:r>
      <w:bookmarkEnd w:id="6283"/>
      <w:bookmarkEnd w:id="6284"/>
      <w:bookmarkEnd w:id="6285"/>
      <w:bookmarkEnd w:id="6286"/>
      <w:bookmarkEnd w:id="6287"/>
      <w:bookmarkEnd w:id="6288"/>
      <w:bookmarkEnd w:id="6289"/>
      <w:bookmarkEnd w:id="6290"/>
      <w:bookmarkEnd w:id="6291"/>
      <w:bookmarkEnd w:id="6292"/>
      <w:bookmarkEnd w:id="6293"/>
    </w:p>
    <w:p w14:paraId="4BBAACE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8EBED3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1.《中华人民共和国职业病防治法》第七十五条第（六）项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违反《中华人民共和国职业病防治法》规定，有下列情形之一的，由卫生行政部门责令限期治理，并处五万元以上三十万元以下的罚款；</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情节严重的，责令停止产生职业病危害的作业，或者提请有关人民政府按照国务院规定的权限责令关闭：</w:t>
      </w:r>
    </w:p>
    <w:p w14:paraId="4370E80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（六）擅自拆除、停止使用职业病防护设备或者应急救援设施的；</w:t>
      </w:r>
    </w:p>
    <w:p w14:paraId="0DF514B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2.《中华人民共和国尘肺病防治条例》第二十三条第（二）项　 凡违反《中华人民共和国尘肺病防治条例》规定，有下列行为之一的，卫生行政部门和劳动部门，可视其情节轻重，给予警告、限期治理、罚款和停业整顿的处罚。但停业整顿的处罚，需经当地人民政府同意。</w:t>
      </w:r>
    </w:p>
    <w:p w14:paraId="168692E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（二）任意拆除防尘设施，致使粉尘危害严重的；</w:t>
      </w:r>
    </w:p>
    <w:p w14:paraId="63E1B7B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3.《使用有毒物品作业场所劳动保护条例》第六十条第（二）项　 用人单位违反本条例的规定，有下列情形之一的，由疾病预防控制部门给予警告，责令限期改正，处5万元以上30万元以下的罚款；逾期不改正的，提请有关人民政府按照国务院规定的权限予以关闭；造成严重职业中毒危害或者导致职业中毒事故发生的，对负有责任的主管人员和其他直接责任人员依照刑法关于重大责任事故罪、重大劳动安全事故罪或者其他罪的规定，依法追究刑事责任：</w:t>
      </w:r>
    </w:p>
    <w:p w14:paraId="75EC84D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（二）职业卫生防护设备、应急救援设施、通讯报警装置处于不正常状态而不停止作业，或者擅自拆除或者停止运行职业卫生防护设备、应急救援设施、通讯报警装置的。</w:t>
      </w:r>
    </w:p>
    <w:p w14:paraId="2486954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4.《工作场所职业卫生管理规定》第五十一条第（六）项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用人单位有下列情形之一的，依法责令限期改正，并处五万元以上三十万元以下的罚款；情节严重的，责令停止产生职业病危害的作业，或者提请有关人民政府按照国务院规定的权限责令关闭：</w:t>
      </w:r>
    </w:p>
    <w:p w14:paraId="28E3747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（六）擅自拆除、停止使用职业病防护设备或者应急救援设施的。</w:t>
      </w:r>
    </w:p>
    <w:p w14:paraId="6A4CD06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4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8674"/>
        <w:gridCol w:w="3393"/>
      </w:tblGrid>
      <w:tr w14:paraId="555F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91" w:type="dxa"/>
            <w:vAlign w:val="center"/>
          </w:tcPr>
          <w:p w14:paraId="6ABCA01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674" w:type="dxa"/>
            <w:vAlign w:val="center"/>
          </w:tcPr>
          <w:p w14:paraId="7DDBD20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393" w:type="dxa"/>
            <w:vAlign w:val="center"/>
          </w:tcPr>
          <w:p w14:paraId="5EE73CD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F04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1" w:type="dxa"/>
            <w:vAlign w:val="center"/>
          </w:tcPr>
          <w:p w14:paraId="3E294E2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674" w:type="dxa"/>
            <w:vAlign w:val="center"/>
          </w:tcPr>
          <w:p w14:paraId="6C2DF14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停止使用3处以下职业病防护设备的。</w:t>
            </w:r>
          </w:p>
        </w:tc>
        <w:tc>
          <w:tcPr>
            <w:tcW w:w="3393" w:type="dxa"/>
            <w:vAlign w:val="center"/>
          </w:tcPr>
          <w:p w14:paraId="295FE9A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罚款五万元以上十万元以下。</w:t>
            </w:r>
          </w:p>
        </w:tc>
      </w:tr>
      <w:tr w14:paraId="22EF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91" w:type="dxa"/>
            <w:vAlign w:val="center"/>
          </w:tcPr>
          <w:p w14:paraId="0F55F34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674" w:type="dxa"/>
            <w:vAlign w:val="center"/>
          </w:tcPr>
          <w:p w14:paraId="64062D1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停止使用4处以上6处以下职业病防护设备，或擅自拆除2处以下职业病防护设备、应急救援设施的。</w:t>
            </w:r>
          </w:p>
        </w:tc>
        <w:tc>
          <w:tcPr>
            <w:tcW w:w="3393" w:type="dxa"/>
            <w:vAlign w:val="center"/>
          </w:tcPr>
          <w:p w14:paraId="434A2CE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罚款十万元以上二十万元以下。</w:t>
            </w:r>
          </w:p>
        </w:tc>
      </w:tr>
      <w:tr w14:paraId="0B4B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391" w:type="dxa"/>
            <w:vAlign w:val="center"/>
          </w:tcPr>
          <w:p w14:paraId="5441077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674" w:type="dxa"/>
            <w:vAlign w:val="center"/>
          </w:tcPr>
          <w:p w14:paraId="54EE8E5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停止使用7处以上职业病防护设备，或擅自拆除3处以上职业病防护设备、应急救援设施，或停止使用、擅自拆除关键职业病防护设备、应急救援设施的。</w:t>
            </w:r>
          </w:p>
        </w:tc>
        <w:tc>
          <w:tcPr>
            <w:tcW w:w="3393" w:type="dxa"/>
            <w:vAlign w:val="center"/>
          </w:tcPr>
          <w:p w14:paraId="0C9605C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罚款二十万元以上三十万元以下。</w:t>
            </w:r>
          </w:p>
        </w:tc>
      </w:tr>
      <w:tr w14:paraId="1402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391" w:type="dxa"/>
            <w:vAlign w:val="center"/>
          </w:tcPr>
          <w:p w14:paraId="5F1D711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674" w:type="dxa"/>
            <w:vAlign w:val="center"/>
          </w:tcPr>
          <w:p w14:paraId="5AF6E0B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擅自拆除、停止使用职业病防护设备或者应急救援设施，造成严重后果的。</w:t>
            </w:r>
          </w:p>
        </w:tc>
        <w:tc>
          <w:tcPr>
            <w:tcW w:w="3393" w:type="dxa"/>
            <w:vAlign w:val="center"/>
          </w:tcPr>
          <w:p w14:paraId="194B0F8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4A167F38">
      <w:pPr>
        <w:pStyle w:val="4"/>
        <w:widowControl w:val="0"/>
        <w:spacing w:line="460" w:lineRule="exact"/>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294" w:name="_Toc1807"/>
      <w:bookmarkStart w:id="6295" w:name="_Toc23297"/>
      <w:bookmarkStart w:id="6296" w:name="_Toc27133"/>
      <w:bookmarkStart w:id="6297" w:name="_Toc7838"/>
      <w:bookmarkStart w:id="6298" w:name="_Toc13422"/>
      <w:bookmarkStart w:id="6299" w:name="_Toc4728"/>
      <w:bookmarkStart w:id="6300" w:name="_Toc14318"/>
      <w:bookmarkStart w:id="6301" w:name="_Toc5199"/>
      <w:bookmarkStart w:id="6302" w:name="_Toc3586"/>
      <w:bookmarkStart w:id="6303" w:name="_Toc27986"/>
      <w:bookmarkStart w:id="6304" w:name="_Toc18855"/>
      <w:r>
        <w:rPr>
          <w:rFonts w:hint="eastAsia" w:ascii="Times New Roman" w:hAnsi="Times New Roman" w:cs="仿宋_GB2312"/>
          <w:bCs/>
          <w:color w:val="000000" w:themeColor="text1"/>
          <w:kern w:val="0"/>
          <w14:textFill>
            <w14:solidFill>
              <w14:schemeClr w14:val="tx1"/>
            </w14:solidFill>
          </w14:textFill>
        </w:rPr>
        <w:t>第五百零三条</w:t>
      </w:r>
      <w:r>
        <w:rPr>
          <w:rFonts w:hint="eastAsia" w:ascii="Times New Roman" w:hAnsi="Times New Roman" w:cs="仿宋_GB2312"/>
          <w:bCs/>
          <w:color w:val="000000" w:themeColor="text1"/>
          <w:kern w:val="0"/>
          <w:szCs w:val="32"/>
          <w14:textFill>
            <w14:solidFill>
              <w14:schemeClr w14:val="tx1"/>
            </w14:solidFill>
          </w14:textFill>
        </w:rPr>
        <w:t xml:space="preserve"> 安排未经职业健康检查的劳动者、有职业禁忌的劳动者、未成年工或者孕期、哺乳期女职工从事接触职业病危害的作业或者禁忌作业的</w:t>
      </w:r>
      <w:bookmarkEnd w:id="6294"/>
      <w:bookmarkEnd w:id="6295"/>
      <w:bookmarkEnd w:id="6296"/>
      <w:bookmarkEnd w:id="6297"/>
      <w:bookmarkEnd w:id="6298"/>
      <w:bookmarkEnd w:id="6299"/>
      <w:bookmarkEnd w:id="6300"/>
      <w:bookmarkEnd w:id="6301"/>
      <w:bookmarkEnd w:id="6302"/>
      <w:bookmarkEnd w:id="6303"/>
      <w:bookmarkEnd w:id="6304"/>
    </w:p>
    <w:p w14:paraId="4FEEDD22">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30318BA1">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1.《中华人民共和国职业病防治法》第七十五条第（七）项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违反《中华人民共和国职业病防治法》规定，有下列情形之一的，由卫生行政部门责令限期治理，并处五万元以上三十万元以下的罚款；</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情节严重的，责令停止产生职业病危害的作业，或者提请有关人民政府按照国务院规定的权限责令关闭：</w:t>
      </w:r>
    </w:p>
    <w:p w14:paraId="71A29129">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（七）安排未经职业健康检查的劳动者、有职业禁忌的劳动者、未成年工或者孕期、哺乳期女职工从事接触职业病危害的作业或者禁忌作业的；</w:t>
      </w:r>
    </w:p>
    <w:p w14:paraId="7780A125">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2.《中华人民共和国尘肺病防治条例》第二十三条第（九）项　 凡违反《中华人民共和国尘肺病防治条例》规定，有下列行为之一的，卫生行政部门和劳动部门，可视其情节轻重，给予警告、限期治理、罚款和停业整顿的处罚。但停业整顿的处罚，需经当地人民政府同意。</w:t>
      </w:r>
    </w:p>
    <w:p w14:paraId="10443E2A">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（九）安排未成年人从事粉尘作业的。</w:t>
      </w:r>
    </w:p>
    <w:p w14:paraId="6F127392">
      <w:pPr>
        <w:widowControl w:val="0"/>
        <w:spacing w:after="0" w:line="470" w:lineRule="exact"/>
        <w:ind w:firstLine="640" w:firstLineChars="200"/>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3.《使用有毒物品作业场所劳动保护条例》第六十三条第（三）项、第（五）项、第（六）项　 用人单位违反本条例的规定，有下列行为之一的，由疾病预防控制部门给予警告，责令限期改正；逾期不改正的，处5万元以上30万元以下的罚款；造成严重职业中毒危害或者导致职业中毒事故发生的，对负有责任的主管人员和其他直接责任人员依照刑法关于重大责任事故罪或者其他罪的规定，依法追究刑事责任：</w:t>
      </w:r>
    </w:p>
    <w:p w14:paraId="06CAF6C2">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（三）安排有职业禁忌的劳动者从事所禁忌的作业的；</w:t>
      </w:r>
    </w:p>
    <w:p w14:paraId="40280C33">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（五）安排未成年人或者孕期、哺乳期的女职工从事使用有毒物品作业的；</w:t>
      </w:r>
    </w:p>
    <w:p w14:paraId="2299F1F0">
      <w:pPr>
        <w:widowControl w:val="0"/>
        <w:adjustRightInd/>
        <w:snapToGrid/>
        <w:spacing w:after="0" w:line="47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（六）使用童工的。</w:t>
      </w:r>
    </w:p>
    <w:p w14:paraId="35966421">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4.《使用有毒物品作业场所劳动保护条例》第六十三条第（一）项　 用人单位违反本条例的规定，有下列行为之一的，由疾病预防控制部门责令限期改正，处5万元以上30万元以下的罚款；情节严重的，责令停止使用有毒物品作业，或者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14:paraId="1C5DCE90">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（一）未组织从事使用有毒物品作业的劳动者进行上岗前职业健康检查，安排未经上岗前职业健康检查的劳动者从事使用有毒物品作业的；</w:t>
      </w:r>
    </w:p>
    <w:p w14:paraId="0FFEA33D">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5.《工作场所职业卫生管理规定》第五十一条第（七）项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用人单位有下列情形之一的，依法责令限期改正，并处五万元以上三十万元以下的罚款；情节严重的，责令停止产生职业病危害的作业，或者提请有关人民政府按照国务院规定的权限责令关闭：</w:t>
      </w:r>
    </w:p>
    <w:p w14:paraId="20E731F6">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（七）安排未经职业健康检查的劳动者、有职业禁忌的劳动者、未成年工或者孕期、哺乳期女职工从事接触产生职业病危害的作业或者禁忌作业的；</w:t>
      </w:r>
    </w:p>
    <w:p w14:paraId="5DF38EC6">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6.《用人单位职业健康监护监督管理办法》第二十九条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用人单位有下列情形之一的，责令限期治理，并处5万元以上30万元以下的罚款；情节严重的，责令停止产生职业病危害的作业，或者提请有关人民政府按照国务院规定的权限责令关闭：</w:t>
      </w:r>
    </w:p>
    <w:p w14:paraId="4449E9B0">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（一）安排未经职业健康检查的劳动者从事接触职业病危害的作业的；</w:t>
      </w:r>
    </w:p>
    <w:p w14:paraId="47A12537">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（二）安排未成年工从事接触职业病危害的作业的；</w:t>
      </w:r>
    </w:p>
    <w:p w14:paraId="7136DA4C">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（三）安排孕期、哺乳期女职工从事对本人和胎儿、婴儿有危害的作业的；</w:t>
      </w:r>
    </w:p>
    <w:p w14:paraId="23F52B18">
      <w:pPr>
        <w:widowControl w:val="0"/>
        <w:adjustRightInd/>
        <w:snapToGrid/>
        <w:spacing w:after="0" w:line="470" w:lineRule="exact"/>
        <w:ind w:firstLine="641"/>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（四）安排有职业禁忌的劳动者从事所禁忌的作业的。</w:t>
      </w:r>
    </w:p>
    <w:p w14:paraId="12D3038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9307"/>
        <w:gridCol w:w="3190"/>
      </w:tblGrid>
      <w:tr w14:paraId="0ABD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1" w:type="dxa"/>
            <w:vAlign w:val="center"/>
          </w:tcPr>
          <w:p w14:paraId="1A3C792C">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307" w:type="dxa"/>
            <w:vAlign w:val="center"/>
          </w:tcPr>
          <w:p w14:paraId="2CC2F774">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190" w:type="dxa"/>
            <w:vAlign w:val="center"/>
          </w:tcPr>
          <w:p w14:paraId="0C8FAAF1">
            <w:pPr>
              <w:widowControl/>
              <w:adjustRightInd/>
              <w:snapToGrid/>
              <w:spacing w:before="0" w:beforeLines="-2147483648"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3D6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441" w:type="dxa"/>
            <w:vAlign w:val="center"/>
          </w:tcPr>
          <w:p w14:paraId="394E879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307" w:type="dxa"/>
            <w:vAlign w:val="center"/>
          </w:tcPr>
          <w:p w14:paraId="0D968D9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用人单位安排未经职业健康检查的劳动者、有职业禁忌的劳动者、未成年工或者孕期、哺乳期女职工从事接触职业病危害的作业或者禁忌作业，涉及 5 人以下的。</w:t>
            </w:r>
          </w:p>
        </w:tc>
        <w:tc>
          <w:tcPr>
            <w:tcW w:w="3190" w:type="dxa"/>
            <w:vAlign w:val="center"/>
          </w:tcPr>
          <w:p w14:paraId="0ACEB41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0DFD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1" w:type="dxa"/>
            <w:vAlign w:val="center"/>
          </w:tcPr>
          <w:p w14:paraId="507D36A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307" w:type="dxa"/>
            <w:vAlign w:val="center"/>
          </w:tcPr>
          <w:p w14:paraId="63FB664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用人单位安排未经职业健康检查的劳动者、有职业禁忌的劳动者、未成年工或者孕期、哺乳期女职工从事接触职业病危害的作业或者禁忌作业，涉及 6-10 人的。</w:t>
            </w:r>
          </w:p>
        </w:tc>
        <w:tc>
          <w:tcPr>
            <w:tcW w:w="3190" w:type="dxa"/>
            <w:vAlign w:val="center"/>
          </w:tcPr>
          <w:p w14:paraId="55C83A7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处十万元以上十五万元以下的罚款。</w:t>
            </w:r>
          </w:p>
        </w:tc>
      </w:tr>
      <w:tr w14:paraId="2C3C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441" w:type="dxa"/>
            <w:vAlign w:val="center"/>
          </w:tcPr>
          <w:p w14:paraId="2ED685B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307" w:type="dxa"/>
            <w:vAlign w:val="center"/>
          </w:tcPr>
          <w:p w14:paraId="4E07E01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用人单位安排未经职业健康检查的劳动者、有职业禁忌的劳动者、未成年工或者孕期、哺乳期女职工从事接触职业病危害的作业或者禁忌作业，涉及 11-20 人的。</w:t>
            </w:r>
          </w:p>
        </w:tc>
        <w:tc>
          <w:tcPr>
            <w:tcW w:w="3190" w:type="dxa"/>
            <w:vAlign w:val="center"/>
          </w:tcPr>
          <w:p w14:paraId="06783CC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处十五万元以上二十万元以下的罚款。</w:t>
            </w:r>
          </w:p>
        </w:tc>
      </w:tr>
      <w:tr w14:paraId="6ABC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1441" w:type="dxa"/>
            <w:vAlign w:val="center"/>
          </w:tcPr>
          <w:p w14:paraId="4C2934B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307" w:type="dxa"/>
            <w:vAlign w:val="center"/>
          </w:tcPr>
          <w:p w14:paraId="6250B28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用人单位安排未经职业健康检查的劳动者、有职业禁忌的劳动者、未成年工或者孕期、哺乳期女职工从事接触职业病危害的作业或者禁忌作业，涉及 21 人以上30人以下的。</w:t>
            </w:r>
          </w:p>
        </w:tc>
        <w:tc>
          <w:tcPr>
            <w:tcW w:w="3190" w:type="dxa"/>
            <w:vAlign w:val="center"/>
          </w:tcPr>
          <w:p w14:paraId="4609280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处二十万元以上三十万元以下的罚款。</w:t>
            </w:r>
          </w:p>
        </w:tc>
      </w:tr>
      <w:tr w14:paraId="0CE3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441" w:type="dxa"/>
            <w:vAlign w:val="center"/>
          </w:tcPr>
          <w:p w14:paraId="657DA99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9307" w:type="dxa"/>
            <w:vAlign w:val="center"/>
          </w:tcPr>
          <w:p w14:paraId="54797A8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用人单位安排未经职业健康检查的劳动者、有职业禁忌的劳动者、未成年工或者孕期、哺乳期女职工从事接触职业病危害的作业或者禁忌作业，涉及 31人以上的；或用人单位安排未经职业健康检查的劳动者、有职业禁忌的劳动者、未成年工或者孕期、哺乳期女职工从事接触职业病危害的作业或者禁忌作业，造成严重后果的。</w:t>
            </w:r>
          </w:p>
        </w:tc>
        <w:tc>
          <w:tcPr>
            <w:tcW w:w="3190" w:type="dxa"/>
            <w:vAlign w:val="center"/>
          </w:tcPr>
          <w:p w14:paraId="4139736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停止产生职业病危害的作业，或者提请有关人民政府按照国务院规定的权限责令关闭。</w:t>
            </w:r>
          </w:p>
        </w:tc>
      </w:tr>
    </w:tbl>
    <w:p w14:paraId="33603E69">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05" w:name="_Toc27278"/>
      <w:bookmarkStart w:id="6306" w:name="_Toc24833"/>
      <w:bookmarkStart w:id="6307" w:name="_Toc21737"/>
      <w:bookmarkStart w:id="6308" w:name="_Toc13936"/>
      <w:bookmarkStart w:id="6309" w:name="_Toc5727"/>
      <w:bookmarkStart w:id="6310" w:name="_Toc27632"/>
      <w:bookmarkStart w:id="6311" w:name="_Toc19610"/>
      <w:bookmarkStart w:id="6312" w:name="_Toc2944"/>
      <w:bookmarkStart w:id="6313" w:name="_Toc16599"/>
      <w:bookmarkStart w:id="6314" w:name="_Toc23085"/>
      <w:bookmarkStart w:id="6315" w:name="_Toc8959"/>
      <w:r>
        <w:rPr>
          <w:rFonts w:hint="eastAsia" w:ascii="Times New Roman" w:hAnsi="Times New Roman" w:cs="仿宋_GB2312"/>
          <w:bCs/>
          <w:color w:val="000000" w:themeColor="text1"/>
          <w:kern w:val="0"/>
          <w14:textFill>
            <w14:solidFill>
              <w14:schemeClr w14:val="tx1"/>
            </w14:solidFill>
          </w14:textFill>
        </w:rPr>
        <w:t>第五百零四条</w:t>
      </w:r>
      <w:r>
        <w:rPr>
          <w:rFonts w:hint="eastAsia" w:ascii="Times New Roman" w:hAnsi="Times New Roman" w:cs="仿宋_GB2312"/>
          <w:bCs/>
          <w:color w:val="000000" w:themeColor="text1"/>
          <w:kern w:val="0"/>
          <w:szCs w:val="32"/>
          <w14:textFill>
            <w14:solidFill>
              <w14:schemeClr w14:val="tx1"/>
            </w14:solidFill>
          </w14:textFill>
        </w:rPr>
        <w:t xml:space="preserve"> 违章指挥和强令劳动者进行没有职业病防护措施的作业的</w:t>
      </w:r>
      <w:bookmarkEnd w:id="6305"/>
      <w:bookmarkEnd w:id="6306"/>
      <w:bookmarkEnd w:id="6307"/>
      <w:bookmarkEnd w:id="6308"/>
      <w:bookmarkEnd w:id="6309"/>
      <w:bookmarkEnd w:id="6310"/>
      <w:bookmarkEnd w:id="6311"/>
      <w:bookmarkEnd w:id="6312"/>
      <w:bookmarkEnd w:id="6313"/>
      <w:bookmarkEnd w:id="6314"/>
      <w:bookmarkEnd w:id="6315"/>
    </w:p>
    <w:p w14:paraId="3C50655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815721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1.《中华人民共和国职业病防治法》第七十五条第（八）项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违反《中华人民共和国职业病防治法》规定，有下列情形之一的，由卫生行政部门责令限期治理，并处五万元以上三十万元以下的罚款；</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情节严重的，责令停止产生职业病危害的作业，或者提请有关人民政府按照国务院规定的权限责令关闭：</w:t>
      </w:r>
    </w:p>
    <w:p w14:paraId="66ED09D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（八）违章指挥和强令劳动者进行没有职业病防护措施的作业的。</w:t>
      </w:r>
    </w:p>
    <w:p w14:paraId="6DE9948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2.《中华人民共和国尘肺病防治条例》第二十三条第（七）项　 凡违反《中华人民共和国尘肺病防治条例》规定，有下列行为之一的，卫生行政部门和劳动部门，可视其情节轻重，给予警告、限期治理、罚款和停业整顿的处罚。但停业整顿的处罚，需经当地人民政府同意。</w:t>
      </w:r>
    </w:p>
    <w:p w14:paraId="1AB419A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（七）强令尘肺病患者继续从事粉尘作业的；</w:t>
      </w:r>
    </w:p>
    <w:p w14:paraId="7C8F5DF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3.《使用有毒物品作业场所劳动保护条例》第六十一条第（三）项　从事使用高毒物品作业的用人单位违反本条例的规定，有下列行为之一的，由疾病预防控制部门给予警告，责令限期改正，处5万元以上20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14:paraId="068BD5D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（三）未采取本条例规定的措施，安排劳动者进入存在高毒物品的设备、容器或者狭窄封闭场所作业的。</w:t>
      </w:r>
    </w:p>
    <w:p w14:paraId="5546C41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4.《工作场所职业卫生管理规定》第五十一条第（八）项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用人单位有下列情形之一的，依法责令限期改正，并处五万元以上三十万元以下的罚款；情节严重的，责令停止产生职业病危害的作业，或者提请有关人民政府按照国务院规定的权限责令关闭：</w:t>
      </w:r>
    </w:p>
    <w:p w14:paraId="081514D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（八）违章指挥和强令劳动者进行没有职业病防护措施的作业的。</w:t>
      </w:r>
    </w:p>
    <w:p w14:paraId="08E369E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9022"/>
        <w:gridCol w:w="4138"/>
      </w:tblGrid>
      <w:tr w14:paraId="6925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8" w:type="dxa"/>
            <w:vAlign w:val="center"/>
          </w:tcPr>
          <w:p w14:paraId="3DE398B0">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022" w:type="dxa"/>
            <w:vAlign w:val="center"/>
          </w:tcPr>
          <w:p w14:paraId="5996F790">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38" w:type="dxa"/>
            <w:vAlign w:val="center"/>
          </w:tcPr>
          <w:p w14:paraId="6F708B84">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04F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18" w:type="dxa"/>
            <w:vAlign w:val="center"/>
          </w:tcPr>
          <w:p w14:paraId="713CEAF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022" w:type="dxa"/>
            <w:vAlign w:val="center"/>
          </w:tcPr>
          <w:p w14:paraId="6F09C2D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违章指挥和强令劳动者进行没有职业病防护措施的作业，涉及人数在5人以下的。</w:t>
            </w:r>
          </w:p>
        </w:tc>
        <w:tc>
          <w:tcPr>
            <w:tcW w:w="4138" w:type="dxa"/>
            <w:vAlign w:val="center"/>
          </w:tcPr>
          <w:p w14:paraId="63A7E8C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处五万元以上十万元以下的罚款。</w:t>
            </w:r>
          </w:p>
        </w:tc>
      </w:tr>
      <w:tr w14:paraId="6F29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518" w:type="dxa"/>
            <w:vAlign w:val="center"/>
          </w:tcPr>
          <w:p w14:paraId="07EEC7E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022" w:type="dxa"/>
            <w:vAlign w:val="center"/>
          </w:tcPr>
          <w:p w14:paraId="7EBB787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违章指挥和强令劳动者进行没有职业病防护措施的作业，涉及人数在5人以上10人以下。</w:t>
            </w:r>
          </w:p>
        </w:tc>
        <w:tc>
          <w:tcPr>
            <w:tcW w:w="4138" w:type="dxa"/>
            <w:vAlign w:val="center"/>
          </w:tcPr>
          <w:p w14:paraId="0E6C2EC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处十万元以上十五万元以下的罚款。</w:t>
            </w:r>
          </w:p>
        </w:tc>
      </w:tr>
      <w:tr w14:paraId="05D5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18" w:type="dxa"/>
            <w:vAlign w:val="center"/>
          </w:tcPr>
          <w:p w14:paraId="4ED9563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022" w:type="dxa"/>
            <w:vAlign w:val="center"/>
          </w:tcPr>
          <w:p w14:paraId="14A94F1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违章指挥和强令劳动者进行没有职业病防护措施的作业，涉及人数在10人以上15人以下的。</w:t>
            </w:r>
          </w:p>
        </w:tc>
        <w:tc>
          <w:tcPr>
            <w:tcW w:w="4138" w:type="dxa"/>
            <w:vAlign w:val="center"/>
          </w:tcPr>
          <w:p w14:paraId="53A396D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处十五万元以上二十万元以下的罚款。</w:t>
            </w:r>
          </w:p>
        </w:tc>
      </w:tr>
      <w:tr w14:paraId="2037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518" w:type="dxa"/>
            <w:vAlign w:val="center"/>
          </w:tcPr>
          <w:p w14:paraId="4EFC2C5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022" w:type="dxa"/>
            <w:vAlign w:val="center"/>
          </w:tcPr>
          <w:p w14:paraId="2B94996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违章指挥和强令劳动者进行没有职业病防护措施的作业，涉及人数在16人以上20人以下的。</w:t>
            </w:r>
          </w:p>
        </w:tc>
        <w:tc>
          <w:tcPr>
            <w:tcW w:w="4138" w:type="dxa"/>
            <w:vAlign w:val="center"/>
          </w:tcPr>
          <w:p w14:paraId="05E1A50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处二十万元以上三十万元以下的罚款。</w:t>
            </w:r>
          </w:p>
        </w:tc>
      </w:tr>
      <w:tr w14:paraId="5D80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518" w:type="dxa"/>
            <w:vAlign w:val="center"/>
          </w:tcPr>
          <w:p w14:paraId="062D1F5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9022" w:type="dxa"/>
            <w:vAlign w:val="center"/>
          </w:tcPr>
          <w:p w14:paraId="707F91C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违章指挥和强令劳动者进行没有职业病防护措施的作业，涉及人数在21人以上的；或违章指挥和强令劳动者进行没有职业病防护措施的作业，造成严重后果的。</w:t>
            </w:r>
          </w:p>
        </w:tc>
        <w:tc>
          <w:tcPr>
            <w:tcW w:w="4138" w:type="dxa"/>
            <w:vAlign w:val="center"/>
          </w:tcPr>
          <w:p w14:paraId="074650D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责令停止产生职业病危害的作业，或者提请有关人民政府按照国务院规定的权限责令关闭。</w:t>
            </w:r>
          </w:p>
        </w:tc>
      </w:tr>
    </w:tbl>
    <w:p w14:paraId="02C04EF6">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16" w:name="_Toc30162"/>
      <w:bookmarkStart w:id="6317" w:name="_Toc20593"/>
      <w:bookmarkStart w:id="6318" w:name="_Toc3733"/>
      <w:bookmarkStart w:id="6319" w:name="_Toc20943"/>
      <w:bookmarkStart w:id="6320" w:name="_Toc27576"/>
      <w:bookmarkStart w:id="6321" w:name="_Toc11948"/>
      <w:bookmarkStart w:id="6322" w:name="_Toc14659"/>
      <w:bookmarkStart w:id="6323" w:name="_Toc10874"/>
      <w:bookmarkStart w:id="6324" w:name="_Toc2096"/>
      <w:bookmarkStart w:id="6325" w:name="_Toc19197"/>
      <w:bookmarkStart w:id="6326" w:name="_Toc17007"/>
      <w:r>
        <w:rPr>
          <w:rFonts w:hint="eastAsia" w:ascii="Times New Roman" w:hAnsi="Times New Roman" w:cs="仿宋_GB2312"/>
          <w:bCs/>
          <w:color w:val="000000" w:themeColor="text1"/>
          <w:kern w:val="0"/>
          <w14:textFill>
            <w14:solidFill>
              <w14:schemeClr w14:val="tx1"/>
            </w14:solidFill>
          </w14:textFill>
        </w:rPr>
        <w:t>第五百零五条</w:t>
      </w:r>
      <w:r>
        <w:rPr>
          <w:rFonts w:hint="eastAsia" w:ascii="Times New Roman" w:hAnsi="Times New Roman" w:cs="仿宋_GB2312"/>
          <w:bCs/>
          <w:color w:val="000000" w:themeColor="text1"/>
          <w:kern w:val="0"/>
          <w:szCs w:val="32"/>
          <w14:textFill>
            <w14:solidFill>
              <w14:schemeClr w14:val="tx1"/>
            </w14:solidFill>
          </w14:textFill>
        </w:rPr>
        <w:t xml:space="preserve"> 用人单位违反本法规定，已经对劳动者生命健康造成严重损害的</w:t>
      </w:r>
      <w:bookmarkEnd w:id="6316"/>
      <w:bookmarkEnd w:id="6317"/>
      <w:bookmarkEnd w:id="6318"/>
      <w:bookmarkEnd w:id="6319"/>
      <w:bookmarkEnd w:id="6320"/>
      <w:bookmarkEnd w:id="6321"/>
      <w:bookmarkEnd w:id="6322"/>
      <w:bookmarkEnd w:id="6323"/>
      <w:bookmarkEnd w:id="6324"/>
      <w:bookmarkEnd w:id="6325"/>
      <w:bookmarkEnd w:id="6326"/>
    </w:p>
    <w:p w14:paraId="3E5A69E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4378E3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1.《中华人民共和国职业病防治法》第七十七条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中华人民共和国职业病防治法》规定，已经对劳动者生命健康造成严重损害的，由卫生行政部门责令停止产生职业病危害的作业，或者提请有关人民政府按照国务院规定的权限责令关闭，并处十万元以上五十万元以下的罚款。</w:t>
      </w:r>
    </w:p>
    <w:p w14:paraId="691F9028">
      <w:pPr>
        <w:widowControl w:val="0"/>
        <w:adjustRightInd/>
        <w:snapToGrid/>
        <w:spacing w:after="0" w:line="440" w:lineRule="exact"/>
        <w:ind w:firstLine="643"/>
        <w:rPr>
          <w:rFonts w:hint="eastAsia" w:ascii="Times New Roman" w:hAnsi="Times New Roman" w:eastAsia="仿宋_GB2312" w:cs="仿宋_GB2312"/>
          <w:bCs/>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2.《工作场所职业卫生管理规定》第五十二条　 用人单位违反《中华人民共和国职业病防治法》的规定，已经对劳动者生命健康造成严重损害的，责令停止产生职业病危害的作业，或者提请有关人民政府按照国务院</w:t>
      </w:r>
      <w:r>
        <w:rPr>
          <w:rFonts w:hint="eastAsia" w:ascii="Times New Roman" w:hAnsi="Times New Roman" w:eastAsia="仿宋_GB2312" w:cs="仿宋_GB2312"/>
          <w:bCs/>
          <w:color w:val="000000" w:themeColor="text1"/>
          <w:kern w:val="2"/>
          <w:sz w:val="32"/>
          <w:szCs w:val="21"/>
          <w14:textFill>
            <w14:solidFill>
              <w14:schemeClr w14:val="tx1"/>
            </w14:solidFill>
          </w14:textFill>
        </w:rPr>
        <w:t>规定的权限责令关闭，并处十万元以上五十万元以下的罚款。</w:t>
      </w:r>
    </w:p>
    <w:p w14:paraId="2DE3D60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8494"/>
        <w:gridCol w:w="4030"/>
      </w:tblGrid>
      <w:tr w14:paraId="02AE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429" w:type="dxa"/>
            <w:vAlign w:val="center"/>
          </w:tcPr>
          <w:p w14:paraId="56187800">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494" w:type="dxa"/>
            <w:vAlign w:val="center"/>
          </w:tcPr>
          <w:p w14:paraId="336AEE30">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030" w:type="dxa"/>
            <w:vAlign w:val="center"/>
          </w:tcPr>
          <w:p w14:paraId="5C2ED342">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420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29" w:type="dxa"/>
            <w:vAlign w:val="center"/>
          </w:tcPr>
          <w:p w14:paraId="171B7CF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494" w:type="dxa"/>
            <w:vAlign w:val="center"/>
          </w:tcPr>
          <w:p w14:paraId="4CBA2BB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用人单位违反《中华人民共和国职业病防治法》规定，已经对3名以下劳动者生命健康造成严重损害的。</w:t>
            </w:r>
          </w:p>
        </w:tc>
        <w:tc>
          <w:tcPr>
            <w:tcW w:w="4030" w:type="dxa"/>
            <w:vAlign w:val="center"/>
          </w:tcPr>
          <w:p w14:paraId="265930D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责令停业或者提请有关人民政府按照国务院规定的权限责令关闭，罚款十万元以上二十二万元以下</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r>
      <w:tr w14:paraId="0E8A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29" w:type="dxa"/>
            <w:vAlign w:val="center"/>
          </w:tcPr>
          <w:p w14:paraId="67923F6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494" w:type="dxa"/>
            <w:vAlign w:val="center"/>
          </w:tcPr>
          <w:p w14:paraId="525727B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用人单位违反《中华人民共和国职业病防治法》的规定，已经对 4-6名劳动者生命健康造成严重损害的。</w:t>
            </w:r>
          </w:p>
        </w:tc>
        <w:tc>
          <w:tcPr>
            <w:tcW w:w="4030" w:type="dxa"/>
            <w:vAlign w:val="center"/>
          </w:tcPr>
          <w:p w14:paraId="0D598C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责令停业或者提请有关人民政府按照国务院规定的权限责令关闭，罚款二十二万元以上三十八万元以下。</w:t>
            </w:r>
          </w:p>
        </w:tc>
      </w:tr>
      <w:tr w14:paraId="4818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29" w:type="dxa"/>
            <w:vAlign w:val="center"/>
          </w:tcPr>
          <w:p w14:paraId="2C3089C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494" w:type="dxa"/>
            <w:vAlign w:val="center"/>
          </w:tcPr>
          <w:p w14:paraId="5C1411A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用人单位违反《中华人民共和国职业病防治法》的规定，已经对 7名以上劳动者生命健康造成严重损害的。</w:t>
            </w:r>
          </w:p>
        </w:tc>
        <w:tc>
          <w:tcPr>
            <w:tcW w:w="4030" w:type="dxa"/>
            <w:vAlign w:val="center"/>
          </w:tcPr>
          <w:p w14:paraId="26B25DD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责令停业或者提请有关人民政府按照国务院规定的权限责令关闭，罚款三十八万元以上五十万元以下。</w:t>
            </w:r>
          </w:p>
        </w:tc>
      </w:tr>
    </w:tbl>
    <w:p w14:paraId="2B7D18E6">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27" w:name="_Toc1827"/>
      <w:bookmarkStart w:id="6328" w:name="_Toc24817"/>
      <w:bookmarkStart w:id="6329" w:name="_Toc4756"/>
      <w:bookmarkStart w:id="6330" w:name="_Toc12917"/>
      <w:bookmarkStart w:id="6331" w:name="_Toc25054"/>
      <w:bookmarkStart w:id="6332" w:name="_Toc21022"/>
      <w:bookmarkStart w:id="6333" w:name="_Toc4146"/>
      <w:bookmarkStart w:id="6334" w:name="_Toc11280"/>
      <w:bookmarkStart w:id="6335" w:name="_Toc20539"/>
      <w:bookmarkStart w:id="6336" w:name="_Toc20819"/>
      <w:bookmarkStart w:id="6337" w:name="_Toc12969"/>
      <w:r>
        <w:rPr>
          <w:rFonts w:hint="eastAsia" w:ascii="Times New Roman" w:hAnsi="Times New Roman" w:cs="仿宋_GB2312"/>
          <w:bCs/>
          <w:color w:val="000000" w:themeColor="text1"/>
          <w:kern w:val="0"/>
          <w14:textFill>
            <w14:solidFill>
              <w14:schemeClr w14:val="tx1"/>
            </w14:solidFill>
          </w14:textFill>
        </w:rPr>
        <w:t>第五百零六条</w:t>
      </w:r>
      <w:r>
        <w:rPr>
          <w:rFonts w:hint="eastAsia" w:ascii="Times New Roman" w:hAnsi="Times New Roman" w:cs="仿宋_GB2312"/>
          <w:bCs/>
          <w:color w:val="000000" w:themeColor="text1"/>
          <w:kern w:val="0"/>
          <w:szCs w:val="32"/>
          <w14:textFill>
            <w14:solidFill>
              <w14:schemeClr w14:val="tx1"/>
            </w14:solidFill>
          </w14:textFill>
        </w:rPr>
        <w:t xml:space="preserve"> 未取得职业卫生技术服务资质认可擅自从事职业卫生技术服务的</w:t>
      </w:r>
      <w:bookmarkEnd w:id="6327"/>
      <w:bookmarkEnd w:id="6328"/>
      <w:bookmarkEnd w:id="6329"/>
      <w:bookmarkEnd w:id="6330"/>
      <w:bookmarkEnd w:id="6331"/>
      <w:bookmarkEnd w:id="6332"/>
      <w:bookmarkEnd w:id="6333"/>
      <w:bookmarkEnd w:id="6334"/>
      <w:bookmarkEnd w:id="6335"/>
      <w:bookmarkEnd w:id="6336"/>
      <w:bookmarkEnd w:id="6337"/>
    </w:p>
    <w:p w14:paraId="69A1E1F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92AC44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1.《中华人民共和国职业病防治法》第七十九条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 xml:space="preserve">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 </w:t>
      </w:r>
    </w:p>
    <w:p w14:paraId="29AED13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2.《职业卫生技术服务机构管理办法》第四十一条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未取得职业卫生技术服务资质认可擅自从事职业卫生检测、评价技术服务的，由县级以上地方疾病预防控制主管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14:paraId="1B098A1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7155"/>
        <w:gridCol w:w="5199"/>
      </w:tblGrid>
      <w:tr w14:paraId="030C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424" w:type="dxa"/>
            <w:vAlign w:val="center"/>
          </w:tcPr>
          <w:p w14:paraId="47B95C18">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155" w:type="dxa"/>
            <w:vAlign w:val="center"/>
          </w:tcPr>
          <w:p w14:paraId="2F3EC275">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199" w:type="dxa"/>
            <w:vAlign w:val="center"/>
          </w:tcPr>
          <w:p w14:paraId="586B0B45">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938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424" w:type="dxa"/>
            <w:vAlign w:val="center"/>
          </w:tcPr>
          <w:p w14:paraId="49DEEF9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155" w:type="dxa"/>
            <w:vAlign w:val="center"/>
          </w:tcPr>
          <w:p w14:paraId="77E8E09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未取得职业卫生技术服务资质认可擅自从事职业卫生技术服务，没有违法所得或者违法所得无法认定的。</w:t>
            </w:r>
          </w:p>
        </w:tc>
        <w:tc>
          <w:tcPr>
            <w:tcW w:w="5199" w:type="dxa"/>
            <w:vAlign w:val="center"/>
          </w:tcPr>
          <w:p w14:paraId="5574BE5A">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责令立即停止违法行为，并处五千元以上二万元以下的罚款。</w:t>
            </w:r>
          </w:p>
        </w:tc>
      </w:tr>
      <w:tr w14:paraId="5956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24" w:type="dxa"/>
            <w:vAlign w:val="center"/>
          </w:tcPr>
          <w:p w14:paraId="0BA2347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155" w:type="dxa"/>
            <w:vAlign w:val="center"/>
          </w:tcPr>
          <w:p w14:paraId="290F37B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未取得职业卫生技术服务资质认可擅自从事职业卫生技术服务，违法所得不足五千元的。</w:t>
            </w:r>
          </w:p>
        </w:tc>
        <w:tc>
          <w:tcPr>
            <w:tcW w:w="5199" w:type="dxa"/>
            <w:vAlign w:val="center"/>
          </w:tcPr>
          <w:p w14:paraId="16D890A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责令立即停止违法行为，没收违法所得，并处二万元以上五万元以下的罚款。</w:t>
            </w:r>
          </w:p>
        </w:tc>
      </w:tr>
      <w:tr w14:paraId="0166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24" w:type="dxa"/>
            <w:vAlign w:val="center"/>
          </w:tcPr>
          <w:p w14:paraId="5346929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155" w:type="dxa"/>
            <w:vAlign w:val="center"/>
          </w:tcPr>
          <w:p w14:paraId="5765CD3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未取得职业卫生技术服务资质认可擅自从事职业卫生技术服务，违法所得在五千元以上五万元以下的。</w:t>
            </w:r>
          </w:p>
        </w:tc>
        <w:tc>
          <w:tcPr>
            <w:tcW w:w="5199" w:type="dxa"/>
            <w:vAlign w:val="center"/>
          </w:tcPr>
          <w:p w14:paraId="42B97F7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责令立即停止违法行为，没收违法所得，并处违法所得二倍以上五倍以下罚款。</w:t>
            </w:r>
          </w:p>
        </w:tc>
      </w:tr>
      <w:tr w14:paraId="28E6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424" w:type="dxa"/>
            <w:vAlign w:val="center"/>
          </w:tcPr>
          <w:p w14:paraId="19B0D6F9">
            <w:pPr>
              <w:widowControl w:val="0"/>
              <w:adjustRightInd/>
              <w:snapToGrid/>
              <w:spacing w:before="0" w:beforeLines="-2147483648" w:after="0" w:line="320" w:lineRule="exact"/>
              <w:jc w:val="center"/>
              <w:rPr>
                <w:rFonts w:hint="eastAsia" w:ascii="Times New Roman" w:hAnsi="Times New Roman" w:eastAsia="仿宋_GB2312" w:cs="仿宋_GB2312"/>
                <w:b/>
                <w:color w:val="000000" w:themeColor="text1"/>
                <w:kern w:val="2"/>
                <w:sz w:val="24"/>
                <w:szCs w:val="24"/>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155" w:type="dxa"/>
            <w:vAlign w:val="center"/>
          </w:tcPr>
          <w:p w14:paraId="4DAAB5D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未取得职业卫生技术服务资质认可擅自从事职业卫生技术服务，违法所得超过五万元的。</w:t>
            </w:r>
          </w:p>
        </w:tc>
        <w:tc>
          <w:tcPr>
            <w:tcW w:w="5199" w:type="dxa"/>
            <w:vAlign w:val="center"/>
          </w:tcPr>
          <w:p w14:paraId="240D647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责令立即停止违法行为，没收违法所得，并处违法所得五倍以上十倍以下罚款。</w:t>
            </w:r>
          </w:p>
        </w:tc>
      </w:tr>
    </w:tbl>
    <w:p w14:paraId="30709D13">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38" w:name="_Toc1747"/>
      <w:bookmarkStart w:id="6339" w:name="_Toc20838"/>
      <w:bookmarkStart w:id="6340" w:name="_Toc31670"/>
      <w:bookmarkStart w:id="6341" w:name="_Toc18618"/>
      <w:bookmarkStart w:id="6342" w:name="_Toc5302"/>
      <w:bookmarkStart w:id="6343" w:name="_Toc32629"/>
      <w:bookmarkStart w:id="6344" w:name="_Toc30970"/>
      <w:bookmarkStart w:id="6345" w:name="_Toc14483"/>
      <w:bookmarkStart w:id="6346" w:name="_Toc1783"/>
      <w:bookmarkStart w:id="6347" w:name="_Toc29808"/>
      <w:bookmarkStart w:id="6348" w:name="_Toc20981"/>
      <w:r>
        <w:rPr>
          <w:rFonts w:hint="eastAsia" w:ascii="Times New Roman" w:hAnsi="Times New Roman" w:cs="仿宋_GB2312"/>
          <w:bCs/>
          <w:color w:val="000000" w:themeColor="text1"/>
          <w:kern w:val="0"/>
          <w14:textFill>
            <w14:solidFill>
              <w14:schemeClr w14:val="tx1"/>
            </w14:solidFill>
          </w14:textFill>
        </w:rPr>
        <w:t>第五百零七条</w:t>
      </w:r>
      <w:r>
        <w:rPr>
          <w:rFonts w:hint="eastAsia" w:ascii="Times New Roman" w:hAnsi="Times New Roman" w:cs="仿宋_GB2312"/>
          <w:bCs/>
          <w:color w:val="000000" w:themeColor="text1"/>
          <w:kern w:val="0"/>
          <w:szCs w:val="32"/>
          <w14:textFill>
            <w14:solidFill>
              <w14:schemeClr w14:val="tx1"/>
            </w14:solidFill>
          </w14:textFill>
        </w:rPr>
        <w:t xml:space="preserve"> 挪用防尘措施经费的</w:t>
      </w:r>
      <w:bookmarkEnd w:id="6338"/>
      <w:bookmarkEnd w:id="6339"/>
      <w:bookmarkEnd w:id="6340"/>
      <w:bookmarkEnd w:id="6341"/>
      <w:bookmarkEnd w:id="6342"/>
      <w:bookmarkEnd w:id="6343"/>
      <w:bookmarkEnd w:id="6344"/>
      <w:bookmarkEnd w:id="6345"/>
      <w:bookmarkEnd w:id="6346"/>
      <w:bookmarkEnd w:id="6347"/>
      <w:bookmarkEnd w:id="6348"/>
    </w:p>
    <w:p w14:paraId="6C88275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D91B4D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《中华人民共和国尘肺病防治条例》第二十三条第（三）项　凡违反《中华人民共和国尘肺病防治条例》规定，有下列行为之一的，卫生行政部门和劳动部门，可视其情节轻重，给予警告、限期治理、罚款和停业整顿的处罚。但停业整顿的处罚，需经当地人民政府同意。</w:t>
      </w:r>
    </w:p>
    <w:p w14:paraId="7FC742D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（三）挪用防尘措施经费的；</w:t>
      </w:r>
    </w:p>
    <w:p w14:paraId="7928E045">
      <w:pPr>
        <w:widowControl w:val="0"/>
        <w:spacing w:before="156" w:beforeLines="50" w:after="0" w:line="440" w:lineRule="exact"/>
        <w:ind w:firstLine="6443" w:firstLineChars="2300"/>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7196"/>
        <w:gridCol w:w="5230"/>
      </w:tblGrid>
      <w:tr w14:paraId="4BEF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33" w:type="dxa"/>
            <w:vAlign w:val="center"/>
          </w:tcPr>
          <w:p w14:paraId="6877F155">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196" w:type="dxa"/>
            <w:vAlign w:val="center"/>
          </w:tcPr>
          <w:p w14:paraId="50A03FBF">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230" w:type="dxa"/>
            <w:vAlign w:val="center"/>
          </w:tcPr>
          <w:p w14:paraId="7C5648BB">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65A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433" w:type="dxa"/>
            <w:vAlign w:val="center"/>
          </w:tcPr>
          <w:p w14:paraId="362C6A5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196" w:type="dxa"/>
            <w:vAlign w:val="center"/>
          </w:tcPr>
          <w:p w14:paraId="7E7718A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挪用防尘措施经费不足1万元的。</w:t>
            </w:r>
          </w:p>
        </w:tc>
        <w:tc>
          <w:tcPr>
            <w:tcW w:w="5230" w:type="dxa"/>
            <w:vAlign w:val="center"/>
          </w:tcPr>
          <w:p w14:paraId="386C305F">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给予警告、责令限期改正、并处五千元以上一万元以下的罚款。</w:t>
            </w:r>
          </w:p>
        </w:tc>
      </w:tr>
      <w:tr w14:paraId="33AD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33" w:type="dxa"/>
            <w:vAlign w:val="center"/>
          </w:tcPr>
          <w:p w14:paraId="191CB2E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196" w:type="dxa"/>
            <w:vAlign w:val="center"/>
          </w:tcPr>
          <w:p w14:paraId="535FEC9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挪用防尘措施经费1万元以上2万元以下的。</w:t>
            </w:r>
          </w:p>
        </w:tc>
        <w:tc>
          <w:tcPr>
            <w:tcW w:w="5230" w:type="dxa"/>
            <w:vAlign w:val="center"/>
          </w:tcPr>
          <w:p w14:paraId="7AA26D3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给予警告、责令限期改正、并处一万元以上二万元以下的罚款。</w:t>
            </w:r>
          </w:p>
        </w:tc>
      </w:tr>
      <w:tr w14:paraId="2A28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433" w:type="dxa"/>
            <w:vAlign w:val="center"/>
          </w:tcPr>
          <w:p w14:paraId="17D5A9E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196" w:type="dxa"/>
            <w:vAlign w:val="center"/>
          </w:tcPr>
          <w:p w14:paraId="3B2B8F0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挪用防尘措施经费2万元以上3万元以下的。</w:t>
            </w:r>
          </w:p>
        </w:tc>
        <w:tc>
          <w:tcPr>
            <w:tcW w:w="5230" w:type="dxa"/>
            <w:vAlign w:val="center"/>
          </w:tcPr>
          <w:p w14:paraId="4CBB4C9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给予警告、责令限期改正、并处两万元以上三万元以下的罚款。</w:t>
            </w:r>
          </w:p>
        </w:tc>
      </w:tr>
      <w:tr w14:paraId="77E7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433" w:type="dxa"/>
            <w:vAlign w:val="center"/>
          </w:tcPr>
          <w:p w14:paraId="5F32B85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196" w:type="dxa"/>
            <w:vAlign w:val="center"/>
          </w:tcPr>
          <w:p w14:paraId="36AD098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挪用防尘措施经费3万元以上的，或造成严重后果的。</w:t>
            </w:r>
          </w:p>
        </w:tc>
        <w:tc>
          <w:tcPr>
            <w:tcW w:w="5230" w:type="dxa"/>
            <w:vAlign w:val="center"/>
          </w:tcPr>
          <w:p w14:paraId="26F0D01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给予警告、责令限期改正、并处三万元以上罚款，可以提请当地人民政府停业整顿。</w:t>
            </w:r>
          </w:p>
        </w:tc>
      </w:tr>
    </w:tbl>
    <w:p w14:paraId="7BA19AA5">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49" w:name="_Toc4866"/>
      <w:bookmarkStart w:id="6350" w:name="_Toc1092"/>
      <w:bookmarkStart w:id="6351" w:name="_Toc1629"/>
      <w:bookmarkStart w:id="6352" w:name="_Toc32593"/>
      <w:bookmarkStart w:id="6353" w:name="_Toc21740"/>
      <w:bookmarkStart w:id="6354" w:name="_Toc21907"/>
      <w:bookmarkStart w:id="6355" w:name="_Toc441"/>
      <w:bookmarkStart w:id="6356" w:name="_Toc16003"/>
      <w:bookmarkStart w:id="6357" w:name="_Toc8998"/>
      <w:bookmarkStart w:id="6358" w:name="_Toc18985"/>
      <w:bookmarkStart w:id="6359" w:name="_Toc6465"/>
      <w:r>
        <w:rPr>
          <w:rFonts w:hint="eastAsia" w:ascii="Times New Roman" w:hAnsi="Times New Roman" w:cs="仿宋_GB2312"/>
          <w:bCs/>
          <w:color w:val="000000" w:themeColor="text1"/>
          <w:kern w:val="0"/>
          <w14:textFill>
            <w14:solidFill>
              <w14:schemeClr w14:val="tx1"/>
            </w14:solidFill>
          </w14:textFill>
        </w:rPr>
        <w:t>第五百零八条</w:t>
      </w:r>
      <w:r>
        <w:rPr>
          <w:rFonts w:hint="eastAsia" w:ascii="Times New Roman" w:hAnsi="Times New Roman" w:cs="仿宋_GB2312"/>
          <w:bCs/>
          <w:color w:val="000000" w:themeColor="text1"/>
          <w:kern w:val="0"/>
          <w:szCs w:val="32"/>
          <w14:textFill>
            <w14:solidFill>
              <w14:schemeClr w14:val="tx1"/>
            </w14:solidFill>
          </w14:textFill>
        </w:rPr>
        <w:t xml:space="preserve"> 超出资质认可或者诊疗项目登记范围从事职业卫生技术服务或者职业病诊断的</w:t>
      </w:r>
      <w:bookmarkEnd w:id="6349"/>
      <w:bookmarkEnd w:id="6350"/>
      <w:bookmarkEnd w:id="6351"/>
      <w:bookmarkEnd w:id="6352"/>
      <w:bookmarkEnd w:id="6353"/>
      <w:bookmarkEnd w:id="6354"/>
      <w:bookmarkEnd w:id="6355"/>
      <w:bookmarkEnd w:id="6356"/>
      <w:bookmarkEnd w:id="6357"/>
      <w:bookmarkEnd w:id="6358"/>
      <w:bookmarkEnd w:id="6359"/>
    </w:p>
    <w:p w14:paraId="4115CA0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0A82D7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1.《中华人民共和国职业病防治法》第八十条第（一）项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从事职业卫生技术服务的机构和承担职业病诊断的医疗卫生机构违反《中华人民共和国职业病防治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14:paraId="76FE345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（一）超出资质认可或者诊疗项目登记范围从事职业卫生技术服务或者职业病诊断的；</w:t>
      </w:r>
    </w:p>
    <w:p w14:paraId="75A223EA">
      <w:pPr>
        <w:widowControl w:val="0"/>
        <w:spacing w:after="0" w:line="279" w:lineRule="auto"/>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2.《职业卫生技术服务机构管理办法》第四十二条第（一）项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卫生技术服务机构有下列行为之一的，由县级以上地方疾病预防控制主管部门责令立即停止违法行为，给予警告，没收违法所得；违法所得五千元以上的，并处违法所得二倍以上五倍以下的罚款；没有违法所得或者违法所得不足五千元的，并处五千元以上二万元以下的罚款；情节严重的，由原资质认可机关取消其资质认可；对直接负责的主管人员和其他责任人员，依法给予降级、撤职或者开除的处分；构成犯罪的，依法追究刑事责任： </w:t>
      </w:r>
    </w:p>
    <w:p w14:paraId="2B3C3F8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（一）超出资质认可范围从事职业卫生技术服务的；</w:t>
      </w:r>
    </w:p>
    <w:p w14:paraId="0C94A8C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3.《职业病诊断与鉴定管理办法》第五十五条第（一）项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职业病诊断机构有下列行为之一的，其作出的职业病诊断无效，由县级以上地方卫生健康主管部门按照《职业病防治法》的第八十条的规定进行处理：</w:t>
      </w:r>
    </w:p>
    <w:p w14:paraId="4B4A5DCC">
      <w:pPr>
        <w:widowControl w:val="0"/>
        <w:adjustRightInd/>
        <w:snapToGrid/>
        <w:spacing w:after="0" w:line="32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（一）超出诊疗项目登记范围从事职业病诊断的；</w:t>
      </w:r>
    </w:p>
    <w:p w14:paraId="28F65D91">
      <w:pPr>
        <w:widowControl w:val="0"/>
        <w:spacing w:before="156" w:beforeLines="50" w:after="0" w:line="32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8112"/>
        <w:gridCol w:w="4480"/>
      </w:tblGrid>
      <w:tr w14:paraId="3B41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86" w:type="dxa"/>
            <w:vAlign w:val="center"/>
          </w:tcPr>
          <w:p w14:paraId="1A9AC8B9">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12" w:type="dxa"/>
            <w:vAlign w:val="center"/>
          </w:tcPr>
          <w:p w14:paraId="47EF1DBC">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480" w:type="dxa"/>
            <w:vAlign w:val="center"/>
          </w:tcPr>
          <w:p w14:paraId="6C30FA44">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48D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386" w:type="dxa"/>
            <w:vAlign w:val="center"/>
          </w:tcPr>
          <w:p w14:paraId="4E5A1CE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8112" w:type="dxa"/>
            <w:vAlign w:val="center"/>
          </w:tcPr>
          <w:p w14:paraId="2AA6FBC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从事职业卫生技术服务的机构和承担职业病诊断的医疗卫生机构超出资质认可或者诊疗项目登记范围从事职业卫生技术服务或者职业病诊断，没有违法所得或违法所得无法认定的。</w:t>
            </w:r>
          </w:p>
        </w:tc>
        <w:tc>
          <w:tcPr>
            <w:tcW w:w="4480" w:type="dxa"/>
            <w:vAlign w:val="center"/>
          </w:tcPr>
          <w:p w14:paraId="74619FAE">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责令立即停止违法行为，给予警告，并处五千元以上一万元以下的罚款。</w:t>
            </w:r>
          </w:p>
        </w:tc>
      </w:tr>
      <w:tr w14:paraId="346B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386" w:type="dxa"/>
            <w:vAlign w:val="center"/>
          </w:tcPr>
          <w:p w14:paraId="67039A7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112" w:type="dxa"/>
            <w:vAlign w:val="center"/>
          </w:tcPr>
          <w:p w14:paraId="7050FB2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从事职业卫生技术服务的机构和承担职业病诊断的医疗卫生机构超出资质认可或者诊疗项目登记范围从事职业卫生技术服务或者职业病诊断，违法所得不足五千元的。</w:t>
            </w:r>
          </w:p>
        </w:tc>
        <w:tc>
          <w:tcPr>
            <w:tcW w:w="4480" w:type="dxa"/>
            <w:vAlign w:val="center"/>
          </w:tcPr>
          <w:p w14:paraId="659BE58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责令立即停止违法行为，给予警告，没收违法所得，并处一万元以上二万元以下的罚款。</w:t>
            </w:r>
          </w:p>
        </w:tc>
      </w:tr>
      <w:tr w14:paraId="40C8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386" w:type="dxa"/>
            <w:vAlign w:val="center"/>
          </w:tcPr>
          <w:p w14:paraId="6ECE371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112" w:type="dxa"/>
            <w:vAlign w:val="center"/>
          </w:tcPr>
          <w:p w14:paraId="767B466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从事职业卫生技术服务的机构和承担职业病诊断的医疗卫生机构超出资质认可或者诊疗项目登记范围从事职业卫生技术服务或者职业病诊断，违法所得五千元以上五万元以下的。</w:t>
            </w:r>
          </w:p>
        </w:tc>
        <w:tc>
          <w:tcPr>
            <w:tcW w:w="4480" w:type="dxa"/>
            <w:vAlign w:val="center"/>
          </w:tcPr>
          <w:p w14:paraId="02220B1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责令立即停止违法行为，给予警告，没收违法所得，并处违法所得二倍以上四倍以下的罚款。</w:t>
            </w:r>
          </w:p>
        </w:tc>
      </w:tr>
      <w:tr w14:paraId="01E0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386" w:type="dxa"/>
            <w:vAlign w:val="center"/>
          </w:tcPr>
          <w:p w14:paraId="2FC2995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112" w:type="dxa"/>
            <w:vAlign w:val="center"/>
          </w:tcPr>
          <w:p w14:paraId="147E5C2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从事职业卫生技术服务的机构和承担职业病诊断的医疗卫生机构超出资质认可或者诊疗项目登记范围从事职业卫生技术服务或者职业病诊断，违法所得五万元以上十万元以下的。</w:t>
            </w:r>
          </w:p>
        </w:tc>
        <w:tc>
          <w:tcPr>
            <w:tcW w:w="4480" w:type="dxa"/>
            <w:vAlign w:val="center"/>
          </w:tcPr>
          <w:p w14:paraId="50A9F89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责令立即停止违法行为，给予警告，没收违法所得，并处违法所得四倍以上五倍以下的罚款。</w:t>
            </w:r>
          </w:p>
        </w:tc>
      </w:tr>
      <w:tr w14:paraId="1311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trPr>
        <w:tc>
          <w:tcPr>
            <w:tcW w:w="1386" w:type="dxa"/>
            <w:vAlign w:val="center"/>
          </w:tcPr>
          <w:p w14:paraId="2042BF69">
            <w:pPr>
              <w:widowControl w:val="0"/>
              <w:adjustRightInd/>
              <w:snapToGrid/>
              <w:spacing w:before="0" w:beforeLines="-2147483648" w:after="0" w:line="320" w:lineRule="exact"/>
              <w:jc w:val="center"/>
              <w:rPr>
                <w:rFonts w:hint="eastAsia" w:ascii="Times New Roman" w:hAnsi="Times New Roman" w:eastAsia="仿宋_GB2312" w:cs="仿宋_GB2312"/>
                <w:b/>
                <w:color w:val="000000" w:themeColor="text1"/>
                <w:kern w:val="2"/>
                <w:sz w:val="24"/>
                <w:szCs w:val="24"/>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8112" w:type="dxa"/>
            <w:vAlign w:val="center"/>
          </w:tcPr>
          <w:p w14:paraId="4B57088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59A3DD4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A.从事职业卫生技术服务的机构和承担职业病诊断的医疗卫生机构超出资质认可或者诊疗项目登记范围从事职业卫生技术服务或者职业病诊断，违法所得十万元以上的；</w:t>
            </w:r>
          </w:p>
          <w:p w14:paraId="5DB1F09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B.从事职业卫生技术服务的机构和承担职业病诊断的医疗卫生机构超出资质认可或者诊疗项目登记范围从事职业卫生技术服务或者职业病诊断，对劳动者健康或健康权益造成严重影响或损害的；</w:t>
            </w:r>
          </w:p>
          <w:p w14:paraId="06168FB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C.从事职业卫生技术服务的机构和承担职业病诊断的医疗卫生机构超出资质认可或者诊疗项目登记范围从事职业卫生技术服务或者职业病诊断，情节严重，造成恶劣社会影响的。</w:t>
            </w:r>
          </w:p>
        </w:tc>
        <w:tc>
          <w:tcPr>
            <w:tcW w:w="4480" w:type="dxa"/>
            <w:vAlign w:val="center"/>
          </w:tcPr>
          <w:p w14:paraId="15E7AAE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责令立即停止违法行为，给予警告，没收违法所得，并处违法所得五倍的罚款；没有违法所得、违法所得无法认定或者违法所得不足五千元的，并处二万元罚款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由原认可或者登记机关取消其相应的资质。</w:t>
            </w:r>
          </w:p>
        </w:tc>
      </w:tr>
    </w:tbl>
    <w:p w14:paraId="753FFEE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60" w:name="_Toc30123"/>
      <w:bookmarkStart w:id="6361" w:name="_Toc30033"/>
      <w:bookmarkStart w:id="6362" w:name="_Toc28619"/>
      <w:bookmarkStart w:id="6363" w:name="_Toc27970"/>
      <w:bookmarkStart w:id="6364" w:name="_Toc1143"/>
      <w:bookmarkStart w:id="6365" w:name="_Toc5392"/>
      <w:bookmarkStart w:id="6366" w:name="_Toc19145"/>
      <w:bookmarkStart w:id="6367" w:name="_Toc3965"/>
      <w:bookmarkStart w:id="6368" w:name="_Toc216"/>
      <w:bookmarkStart w:id="6369" w:name="_Toc17527"/>
      <w:bookmarkStart w:id="6370" w:name="_Toc20077"/>
      <w:r>
        <w:rPr>
          <w:rFonts w:hint="eastAsia" w:ascii="Times New Roman" w:hAnsi="Times New Roman" w:cs="仿宋_GB2312"/>
          <w:bCs/>
          <w:color w:val="000000" w:themeColor="text1"/>
          <w:kern w:val="0"/>
          <w14:textFill>
            <w14:solidFill>
              <w14:schemeClr w14:val="tx1"/>
            </w14:solidFill>
          </w14:textFill>
        </w:rPr>
        <w:t>第五百零九条</w:t>
      </w:r>
      <w:r>
        <w:rPr>
          <w:rFonts w:hint="eastAsia" w:ascii="Times New Roman" w:hAnsi="Times New Roman" w:cs="仿宋_GB2312"/>
          <w:bCs/>
          <w:color w:val="000000" w:themeColor="text1"/>
          <w:kern w:val="0"/>
          <w:szCs w:val="32"/>
          <w14:textFill>
            <w14:solidFill>
              <w14:schemeClr w14:val="tx1"/>
            </w14:solidFill>
          </w14:textFill>
        </w:rPr>
        <w:t xml:space="preserve"> 从事职业卫生技术服务的机构和承担职业病诊断的医疗卫生机构不按照本法规定履行法定职责的</w:t>
      </w:r>
      <w:bookmarkEnd w:id="6360"/>
      <w:bookmarkEnd w:id="6361"/>
      <w:bookmarkEnd w:id="6362"/>
      <w:bookmarkEnd w:id="6363"/>
      <w:bookmarkEnd w:id="6364"/>
      <w:bookmarkEnd w:id="6365"/>
      <w:bookmarkEnd w:id="6366"/>
      <w:bookmarkEnd w:id="6367"/>
      <w:bookmarkEnd w:id="6368"/>
      <w:bookmarkEnd w:id="6369"/>
      <w:bookmarkEnd w:id="6370"/>
    </w:p>
    <w:p w14:paraId="61B08C4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D37BAE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1.《中华人民共和国职业病防治法》第八十条第（二）项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从事职业卫生技术服务的机构和承担职业病诊断的医疗卫生机构违反《中华人民共和国职业病防治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14:paraId="4E7500F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（二）不按照本法规定履行法定职责的；</w:t>
      </w:r>
    </w:p>
    <w:p w14:paraId="15888FC9">
      <w:pPr>
        <w:widowControl w:val="0"/>
        <w:spacing w:after="0" w:line="279" w:lineRule="auto"/>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2.《职业卫生技术服务机构管理办法》第四十二条第（二）项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卫生技术服务机构有下列行为之一的，由县级以上地方疾病预防控制主管部门责令立即停止违法行为，给予警告，没收违法所得；违法所得五千元以上的，并处违法所得二倍以上五倍以下的罚款；没有违法所得或者违法所得不足五千元的，并处五千元以上二万元以下的罚款；情节严重的，由原资质认可机关取消其资质认可；对直接负责的主管人员和其他责任人员，依法给予降级、撤职或者开除的处分；构成犯罪的，依法追究刑事责任： </w:t>
      </w:r>
    </w:p>
    <w:p w14:paraId="4A7E5E9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（二）未按照《职业病防治法》的规定履行法定职责的；</w:t>
      </w:r>
    </w:p>
    <w:p w14:paraId="3EB8B1B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3.《职业病诊断与鉴定管理办法》第五十五条第（二）项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职业病诊断机构有下列行为之一的，其作出的职业病诊断无效，由县级以上地方卫生健康主管部门按照《职业病防治法》的第八十条的规定进行处理：</w:t>
      </w:r>
    </w:p>
    <w:p w14:paraId="6CBC356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（二）不按照《职业病防治法》的规定履行法定职责的；</w:t>
      </w:r>
    </w:p>
    <w:p w14:paraId="254EA119">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7496"/>
        <w:gridCol w:w="4947"/>
      </w:tblGrid>
      <w:tr w14:paraId="1810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Align w:val="center"/>
          </w:tcPr>
          <w:p w14:paraId="51A97DA0">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496" w:type="dxa"/>
            <w:vAlign w:val="center"/>
          </w:tcPr>
          <w:p w14:paraId="793F74FB">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947" w:type="dxa"/>
            <w:vAlign w:val="center"/>
          </w:tcPr>
          <w:p w14:paraId="570F75B2">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A39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435" w:type="dxa"/>
            <w:vAlign w:val="center"/>
          </w:tcPr>
          <w:p w14:paraId="0564184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496" w:type="dxa"/>
            <w:vAlign w:val="center"/>
          </w:tcPr>
          <w:p w14:paraId="560CC3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不按照《中华人民共和国职业病防治法》规定履行法定职责，没有违法所得或违法所得无法认定的。</w:t>
            </w:r>
          </w:p>
        </w:tc>
        <w:tc>
          <w:tcPr>
            <w:tcW w:w="4947" w:type="dxa"/>
            <w:vAlign w:val="center"/>
          </w:tcPr>
          <w:p w14:paraId="59C6BEFF">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责令立即停止违法行为，给予警告，并处五千元以上一万元以下罚款。</w:t>
            </w:r>
          </w:p>
        </w:tc>
      </w:tr>
      <w:tr w14:paraId="1278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435" w:type="dxa"/>
            <w:vAlign w:val="center"/>
          </w:tcPr>
          <w:p w14:paraId="4FBE8C3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496" w:type="dxa"/>
            <w:vAlign w:val="center"/>
          </w:tcPr>
          <w:p w14:paraId="2DCB8FE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不按照《中华人民共和国职业病防治法》规定履行法定职责，违法所得不足五千元的。</w:t>
            </w:r>
          </w:p>
        </w:tc>
        <w:tc>
          <w:tcPr>
            <w:tcW w:w="4947" w:type="dxa"/>
            <w:vAlign w:val="center"/>
          </w:tcPr>
          <w:p w14:paraId="5C5BE56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责令立即停止违法行为，给予警告，没收违法所得，并处一万元以上二万元以下的罚款。</w:t>
            </w:r>
          </w:p>
        </w:tc>
      </w:tr>
      <w:tr w14:paraId="64A6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435" w:type="dxa"/>
            <w:vAlign w:val="center"/>
          </w:tcPr>
          <w:p w14:paraId="0C31276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496" w:type="dxa"/>
            <w:vAlign w:val="center"/>
          </w:tcPr>
          <w:p w14:paraId="283AEF3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不按照《中华人民共和国职业病防治法》规定履行法定职责，违法所得五千元以上五万元以下的。</w:t>
            </w:r>
          </w:p>
        </w:tc>
        <w:tc>
          <w:tcPr>
            <w:tcW w:w="4947" w:type="dxa"/>
            <w:vAlign w:val="center"/>
          </w:tcPr>
          <w:p w14:paraId="1BDE879B">
            <w:pPr>
              <w:widowControl w:val="0"/>
              <w:adjustRightInd/>
              <w:snapToGrid/>
              <w:spacing w:after="0" w:line="32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责令立即停止违法行为，给予警告，没收违法所得，并处违法所得二倍以上四倍以下的罚款。</w:t>
            </w:r>
          </w:p>
        </w:tc>
      </w:tr>
      <w:tr w14:paraId="3E08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435" w:type="dxa"/>
            <w:vAlign w:val="center"/>
          </w:tcPr>
          <w:p w14:paraId="3EFFA82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496" w:type="dxa"/>
            <w:vAlign w:val="center"/>
          </w:tcPr>
          <w:p w14:paraId="5FCF1DE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不按照《中华人民共和国职业病防治法》规定履行法定职责，违法所得五万元以上十万元以下的。</w:t>
            </w:r>
          </w:p>
        </w:tc>
        <w:tc>
          <w:tcPr>
            <w:tcW w:w="4947" w:type="dxa"/>
            <w:vAlign w:val="center"/>
          </w:tcPr>
          <w:p w14:paraId="6103FF1D">
            <w:pPr>
              <w:widowControl w:val="0"/>
              <w:adjustRightInd/>
              <w:snapToGrid/>
              <w:spacing w:after="0" w:line="32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责令立即停止违法行为，给予警告，没收违法所得，并处违法所得四倍以上五倍以下的罚款。</w:t>
            </w:r>
          </w:p>
        </w:tc>
      </w:tr>
      <w:tr w14:paraId="5EDD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435" w:type="dxa"/>
            <w:vAlign w:val="center"/>
          </w:tcPr>
          <w:p w14:paraId="2A29AD1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7496" w:type="dxa"/>
            <w:vAlign w:val="center"/>
          </w:tcPr>
          <w:p w14:paraId="20670E9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0AACD4B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A.不按照《中华人民共和国职业病防治法》规定履行法定职责，违法所得十万元以上的；</w:t>
            </w:r>
          </w:p>
          <w:p w14:paraId="5D16E11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B.不按照《中华人民共和国职业病防治法》规定履行法定职责，对劳动者健康或健康权益造成严重影响或损害的；</w:t>
            </w:r>
          </w:p>
          <w:p w14:paraId="471F605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C.不按照《中华人民共和国职业病防治法》规定履行法定职责，情节严重，造成恶劣社会影响的。</w:t>
            </w:r>
          </w:p>
        </w:tc>
        <w:tc>
          <w:tcPr>
            <w:tcW w:w="4947" w:type="dxa"/>
            <w:vAlign w:val="center"/>
          </w:tcPr>
          <w:p w14:paraId="32F6256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责令立即停止违法行为，给予警告，没收违法所得，并处违法所得五倍的罚款；没有违法所得、违法所得无法认定或者违法所得不足五千元的，并处二万元罚款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由原认可或者登记机关取消其相应的资格。</w:t>
            </w:r>
          </w:p>
        </w:tc>
      </w:tr>
    </w:tbl>
    <w:p w14:paraId="63898255">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71" w:name="_Toc27248"/>
      <w:bookmarkStart w:id="6372" w:name="_Toc2572"/>
      <w:bookmarkStart w:id="6373" w:name="_Toc11188"/>
      <w:bookmarkStart w:id="6374" w:name="_Toc29997"/>
      <w:bookmarkStart w:id="6375" w:name="_Toc3545"/>
      <w:bookmarkStart w:id="6376" w:name="_Toc25389"/>
      <w:bookmarkStart w:id="6377" w:name="_Toc8709"/>
      <w:bookmarkStart w:id="6378" w:name="_Toc1207"/>
      <w:bookmarkStart w:id="6379" w:name="_Toc13587"/>
      <w:bookmarkStart w:id="6380" w:name="_Toc29850"/>
      <w:bookmarkStart w:id="6381" w:name="_Toc31367"/>
      <w:r>
        <w:rPr>
          <w:rFonts w:hint="eastAsia" w:ascii="Times New Roman" w:hAnsi="Times New Roman" w:cs="仿宋_GB2312"/>
          <w:bCs/>
          <w:color w:val="000000" w:themeColor="text1"/>
          <w:kern w:val="0"/>
          <w14:textFill>
            <w14:solidFill>
              <w14:schemeClr w14:val="tx1"/>
            </w14:solidFill>
          </w14:textFill>
        </w:rPr>
        <w:t>第五百一十条</w:t>
      </w:r>
      <w:r>
        <w:rPr>
          <w:rFonts w:hint="eastAsia" w:ascii="Times New Roman" w:hAnsi="Times New Roman" w:cs="仿宋_GB2312"/>
          <w:bCs/>
          <w:color w:val="000000" w:themeColor="text1"/>
          <w:kern w:val="0"/>
          <w:szCs w:val="32"/>
          <w14:textFill>
            <w14:solidFill>
              <w14:schemeClr w14:val="tx1"/>
            </w14:solidFill>
          </w14:textFill>
        </w:rPr>
        <w:t xml:space="preserve"> 从事职业卫生技术服务的机构和承担职业病诊断的医疗卫生机构出具虚假证明文件的</w:t>
      </w:r>
      <w:bookmarkEnd w:id="6371"/>
      <w:bookmarkEnd w:id="6372"/>
      <w:bookmarkEnd w:id="6373"/>
      <w:bookmarkEnd w:id="6374"/>
      <w:bookmarkEnd w:id="6375"/>
      <w:bookmarkEnd w:id="6376"/>
      <w:bookmarkEnd w:id="6377"/>
      <w:bookmarkEnd w:id="6378"/>
      <w:bookmarkEnd w:id="6379"/>
      <w:bookmarkEnd w:id="6380"/>
      <w:bookmarkEnd w:id="6381"/>
    </w:p>
    <w:p w14:paraId="5F27E21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C07E0F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1.《中华人民共和国职业病防治法》第八十条第（三）项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从事职业卫生技术服务的机构和承担职业病诊断的医疗卫生机构违反《中华人民共和国职业病防治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14:paraId="5AD71B8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 xml:space="preserve">（三）出具虚假证明文件的。 </w:t>
      </w:r>
    </w:p>
    <w:p w14:paraId="7767A344">
      <w:pPr>
        <w:widowControl w:val="0"/>
        <w:spacing w:after="0"/>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2.《职业卫生技术服务机构管理办法》第四十二条第（三）项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卫生技术服务机构有下列行为之一的，由县级以上地方疾病预防控制主管部门责令立即停止违法行为，给予警告，没收违法所得；违法所得五千元以上的，并处违法所得二倍以上五倍以下的罚款；没有违法所得或者违法所得不足五千元的，并处五千元以上二万元以下的罚款；情节严重的，由原资质认可机关取消其资质认可；对直接负责的主管人员和其他责任人员，依法给予降级、撤职或者开除的处分；构成犯罪的，依法追究刑事责任： </w:t>
      </w:r>
    </w:p>
    <w:p w14:paraId="51B6310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（三）出具虚假证明文件的；</w:t>
      </w:r>
    </w:p>
    <w:p w14:paraId="5E53AE6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3.《职业病诊断与鉴定管理办法》第五十五条第（三）项  职业病诊断机构有下列行为之一的，其作出的职业病诊断无效，由县级以上地方卫生健康主管部门按照《职业病防治法》的第八十条的规定进行处理：</w:t>
      </w:r>
    </w:p>
    <w:p w14:paraId="3C3EC6E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（三）出具虚假证明文件的；</w:t>
      </w:r>
    </w:p>
    <w:p w14:paraId="093256BD">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1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6904"/>
        <w:gridCol w:w="5755"/>
      </w:tblGrid>
      <w:tr w14:paraId="6E39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460" w:type="dxa"/>
            <w:vAlign w:val="center"/>
          </w:tcPr>
          <w:p w14:paraId="448676F2">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904" w:type="dxa"/>
            <w:vAlign w:val="center"/>
          </w:tcPr>
          <w:p w14:paraId="4C95510F">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755" w:type="dxa"/>
            <w:vAlign w:val="center"/>
          </w:tcPr>
          <w:p w14:paraId="30127110">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095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460" w:type="dxa"/>
            <w:vAlign w:val="center"/>
          </w:tcPr>
          <w:p w14:paraId="6D0DFA1B">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6904" w:type="dxa"/>
            <w:vAlign w:val="center"/>
          </w:tcPr>
          <w:p w14:paraId="6E447B0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从事职业卫生技术服务的机构和承担职业病诊断的医疗卫生机构出具虚假证明文件，没有违法所得或违法所得无法认定的。</w:t>
            </w:r>
          </w:p>
        </w:tc>
        <w:tc>
          <w:tcPr>
            <w:tcW w:w="5755" w:type="dxa"/>
            <w:vAlign w:val="center"/>
          </w:tcPr>
          <w:p w14:paraId="64F3E460">
            <w:pPr>
              <w:widowControl w:val="0"/>
              <w:adjustRightInd/>
              <w:snapToGrid/>
              <w:spacing w:before="0" w:beforeLines="-2147483648"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责令立即停止违法行为，给予警告，并处五千元以上一万元以下罚款。</w:t>
            </w:r>
          </w:p>
        </w:tc>
      </w:tr>
      <w:tr w14:paraId="383E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460" w:type="dxa"/>
            <w:vAlign w:val="center"/>
          </w:tcPr>
          <w:p w14:paraId="49FC2D4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6904" w:type="dxa"/>
            <w:vAlign w:val="center"/>
          </w:tcPr>
          <w:p w14:paraId="569A510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从事职业卫生技术服务的机构和承担职业病诊断的医疗卫生机构出具虚假证明文件，违法所得不足五千元的。</w:t>
            </w:r>
          </w:p>
        </w:tc>
        <w:tc>
          <w:tcPr>
            <w:tcW w:w="5755" w:type="dxa"/>
            <w:vAlign w:val="center"/>
          </w:tcPr>
          <w:p w14:paraId="47556E6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责令立即停止违法行为，给予警告，没收违法所得，并处一万元以上二万元以下的罚款。</w:t>
            </w:r>
          </w:p>
        </w:tc>
      </w:tr>
      <w:tr w14:paraId="096A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460" w:type="dxa"/>
            <w:vAlign w:val="center"/>
          </w:tcPr>
          <w:p w14:paraId="73C4CDE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6904" w:type="dxa"/>
            <w:vAlign w:val="center"/>
          </w:tcPr>
          <w:p w14:paraId="796CFF2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从事职业卫生技术服务的机构和承担职业病诊断的医疗卫生机构出具虚假证明文件，违法所得五千元以上一万元以下的。</w:t>
            </w:r>
          </w:p>
        </w:tc>
        <w:tc>
          <w:tcPr>
            <w:tcW w:w="5755" w:type="dxa"/>
            <w:vAlign w:val="center"/>
          </w:tcPr>
          <w:p w14:paraId="4EAB634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责令立即停止违法行为，给予警告，没收违法所得，并处违法所得二倍以上四倍以下的罚款。</w:t>
            </w:r>
          </w:p>
        </w:tc>
      </w:tr>
      <w:tr w14:paraId="1D61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460" w:type="dxa"/>
            <w:vAlign w:val="center"/>
          </w:tcPr>
          <w:p w14:paraId="3D16709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6904" w:type="dxa"/>
            <w:vAlign w:val="center"/>
          </w:tcPr>
          <w:p w14:paraId="7903E9B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从事职业卫生技术服务的机构和承担职业病诊断的医疗卫生机构出具虚假证明文件，违法所得一万元以上五万元以下的。</w:t>
            </w:r>
          </w:p>
        </w:tc>
        <w:tc>
          <w:tcPr>
            <w:tcW w:w="5755" w:type="dxa"/>
            <w:vAlign w:val="center"/>
          </w:tcPr>
          <w:p w14:paraId="62A80C8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责令立即停止违法行为，给予警告，没收违法所得，并处违法所得四倍以上五倍以下的罚款。</w:t>
            </w:r>
          </w:p>
        </w:tc>
      </w:tr>
      <w:tr w14:paraId="0C09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trPr>
        <w:tc>
          <w:tcPr>
            <w:tcW w:w="1460" w:type="dxa"/>
            <w:vAlign w:val="center"/>
          </w:tcPr>
          <w:p w14:paraId="031EC77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6904" w:type="dxa"/>
            <w:vAlign w:val="center"/>
          </w:tcPr>
          <w:p w14:paraId="0F7C631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从事职业卫生技术服务的机构和承担职业病诊断的医疗卫生机构有下列情形之一的：</w:t>
            </w:r>
          </w:p>
          <w:p w14:paraId="36F1B92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A.出具虚假证明文件，违法所得五万元以上的；</w:t>
            </w:r>
          </w:p>
          <w:p w14:paraId="6D18F2E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B.出具虚假证明文件，对劳动者健康或健康权益造成严重影响或损害的；</w:t>
            </w:r>
          </w:p>
          <w:p w14:paraId="69B29D8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C.出具虚假证明文件，情节严重，造成恶劣社会影响的。</w:t>
            </w:r>
          </w:p>
        </w:tc>
        <w:tc>
          <w:tcPr>
            <w:tcW w:w="5755" w:type="dxa"/>
            <w:vAlign w:val="center"/>
          </w:tcPr>
          <w:p w14:paraId="604477C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责令立即停止违法行为，给予警告，没收违法所得，并处违法所得五倍的罚款；没有违法所得、违法所得无法认定或者违法所得不足五千元的，并处二万元罚款</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由原认可或者登记机关取消其相应的资格。</w:t>
            </w:r>
          </w:p>
        </w:tc>
      </w:tr>
    </w:tbl>
    <w:p w14:paraId="459E0B8E">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82" w:name="_Toc3486"/>
      <w:bookmarkStart w:id="6383" w:name="_Toc11084"/>
      <w:bookmarkStart w:id="6384" w:name="_Toc30149"/>
      <w:bookmarkStart w:id="6385" w:name="_Toc20004"/>
      <w:bookmarkStart w:id="6386" w:name="_Toc23566"/>
      <w:bookmarkStart w:id="6387" w:name="_Toc8923"/>
      <w:bookmarkStart w:id="6388" w:name="_Toc16665"/>
      <w:bookmarkStart w:id="6389" w:name="_Toc336"/>
      <w:bookmarkStart w:id="6390" w:name="_Toc22073"/>
      <w:bookmarkStart w:id="6391" w:name="_Toc1392"/>
      <w:bookmarkStart w:id="6392" w:name="_Toc28516"/>
      <w:r>
        <w:rPr>
          <w:rFonts w:hint="eastAsia" w:ascii="Times New Roman" w:hAnsi="Times New Roman" w:cs="仿宋_GB2312"/>
          <w:bCs/>
          <w:color w:val="000000" w:themeColor="text1"/>
          <w:kern w:val="0"/>
          <w14:textFill>
            <w14:solidFill>
              <w14:schemeClr w14:val="tx1"/>
            </w14:solidFill>
          </w14:textFill>
        </w:rPr>
        <w:t>第五百一十一条</w:t>
      </w:r>
      <w:r>
        <w:rPr>
          <w:rFonts w:hint="eastAsia" w:ascii="Times New Roman" w:hAnsi="Times New Roman" w:cs="仿宋_GB2312"/>
          <w:bCs/>
          <w:color w:val="000000" w:themeColor="text1"/>
          <w:kern w:val="0"/>
          <w:szCs w:val="32"/>
          <w14:textFill>
            <w14:solidFill>
              <w14:schemeClr w14:val="tx1"/>
            </w14:solidFill>
          </w14:textFill>
        </w:rPr>
        <w:t xml:space="preserve"> 职业病诊断鉴定委员会组成人员收受职业病诊断争议当事人的财物或者其他好处的</w:t>
      </w:r>
      <w:bookmarkEnd w:id="6382"/>
      <w:bookmarkEnd w:id="6383"/>
      <w:bookmarkEnd w:id="6384"/>
      <w:bookmarkEnd w:id="6385"/>
      <w:bookmarkEnd w:id="6386"/>
      <w:bookmarkEnd w:id="6387"/>
      <w:bookmarkEnd w:id="6388"/>
      <w:bookmarkEnd w:id="6389"/>
      <w:bookmarkEnd w:id="6390"/>
      <w:bookmarkEnd w:id="6391"/>
      <w:bookmarkEnd w:id="6392"/>
    </w:p>
    <w:p w14:paraId="6DC2A68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76B7CF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1.《中华人民共和国职业病防治法》第八十一条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鉴定委员会组成人员收受职业病诊断争议当事人的财物或者其他好处的，给予警告，没收收受的财物，可以并处三千元以上五万元以下的罚款，取消其担任职业病诊断鉴定委员会组成人员的资格，并从省、自治区、直辖市人民政府卫生行政部门设立的专家库中予以除名。</w:t>
      </w:r>
    </w:p>
    <w:p w14:paraId="71A77F3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2.《职业病诊断与鉴定管理办法》第五十八条  职业病诊断鉴定委员会组成人员收受职业病诊断争议当事人的财物或者其他好处的，由省级卫生健康主管部门按照《职业病防治法》第八十一条的规定进行处理。</w:t>
      </w:r>
    </w:p>
    <w:p w14:paraId="03CB5F9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8922"/>
        <w:gridCol w:w="3583"/>
      </w:tblGrid>
      <w:tr w14:paraId="08C2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23" w:type="dxa"/>
            <w:vAlign w:val="center"/>
          </w:tcPr>
          <w:p w14:paraId="44CD208D">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22" w:type="dxa"/>
            <w:vAlign w:val="center"/>
          </w:tcPr>
          <w:p w14:paraId="1E6AFA57">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583" w:type="dxa"/>
            <w:vAlign w:val="center"/>
          </w:tcPr>
          <w:p w14:paraId="1F7E6704">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699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423" w:type="dxa"/>
            <w:vAlign w:val="center"/>
          </w:tcPr>
          <w:p w14:paraId="19E5AE3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22" w:type="dxa"/>
            <w:vAlign w:val="center"/>
          </w:tcPr>
          <w:p w14:paraId="039D856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职业病诊断鉴定委员会组成人员首次收受职业病诊断争议当事人的财物或者其他好处且收受价值不足10000元的。</w:t>
            </w:r>
          </w:p>
        </w:tc>
        <w:tc>
          <w:tcPr>
            <w:tcW w:w="3583" w:type="dxa"/>
            <w:vAlign w:val="center"/>
          </w:tcPr>
          <w:p w14:paraId="28F85FF3">
            <w:pPr>
              <w:widowControl w:val="0"/>
              <w:adjustRightInd/>
              <w:snapToGrid/>
              <w:spacing w:after="0" w:line="30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警告，没收违法所得，可以并处三千元以上一万五千元以下的罚款，取消其担任职业病诊断鉴定委员会组成人员的资格，并从省、自治区、直辖市人民政府卫生行政部门设立的专家库中予以除名。</w:t>
            </w:r>
          </w:p>
        </w:tc>
      </w:tr>
      <w:tr w14:paraId="20A8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23" w:type="dxa"/>
            <w:vAlign w:val="center"/>
          </w:tcPr>
          <w:p w14:paraId="688F344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22" w:type="dxa"/>
            <w:vAlign w:val="center"/>
          </w:tcPr>
          <w:p w14:paraId="137F521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职业病诊断鉴定委员会组成人员2次以上收受职业病诊断争议当事人的财物或者其他好处，或者收受价值在10000元以上20000元以下的。</w:t>
            </w:r>
          </w:p>
        </w:tc>
        <w:tc>
          <w:tcPr>
            <w:tcW w:w="3583" w:type="dxa"/>
            <w:vAlign w:val="center"/>
          </w:tcPr>
          <w:p w14:paraId="0F532ED5">
            <w:pPr>
              <w:widowControl w:val="0"/>
              <w:adjustRightInd/>
              <w:snapToGrid/>
              <w:spacing w:after="0" w:line="30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警告，没收违法所得，可以并处一万五千元以上三万元以下的罚款，取消其担任职业病诊断鉴定委员会组成人员的资格，并从省、自治区、直辖市人民政府卫生行政部门设立的专家库中予以除名。</w:t>
            </w:r>
          </w:p>
        </w:tc>
      </w:tr>
      <w:tr w14:paraId="0C5D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23" w:type="dxa"/>
            <w:vAlign w:val="center"/>
          </w:tcPr>
          <w:p w14:paraId="4E4E073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22" w:type="dxa"/>
            <w:vAlign w:val="center"/>
          </w:tcPr>
          <w:p w14:paraId="27B3ED7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以暗示、威胁、引诱等方式主动向当事人收受财物或者其他好处，或收受的价值在20000元以上30000元以下的。</w:t>
            </w:r>
          </w:p>
        </w:tc>
        <w:tc>
          <w:tcPr>
            <w:tcW w:w="3583" w:type="dxa"/>
            <w:vAlign w:val="center"/>
          </w:tcPr>
          <w:p w14:paraId="37F12A40">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警告，没收违法所得，并处三万元以上五万元以下的罚款，取消其担任职业病诊断鉴定委员会组成人员的资格，并从省、自治区、直辖市人民政府卫生行政部门设立的专家库中予以除名。</w:t>
            </w:r>
          </w:p>
        </w:tc>
      </w:tr>
    </w:tbl>
    <w:p w14:paraId="71496DE2">
      <w:pPr>
        <w:widowControl w:val="0"/>
        <w:numPr>
          <w:ilvl w:val="255"/>
          <w:numId w:val="0"/>
        </w:numPr>
        <w:adjustRightInd/>
        <w:snapToGrid/>
        <w:spacing w:before="157" w:beforeLines="50" w:after="157" w:afterLines="50" w:line="440" w:lineRule="exact"/>
        <w:ind w:firstLine="643" w:firstLineChars="200"/>
        <w:outlineLvl w:val="1"/>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pPr>
      <w:bookmarkStart w:id="6393" w:name="_Toc10316"/>
      <w:bookmarkStart w:id="6394" w:name="_Toc30611"/>
      <w:bookmarkStart w:id="6395" w:name="_Toc5954"/>
      <w:bookmarkStart w:id="6396" w:name="_Toc18075"/>
      <w:bookmarkStart w:id="6397" w:name="_Toc9987"/>
      <w:bookmarkStart w:id="6398" w:name="_Toc18397"/>
      <w:r>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t>（二）《建设项目职业病防护设施“三同时”监督管理办法》</w:t>
      </w:r>
      <w:bookmarkEnd w:id="6393"/>
      <w:bookmarkEnd w:id="6394"/>
      <w:bookmarkEnd w:id="6395"/>
      <w:bookmarkEnd w:id="6396"/>
      <w:bookmarkEnd w:id="6397"/>
      <w:bookmarkEnd w:id="6398"/>
    </w:p>
    <w:p w14:paraId="5C1CE9F8">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399" w:name="_Toc11910"/>
      <w:bookmarkStart w:id="6400" w:name="_Toc19635"/>
      <w:bookmarkStart w:id="6401" w:name="_Toc5517"/>
      <w:bookmarkStart w:id="6402" w:name="_Toc8882"/>
      <w:bookmarkStart w:id="6403" w:name="_Toc24430"/>
      <w:bookmarkStart w:id="6404" w:name="_Toc30932"/>
      <w:bookmarkStart w:id="6405" w:name="_Toc31949"/>
      <w:bookmarkStart w:id="6406" w:name="_Toc18216"/>
      <w:bookmarkStart w:id="6407" w:name="_Toc8567"/>
      <w:bookmarkStart w:id="6408" w:name="_Toc21483"/>
      <w:bookmarkStart w:id="6409" w:name="_Toc23356"/>
      <w:r>
        <w:rPr>
          <w:rFonts w:hint="eastAsia" w:ascii="Times New Roman" w:hAnsi="Times New Roman" w:cs="仿宋_GB2312"/>
          <w:bCs/>
          <w:color w:val="000000" w:themeColor="text1"/>
          <w:kern w:val="0"/>
          <w14:textFill>
            <w14:solidFill>
              <w14:schemeClr w14:val="tx1"/>
            </w14:solidFill>
          </w14:textFill>
        </w:rPr>
        <w:t>第五百一十二条</w:t>
      </w:r>
      <w:r>
        <w:rPr>
          <w:rFonts w:hint="eastAsia" w:ascii="Times New Roman" w:hAnsi="Times New Roman" w:cs="仿宋_GB2312"/>
          <w:bCs/>
          <w:color w:val="000000" w:themeColor="text1"/>
          <w:kern w:val="0"/>
          <w:szCs w:val="32"/>
          <w14:textFill>
            <w14:solidFill>
              <w14:schemeClr w14:val="tx1"/>
            </w14:solidFill>
          </w14:textFill>
        </w:rPr>
        <w:t xml:space="preserve"> 建设单位未对职业病危害预评价报告、职业病防护设施设计、职业病危害控制效果评价报告进行评审或者组织职业病防护设施验收的</w:t>
      </w:r>
      <w:bookmarkEnd w:id="6399"/>
      <w:bookmarkEnd w:id="6400"/>
      <w:bookmarkEnd w:id="6401"/>
      <w:bookmarkEnd w:id="6402"/>
      <w:bookmarkEnd w:id="6403"/>
      <w:bookmarkEnd w:id="6404"/>
      <w:bookmarkEnd w:id="6405"/>
      <w:bookmarkEnd w:id="6406"/>
      <w:bookmarkEnd w:id="6407"/>
      <w:bookmarkEnd w:id="6408"/>
      <w:bookmarkEnd w:id="6409"/>
    </w:p>
    <w:p w14:paraId="0D280C9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D8C75F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《建设项目职业病防护设施“三同时”监督管理办法》第四十条第（一）项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 5000 元以上 3 万元以下的罚款：</w:t>
      </w:r>
    </w:p>
    <w:p w14:paraId="25F791D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（一）未按照本办法规定，对职业病危害预评价报告、职业病防护设施设计、职业病危害控制效果评价报告进行评审或者组织职业病防护设施验收的；</w:t>
      </w:r>
    </w:p>
    <w:p w14:paraId="494F422D">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8947"/>
        <w:gridCol w:w="3582"/>
      </w:tblGrid>
      <w:tr w14:paraId="0C16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428" w:type="dxa"/>
            <w:vAlign w:val="center"/>
          </w:tcPr>
          <w:p w14:paraId="4D50FF84">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47" w:type="dxa"/>
            <w:vAlign w:val="center"/>
          </w:tcPr>
          <w:p w14:paraId="62D819FB">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582" w:type="dxa"/>
            <w:vAlign w:val="center"/>
          </w:tcPr>
          <w:p w14:paraId="0BB3AE5F">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F8C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428" w:type="dxa"/>
            <w:vAlign w:val="center"/>
          </w:tcPr>
          <w:p w14:paraId="5927446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47" w:type="dxa"/>
            <w:vAlign w:val="center"/>
          </w:tcPr>
          <w:p w14:paraId="5E97F0D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建设单位未按照《建设项目职业病防护设施“三同时”监督管理办法》规定，对职业病危害预评价报告、职业病防护设施设计、职业病危害控制效果评价报告进行评审或者组织职业病防护设施验收的。</w:t>
            </w:r>
          </w:p>
        </w:tc>
        <w:tc>
          <w:tcPr>
            <w:tcW w:w="3582" w:type="dxa"/>
            <w:vAlign w:val="center"/>
          </w:tcPr>
          <w:p w14:paraId="2784D64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6010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1428" w:type="dxa"/>
            <w:vAlign w:val="center"/>
          </w:tcPr>
          <w:p w14:paraId="1500F23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47" w:type="dxa"/>
            <w:vAlign w:val="center"/>
          </w:tcPr>
          <w:p w14:paraId="4ECE2CC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建设项目职业病防护设施“三同时”监督管理办法》规定，对职业病危害一般类别的建设项目职业病危害预评价报告、职业病防护设施设计、职业病危害控制效果评价报告进行评审或者组织职业病防护设施验收，经责令限期改正，逾期不改正。</w:t>
            </w:r>
          </w:p>
        </w:tc>
        <w:tc>
          <w:tcPr>
            <w:tcW w:w="3582" w:type="dxa"/>
            <w:vAlign w:val="center"/>
          </w:tcPr>
          <w:p w14:paraId="7C819D9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5000 元以上 1 万元以下的罚款。</w:t>
            </w:r>
          </w:p>
        </w:tc>
      </w:tr>
      <w:tr w14:paraId="1191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428" w:type="dxa"/>
            <w:vAlign w:val="center"/>
          </w:tcPr>
          <w:p w14:paraId="69CF574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47" w:type="dxa"/>
            <w:vAlign w:val="center"/>
          </w:tcPr>
          <w:p w14:paraId="77F1CBC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建设项目职业病防护设施“三同时”监督管理办法》规定，对职业病危害严重类别的建设项目职业病危害预评价报告、职业病防护设施设计、职业病危害控制效果评价报告进行评审或者组织职业病防护设施验收的，经责令限期改正，逾期不改正。</w:t>
            </w:r>
          </w:p>
        </w:tc>
        <w:tc>
          <w:tcPr>
            <w:tcW w:w="3582" w:type="dxa"/>
            <w:vAlign w:val="center"/>
          </w:tcPr>
          <w:p w14:paraId="1699DA6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1 万元以上 3 万元以下的罚款。</w:t>
            </w:r>
          </w:p>
        </w:tc>
      </w:tr>
    </w:tbl>
    <w:p w14:paraId="43DF69C0">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410" w:name="_Toc25645"/>
      <w:bookmarkStart w:id="6411" w:name="_Toc27463"/>
      <w:bookmarkStart w:id="6412" w:name="_Toc28659"/>
      <w:bookmarkStart w:id="6413" w:name="_Toc21195"/>
      <w:bookmarkStart w:id="6414" w:name="_Toc3863"/>
      <w:bookmarkStart w:id="6415" w:name="_Toc31478"/>
      <w:bookmarkStart w:id="6416" w:name="_Toc21273"/>
      <w:bookmarkStart w:id="6417" w:name="_Toc18203"/>
      <w:bookmarkStart w:id="6418" w:name="_Toc7534"/>
      <w:bookmarkStart w:id="6419" w:name="_Toc19155"/>
      <w:bookmarkStart w:id="6420" w:name="_Toc21443"/>
      <w:r>
        <w:rPr>
          <w:rFonts w:hint="eastAsia" w:ascii="Times New Roman" w:hAnsi="Times New Roman" w:cs="仿宋_GB2312"/>
          <w:bCs/>
          <w:color w:val="000000" w:themeColor="text1"/>
          <w:kern w:val="0"/>
          <w14:textFill>
            <w14:solidFill>
              <w14:schemeClr w14:val="tx1"/>
            </w14:solidFill>
          </w14:textFill>
        </w:rPr>
        <w:t>第五百一十三条</w:t>
      </w:r>
      <w:r>
        <w:rPr>
          <w:rFonts w:hint="eastAsia" w:ascii="Times New Roman" w:hAnsi="Times New Roman" w:cs="仿宋_GB2312"/>
          <w:bCs/>
          <w:color w:val="000000" w:themeColor="text1"/>
          <w:kern w:val="0"/>
          <w:szCs w:val="32"/>
          <w14:textFill>
            <w14:solidFill>
              <w14:schemeClr w14:val="tx1"/>
            </w14:solidFill>
          </w14:textFill>
        </w:rPr>
        <w:t xml:space="preserve"> 建设单位职业病危害预评价、职业病防护设施设计、职业病危害控制效果评价或者职业病防护设施验收工作过程未形成书面报告备查的</w:t>
      </w:r>
      <w:bookmarkEnd w:id="6410"/>
      <w:bookmarkEnd w:id="6411"/>
      <w:bookmarkEnd w:id="6412"/>
      <w:bookmarkEnd w:id="6413"/>
      <w:bookmarkEnd w:id="6414"/>
      <w:bookmarkEnd w:id="6415"/>
      <w:bookmarkEnd w:id="6416"/>
      <w:bookmarkEnd w:id="6417"/>
      <w:bookmarkEnd w:id="6418"/>
      <w:bookmarkEnd w:id="6419"/>
      <w:bookmarkEnd w:id="6420"/>
    </w:p>
    <w:p w14:paraId="3932FCA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BE5CC1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《建设项目职业病防护设施“三同时”监督管理办法》第四十条第（二）项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 5000 元以上 3 万元以下的罚款：</w:t>
      </w:r>
    </w:p>
    <w:p w14:paraId="54CEF9C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（二）职业病危害预评价、职业病防护设施设计、职业病危害控制效果评价或者职业病防护设施验收工作过程未形成书面报告备查的。</w:t>
      </w:r>
    </w:p>
    <w:p w14:paraId="054E288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8960"/>
        <w:gridCol w:w="3429"/>
      </w:tblGrid>
      <w:tr w14:paraId="1C3D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trPr>
        <w:tc>
          <w:tcPr>
            <w:tcW w:w="1429" w:type="dxa"/>
            <w:vAlign w:val="center"/>
          </w:tcPr>
          <w:p w14:paraId="2BD5FABA">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60" w:type="dxa"/>
            <w:vAlign w:val="center"/>
          </w:tcPr>
          <w:p w14:paraId="138BCAD9">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429" w:type="dxa"/>
            <w:vAlign w:val="center"/>
          </w:tcPr>
          <w:p w14:paraId="55A6BE9A">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D6A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29" w:type="dxa"/>
            <w:vAlign w:val="center"/>
          </w:tcPr>
          <w:p w14:paraId="523A05A2">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60" w:type="dxa"/>
            <w:vAlign w:val="center"/>
          </w:tcPr>
          <w:p w14:paraId="7674F4D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建设单位职业病危害预评价、职业病防护设施设计、职业病危害控制效果评价或者职业病防护设施验收工作过程未形成书面报告备查的。</w:t>
            </w:r>
          </w:p>
        </w:tc>
        <w:tc>
          <w:tcPr>
            <w:tcW w:w="3429" w:type="dxa"/>
            <w:vAlign w:val="center"/>
          </w:tcPr>
          <w:p w14:paraId="31EFCB0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22CA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429" w:type="dxa"/>
            <w:vAlign w:val="center"/>
          </w:tcPr>
          <w:p w14:paraId="0E087B5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60" w:type="dxa"/>
            <w:vAlign w:val="center"/>
          </w:tcPr>
          <w:p w14:paraId="57A827C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建设单位职业病危害一般类别的建设项目职业病危害预评价、职业病防护设施设计、职业病危害控制效果评价或者职业病防护设施验收工作过程未形成书面报告备查，经责令限期改正，逾期不改正。</w:t>
            </w:r>
          </w:p>
        </w:tc>
        <w:tc>
          <w:tcPr>
            <w:tcW w:w="3429" w:type="dxa"/>
            <w:vAlign w:val="center"/>
          </w:tcPr>
          <w:p w14:paraId="508508B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5000 元以上 1 万元以下的罚款。</w:t>
            </w:r>
          </w:p>
        </w:tc>
      </w:tr>
      <w:tr w14:paraId="5699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429" w:type="dxa"/>
            <w:vAlign w:val="center"/>
          </w:tcPr>
          <w:p w14:paraId="02D48BE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60" w:type="dxa"/>
            <w:vAlign w:val="center"/>
          </w:tcPr>
          <w:p w14:paraId="5E6BF42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建设单位职业病危害严重类别的建设项目职业病危害预评价、职业病防护设施设计、职业病危害控制效果评价或者职业病防护设施验收工作过程未形成书面报告备查，经责令限期改正，逾期不改正。</w:t>
            </w:r>
          </w:p>
        </w:tc>
        <w:tc>
          <w:tcPr>
            <w:tcW w:w="3429" w:type="dxa"/>
            <w:vAlign w:val="center"/>
          </w:tcPr>
          <w:p w14:paraId="00F8A1A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1 万元以上 3 万元以下的罚款。</w:t>
            </w:r>
          </w:p>
        </w:tc>
      </w:tr>
    </w:tbl>
    <w:p w14:paraId="3714033A">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421" w:name="_Toc6724"/>
      <w:bookmarkStart w:id="6422" w:name="_Toc2363"/>
      <w:bookmarkStart w:id="6423" w:name="_Toc32524"/>
      <w:bookmarkStart w:id="6424" w:name="_Toc7384"/>
      <w:bookmarkStart w:id="6425" w:name="_Toc18815"/>
      <w:bookmarkStart w:id="6426" w:name="_Toc10751"/>
      <w:bookmarkStart w:id="6427" w:name="_Toc1581"/>
      <w:bookmarkStart w:id="6428" w:name="_Toc3989"/>
      <w:bookmarkStart w:id="6429" w:name="_Toc19986"/>
      <w:bookmarkStart w:id="6430" w:name="_Toc12676"/>
      <w:bookmarkStart w:id="6431" w:name="_Toc12085"/>
      <w:r>
        <w:rPr>
          <w:rFonts w:hint="eastAsia" w:ascii="Times New Roman" w:hAnsi="Times New Roman" w:cs="仿宋_GB2312"/>
          <w:bCs/>
          <w:color w:val="000000" w:themeColor="text1"/>
          <w:kern w:val="0"/>
          <w14:textFill>
            <w14:solidFill>
              <w14:schemeClr w14:val="tx1"/>
            </w14:solidFill>
          </w14:textFill>
        </w:rPr>
        <w:t>第五百一十四条</w:t>
      </w:r>
      <w:r>
        <w:rPr>
          <w:rFonts w:hint="eastAsia" w:ascii="Times New Roman" w:hAnsi="Times New Roman" w:cs="仿宋_GB2312"/>
          <w:bCs/>
          <w:color w:val="000000" w:themeColor="text1"/>
          <w:kern w:val="0"/>
          <w:szCs w:val="32"/>
          <w14:textFill>
            <w14:solidFill>
              <w14:schemeClr w14:val="tx1"/>
            </w14:solidFill>
          </w14:textFill>
        </w:rPr>
        <w:t xml:space="preserve"> 建设单位建设项目的生产规模、工艺等发生变更导致职业病危害风险发生重大变化的，建设单位对变更内容未重新进行职业病危害预评价和评审的</w:t>
      </w:r>
      <w:bookmarkEnd w:id="6421"/>
      <w:bookmarkEnd w:id="6422"/>
      <w:bookmarkEnd w:id="6423"/>
      <w:bookmarkEnd w:id="6424"/>
      <w:bookmarkEnd w:id="6425"/>
      <w:bookmarkEnd w:id="6426"/>
      <w:bookmarkEnd w:id="6427"/>
      <w:bookmarkEnd w:id="6428"/>
      <w:bookmarkEnd w:id="6429"/>
      <w:bookmarkEnd w:id="6430"/>
      <w:bookmarkEnd w:id="6431"/>
    </w:p>
    <w:p w14:paraId="7742002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7C368F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《建设项目职业病防护设施“三同时”监督管理办法》第四十条第（三）项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 5000 元以上 3 万元以下的罚款：</w:t>
      </w:r>
    </w:p>
    <w:p w14:paraId="347E980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（三）建设项目的生产规模、工艺等发生变更导致职业病危害风险发生重大变化的，建设单位对变更内容未重新进行职业病危害预评价和评审，或者未重新进行职业病防护设施设计和评审的；</w:t>
      </w:r>
    </w:p>
    <w:p w14:paraId="315E300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8986"/>
        <w:gridCol w:w="3439"/>
      </w:tblGrid>
      <w:tr w14:paraId="0CE3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434" w:type="dxa"/>
            <w:vAlign w:val="center"/>
          </w:tcPr>
          <w:p w14:paraId="21EFBCE1">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86" w:type="dxa"/>
            <w:vAlign w:val="center"/>
          </w:tcPr>
          <w:p w14:paraId="451BEC95">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439" w:type="dxa"/>
            <w:vAlign w:val="center"/>
          </w:tcPr>
          <w:p w14:paraId="7DA2EF73">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055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434" w:type="dxa"/>
            <w:vAlign w:val="center"/>
          </w:tcPr>
          <w:p w14:paraId="1E1F3DC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86" w:type="dxa"/>
            <w:vAlign w:val="center"/>
          </w:tcPr>
          <w:p w14:paraId="7AFF0E6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建设项目的生产规模、工艺等发生变更导致职业病危害风险发生重大变化的，建设单位对变更内容未重新进行职业病危害预评价和评审，或者未重新进行职业病防护设施设计和评审的。</w:t>
            </w:r>
          </w:p>
        </w:tc>
        <w:tc>
          <w:tcPr>
            <w:tcW w:w="3439" w:type="dxa"/>
            <w:vAlign w:val="center"/>
          </w:tcPr>
          <w:p w14:paraId="69D5F3A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2692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434" w:type="dxa"/>
            <w:vAlign w:val="center"/>
          </w:tcPr>
          <w:p w14:paraId="1D76A4D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86" w:type="dxa"/>
            <w:vAlign w:val="center"/>
          </w:tcPr>
          <w:p w14:paraId="56877D8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一般类别的建设项目的生产规模、工艺等发生变更导致职业病危害风险发生重大变化的，建设单位对变更内容未重新进行职业病危害预评价和评审，或者未重新进行职业病防护设施设计和评审，经责令限期改正，逾期不改正。</w:t>
            </w:r>
          </w:p>
        </w:tc>
        <w:tc>
          <w:tcPr>
            <w:tcW w:w="3439" w:type="dxa"/>
            <w:vAlign w:val="center"/>
          </w:tcPr>
          <w:p w14:paraId="73F6AF6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5000 元以上 1 万元以下罚款。</w:t>
            </w:r>
          </w:p>
        </w:tc>
      </w:tr>
      <w:tr w14:paraId="032D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434" w:type="dxa"/>
            <w:vAlign w:val="center"/>
          </w:tcPr>
          <w:p w14:paraId="4386188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86" w:type="dxa"/>
            <w:vAlign w:val="center"/>
          </w:tcPr>
          <w:p w14:paraId="0536966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严重类别的建设项目的生产规模、工艺等发生变更导致职业病危害风险发生重大变化的，建设单位对变更内容未重新进行职业病危害预评价和评审，或者未重新进行职业病防护设施设计和评审，经责令限期改正，逾期不改正。</w:t>
            </w:r>
          </w:p>
        </w:tc>
        <w:tc>
          <w:tcPr>
            <w:tcW w:w="3439" w:type="dxa"/>
            <w:vAlign w:val="center"/>
          </w:tcPr>
          <w:p w14:paraId="7176FA0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1 万元以上 3 万元以下罚款。</w:t>
            </w:r>
          </w:p>
        </w:tc>
      </w:tr>
    </w:tbl>
    <w:p w14:paraId="5D203AEF">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432" w:name="_Toc10047"/>
      <w:bookmarkStart w:id="6433" w:name="_Toc25002"/>
      <w:bookmarkStart w:id="6434" w:name="_Toc21135"/>
      <w:bookmarkStart w:id="6435" w:name="_Toc29655"/>
      <w:bookmarkStart w:id="6436" w:name="_Toc13329"/>
      <w:bookmarkStart w:id="6437" w:name="_Toc30144"/>
      <w:bookmarkStart w:id="6438" w:name="_Toc5620"/>
      <w:bookmarkStart w:id="6439" w:name="_Toc28692"/>
      <w:bookmarkStart w:id="6440" w:name="_Toc9570"/>
      <w:bookmarkStart w:id="6441" w:name="_Toc29966"/>
      <w:bookmarkStart w:id="6442" w:name="_Toc15337"/>
      <w:r>
        <w:rPr>
          <w:rFonts w:hint="eastAsia" w:ascii="Times New Roman" w:hAnsi="Times New Roman" w:cs="仿宋_GB2312"/>
          <w:bCs/>
          <w:color w:val="000000" w:themeColor="text1"/>
          <w:kern w:val="0"/>
          <w14:textFill>
            <w14:solidFill>
              <w14:schemeClr w14:val="tx1"/>
            </w14:solidFill>
          </w14:textFill>
        </w:rPr>
        <w:t>第五百一十五条</w:t>
      </w:r>
      <w:r>
        <w:rPr>
          <w:rFonts w:hint="eastAsia" w:ascii="Times New Roman" w:hAnsi="Times New Roman" w:cs="仿宋_GB2312"/>
          <w:bCs/>
          <w:color w:val="000000" w:themeColor="text1"/>
          <w:kern w:val="0"/>
          <w:szCs w:val="32"/>
          <w14:textFill>
            <w14:solidFill>
              <w14:schemeClr w14:val="tx1"/>
            </w14:solidFill>
          </w14:textFill>
        </w:rPr>
        <w:t xml:space="preserve"> 建设单位需要试运行的职业病防护设施未与主体工程同时试运行的</w:t>
      </w:r>
      <w:bookmarkEnd w:id="6432"/>
      <w:bookmarkEnd w:id="6433"/>
      <w:bookmarkEnd w:id="6434"/>
      <w:bookmarkEnd w:id="6435"/>
      <w:bookmarkEnd w:id="6436"/>
      <w:bookmarkEnd w:id="6437"/>
      <w:bookmarkEnd w:id="6438"/>
      <w:bookmarkEnd w:id="6439"/>
      <w:bookmarkEnd w:id="6440"/>
      <w:bookmarkEnd w:id="6441"/>
      <w:bookmarkEnd w:id="6442"/>
    </w:p>
    <w:p w14:paraId="3E7A12D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F0A855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《建设项目职业病防护设施“三同时”监督管理办法》第四十条第（四）项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 5000 元以上 3 万元以下的罚款：</w:t>
      </w:r>
    </w:p>
    <w:p w14:paraId="5F9FEB3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（四）需要试运行的职业病防护设施未与主体工程同时试运行的；</w:t>
      </w:r>
    </w:p>
    <w:p w14:paraId="44F8C45B">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8987"/>
        <w:gridCol w:w="3439"/>
      </w:tblGrid>
      <w:tr w14:paraId="7C54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433" w:type="dxa"/>
            <w:vAlign w:val="center"/>
          </w:tcPr>
          <w:p w14:paraId="6832F634">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87" w:type="dxa"/>
            <w:vAlign w:val="center"/>
          </w:tcPr>
          <w:p w14:paraId="0C8A4B57">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439" w:type="dxa"/>
            <w:vAlign w:val="center"/>
          </w:tcPr>
          <w:p w14:paraId="093DA829">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409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433" w:type="dxa"/>
            <w:vAlign w:val="center"/>
          </w:tcPr>
          <w:p w14:paraId="001CD93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87" w:type="dxa"/>
            <w:vAlign w:val="center"/>
          </w:tcPr>
          <w:p w14:paraId="49DDF9C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建设单位需要试运行的职业病防护设施未与主体工程同时试运行的。</w:t>
            </w:r>
          </w:p>
        </w:tc>
        <w:tc>
          <w:tcPr>
            <w:tcW w:w="3439" w:type="dxa"/>
            <w:vAlign w:val="center"/>
          </w:tcPr>
          <w:p w14:paraId="0637261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1969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433" w:type="dxa"/>
            <w:vAlign w:val="center"/>
          </w:tcPr>
          <w:p w14:paraId="42E2AE7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87" w:type="dxa"/>
            <w:vAlign w:val="center"/>
          </w:tcPr>
          <w:p w14:paraId="6C1C681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建设单位职业病危害一般类别的建设项目需要试运行的职业病防护设施未与主体工程同时试运行，经责令限期改正，逾期不改正。</w:t>
            </w:r>
          </w:p>
        </w:tc>
        <w:tc>
          <w:tcPr>
            <w:tcW w:w="3439" w:type="dxa"/>
            <w:vAlign w:val="center"/>
          </w:tcPr>
          <w:p w14:paraId="69A4219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5000 元以上 1 万元以下的罚款。</w:t>
            </w:r>
          </w:p>
        </w:tc>
      </w:tr>
      <w:tr w14:paraId="7D5B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433" w:type="dxa"/>
            <w:vAlign w:val="center"/>
          </w:tcPr>
          <w:p w14:paraId="0C69B13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87" w:type="dxa"/>
            <w:vAlign w:val="center"/>
          </w:tcPr>
          <w:p w14:paraId="41FBDE1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建设单位职业病危害严重类别的建设项目需要试运行的职业病防护设施未与主体工程同时试运行，经责令限期改正，逾期不改正。</w:t>
            </w:r>
          </w:p>
        </w:tc>
        <w:tc>
          <w:tcPr>
            <w:tcW w:w="3439" w:type="dxa"/>
            <w:vAlign w:val="center"/>
          </w:tcPr>
          <w:p w14:paraId="7810883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1 万元以上 3 万元以下的罚款。</w:t>
            </w:r>
          </w:p>
        </w:tc>
      </w:tr>
    </w:tbl>
    <w:p w14:paraId="4A0E4655">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443" w:name="_Toc31325"/>
      <w:bookmarkStart w:id="6444" w:name="_Toc27035"/>
      <w:bookmarkStart w:id="6445" w:name="_Toc6491"/>
      <w:bookmarkStart w:id="6446" w:name="_Toc15325"/>
      <w:bookmarkStart w:id="6447" w:name="_Toc28105"/>
      <w:bookmarkStart w:id="6448" w:name="_Toc6300"/>
      <w:bookmarkStart w:id="6449" w:name="_Toc21796"/>
      <w:bookmarkStart w:id="6450" w:name="_Toc22205"/>
      <w:bookmarkStart w:id="6451" w:name="_Toc27647"/>
      <w:bookmarkStart w:id="6452" w:name="_Toc2819"/>
      <w:bookmarkStart w:id="6453" w:name="_Toc27867"/>
      <w:r>
        <w:rPr>
          <w:rFonts w:hint="eastAsia" w:ascii="Times New Roman" w:hAnsi="Times New Roman" w:cs="仿宋_GB2312"/>
          <w:bCs/>
          <w:color w:val="000000" w:themeColor="text1"/>
          <w:kern w:val="0"/>
          <w14:textFill>
            <w14:solidFill>
              <w14:schemeClr w14:val="tx1"/>
            </w14:solidFill>
          </w14:textFill>
        </w:rPr>
        <w:t>第五百一十六条</w:t>
      </w:r>
      <w:r>
        <w:rPr>
          <w:rFonts w:hint="eastAsia" w:ascii="Times New Roman" w:hAnsi="Times New Roman" w:cs="仿宋_GB2312"/>
          <w:bCs/>
          <w:color w:val="000000" w:themeColor="text1"/>
          <w:kern w:val="0"/>
          <w:szCs w:val="32"/>
          <w14:textFill>
            <w14:solidFill>
              <w14:schemeClr w14:val="tx1"/>
            </w14:solidFill>
          </w14:textFill>
        </w:rPr>
        <w:t xml:space="preserve"> 建设单位未按照《建设项目职业病防护设施“三同时”监督管理办法》第八条规定公布有关信息（除国家保密的建设项目外，产生职业病危害的建设单位应当通过公告栏、网站等方式及时公布建设项目职业病危害预评价、职业病防护设施设计、职业病危害控制效果评价的承担单位、评价结论、评审时间及评审意见，以及职业病防护设施验收时间、验收方案和验收意见等信息）的</w:t>
      </w:r>
      <w:bookmarkEnd w:id="6443"/>
      <w:bookmarkEnd w:id="6444"/>
      <w:bookmarkEnd w:id="6445"/>
      <w:bookmarkEnd w:id="6446"/>
      <w:bookmarkEnd w:id="6447"/>
      <w:bookmarkEnd w:id="6448"/>
      <w:bookmarkEnd w:id="6449"/>
      <w:bookmarkEnd w:id="6450"/>
      <w:bookmarkEnd w:id="6451"/>
      <w:bookmarkEnd w:id="6452"/>
      <w:bookmarkEnd w:id="6453"/>
    </w:p>
    <w:p w14:paraId="1A715DC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9B87CE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《建设项目职业病防护设施“三同时”监督管理办法》第四十条第（五）项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建设单位有下列行为之一的，由安全生产监督管理部门给予警告，责令限期改正；逾期不改正的，处 5000 元以上 3 万元以下的罚款：</w:t>
      </w:r>
    </w:p>
    <w:p w14:paraId="7B070CE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（五）建设单位未按照本办法第八条规定公布有关信息的。</w:t>
      </w:r>
    </w:p>
    <w:p w14:paraId="30B99E1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916"/>
        <w:gridCol w:w="3621"/>
      </w:tblGrid>
      <w:tr w14:paraId="083B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18" w:type="dxa"/>
            <w:vAlign w:val="center"/>
          </w:tcPr>
          <w:p w14:paraId="0DA86840">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16" w:type="dxa"/>
            <w:vAlign w:val="center"/>
          </w:tcPr>
          <w:p w14:paraId="7F900CF1">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621" w:type="dxa"/>
            <w:vAlign w:val="center"/>
          </w:tcPr>
          <w:p w14:paraId="0638236B">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94D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Align w:val="center"/>
          </w:tcPr>
          <w:p w14:paraId="64DE1C4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16" w:type="dxa"/>
            <w:vAlign w:val="center"/>
          </w:tcPr>
          <w:p w14:paraId="445EB4D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建设单位未按照《建设项目职业病防护设施“三同时”监督管理办法》第八条规定公布有关信息的。</w:t>
            </w:r>
          </w:p>
        </w:tc>
        <w:tc>
          <w:tcPr>
            <w:tcW w:w="3621" w:type="dxa"/>
            <w:vAlign w:val="center"/>
          </w:tcPr>
          <w:p w14:paraId="6396B52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664D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Align w:val="center"/>
          </w:tcPr>
          <w:p w14:paraId="77E9BDA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16" w:type="dxa"/>
            <w:vAlign w:val="center"/>
          </w:tcPr>
          <w:p w14:paraId="7FBFD05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建设单位未按照《建设项目职业病防护设施“三同时”监督管理办法》第八条规定公布有关信息，经责令限期改正，逾期不改正，仍存在公布的有关信息不全的。</w:t>
            </w:r>
          </w:p>
        </w:tc>
        <w:tc>
          <w:tcPr>
            <w:tcW w:w="3621" w:type="dxa"/>
            <w:vAlign w:val="center"/>
          </w:tcPr>
          <w:p w14:paraId="671013B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5000 元以上 1 万元以下的罚款。</w:t>
            </w:r>
          </w:p>
        </w:tc>
      </w:tr>
      <w:tr w14:paraId="05BF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Align w:val="center"/>
          </w:tcPr>
          <w:p w14:paraId="49112F3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16" w:type="dxa"/>
            <w:vAlign w:val="center"/>
          </w:tcPr>
          <w:p w14:paraId="3CC27D0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建设单位未按照《建设项目职业病防护设施“三同时”监督管理办法》第八条规定公布有关信息，经责令限期改正，逾期不改正，仍存在未公布有关信息的。</w:t>
            </w:r>
          </w:p>
        </w:tc>
        <w:tc>
          <w:tcPr>
            <w:tcW w:w="3621" w:type="dxa"/>
            <w:vAlign w:val="center"/>
          </w:tcPr>
          <w:p w14:paraId="6C19C24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 1 万元以上 3 万元以下的罚款。</w:t>
            </w:r>
          </w:p>
        </w:tc>
      </w:tr>
    </w:tbl>
    <w:p w14:paraId="127B1846">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454" w:name="_Toc30843"/>
      <w:bookmarkStart w:id="6455" w:name="_Toc28476"/>
      <w:bookmarkStart w:id="6456" w:name="_Toc5844"/>
      <w:bookmarkStart w:id="6457" w:name="_Toc20934"/>
      <w:bookmarkStart w:id="6458" w:name="_Toc6916"/>
      <w:bookmarkStart w:id="6459" w:name="_Toc30105"/>
      <w:bookmarkStart w:id="6460" w:name="_Toc20566"/>
      <w:bookmarkStart w:id="6461" w:name="_Toc30308"/>
      <w:bookmarkStart w:id="6462" w:name="_Toc17907"/>
      <w:bookmarkStart w:id="6463" w:name="_Toc12627"/>
      <w:bookmarkStart w:id="6464" w:name="_Toc20016"/>
      <w:r>
        <w:rPr>
          <w:rFonts w:hint="eastAsia" w:ascii="Times New Roman" w:hAnsi="Times New Roman" w:cs="仿宋_GB2312"/>
          <w:bCs/>
          <w:color w:val="000000" w:themeColor="text1"/>
          <w:kern w:val="0"/>
          <w14:textFill>
            <w14:solidFill>
              <w14:schemeClr w14:val="tx1"/>
            </w14:solidFill>
          </w14:textFill>
        </w:rPr>
        <w:t>第五百一十七条</w:t>
      </w:r>
      <w:r>
        <w:rPr>
          <w:rFonts w:hint="eastAsia" w:ascii="Times New Roman" w:hAnsi="Times New Roman" w:cs="仿宋_GB2312"/>
          <w:bCs/>
          <w:color w:val="000000" w:themeColor="text1"/>
          <w:kern w:val="0"/>
          <w:szCs w:val="32"/>
          <w14:textFill>
            <w14:solidFill>
              <w14:schemeClr w14:val="tx1"/>
            </w14:solidFill>
          </w14:textFill>
        </w:rPr>
        <w:t xml:space="preserve"> 建设单位在职业病危害预评价报告、职业病防护设施设计、职业病危害控制效果评价报告编制、评审以及职业病防护设施验收等过程中弄虚作假的</w:t>
      </w:r>
      <w:bookmarkEnd w:id="6454"/>
      <w:bookmarkEnd w:id="6455"/>
      <w:bookmarkEnd w:id="6456"/>
      <w:bookmarkEnd w:id="6457"/>
      <w:bookmarkEnd w:id="6458"/>
      <w:bookmarkEnd w:id="6459"/>
      <w:bookmarkEnd w:id="6460"/>
      <w:bookmarkEnd w:id="6461"/>
      <w:bookmarkEnd w:id="6462"/>
      <w:bookmarkEnd w:id="6463"/>
      <w:bookmarkEnd w:id="6464"/>
    </w:p>
    <w:p w14:paraId="630C884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77E0F5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《建设项目职业病防护设施“三同时”监督管理办法》第四十一条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建设单位在职业病危害预评价报告、职业病防护设施设计、职业病危害控制效果评价报告编制、评审以及职业病防护设施验收等过程中弄虚作假的，由安全生产监督管理部门责令限期改正，给予警告，可以并处 5000 元以上3 万元以下的罚款。</w:t>
      </w:r>
    </w:p>
    <w:p w14:paraId="644FCDF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8909"/>
        <w:gridCol w:w="3625"/>
      </w:tblGrid>
      <w:tr w14:paraId="4251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21" w:type="dxa"/>
            <w:vAlign w:val="center"/>
          </w:tcPr>
          <w:p w14:paraId="4C3094EC">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09" w:type="dxa"/>
            <w:vAlign w:val="center"/>
          </w:tcPr>
          <w:p w14:paraId="7AAE3987">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625" w:type="dxa"/>
            <w:vAlign w:val="center"/>
          </w:tcPr>
          <w:p w14:paraId="46C3346D">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670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21" w:type="dxa"/>
            <w:vAlign w:val="center"/>
          </w:tcPr>
          <w:p w14:paraId="06E97D8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09" w:type="dxa"/>
            <w:vAlign w:val="center"/>
          </w:tcPr>
          <w:p w14:paraId="255C888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建设单位在职业病危害一般类别的建设项目职业病危害预评价报告、职业病防护设施设计、职业病危害控制效果评价报告编制、评审以及职业病防护设施验收等过程中弄虚作假的。</w:t>
            </w:r>
          </w:p>
        </w:tc>
        <w:tc>
          <w:tcPr>
            <w:tcW w:w="3625" w:type="dxa"/>
            <w:vAlign w:val="center"/>
          </w:tcPr>
          <w:p w14:paraId="4645187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责令限期改正，给予警告，可以并处5000元以上1万元以下罚款。</w:t>
            </w:r>
          </w:p>
        </w:tc>
      </w:tr>
      <w:tr w14:paraId="6F12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21" w:type="dxa"/>
            <w:vAlign w:val="center"/>
          </w:tcPr>
          <w:p w14:paraId="056127A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09" w:type="dxa"/>
            <w:vAlign w:val="center"/>
          </w:tcPr>
          <w:p w14:paraId="43B0E52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建设单位在职业病危害严重类别建设项目职业病危害预评价报告、职业病防护设施设计、职业病危害控制效果评价报告编制、评审以及职业病防护设施验收等过程中弄虚作假的。</w:t>
            </w:r>
          </w:p>
        </w:tc>
        <w:tc>
          <w:tcPr>
            <w:tcW w:w="3625" w:type="dxa"/>
            <w:vAlign w:val="center"/>
          </w:tcPr>
          <w:p w14:paraId="42C7712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责令限期改正，给予警告，并处1万元以上3万元以下罚款。</w:t>
            </w:r>
          </w:p>
        </w:tc>
      </w:tr>
    </w:tbl>
    <w:p w14:paraId="3A947E67">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465" w:name="_Toc28699"/>
      <w:bookmarkStart w:id="6466" w:name="_Toc15798"/>
      <w:bookmarkStart w:id="6467" w:name="_Toc9458"/>
      <w:bookmarkStart w:id="6468" w:name="_Toc15431"/>
      <w:bookmarkStart w:id="6469" w:name="_Toc729"/>
      <w:bookmarkStart w:id="6470" w:name="_Toc19343"/>
      <w:bookmarkStart w:id="6471" w:name="_Toc32448"/>
      <w:bookmarkStart w:id="6472" w:name="_Toc27499"/>
      <w:bookmarkStart w:id="6473" w:name="_Toc22605"/>
      <w:bookmarkStart w:id="6474" w:name="_Toc17179"/>
      <w:bookmarkStart w:id="6475" w:name="_Toc17281"/>
      <w:r>
        <w:rPr>
          <w:rFonts w:hint="eastAsia" w:ascii="Times New Roman" w:hAnsi="Times New Roman" w:cs="仿宋_GB2312"/>
          <w:bCs/>
          <w:color w:val="000000" w:themeColor="text1"/>
          <w:kern w:val="0"/>
          <w14:textFill>
            <w14:solidFill>
              <w14:schemeClr w14:val="tx1"/>
            </w14:solidFill>
          </w14:textFill>
        </w:rPr>
        <w:t>第五百一十八条</w:t>
      </w:r>
      <w:r>
        <w:rPr>
          <w:rFonts w:hint="eastAsia" w:ascii="Times New Roman" w:hAnsi="Times New Roman" w:cs="仿宋_GB2312"/>
          <w:bCs/>
          <w:color w:val="000000" w:themeColor="text1"/>
          <w:kern w:val="0"/>
          <w:szCs w:val="32"/>
          <w14:textFill>
            <w14:solidFill>
              <w14:schemeClr w14:val="tx1"/>
            </w14:solidFill>
          </w14:textFill>
        </w:rPr>
        <w:t xml:space="preserve"> 建设单位未按照规定及时、如实报告建设项目职业病防护设施验收方案，或者职业病危害严重建设项目未提交职业病危害控制效果评价与职业病防护设施验收的书面报告的</w:t>
      </w:r>
      <w:bookmarkEnd w:id="6465"/>
      <w:bookmarkEnd w:id="6466"/>
      <w:bookmarkEnd w:id="6467"/>
      <w:bookmarkEnd w:id="6468"/>
      <w:bookmarkEnd w:id="6469"/>
      <w:bookmarkEnd w:id="6470"/>
      <w:bookmarkEnd w:id="6471"/>
      <w:bookmarkEnd w:id="6472"/>
      <w:bookmarkEnd w:id="6473"/>
      <w:bookmarkEnd w:id="6474"/>
      <w:bookmarkEnd w:id="6475"/>
    </w:p>
    <w:p w14:paraId="2F73F28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294076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《建设项目职业病防护设施“三同时”监督管理办法》第四十二条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建设单位未按照规定及时、如实报告建设项目职业病防护设施验收方案，或者职业病危害严重建设项目未提交职业病危害控制效果评价与职业病防护设施验收的书面报告的，由安全生产监督管理部门责令限期改正，给予警告，可以并处5000元以上3万元以下的罚款。</w:t>
      </w:r>
    </w:p>
    <w:p w14:paraId="71EE8208">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7523"/>
        <w:gridCol w:w="5015"/>
      </w:tblGrid>
      <w:tr w14:paraId="01AD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96" w:type="dxa"/>
            <w:vAlign w:val="center"/>
          </w:tcPr>
          <w:p w14:paraId="5C765BA5">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23" w:type="dxa"/>
            <w:vAlign w:val="center"/>
          </w:tcPr>
          <w:p w14:paraId="6AAEF791">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015" w:type="dxa"/>
            <w:vAlign w:val="center"/>
          </w:tcPr>
          <w:p w14:paraId="7639D70B">
            <w:pPr>
              <w:widowControl/>
              <w:adjustRightInd/>
              <w:snapToGrid/>
              <w:spacing w:before="0" w:beforeLines="-2147483648" w:after="0" w:line="240" w:lineRule="auto"/>
              <w:jc w:val="center"/>
              <w:rPr>
                <w:rFonts w:hint="eastAsia" w:ascii="Times New Roman" w:hAnsi="Times New Roman" w:eastAsia="微软雅黑"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C5E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396" w:type="dxa"/>
            <w:vAlign w:val="center"/>
          </w:tcPr>
          <w:p w14:paraId="4DBF002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523" w:type="dxa"/>
            <w:vAlign w:val="center"/>
          </w:tcPr>
          <w:p w14:paraId="0C4514A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建设单位未按照规定及时、如实报告建设项目职业病防护设施验收方案的。</w:t>
            </w:r>
          </w:p>
        </w:tc>
        <w:tc>
          <w:tcPr>
            <w:tcW w:w="5015" w:type="dxa"/>
            <w:vAlign w:val="center"/>
          </w:tcPr>
          <w:p w14:paraId="173ECFE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责令限期改正，给予警告，可以并处 5000 元以上2万元以下的罚款。</w:t>
            </w:r>
          </w:p>
        </w:tc>
      </w:tr>
      <w:tr w14:paraId="7AEB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96" w:type="dxa"/>
            <w:vAlign w:val="center"/>
          </w:tcPr>
          <w:p w14:paraId="0F208DE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523" w:type="dxa"/>
            <w:vAlign w:val="center"/>
          </w:tcPr>
          <w:p w14:paraId="5BC4E8C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职业病危害严重建设项目未提交职业病危害控制效果评价与职业病防护设施验收的书面报告的。</w:t>
            </w:r>
          </w:p>
        </w:tc>
        <w:tc>
          <w:tcPr>
            <w:tcW w:w="5015" w:type="dxa"/>
            <w:vAlign w:val="center"/>
          </w:tcPr>
          <w:p w14:paraId="510615A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责令限期改正，给予警告，并处2万元以上3万元以下罚款。</w:t>
            </w:r>
          </w:p>
        </w:tc>
      </w:tr>
    </w:tbl>
    <w:p w14:paraId="7BB9DB43">
      <w:pPr>
        <w:widowControl w:val="0"/>
        <w:numPr>
          <w:ilvl w:val="255"/>
          <w:numId w:val="0"/>
        </w:numPr>
        <w:adjustRightInd/>
        <w:snapToGrid/>
        <w:spacing w:before="157" w:beforeLines="50" w:after="157" w:afterLines="50" w:line="240" w:lineRule="auto"/>
        <w:ind w:firstLine="643" w:firstLineChars="200"/>
        <w:outlineLvl w:val="1"/>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pPr>
      <w:bookmarkStart w:id="6476" w:name="_Toc30667"/>
      <w:bookmarkStart w:id="6477" w:name="_Toc22627"/>
      <w:bookmarkStart w:id="6478" w:name="_Toc9588"/>
      <w:bookmarkStart w:id="6479" w:name="_Toc10321"/>
      <w:bookmarkStart w:id="6480" w:name="_Toc19062"/>
      <w:bookmarkStart w:id="6481" w:name="_Toc22527"/>
      <w:r>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t>（三）《使用有毒物品作业场所劳动保护条例》</w:t>
      </w:r>
      <w:bookmarkEnd w:id="6476"/>
      <w:bookmarkEnd w:id="6477"/>
      <w:bookmarkEnd w:id="6478"/>
      <w:bookmarkEnd w:id="6479"/>
      <w:bookmarkEnd w:id="6480"/>
      <w:bookmarkEnd w:id="6481"/>
    </w:p>
    <w:p w14:paraId="147B4C9A">
      <w:pPr>
        <w:pStyle w:val="4"/>
        <w:widowControl w:val="0"/>
        <w:spacing w:line="460" w:lineRule="exact"/>
        <w:ind w:firstLine="640"/>
        <w:jc w:val="both"/>
        <w:rPr>
          <w:rFonts w:hint="eastAsia" w:ascii="Times New Roman" w:hAnsi="Times New Roman" w:cs="仿宋_GB2312"/>
          <w:bCs/>
          <w:color w:val="000000" w:themeColor="text1"/>
          <w:spacing w:val="-6"/>
          <w:kern w:val="0"/>
          <w14:textFill>
            <w14:solidFill>
              <w14:schemeClr w14:val="tx1"/>
            </w14:solidFill>
          </w14:textFill>
        </w:rPr>
      </w:pPr>
      <w:bookmarkStart w:id="6482" w:name="_Toc12821"/>
      <w:bookmarkStart w:id="6483" w:name="_Toc32019"/>
      <w:bookmarkStart w:id="6484" w:name="_Toc17126"/>
      <w:bookmarkStart w:id="6485" w:name="_Toc13051"/>
      <w:bookmarkStart w:id="6486" w:name="_Toc32269"/>
      <w:bookmarkStart w:id="6487" w:name="_Toc17462"/>
      <w:bookmarkStart w:id="6488" w:name="_Toc18683"/>
      <w:bookmarkStart w:id="6489" w:name="_Toc2657"/>
      <w:bookmarkStart w:id="6490" w:name="_Toc13806"/>
      <w:bookmarkStart w:id="6491" w:name="_Toc22485"/>
      <w:bookmarkStart w:id="6492" w:name="_Toc21764"/>
      <w:r>
        <w:rPr>
          <w:rFonts w:hint="eastAsia" w:ascii="Times New Roman" w:hAnsi="Times New Roman" w:cs="仿宋_GB2312"/>
          <w:bCs/>
          <w:color w:val="000000" w:themeColor="text1"/>
          <w:spacing w:val="-6"/>
          <w:kern w:val="0"/>
          <w14:textFill>
            <w14:solidFill>
              <w14:schemeClr w14:val="tx1"/>
            </w14:solidFill>
          </w14:textFill>
        </w:rPr>
        <w:t>第五百一十九条 用人单位未按照规定实行有害作业与无害作业分开、工作场所与生活场所分开的</w:t>
      </w:r>
      <w:bookmarkEnd w:id="6482"/>
      <w:bookmarkEnd w:id="6483"/>
      <w:bookmarkEnd w:id="6484"/>
      <w:bookmarkEnd w:id="6485"/>
      <w:bookmarkEnd w:id="6486"/>
      <w:bookmarkEnd w:id="6487"/>
      <w:bookmarkEnd w:id="6488"/>
      <w:bookmarkEnd w:id="6489"/>
      <w:bookmarkEnd w:id="6490"/>
      <w:bookmarkEnd w:id="6491"/>
      <w:bookmarkEnd w:id="6492"/>
    </w:p>
    <w:p w14:paraId="61A4312D">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C1A8A12">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1.《使用有毒物品作业场所劳动保护条例》第六十五条第（一）项、第（二）项　 用人单位违反本条例的规定，有下列情形之一的，由疾病预防控制部门给予警告，责令限期改正，处5000元以上2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14:paraId="4D8828E1">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（一）使用有毒物品作业场所未与生活场所分开或者在作业场所住人的；</w:t>
      </w:r>
    </w:p>
    <w:p w14:paraId="3B6A5E90">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（二）未将有害作业与无害作业分开的；</w:t>
      </w:r>
    </w:p>
    <w:p w14:paraId="5DD7BAD7">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2.《工作场所职业卫生管理规定》第四十七条第（一）项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用人单位有下列情形之一的，责令限期改正，给予警告，可以并处五千元以上二万元以下的罚款：</w:t>
      </w:r>
    </w:p>
    <w:p w14:paraId="214D17F0">
      <w:pPr>
        <w:widowControl w:val="0"/>
        <w:adjustRightInd/>
        <w:snapToGrid/>
        <w:spacing w:after="0" w:line="46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（一）未按照规定实行有害作业与无害作业分开、工作场所与生活场所分开的；</w:t>
      </w:r>
    </w:p>
    <w:p w14:paraId="62E8B1FB">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58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7570"/>
        <w:gridCol w:w="4608"/>
      </w:tblGrid>
      <w:tr w14:paraId="1433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05" w:type="dxa"/>
            <w:vAlign w:val="center"/>
          </w:tcPr>
          <w:p w14:paraId="592B172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70" w:type="dxa"/>
            <w:vAlign w:val="center"/>
          </w:tcPr>
          <w:p w14:paraId="28D0E17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08" w:type="dxa"/>
            <w:vAlign w:val="center"/>
          </w:tcPr>
          <w:p w14:paraId="0425950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D52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05" w:type="dxa"/>
            <w:vAlign w:val="center"/>
          </w:tcPr>
          <w:p w14:paraId="7D3E1E2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570" w:type="dxa"/>
            <w:vAlign w:val="center"/>
          </w:tcPr>
          <w:p w14:paraId="46E689F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未按照规定实行有害作业与无害作业分开的。</w:t>
            </w:r>
          </w:p>
        </w:tc>
        <w:tc>
          <w:tcPr>
            <w:tcW w:w="4608" w:type="dxa"/>
            <w:vAlign w:val="center"/>
          </w:tcPr>
          <w:p w14:paraId="42B834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给予警告，责令限期改正，并处5000元以上1万元以下的罚款。</w:t>
            </w:r>
          </w:p>
        </w:tc>
      </w:tr>
      <w:tr w14:paraId="0091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05" w:type="dxa"/>
            <w:vAlign w:val="center"/>
          </w:tcPr>
          <w:p w14:paraId="677225A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570" w:type="dxa"/>
            <w:vAlign w:val="center"/>
          </w:tcPr>
          <w:p w14:paraId="66F3DC6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未按照规定实行工作场所与生活场所分开的。</w:t>
            </w:r>
          </w:p>
        </w:tc>
        <w:tc>
          <w:tcPr>
            <w:tcW w:w="4608" w:type="dxa"/>
            <w:vAlign w:val="center"/>
          </w:tcPr>
          <w:p w14:paraId="7280D70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给予警告，责令限期改正，并处1万元以上1.5万元以下的罚款。</w:t>
            </w:r>
          </w:p>
        </w:tc>
      </w:tr>
      <w:tr w14:paraId="38D6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1405" w:type="dxa"/>
            <w:vAlign w:val="center"/>
          </w:tcPr>
          <w:p w14:paraId="0A18BB0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570" w:type="dxa"/>
            <w:vAlign w:val="center"/>
          </w:tcPr>
          <w:p w14:paraId="73E4F9B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有下列情形之一的：1.造成严重后果的；2.拒不改正的。</w:t>
            </w:r>
          </w:p>
        </w:tc>
        <w:tc>
          <w:tcPr>
            <w:tcW w:w="4608" w:type="dxa"/>
            <w:vAlign w:val="center"/>
          </w:tcPr>
          <w:p w14:paraId="0233D9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给予警告，责令限期改正，并处1.5万元以上2万元以下的罚款；责令停止使用有毒物品作业，或者提请有关人民政府按照国务院规定的权限予以关闭。</w:t>
            </w:r>
          </w:p>
        </w:tc>
      </w:tr>
    </w:tbl>
    <w:p w14:paraId="7259BFFA">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493" w:name="_Toc20407"/>
      <w:bookmarkStart w:id="6494" w:name="_Toc6052"/>
      <w:bookmarkStart w:id="6495" w:name="_Toc14813"/>
      <w:bookmarkStart w:id="6496" w:name="_Toc26005"/>
      <w:bookmarkStart w:id="6497" w:name="_Toc13359"/>
      <w:bookmarkStart w:id="6498" w:name="_Toc11711"/>
      <w:bookmarkStart w:id="6499" w:name="_Toc12713"/>
      <w:bookmarkStart w:id="6500" w:name="_Toc1288"/>
      <w:bookmarkStart w:id="6501" w:name="_Toc3571"/>
      <w:bookmarkStart w:id="6502" w:name="_Toc24296"/>
      <w:bookmarkStart w:id="6503" w:name="_Toc22071"/>
      <w:r>
        <w:rPr>
          <w:rFonts w:hint="eastAsia" w:ascii="Times New Roman" w:hAnsi="Times New Roman" w:cs="仿宋_GB2312"/>
          <w:bCs/>
          <w:color w:val="000000" w:themeColor="text1"/>
          <w:kern w:val="0"/>
          <w14:textFill>
            <w14:solidFill>
              <w14:schemeClr w14:val="tx1"/>
            </w14:solidFill>
          </w14:textFill>
        </w:rPr>
        <w:t>第五百二十条</w:t>
      </w:r>
      <w:r>
        <w:rPr>
          <w:rFonts w:hint="eastAsia" w:ascii="Times New Roman" w:hAnsi="Times New Roman" w:cs="仿宋_GB2312"/>
          <w:bCs/>
          <w:color w:val="000000" w:themeColor="text1"/>
          <w:kern w:val="0"/>
          <w:szCs w:val="32"/>
          <w14:textFill>
            <w14:solidFill>
              <w14:schemeClr w14:val="tx1"/>
            </w14:solidFill>
          </w14:textFill>
        </w:rPr>
        <w:t xml:space="preserve"> 高毒作业场所未与其他作业场所有效隔离的</w:t>
      </w:r>
      <w:bookmarkEnd w:id="6493"/>
      <w:bookmarkEnd w:id="6494"/>
      <w:bookmarkEnd w:id="6495"/>
      <w:bookmarkEnd w:id="6496"/>
      <w:bookmarkEnd w:id="6497"/>
      <w:bookmarkEnd w:id="6498"/>
      <w:bookmarkEnd w:id="6499"/>
      <w:bookmarkEnd w:id="6500"/>
      <w:bookmarkEnd w:id="6501"/>
      <w:bookmarkEnd w:id="6502"/>
      <w:bookmarkEnd w:id="6503"/>
    </w:p>
    <w:p w14:paraId="32534AF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CC21A8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《使用有毒物品作业场所劳动保护条例》第六十五条第（三）项　 用人单位违反本条例的规定，有下列情形之一的，由疾病预防控制部门给予警告，责令限期改正，处5000元以上2万元以下的罚款；逾期不改正的，责令停止使用有毒物品作业，或者提请有关人民政府按照国务院规定的权限予以关闭；造成严重职业中毒危害或者导致职业中毒事故发生的，对负有责任的主管人员和其他直接责任人员依照刑法关于重大劳动安全事故罪、危险物品肇事罪或者其他罪的规定，依法追究刑事责任：</w:t>
      </w:r>
    </w:p>
    <w:p w14:paraId="3380DBC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（三）高毒作业场所未与其他作业场所有效隔离的；</w:t>
      </w:r>
    </w:p>
    <w:p w14:paraId="7DFD5A7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5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5977"/>
        <w:gridCol w:w="6130"/>
      </w:tblGrid>
      <w:tr w14:paraId="1936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397" w:type="dxa"/>
            <w:vAlign w:val="center"/>
          </w:tcPr>
          <w:p w14:paraId="38966AF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5977" w:type="dxa"/>
            <w:vAlign w:val="center"/>
          </w:tcPr>
          <w:p w14:paraId="54CF196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130" w:type="dxa"/>
            <w:vAlign w:val="center"/>
          </w:tcPr>
          <w:p w14:paraId="7D99625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F79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97" w:type="dxa"/>
            <w:vAlign w:val="center"/>
          </w:tcPr>
          <w:p w14:paraId="35D887F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5977" w:type="dxa"/>
            <w:vAlign w:val="center"/>
          </w:tcPr>
          <w:p w14:paraId="244107A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高毒作业场所未与其他作业场所有效隔离，有两处以下的。</w:t>
            </w:r>
          </w:p>
        </w:tc>
        <w:tc>
          <w:tcPr>
            <w:tcW w:w="6130" w:type="dxa"/>
            <w:vAlign w:val="center"/>
          </w:tcPr>
          <w:p w14:paraId="28C95A1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给予警告，责令限期改正，并处5000元以上1万元以下的罚款。</w:t>
            </w:r>
          </w:p>
        </w:tc>
      </w:tr>
      <w:tr w14:paraId="0EF0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97" w:type="dxa"/>
            <w:vAlign w:val="center"/>
          </w:tcPr>
          <w:p w14:paraId="6E2A3A9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5977" w:type="dxa"/>
            <w:vAlign w:val="center"/>
          </w:tcPr>
          <w:p w14:paraId="44C0318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高毒作业场所未与其他作业场所有效隔离，有三处以上的。</w:t>
            </w:r>
          </w:p>
        </w:tc>
        <w:tc>
          <w:tcPr>
            <w:tcW w:w="6130" w:type="dxa"/>
            <w:vAlign w:val="center"/>
          </w:tcPr>
          <w:p w14:paraId="5BA8FA7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给予警告，责令限期改正，并处1万元以上1.5万元以下的罚款。</w:t>
            </w:r>
          </w:p>
        </w:tc>
      </w:tr>
      <w:tr w14:paraId="21CD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97" w:type="dxa"/>
            <w:vAlign w:val="center"/>
          </w:tcPr>
          <w:p w14:paraId="334B89A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5977" w:type="dxa"/>
            <w:vAlign w:val="center"/>
          </w:tcPr>
          <w:p w14:paraId="3D453F4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1F362FD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A.逾期不改正的；</w:t>
            </w:r>
          </w:p>
          <w:p w14:paraId="0A9661D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B.造成职业中毒等严重后果的。</w:t>
            </w:r>
          </w:p>
        </w:tc>
        <w:tc>
          <w:tcPr>
            <w:tcW w:w="6130" w:type="dxa"/>
            <w:vAlign w:val="center"/>
          </w:tcPr>
          <w:p w14:paraId="5367166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 1.5 万元以上2万元以下的罚款；责令停止使用有毒物品作业，或者提请有关人民政府按照国务院规定的权限予以关闭。</w:t>
            </w:r>
          </w:p>
        </w:tc>
      </w:tr>
    </w:tbl>
    <w:p w14:paraId="0A3C272A">
      <w:pPr>
        <w:pStyle w:val="4"/>
        <w:widowControl w:val="0"/>
        <w:ind w:firstLine="0" w:firstLineChars="0"/>
        <w:rPr>
          <w:rFonts w:hint="eastAsia" w:ascii="Times New Roman" w:hAnsi="Times New Roman" w:cs="仿宋_GB2312"/>
          <w:bCs/>
          <w:color w:val="000000" w:themeColor="text1"/>
          <w:kern w:val="0"/>
          <w:szCs w:val="32"/>
          <w14:textFill>
            <w14:solidFill>
              <w14:schemeClr w14:val="tx1"/>
            </w14:solidFill>
          </w14:textFill>
        </w:rPr>
      </w:pPr>
      <w:bookmarkStart w:id="6504" w:name="_Toc12664"/>
      <w:bookmarkStart w:id="6505" w:name="_Toc14952"/>
      <w:bookmarkStart w:id="6506" w:name="_Toc16105"/>
      <w:bookmarkStart w:id="6507" w:name="_Toc13951"/>
      <w:bookmarkStart w:id="6508" w:name="_Toc1418"/>
      <w:bookmarkStart w:id="6509" w:name="_Toc9453"/>
      <w:r>
        <w:rPr>
          <w:rFonts w:hint="eastAsia" w:cs="仿宋"/>
          <w:bCs/>
          <w:color w:val="000000" w:themeColor="text1"/>
          <w:kern w:val="2"/>
          <w:lang w:eastAsia="zh-CN"/>
          <w14:textFill>
            <w14:solidFill>
              <w14:schemeClr w14:val="tx1"/>
            </w14:solidFill>
          </w14:textFill>
        </w:rPr>
        <w:t xml:space="preserve"> </w:t>
      </w:r>
      <w:bookmarkStart w:id="6510" w:name="_Toc14889"/>
      <w:bookmarkStart w:id="6511" w:name="_Toc21941"/>
      <w:bookmarkStart w:id="6512" w:name="_Toc14984"/>
      <w:bookmarkStart w:id="6513" w:name="_Toc21687"/>
      <w:bookmarkStart w:id="6514" w:name="_Toc26678"/>
      <w:r>
        <w:rPr>
          <w:rFonts w:hint="eastAsia" w:ascii="Times New Roman" w:hAnsi="Times New Roman" w:cs="仿宋_GB2312"/>
          <w:bCs/>
          <w:color w:val="000000" w:themeColor="text1"/>
          <w:kern w:val="0"/>
          <w14:textFill>
            <w14:solidFill>
              <w14:schemeClr w14:val="tx1"/>
            </w14:solidFill>
          </w14:textFill>
        </w:rPr>
        <w:t>第五百二十一</w:t>
      </w:r>
      <w:r>
        <w:rPr>
          <w:rFonts w:hint="eastAsia" w:ascii="Times New Roman" w:hAnsi="Times New Roman" w:cs="仿宋_GB2312"/>
          <w:bCs/>
          <w:color w:val="000000" w:themeColor="text1"/>
          <w:kern w:val="0"/>
          <w:szCs w:val="32"/>
          <w14:textFill>
            <w14:solidFill>
              <w14:schemeClr w14:val="tx1"/>
            </w14:solidFill>
          </w14:textFill>
        </w:rPr>
        <w:t>条 用人单位有关事项发生重大变化，未按照本办法的规定申报变更职业病危害项目内容的</w:t>
      </w:r>
      <w:bookmarkEnd w:id="6504"/>
      <w:bookmarkEnd w:id="6505"/>
      <w:bookmarkEnd w:id="6506"/>
      <w:bookmarkEnd w:id="6507"/>
      <w:bookmarkEnd w:id="6508"/>
      <w:bookmarkEnd w:id="6509"/>
      <w:bookmarkEnd w:id="6510"/>
      <w:bookmarkEnd w:id="6511"/>
      <w:bookmarkEnd w:id="6512"/>
      <w:bookmarkEnd w:id="6513"/>
      <w:bookmarkEnd w:id="6514"/>
      <w:r>
        <w:rPr>
          <w:rFonts w:hint="eastAsia" w:ascii="Times New Roman" w:hAnsi="Times New Roman" w:cs="仿宋_GB2312"/>
          <w:bCs/>
          <w:color w:val="000000" w:themeColor="text1"/>
          <w:kern w:val="0"/>
          <w:szCs w:val="32"/>
          <w14:textFill>
            <w14:solidFill>
              <w14:schemeClr w14:val="tx1"/>
            </w14:solidFill>
          </w14:textFill>
        </w:rPr>
        <w:t xml:space="preserve"> </w:t>
      </w:r>
    </w:p>
    <w:p w14:paraId="6B3B7EB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DD8521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（1）《使用有毒物品作业场所劳动保护条例》第六十六条第（二）项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违反《使用有毒物品作业场所劳动保护条例》规定，有下列情形之一的，由疾病预防控制部门给予警告，责令限期改正，处2万元以上5万元以下的罚款；逾期不改正的，提请有关人民政府按照国务院规定的权限予以关闭：</w:t>
      </w:r>
    </w:p>
    <w:p w14:paraId="44D05A9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（二）变更使用高毒物品品种，未按照规定向原受理申报的卫生行政部门重新申报，或者申报不及时、有虚假的。</w:t>
      </w:r>
    </w:p>
    <w:p w14:paraId="029883E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（2）《职业病危害项目申报办法》第十五条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用人单位有关事项发生重大变化，未按照本办法的规定申报变更职业病危害项目内容的，可以并处5千元以上3万元以下的罚款。</w:t>
      </w:r>
    </w:p>
    <w:p w14:paraId="1D7E81FD">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8759"/>
        <w:gridCol w:w="3638"/>
      </w:tblGrid>
      <w:tr w14:paraId="688B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431" w:type="dxa"/>
            <w:vAlign w:val="center"/>
          </w:tcPr>
          <w:p w14:paraId="5B008CF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759" w:type="dxa"/>
            <w:vAlign w:val="center"/>
          </w:tcPr>
          <w:p w14:paraId="5A3BD6D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638" w:type="dxa"/>
            <w:vAlign w:val="center"/>
          </w:tcPr>
          <w:p w14:paraId="72DF15C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15B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431" w:type="dxa"/>
            <w:vAlign w:val="center"/>
          </w:tcPr>
          <w:p w14:paraId="7F82738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759" w:type="dxa"/>
            <w:vAlign w:val="center"/>
          </w:tcPr>
          <w:p w14:paraId="58C06BA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4DB7F03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A.进行新建、改建、扩建、技术改造或者技术引进建设项目的，自建设项目竣工验收之日起30日内进行申报，逾期不足30天的；</w:t>
            </w:r>
          </w:p>
          <w:p w14:paraId="318E91F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B.因技术、工艺、设备或者材料（除高毒物品）等发生变化导致原申报的职业病危害因素及其相关内容发生重大变化的，自发生变化之日起15日内进行申报，逾期不足30天的；</w:t>
            </w:r>
          </w:p>
          <w:p w14:paraId="044A60A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C.用人单位工作场所、名称、法定代表人或者主要负责人发生变化的，自发生变化之日起15日内进行申报，逾期不足30天的；</w:t>
            </w:r>
          </w:p>
          <w:p w14:paraId="6D60BB1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D.经过职业病危害因素检测、评价，发现原申报内容发生变化的，自收到有关检测、评价结果之日起15日内进行申报，逾期不足30天的。</w:t>
            </w:r>
          </w:p>
        </w:tc>
        <w:tc>
          <w:tcPr>
            <w:tcW w:w="3638" w:type="dxa"/>
            <w:vAlign w:val="center"/>
          </w:tcPr>
          <w:p w14:paraId="2283196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给予警告，责令其改正，处5000元以上1万元以下的罚款。</w:t>
            </w:r>
          </w:p>
        </w:tc>
      </w:tr>
      <w:tr w14:paraId="3647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431" w:type="dxa"/>
            <w:vAlign w:val="center"/>
          </w:tcPr>
          <w:p w14:paraId="4120826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759" w:type="dxa"/>
            <w:vAlign w:val="center"/>
          </w:tcPr>
          <w:p w14:paraId="0203804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2642D9B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A.进行新建、改建、扩建、技术改造或者技术引进建设项目的，自建设项目竣工验收之日起30日内进行申报，逾期30天以上不足60天的；</w:t>
            </w:r>
          </w:p>
          <w:p w14:paraId="6CBACB9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B.因技术、工艺、设备或者材料（除高毒物品）等发生变化导致原申报的职业病危害因素及其相关内容发生重大变化的，自发生变化之日起15日内进行申报，逾期30天以上不足60天的；</w:t>
            </w:r>
          </w:p>
          <w:p w14:paraId="5B7F5F2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C.用人单位工作场所、名称、法定代表人或者主要负责人发生变化的，自发生变化之日起15日内进行申报，逾期30天以上不足60天的；</w:t>
            </w:r>
          </w:p>
          <w:p w14:paraId="2305F8B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D.经过职业病危害因素检测、评价，发现原申报内容发生变化的，自收到有关检测、评价结果之日起15日内进行申报，逾期30天以上不足60天的。</w:t>
            </w:r>
          </w:p>
        </w:tc>
        <w:tc>
          <w:tcPr>
            <w:tcW w:w="3638" w:type="dxa"/>
            <w:vAlign w:val="center"/>
          </w:tcPr>
          <w:p w14:paraId="3C8FFC3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给予警告，责令其改正，处1万元以上2万元以下的罚款。</w:t>
            </w:r>
          </w:p>
        </w:tc>
      </w:tr>
      <w:tr w14:paraId="5DB1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4" w:hRule="atLeast"/>
        </w:trPr>
        <w:tc>
          <w:tcPr>
            <w:tcW w:w="1431" w:type="dxa"/>
            <w:vAlign w:val="center"/>
          </w:tcPr>
          <w:p w14:paraId="0B6B789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759" w:type="dxa"/>
            <w:vAlign w:val="center"/>
          </w:tcPr>
          <w:p w14:paraId="265A960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6B9D23B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A.进行新建、改建、扩建、技术改造或者技术引进建设项目的，自建设项目竣工验收之日起30日内进行申报，逾期60天以上的；</w:t>
            </w:r>
          </w:p>
          <w:p w14:paraId="30660AA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B.因技术、工艺、设备或者材料（除高毒物品）等发生变化导致原申报的职业病危害因素及其相关内容发生重大变化的，自发生变化之日起15日内进行申报，逾期60天以上的，或者未申报的；产生严重后果的；</w:t>
            </w:r>
          </w:p>
          <w:p w14:paraId="2915E12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C.用人单位工作场所、名称、法定代表人或者主要负责人发生变化的，自发生变化之日起15日内进行申报，逾期60天以上的；</w:t>
            </w:r>
          </w:p>
          <w:p w14:paraId="1FCED0D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D.经过职业病危害因素检测、评价，发现原申报内容发生变化的，自收到有关检测、评价结果之日起15日内进行申报，逾期60天以上的。</w:t>
            </w:r>
          </w:p>
        </w:tc>
        <w:tc>
          <w:tcPr>
            <w:tcW w:w="3638" w:type="dxa"/>
            <w:vAlign w:val="center"/>
          </w:tcPr>
          <w:p w14:paraId="55E089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给予警告，责令其改正，处2万元以上3万元以下的罚款。</w:t>
            </w:r>
          </w:p>
        </w:tc>
      </w:tr>
      <w:tr w14:paraId="3CA0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431" w:type="dxa"/>
            <w:vAlign w:val="center"/>
          </w:tcPr>
          <w:p w14:paraId="45E8F04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8759" w:type="dxa"/>
            <w:vAlign w:val="center"/>
          </w:tcPr>
          <w:p w14:paraId="6360421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3F84AD25">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A.变更使用高毒物品品种而导致原申报的职业病危害因素及其相关内容发生变化的，自发生变化之日起15日内进行申报，逾期未申报的；</w:t>
            </w:r>
          </w:p>
          <w:p w14:paraId="42F5E888">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B.逾期不改正或造成严重后果的。</w:t>
            </w:r>
          </w:p>
        </w:tc>
        <w:tc>
          <w:tcPr>
            <w:tcW w:w="3638" w:type="dxa"/>
            <w:vAlign w:val="center"/>
          </w:tcPr>
          <w:p w14:paraId="2CE9190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对于情形A，</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给予警告，责令限期改正，处3万元以上5万元以下的罚款；</w:t>
            </w:r>
          </w:p>
          <w:p w14:paraId="0FB91B2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对于情形B，</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提请有关人民政府按照国务院规定的权限予以关闭</w:t>
            </w:r>
          </w:p>
        </w:tc>
      </w:tr>
    </w:tbl>
    <w:p w14:paraId="6B65279B">
      <w:pPr>
        <w:pStyle w:val="4"/>
        <w:widowControl w:val="0"/>
        <w:ind w:firstLine="643" w:firstLineChars="200"/>
        <w:rPr>
          <w:rFonts w:hint="eastAsia" w:ascii="Times New Roman" w:hAnsi="Times New Roman" w:cs="仿宋_GB2312"/>
          <w:b/>
          <w:bCs/>
          <w:color w:val="000000" w:themeColor="text1"/>
          <w:spacing w:val="-6"/>
          <w:kern w:val="0"/>
          <w:szCs w:val="32"/>
          <w14:textFill>
            <w14:solidFill>
              <w14:schemeClr w14:val="tx1"/>
            </w14:solidFill>
          </w14:textFill>
        </w:rPr>
      </w:pPr>
      <w:bookmarkStart w:id="6515" w:name="_Toc25987"/>
      <w:bookmarkStart w:id="6516" w:name="_Toc21854"/>
      <w:bookmarkStart w:id="6517" w:name="_Toc20588"/>
      <w:bookmarkStart w:id="6518" w:name="_Toc21162"/>
      <w:bookmarkStart w:id="6519" w:name="_Toc28103"/>
      <w:bookmarkStart w:id="6520" w:name="_Toc4585"/>
      <w:bookmarkStart w:id="6521" w:name="_Toc29612"/>
      <w:bookmarkStart w:id="6522" w:name="_Toc10977"/>
      <w:bookmarkStart w:id="6523" w:name="_Toc28217"/>
      <w:bookmarkStart w:id="6524" w:name="_Toc28769"/>
      <w:bookmarkStart w:id="6525" w:name="_Toc6048"/>
      <w:r>
        <w:rPr>
          <w:rFonts w:hint="eastAsia" w:ascii="Times New Roman" w:hAnsi="Times New Roman" w:cs="仿宋_GB2312"/>
          <w:bCs/>
          <w:color w:val="000000" w:themeColor="text1"/>
          <w:kern w:val="0"/>
          <w14:textFill>
            <w14:solidFill>
              <w14:schemeClr w14:val="tx1"/>
            </w14:solidFill>
          </w14:textFill>
        </w:rPr>
        <w:t>第五百二十二</w:t>
      </w:r>
      <w:r>
        <w:rPr>
          <w:rFonts w:hint="eastAsia" w:ascii="Times New Roman" w:hAnsi="Times New Roman" w:cs="仿宋_GB2312"/>
          <w:bCs/>
          <w:color w:val="000000" w:themeColor="text1"/>
          <w:kern w:val="0"/>
          <w:szCs w:val="32"/>
          <w14:textFill>
            <w14:solidFill>
              <w14:schemeClr w14:val="tx1"/>
            </w14:solidFill>
          </w14:textFill>
        </w:rPr>
        <w:t xml:space="preserve">条 </w:t>
      </w:r>
      <w:r>
        <w:rPr>
          <w:rFonts w:hint="eastAsia" w:ascii="Times New Roman" w:hAnsi="Times New Roman" w:cs="仿宋_GB2312"/>
          <w:bCs/>
          <w:color w:val="000000" w:themeColor="text1"/>
          <w:spacing w:val="-6"/>
          <w:kern w:val="0"/>
          <w14:textFill>
            <w14:solidFill>
              <w14:schemeClr w14:val="tx1"/>
            </w14:solidFill>
          </w14:textFill>
        </w:rPr>
        <w:t>使用有毒物品作业的用人单位</w:t>
      </w:r>
      <w:r>
        <w:rPr>
          <w:rFonts w:hint="eastAsia" w:ascii="Times New Roman" w:hAnsi="Times New Roman" w:cs="仿宋_GB2312"/>
          <w:bCs/>
          <w:color w:val="000000" w:themeColor="text1"/>
          <w:spacing w:val="-6"/>
          <w:kern w:val="0"/>
          <w:szCs w:val="32"/>
          <w14:textFill>
            <w14:solidFill>
              <w14:schemeClr w14:val="tx1"/>
            </w14:solidFill>
          </w14:textFill>
        </w:rPr>
        <w:t>未按照规定配备或者聘请职业卫生医师和护士的</w:t>
      </w:r>
      <w:bookmarkEnd w:id="6515"/>
      <w:bookmarkEnd w:id="6516"/>
      <w:bookmarkEnd w:id="6517"/>
      <w:bookmarkEnd w:id="6518"/>
      <w:bookmarkEnd w:id="6519"/>
      <w:bookmarkEnd w:id="6520"/>
      <w:bookmarkEnd w:id="6521"/>
      <w:bookmarkEnd w:id="6522"/>
      <w:bookmarkEnd w:id="6523"/>
      <w:bookmarkEnd w:id="6524"/>
      <w:bookmarkEnd w:id="6525"/>
    </w:p>
    <w:p w14:paraId="1CE45DE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04D746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《使用有毒物品作业场所劳动保护条例》第六十八条第（一）项　用人单位违反本条例的规定，有下列行为之一的，由疾病预防控制部门给予警告，责令限期改正，处5000元以上２万元以下的罚款；逾期不改正的，责令停止使用有毒物品作业，或者提请有关人民政府按照国务院规定的权限予以关闭：</w:t>
      </w:r>
    </w:p>
    <w:p w14:paraId="65E1C61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（一）未按照规定配备或者聘请职业卫生医师和护士的；</w:t>
      </w:r>
    </w:p>
    <w:p w14:paraId="29B5FAF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8006"/>
        <w:gridCol w:w="4557"/>
      </w:tblGrid>
      <w:tr w14:paraId="599C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392" w:type="dxa"/>
            <w:vAlign w:val="center"/>
          </w:tcPr>
          <w:p w14:paraId="114A4F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06" w:type="dxa"/>
            <w:vAlign w:val="center"/>
          </w:tcPr>
          <w:p w14:paraId="698AF34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557" w:type="dxa"/>
            <w:vAlign w:val="center"/>
          </w:tcPr>
          <w:p w14:paraId="0298CCA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47C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92" w:type="dxa"/>
            <w:vAlign w:val="center"/>
          </w:tcPr>
          <w:p w14:paraId="4DDD69B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006" w:type="dxa"/>
            <w:vAlign w:val="center"/>
          </w:tcPr>
          <w:p w14:paraId="5F5C8B3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从事使用有毒物品作业的用人单位未配备或者聘请职业卫生医师和护士，持续时间在30日以内，劳动者接触有毒物品人数在10人以下，未造成人员健康损害或者其他危害后果的。</w:t>
            </w:r>
          </w:p>
        </w:tc>
        <w:tc>
          <w:tcPr>
            <w:tcW w:w="4557" w:type="dxa"/>
            <w:vAlign w:val="center"/>
          </w:tcPr>
          <w:p w14:paraId="32C53E4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给予警告，责令限期改正，处5000元以上1万元以下的罚款。</w:t>
            </w:r>
          </w:p>
        </w:tc>
      </w:tr>
      <w:tr w14:paraId="62F8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392" w:type="dxa"/>
            <w:vAlign w:val="center"/>
          </w:tcPr>
          <w:p w14:paraId="7502E99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006" w:type="dxa"/>
            <w:vAlign w:val="center"/>
          </w:tcPr>
          <w:p w14:paraId="6A3200F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从事使用有毒物品作业的用人单位未配备或者聘请职业卫生医师和护士，持续时间在60日以上90日以内，劳动者接触有毒物品人数在10人以上50人以下，未造成人员健康损害或者其他危害后果的。</w:t>
            </w:r>
          </w:p>
        </w:tc>
        <w:tc>
          <w:tcPr>
            <w:tcW w:w="4557" w:type="dxa"/>
            <w:vAlign w:val="center"/>
          </w:tcPr>
          <w:p w14:paraId="287236B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给予警告，责令限期改正，处1万元以上2万元以下的罚款。</w:t>
            </w:r>
          </w:p>
        </w:tc>
      </w:tr>
      <w:tr w14:paraId="0844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1392" w:type="dxa"/>
            <w:vAlign w:val="center"/>
          </w:tcPr>
          <w:p w14:paraId="216D935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2"/>
                <w:sz w:val="24"/>
                <w:szCs w:val="21"/>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006" w:type="dxa"/>
            <w:vAlign w:val="center"/>
          </w:tcPr>
          <w:p w14:paraId="182877A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从事使用有毒物品作业的用人单位未配备或者聘请职业卫生医师和护士，持续时间在90日以上，劳动者接触有毒物品人数在50人以上的或逾期不改正的或造成严重后果的。</w:t>
            </w:r>
          </w:p>
        </w:tc>
        <w:tc>
          <w:tcPr>
            <w:tcW w:w="4557" w:type="dxa"/>
            <w:vAlign w:val="center"/>
          </w:tcPr>
          <w:p w14:paraId="7D750EE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责令停止使用有毒物品作业，或者提请有关人民政府按照国务院规定的权限予以关闭。</w:t>
            </w:r>
          </w:p>
        </w:tc>
      </w:tr>
    </w:tbl>
    <w:p w14:paraId="2A28595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526" w:name="_Toc30739"/>
      <w:bookmarkStart w:id="6527" w:name="_Toc5818"/>
      <w:bookmarkStart w:id="6528" w:name="_Toc10087"/>
      <w:bookmarkStart w:id="6529" w:name="_Toc12881"/>
      <w:bookmarkStart w:id="6530" w:name="_Toc21204"/>
      <w:bookmarkStart w:id="6531" w:name="_Toc6409"/>
      <w:bookmarkStart w:id="6532" w:name="_Toc7901"/>
      <w:bookmarkStart w:id="6533" w:name="_Toc4031"/>
      <w:bookmarkStart w:id="6534" w:name="_Toc14767"/>
      <w:bookmarkStart w:id="6535" w:name="_Toc21982"/>
      <w:bookmarkStart w:id="6536" w:name="_Toc7581"/>
      <w:r>
        <w:rPr>
          <w:rFonts w:hint="eastAsia" w:ascii="Times New Roman" w:hAnsi="Times New Roman" w:cs="仿宋_GB2312"/>
          <w:bCs/>
          <w:color w:val="000000" w:themeColor="text1"/>
          <w:kern w:val="0"/>
          <w14:textFill>
            <w14:solidFill>
              <w14:schemeClr w14:val="tx1"/>
            </w14:solidFill>
          </w14:textFill>
        </w:rPr>
        <w:t>第五百二十三条</w:t>
      </w:r>
      <w:r>
        <w:rPr>
          <w:rFonts w:hint="eastAsia" w:ascii="Times New Roman" w:hAnsi="Times New Roman" w:cs="仿宋_GB2312"/>
          <w:bCs/>
          <w:color w:val="000000" w:themeColor="text1"/>
          <w:kern w:val="0"/>
          <w:szCs w:val="32"/>
          <w14:textFill>
            <w14:solidFill>
              <w14:schemeClr w14:val="tx1"/>
            </w14:solidFill>
          </w14:textFill>
        </w:rPr>
        <w:t xml:space="preserve"> 用人单位未为从事使用高毒物品作业的劳动者设置淋浴间、更衣室或者未设置清洗、存放和处理工作服、工作鞋帽等物品的专用间，或者不能正常使用的</w:t>
      </w:r>
      <w:bookmarkEnd w:id="6526"/>
      <w:bookmarkEnd w:id="6527"/>
      <w:bookmarkEnd w:id="6528"/>
      <w:bookmarkEnd w:id="6529"/>
      <w:bookmarkEnd w:id="6530"/>
      <w:bookmarkEnd w:id="6531"/>
      <w:bookmarkEnd w:id="6532"/>
      <w:bookmarkEnd w:id="6533"/>
      <w:bookmarkEnd w:id="6534"/>
      <w:bookmarkEnd w:id="6535"/>
      <w:bookmarkEnd w:id="6536"/>
    </w:p>
    <w:p w14:paraId="12A7C3A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E9351D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《使用有毒物品作业场所劳动保护条例》第六十八条第（二）项　用人单位违反本条例的规定，有下列行为之一的，由疾病预防控制部门给予警告，责令限期改正，处5000元以上2万元以下的罚款；逾期不改正的，责令停止使用有毒物品作业，或者提请有关人民政府按照国务院规定的权限予以关闭：</w:t>
      </w:r>
    </w:p>
    <w:p w14:paraId="21ADF5A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（二）未为从事使用高毒物品作业的劳动者设置淋浴间、更衣室或者未设置清洗、存放和处理工作服、工作鞋帽等物品的专用间，或者不能正常使用的；</w:t>
      </w:r>
    </w:p>
    <w:p w14:paraId="0403CBB9">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4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8006"/>
        <w:gridCol w:w="4053"/>
      </w:tblGrid>
      <w:tr w14:paraId="6DA5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392" w:type="dxa"/>
            <w:vAlign w:val="center"/>
          </w:tcPr>
          <w:p w14:paraId="69E5888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06" w:type="dxa"/>
            <w:vAlign w:val="center"/>
          </w:tcPr>
          <w:p w14:paraId="5DB9100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053" w:type="dxa"/>
            <w:vAlign w:val="center"/>
          </w:tcPr>
          <w:p w14:paraId="196862D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751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392" w:type="dxa"/>
            <w:vAlign w:val="center"/>
          </w:tcPr>
          <w:p w14:paraId="3BF8DEF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006" w:type="dxa"/>
            <w:vAlign w:val="center"/>
          </w:tcPr>
          <w:p w14:paraId="192F458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为从事使用高毒物品作业的劳动者设置的淋浴间、更衣室或者清洗、存放和处理工作服、工作鞋帽等物品的专用间不能正常使用的。</w:t>
            </w:r>
          </w:p>
        </w:tc>
        <w:tc>
          <w:tcPr>
            <w:tcW w:w="4053" w:type="dxa"/>
            <w:vAlign w:val="center"/>
          </w:tcPr>
          <w:p w14:paraId="7BC8DD0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给予警告，责令限期改正，处5000元以上1万元以下的罚款。</w:t>
            </w:r>
          </w:p>
        </w:tc>
      </w:tr>
      <w:tr w14:paraId="5EC6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392" w:type="dxa"/>
            <w:vAlign w:val="center"/>
          </w:tcPr>
          <w:p w14:paraId="429CD82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006" w:type="dxa"/>
            <w:vAlign w:val="center"/>
          </w:tcPr>
          <w:p w14:paraId="1F6C527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用人单位未为从事使用高毒物品作业的劳动者设置淋浴间、更衣室或者未设置清洗、存放和处理工作服、工作鞋帽等物品的专用间的。</w:t>
            </w:r>
          </w:p>
        </w:tc>
        <w:tc>
          <w:tcPr>
            <w:tcW w:w="4053" w:type="dxa"/>
            <w:vAlign w:val="center"/>
          </w:tcPr>
          <w:p w14:paraId="486C610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给予警告，责令限期改正，处1万元以上2万元以下的罚款。</w:t>
            </w:r>
          </w:p>
        </w:tc>
      </w:tr>
      <w:tr w14:paraId="635C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392" w:type="dxa"/>
            <w:vAlign w:val="center"/>
          </w:tcPr>
          <w:p w14:paraId="2E2B6DB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006" w:type="dxa"/>
            <w:vAlign w:val="center"/>
          </w:tcPr>
          <w:p w14:paraId="0B36724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逾期不改正的；或造成严重后果的。</w:t>
            </w:r>
          </w:p>
        </w:tc>
        <w:tc>
          <w:tcPr>
            <w:tcW w:w="4053" w:type="dxa"/>
            <w:vAlign w:val="center"/>
          </w:tcPr>
          <w:p w14:paraId="5A60ED3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2B28A242">
      <w:pPr>
        <w:pStyle w:val="4"/>
        <w:widowControl w:val="0"/>
        <w:ind w:firstLine="640"/>
        <w:jc w:val="both"/>
        <w:rPr>
          <w:rFonts w:hint="eastAsia" w:ascii="Times New Roman" w:hAnsi="Times New Roman" w:cs="仿宋_GB2312"/>
          <w:bCs/>
          <w:color w:val="000000" w:themeColor="text1"/>
          <w:kern w:val="0"/>
          <w:sz w:val="32"/>
          <w14:textFill>
            <w14:solidFill>
              <w14:schemeClr w14:val="tx1"/>
            </w14:solidFill>
          </w14:textFill>
        </w:rPr>
      </w:pPr>
      <w:bookmarkStart w:id="6537" w:name="_Toc2140"/>
      <w:bookmarkStart w:id="6538" w:name="_Toc14943"/>
      <w:bookmarkStart w:id="6539" w:name="_Toc15664"/>
      <w:bookmarkStart w:id="6540" w:name="_Toc32399"/>
      <w:bookmarkStart w:id="6541" w:name="_Toc24284"/>
      <w:bookmarkStart w:id="6542" w:name="_Toc27244"/>
      <w:bookmarkStart w:id="6543" w:name="_Toc4730"/>
      <w:bookmarkStart w:id="6544" w:name="_Toc15330"/>
      <w:bookmarkStart w:id="6545" w:name="_Toc15322"/>
      <w:bookmarkStart w:id="6546" w:name="_Toc30985"/>
      <w:bookmarkStart w:id="6547" w:name="_Toc23546"/>
      <w:r>
        <w:rPr>
          <w:rFonts w:hint="eastAsia" w:ascii="Times New Roman" w:hAnsi="Times New Roman" w:cs="仿宋_GB2312"/>
          <w:bCs/>
          <w:color w:val="000000" w:themeColor="text1"/>
          <w:kern w:val="0"/>
          <w14:textFill>
            <w14:solidFill>
              <w14:schemeClr w14:val="tx1"/>
            </w14:solidFill>
          </w14:textFill>
        </w:rPr>
        <w:t>第五百二十四条</w:t>
      </w:r>
      <w:r>
        <w:rPr>
          <w:rFonts w:hint="eastAsia" w:ascii="Times New Roman" w:hAnsi="Times New Roman" w:cs="仿宋_GB2312"/>
          <w:bCs/>
          <w:color w:val="000000" w:themeColor="text1"/>
          <w:kern w:val="0"/>
          <w:szCs w:val="32"/>
          <w14:textFill>
            <w14:solidFill>
              <w14:schemeClr w14:val="tx1"/>
            </w14:solidFill>
          </w14:textFill>
        </w:rPr>
        <w:t xml:space="preserve"> 未安排从事使用高毒物品作业一定年限的劳动者进行岗位轮换的</w:t>
      </w:r>
      <w:bookmarkEnd w:id="6537"/>
      <w:bookmarkEnd w:id="6538"/>
      <w:bookmarkEnd w:id="6539"/>
      <w:bookmarkEnd w:id="6540"/>
      <w:bookmarkEnd w:id="6541"/>
      <w:bookmarkEnd w:id="6542"/>
      <w:bookmarkEnd w:id="6543"/>
      <w:bookmarkEnd w:id="6544"/>
      <w:bookmarkEnd w:id="6545"/>
      <w:bookmarkEnd w:id="6546"/>
      <w:bookmarkEnd w:id="6547"/>
    </w:p>
    <w:p w14:paraId="5B849EB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3B58AA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《使用有毒物品作业场所劳动保护条例》第六十八条第（三）项　 用人单位违反本条例的规定，有下列行为之一的，由疾病预防控制部门给予警告，责令限期改正，处5000元以上2万元以下的罚款；逾期不改正的，责令停止使用有毒物品作业，或者提请有关人民政府按照国务院规定的权限予以关闭：</w:t>
      </w:r>
    </w:p>
    <w:p w14:paraId="7A6F3D4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（三）未安排从事使用高毒物品作业一定年限的劳动者进行岗位轮换的。</w:t>
      </w:r>
    </w:p>
    <w:p w14:paraId="699F9FB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7644"/>
        <w:gridCol w:w="4723"/>
      </w:tblGrid>
      <w:tr w14:paraId="251F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428" w:type="dxa"/>
            <w:vAlign w:val="center"/>
          </w:tcPr>
          <w:p w14:paraId="230CFDB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44" w:type="dxa"/>
            <w:vAlign w:val="center"/>
          </w:tcPr>
          <w:p w14:paraId="303078E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723" w:type="dxa"/>
            <w:vAlign w:val="center"/>
          </w:tcPr>
          <w:p w14:paraId="7C1ACD6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378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vAlign w:val="center"/>
          </w:tcPr>
          <w:p w14:paraId="17129B3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644" w:type="dxa"/>
            <w:vAlign w:val="center"/>
          </w:tcPr>
          <w:p w14:paraId="7F86D0E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未安排从事使用高毒物品作业一定年限的劳动者进行岗位轮换，人数3人以下的。</w:t>
            </w:r>
          </w:p>
        </w:tc>
        <w:tc>
          <w:tcPr>
            <w:tcW w:w="4723" w:type="dxa"/>
            <w:vAlign w:val="center"/>
          </w:tcPr>
          <w:p w14:paraId="7B39FA4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给予警告，责令限期改正，处5000元以上1万元以下的罚款。</w:t>
            </w:r>
          </w:p>
        </w:tc>
      </w:tr>
      <w:tr w14:paraId="34C4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vAlign w:val="center"/>
          </w:tcPr>
          <w:p w14:paraId="16F3D53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644" w:type="dxa"/>
            <w:vAlign w:val="center"/>
          </w:tcPr>
          <w:p w14:paraId="1CBDF96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未安排从事使用高毒物品作业一定年限的劳动者进行岗位轮换，人数4人以上的。</w:t>
            </w:r>
          </w:p>
        </w:tc>
        <w:tc>
          <w:tcPr>
            <w:tcW w:w="4723" w:type="dxa"/>
            <w:vAlign w:val="center"/>
          </w:tcPr>
          <w:p w14:paraId="634A0C7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给予警告，责令限期改正，处1万元以上2万元以下的罚款。</w:t>
            </w:r>
          </w:p>
        </w:tc>
      </w:tr>
      <w:tr w14:paraId="57AB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vAlign w:val="center"/>
          </w:tcPr>
          <w:p w14:paraId="6D559BC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644" w:type="dxa"/>
            <w:vAlign w:val="center"/>
          </w:tcPr>
          <w:p w14:paraId="29E3021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逾期不改正的；或造成严重后果的。</w:t>
            </w:r>
          </w:p>
        </w:tc>
        <w:tc>
          <w:tcPr>
            <w:tcW w:w="4723" w:type="dxa"/>
            <w:vAlign w:val="center"/>
          </w:tcPr>
          <w:p w14:paraId="3542328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2D788E39">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548" w:name="_Toc398"/>
      <w:bookmarkStart w:id="6549" w:name="_Toc10491"/>
      <w:bookmarkStart w:id="6550" w:name="_Toc7286"/>
      <w:bookmarkStart w:id="6551" w:name="_Toc7220"/>
      <w:bookmarkStart w:id="6552" w:name="_Toc28702"/>
      <w:bookmarkStart w:id="6553" w:name="_Toc6938"/>
      <w:bookmarkStart w:id="6554" w:name="_Toc9206"/>
      <w:bookmarkStart w:id="6555" w:name="_Toc32171"/>
      <w:bookmarkStart w:id="6556" w:name="_Toc28364"/>
      <w:bookmarkStart w:id="6557" w:name="_Toc13898"/>
      <w:bookmarkStart w:id="6558" w:name="_Toc27730"/>
      <w:r>
        <w:rPr>
          <w:rFonts w:hint="eastAsia" w:ascii="Times New Roman" w:hAnsi="Times New Roman" w:cs="仿宋_GB2312"/>
          <w:bCs/>
          <w:color w:val="000000" w:themeColor="text1"/>
          <w:kern w:val="0"/>
          <w14:textFill>
            <w14:solidFill>
              <w14:schemeClr w14:val="tx1"/>
            </w14:solidFill>
          </w14:textFill>
        </w:rPr>
        <w:t>第五百二十五</w:t>
      </w:r>
      <w:r>
        <w:rPr>
          <w:rFonts w:hint="eastAsia" w:ascii="Times New Roman" w:hAnsi="Times New Roman" w:cs="仿宋_GB2312"/>
          <w:bCs/>
          <w:color w:val="000000" w:themeColor="text1"/>
          <w:kern w:val="0"/>
          <w:szCs w:val="32"/>
          <w14:textFill>
            <w14:solidFill>
              <w14:schemeClr w14:val="tx1"/>
            </w14:solidFill>
          </w14:textFill>
        </w:rPr>
        <w:t>条 未依照职业病防治法和本条例的规定将工作过程中可能产生的职业中毒危害及其后果、有关职业卫生防护措施和待遇等如实告知劳动者并在劳动合同中写明的</w:t>
      </w:r>
      <w:bookmarkEnd w:id="6548"/>
      <w:bookmarkEnd w:id="6549"/>
      <w:bookmarkEnd w:id="6550"/>
      <w:bookmarkEnd w:id="6551"/>
      <w:bookmarkEnd w:id="6552"/>
      <w:bookmarkEnd w:id="6553"/>
      <w:bookmarkEnd w:id="6554"/>
      <w:bookmarkEnd w:id="6555"/>
      <w:bookmarkEnd w:id="6556"/>
      <w:bookmarkEnd w:id="6557"/>
      <w:bookmarkEnd w:id="6558"/>
    </w:p>
    <w:p w14:paraId="66140E2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384AB4F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《使用有毒物品作业场所劳动保护条例》第六十七条第（八）项　 用人单位违反本条例的规定，有下列行为之一的，由疾病预防控制部门给予警告，责令限期改正，可以并处5万元以上10万元以下的罚款；逾期不改正的，责令停止使用有毒物品作业，或者提请有关人民政府按照国务院规定的权限予以关闭：</w:t>
      </w:r>
    </w:p>
    <w:p w14:paraId="1AA2118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（八）未依照职业病防治法和本条例的规定将工作过程中可能产生的职业中毒危害及其后果、有关职业卫生防护措施和待遇等如实告知劳动者并在劳动合同中写明的；</w:t>
      </w:r>
    </w:p>
    <w:p w14:paraId="42A17CE3">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7648"/>
        <w:gridCol w:w="4688"/>
      </w:tblGrid>
      <w:tr w14:paraId="7CF7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24" w:type="dxa"/>
            <w:vAlign w:val="center"/>
          </w:tcPr>
          <w:p w14:paraId="359D61B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48" w:type="dxa"/>
            <w:vAlign w:val="center"/>
          </w:tcPr>
          <w:p w14:paraId="61744F0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88" w:type="dxa"/>
            <w:vAlign w:val="center"/>
          </w:tcPr>
          <w:p w14:paraId="71CE5CC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1F2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24" w:type="dxa"/>
            <w:vAlign w:val="center"/>
          </w:tcPr>
          <w:p w14:paraId="7A634F6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648" w:type="dxa"/>
            <w:vAlign w:val="center"/>
          </w:tcPr>
          <w:p w14:paraId="5FF24E5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未依照职业病防治法和本条例的规定将工作过程中可能产生的职业中毒危害及其后果、有关职业卫生防护措施和待遇等如实告知劳动者并在劳动合同中写明，人数3人以下的。</w:t>
            </w:r>
          </w:p>
        </w:tc>
        <w:tc>
          <w:tcPr>
            <w:tcW w:w="4688" w:type="dxa"/>
            <w:vAlign w:val="center"/>
          </w:tcPr>
          <w:p w14:paraId="4375E60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给予警告，责令限期改正，可以并处5万元以上8万元以下的罚款。</w:t>
            </w:r>
          </w:p>
        </w:tc>
      </w:tr>
      <w:tr w14:paraId="28DD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24" w:type="dxa"/>
            <w:vAlign w:val="center"/>
          </w:tcPr>
          <w:p w14:paraId="4946E3B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648" w:type="dxa"/>
            <w:vAlign w:val="center"/>
          </w:tcPr>
          <w:p w14:paraId="1D51862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未依照职业病防治法和本条例的规定将工作过程中可能产生的职业中毒危害及其后果、有关职业卫生防护措施和待遇等如实告知劳动者并在劳动合同中写明，人数4人以上的。</w:t>
            </w:r>
          </w:p>
        </w:tc>
        <w:tc>
          <w:tcPr>
            <w:tcW w:w="4688" w:type="dxa"/>
            <w:vAlign w:val="center"/>
          </w:tcPr>
          <w:p w14:paraId="469540D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给予警告，责令限期改正，可以并处8万元以上10万元以下的罚款。</w:t>
            </w:r>
          </w:p>
        </w:tc>
      </w:tr>
      <w:tr w14:paraId="1AA8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24" w:type="dxa"/>
            <w:vAlign w:val="center"/>
          </w:tcPr>
          <w:p w14:paraId="03F30FF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648" w:type="dxa"/>
            <w:vAlign w:val="center"/>
          </w:tcPr>
          <w:p w14:paraId="538CD62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逾期不改正的；或造成严重后果的。</w:t>
            </w:r>
          </w:p>
        </w:tc>
        <w:tc>
          <w:tcPr>
            <w:tcW w:w="4688" w:type="dxa"/>
            <w:vAlign w:val="center"/>
          </w:tcPr>
          <w:p w14:paraId="65DED08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72625223">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559" w:name="_Toc19973"/>
      <w:bookmarkStart w:id="6560" w:name="_Toc11313"/>
      <w:bookmarkStart w:id="6561" w:name="_Toc29343"/>
      <w:bookmarkStart w:id="6562" w:name="_Toc21270"/>
      <w:bookmarkStart w:id="6563" w:name="_Toc19567"/>
      <w:bookmarkStart w:id="6564" w:name="_Toc14862"/>
      <w:bookmarkStart w:id="6565" w:name="_Toc31715"/>
      <w:bookmarkStart w:id="6566" w:name="_Toc14088"/>
      <w:bookmarkStart w:id="6567" w:name="_Toc5114"/>
      <w:bookmarkStart w:id="6568" w:name="_Toc24236"/>
      <w:bookmarkStart w:id="6569" w:name="_Toc23485"/>
      <w:r>
        <w:rPr>
          <w:rFonts w:hint="eastAsia" w:ascii="Times New Roman" w:hAnsi="Times New Roman" w:cs="仿宋_GB2312"/>
          <w:bCs/>
          <w:color w:val="000000" w:themeColor="text1"/>
          <w:kern w:val="0"/>
          <w14:textFill>
            <w14:solidFill>
              <w14:schemeClr w14:val="tx1"/>
            </w14:solidFill>
          </w14:textFill>
        </w:rPr>
        <w:t>第五百二十六</w:t>
      </w:r>
      <w:r>
        <w:rPr>
          <w:rFonts w:hint="eastAsia" w:ascii="Times New Roman" w:hAnsi="Times New Roman" w:cs="仿宋_GB2312"/>
          <w:bCs/>
          <w:color w:val="000000" w:themeColor="text1"/>
          <w:kern w:val="0"/>
          <w:szCs w:val="32"/>
          <w14:textFill>
            <w14:solidFill>
              <w14:schemeClr w14:val="tx1"/>
            </w14:solidFill>
          </w14:textFill>
        </w:rPr>
        <w:t>条 劳动者在存在威胁生命、健康危险的情况下，从危险现场中撤离，而被取消或者减少应当享有的待遇的</w:t>
      </w:r>
      <w:bookmarkEnd w:id="6559"/>
      <w:bookmarkEnd w:id="6560"/>
      <w:bookmarkEnd w:id="6561"/>
      <w:bookmarkEnd w:id="6562"/>
      <w:bookmarkEnd w:id="6563"/>
      <w:bookmarkEnd w:id="6564"/>
      <w:bookmarkEnd w:id="6565"/>
      <w:bookmarkEnd w:id="6566"/>
      <w:bookmarkEnd w:id="6567"/>
      <w:bookmarkEnd w:id="6568"/>
      <w:bookmarkEnd w:id="6569"/>
    </w:p>
    <w:p w14:paraId="1CA14BB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CC015FA">
      <w:pPr>
        <w:widowControl w:val="0"/>
        <w:spacing w:after="0" w:line="279" w:lineRule="auto"/>
        <w:ind w:firstLine="640" w:firstLineChars="200"/>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《使用有毒物品作业场所劳动保护条例》第六十七条第（九）项　 用人单位违反本条例的规定，有下列行为之一的，由疾病预防控制部门给予警告，责令限期改正，可以并处5万元以上10万元以下的罚款；逾期不改正的，责令停止使用有毒物品作业，或者提请有关人民政府按照国务院规定的权限予以关闭：</w:t>
      </w:r>
    </w:p>
    <w:p w14:paraId="798BA23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（九）劳动者在存在威胁生命、健康危险的情况下，从危险现场中撤离，而被取消或者减少应当享有的待遇的。</w:t>
      </w:r>
    </w:p>
    <w:p w14:paraId="3687A09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5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8036"/>
        <w:gridCol w:w="4068"/>
      </w:tblGrid>
      <w:tr w14:paraId="0A76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97" w:type="dxa"/>
            <w:vAlign w:val="center"/>
          </w:tcPr>
          <w:p w14:paraId="2E69D85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36" w:type="dxa"/>
            <w:vAlign w:val="center"/>
          </w:tcPr>
          <w:p w14:paraId="014411C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068" w:type="dxa"/>
            <w:vAlign w:val="center"/>
          </w:tcPr>
          <w:p w14:paraId="46B9FB3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11F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97" w:type="dxa"/>
            <w:vAlign w:val="center"/>
          </w:tcPr>
          <w:p w14:paraId="6677874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036" w:type="dxa"/>
            <w:vAlign w:val="center"/>
          </w:tcPr>
          <w:p w14:paraId="002D19C8">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劳动者在存在威胁生命、健康危险的情况下，从危险现场中撤离，而被取消或者减少应当享有的待遇，人数3人以下的。</w:t>
            </w:r>
          </w:p>
        </w:tc>
        <w:tc>
          <w:tcPr>
            <w:tcW w:w="4068" w:type="dxa"/>
            <w:vAlign w:val="center"/>
          </w:tcPr>
          <w:p w14:paraId="0382AD16">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给予警告，责令限期改正，可以并处5万元以上8万元以下的罚款。</w:t>
            </w:r>
          </w:p>
        </w:tc>
      </w:tr>
      <w:tr w14:paraId="4FEA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97" w:type="dxa"/>
            <w:vAlign w:val="center"/>
          </w:tcPr>
          <w:p w14:paraId="2DAE7A7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036" w:type="dxa"/>
            <w:vAlign w:val="center"/>
          </w:tcPr>
          <w:p w14:paraId="32BB665A">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劳动者在存在威胁生命、健康危险的情况下，从危险现场中撤离，而被取消或者减少应当享有的待遇，人数4人以上的。</w:t>
            </w:r>
          </w:p>
        </w:tc>
        <w:tc>
          <w:tcPr>
            <w:tcW w:w="4068" w:type="dxa"/>
            <w:vAlign w:val="center"/>
          </w:tcPr>
          <w:p w14:paraId="2103EB47">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给予警告，责令限期改正，可以并处8万元以上10万元以下的罚款。</w:t>
            </w:r>
          </w:p>
        </w:tc>
      </w:tr>
      <w:tr w14:paraId="6007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97" w:type="dxa"/>
            <w:vAlign w:val="center"/>
          </w:tcPr>
          <w:p w14:paraId="69033EE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036" w:type="dxa"/>
            <w:vAlign w:val="center"/>
          </w:tcPr>
          <w:p w14:paraId="4D9D9C19">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逾期不改正的；或造成严重后果的。</w:t>
            </w:r>
          </w:p>
        </w:tc>
        <w:tc>
          <w:tcPr>
            <w:tcW w:w="4068" w:type="dxa"/>
            <w:vAlign w:val="center"/>
          </w:tcPr>
          <w:p w14:paraId="294EF272">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72D104A0">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570" w:name="_Toc14625"/>
      <w:bookmarkStart w:id="6571" w:name="_Toc6000"/>
      <w:bookmarkStart w:id="6572" w:name="_Toc3314"/>
      <w:bookmarkStart w:id="6573" w:name="_Toc4013"/>
      <w:bookmarkStart w:id="6574" w:name="_Toc32648"/>
      <w:bookmarkStart w:id="6575" w:name="_Toc1864"/>
      <w:bookmarkStart w:id="6576" w:name="_Toc32125"/>
      <w:bookmarkStart w:id="6577" w:name="_Toc15102"/>
      <w:bookmarkStart w:id="6578" w:name="_Toc22506"/>
      <w:bookmarkStart w:id="6579" w:name="_Toc6108"/>
      <w:bookmarkStart w:id="6580" w:name="_Toc28946"/>
      <w:r>
        <w:rPr>
          <w:rFonts w:hint="eastAsia" w:ascii="Times New Roman" w:hAnsi="Times New Roman" w:cs="仿宋_GB2312"/>
          <w:bCs/>
          <w:color w:val="000000" w:themeColor="text1"/>
          <w:kern w:val="0"/>
          <w14:textFill>
            <w14:solidFill>
              <w14:schemeClr w14:val="tx1"/>
            </w14:solidFill>
          </w14:textFill>
        </w:rPr>
        <w:t>第五百二十七</w:t>
      </w:r>
      <w:r>
        <w:rPr>
          <w:rFonts w:hint="eastAsia" w:ascii="Times New Roman" w:hAnsi="Times New Roman" w:cs="仿宋_GB2312"/>
          <w:bCs/>
          <w:color w:val="000000" w:themeColor="text1"/>
          <w:kern w:val="0"/>
          <w:szCs w:val="32"/>
          <w14:textFill>
            <w14:solidFill>
              <w14:schemeClr w14:val="tx1"/>
            </w14:solidFill>
          </w14:textFill>
        </w:rPr>
        <w:t>条 对未进行离岗职业健康检查的劳动者，解除或者终止与其订立的劳动合同的</w:t>
      </w:r>
      <w:bookmarkEnd w:id="6570"/>
      <w:bookmarkEnd w:id="6571"/>
      <w:bookmarkEnd w:id="6572"/>
      <w:bookmarkEnd w:id="6573"/>
      <w:bookmarkEnd w:id="6574"/>
      <w:bookmarkEnd w:id="6575"/>
      <w:bookmarkEnd w:id="6576"/>
      <w:bookmarkEnd w:id="6577"/>
      <w:bookmarkEnd w:id="6578"/>
      <w:bookmarkEnd w:id="6579"/>
      <w:bookmarkEnd w:id="6580"/>
    </w:p>
    <w:p w14:paraId="4BAA88E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F187EC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《使用有毒物品作业场所劳动保护条例》第六十七条第（三）项　 用人单位违反本条例的规定，有下列行为之一的，由疾病预防控制部门给予警告，责令限期改正，可以并处5万元以上10万元以下的罚款；逾期不改正的，责令停止使用有毒物品作业，或者提请有关人民政府按照国务院规定的权限予以关闭：</w:t>
      </w:r>
    </w:p>
    <w:p w14:paraId="5FA8EE07">
      <w:pPr>
        <w:widowControl w:val="0"/>
        <w:adjustRightInd/>
        <w:snapToGrid/>
        <w:spacing w:after="0" w:line="440" w:lineRule="exact"/>
        <w:ind w:firstLine="643"/>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（三）对未进行离岗职业健康检查的劳动者，解除或者终止与其订立的劳动合同的；</w:t>
      </w:r>
    </w:p>
    <w:p w14:paraId="1F4A201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5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6819"/>
        <w:gridCol w:w="5332"/>
      </w:tblGrid>
      <w:tr w14:paraId="0F66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3" w:type="dxa"/>
            <w:vAlign w:val="center"/>
          </w:tcPr>
          <w:p w14:paraId="255C695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819" w:type="dxa"/>
            <w:vAlign w:val="center"/>
          </w:tcPr>
          <w:p w14:paraId="690C5A8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332" w:type="dxa"/>
            <w:vAlign w:val="center"/>
          </w:tcPr>
          <w:p w14:paraId="5CF9E03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91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403" w:type="dxa"/>
            <w:vAlign w:val="center"/>
          </w:tcPr>
          <w:p w14:paraId="163E2BF1">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6819" w:type="dxa"/>
            <w:vAlign w:val="center"/>
          </w:tcPr>
          <w:p w14:paraId="680E4690">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对未进行离岗职业健康检查的劳动者，解除或者终止与其订立的劳动合同，人数3人以下的。</w:t>
            </w:r>
          </w:p>
        </w:tc>
        <w:tc>
          <w:tcPr>
            <w:tcW w:w="5332" w:type="dxa"/>
            <w:vAlign w:val="center"/>
          </w:tcPr>
          <w:p w14:paraId="7009A7CC">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给予警告，责令限期改正，可以并处5万元以上8万元以下的罚款。</w:t>
            </w:r>
          </w:p>
        </w:tc>
      </w:tr>
      <w:tr w14:paraId="5512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403" w:type="dxa"/>
            <w:vAlign w:val="center"/>
          </w:tcPr>
          <w:p w14:paraId="69B1FFA6">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6819" w:type="dxa"/>
            <w:vAlign w:val="center"/>
          </w:tcPr>
          <w:p w14:paraId="0D0ACF94">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对未进行离岗职业健康检查的劳动者，解除或者终止与其订立的劳动合同，人数4人以上的。</w:t>
            </w:r>
          </w:p>
        </w:tc>
        <w:tc>
          <w:tcPr>
            <w:tcW w:w="5332" w:type="dxa"/>
            <w:vAlign w:val="center"/>
          </w:tcPr>
          <w:p w14:paraId="30161B26">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给予警告，责令限期改正，可以并处8万元以上10万元以下的罚款。</w:t>
            </w:r>
          </w:p>
        </w:tc>
      </w:tr>
      <w:tr w14:paraId="4EF7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3" w:type="dxa"/>
            <w:vAlign w:val="center"/>
          </w:tcPr>
          <w:p w14:paraId="429B398A">
            <w:pPr>
              <w:widowControl w:val="0"/>
              <w:adjustRightInd/>
              <w:snapToGrid/>
              <w:spacing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6819" w:type="dxa"/>
            <w:vAlign w:val="center"/>
          </w:tcPr>
          <w:p w14:paraId="60F0BA09">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逾期不改正的；或造成严重后果的。</w:t>
            </w:r>
          </w:p>
        </w:tc>
        <w:tc>
          <w:tcPr>
            <w:tcW w:w="5332" w:type="dxa"/>
            <w:vAlign w:val="center"/>
          </w:tcPr>
          <w:p w14:paraId="39860D59">
            <w:pPr>
              <w:widowControl w:val="0"/>
              <w:adjustRightInd/>
              <w:snapToGrid/>
              <w:spacing w:after="0" w:line="28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40C4DBA9">
      <w:pPr>
        <w:pStyle w:val="4"/>
        <w:widowControl w:val="0"/>
        <w:ind w:firstLine="640"/>
        <w:jc w:val="both"/>
        <w:rPr>
          <w:rFonts w:hint="eastAsia" w:ascii="Times New Roman" w:hAnsi="Times New Roman" w:cs="仿宋_GB2312"/>
          <w:bCs/>
          <w:color w:val="000000" w:themeColor="text1"/>
          <w:kern w:val="0"/>
          <w14:textFill>
            <w14:solidFill>
              <w14:schemeClr w14:val="tx1"/>
            </w14:solidFill>
          </w14:textFill>
        </w:rPr>
      </w:pPr>
      <w:bookmarkStart w:id="6581" w:name="_Toc23513"/>
      <w:bookmarkStart w:id="6582" w:name="_Toc18144"/>
      <w:bookmarkStart w:id="6583" w:name="_Toc26996"/>
      <w:bookmarkStart w:id="6584" w:name="_Toc17310"/>
      <w:bookmarkStart w:id="6585" w:name="_Toc21306"/>
      <w:bookmarkStart w:id="6586" w:name="_Toc15131"/>
      <w:bookmarkStart w:id="6587" w:name="_Toc32146"/>
      <w:bookmarkStart w:id="6588" w:name="_Toc1091"/>
      <w:bookmarkStart w:id="6589" w:name="_Toc3743"/>
      <w:bookmarkStart w:id="6590" w:name="_Toc9024"/>
      <w:bookmarkStart w:id="6591" w:name="_Toc7169"/>
      <w:r>
        <w:rPr>
          <w:rFonts w:hint="eastAsia" w:ascii="Times New Roman" w:hAnsi="Times New Roman" w:cs="仿宋_GB2312"/>
          <w:bCs/>
          <w:color w:val="000000" w:themeColor="text1"/>
          <w:kern w:val="0"/>
          <w14:textFill>
            <w14:solidFill>
              <w14:schemeClr w14:val="tx1"/>
            </w14:solidFill>
          </w14:textFill>
        </w:rPr>
        <w:t>第五百二十八</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kern w:val="0"/>
          <w14:textFill>
            <w14:solidFill>
              <w14:schemeClr w14:val="tx1"/>
            </w14:solidFill>
          </w14:textFill>
        </w:rPr>
        <w:t xml:space="preserve"> 职业卫生防护设备、应急救援设施、通讯报警装置处于不正常状态而不停止作业的</w:t>
      </w:r>
      <w:bookmarkEnd w:id="6581"/>
      <w:bookmarkEnd w:id="6582"/>
      <w:bookmarkEnd w:id="6583"/>
      <w:bookmarkEnd w:id="6584"/>
      <w:bookmarkEnd w:id="6585"/>
      <w:bookmarkEnd w:id="6586"/>
      <w:bookmarkEnd w:id="6587"/>
      <w:bookmarkEnd w:id="6588"/>
      <w:bookmarkEnd w:id="6589"/>
      <w:bookmarkEnd w:id="6590"/>
      <w:bookmarkEnd w:id="6591"/>
    </w:p>
    <w:p w14:paraId="3041078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2152F1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《使用有毒物品作业场所劳动保护条例》第六十条第（二）项　 用人单位违反本条例的规定，有下列情形之一的，由疾病预防控制部门给予警告，责令限期改正，处5万元以上30万元以下的罚款；逾期不改正的，提请有关人民政府按照国务院规定的权限予以关闭；造成严重职业中毒危害或者导致职业中毒事故发生的，对负有责任的主管人员和其他直接责任人员依照刑法关于重大责任事故罪、重大劳动安全事故罪或者其他罪的规定，依法追究刑事责任：</w:t>
      </w:r>
    </w:p>
    <w:p w14:paraId="7C0E9DD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（二）职业卫生防护设备、应急救援设施、通讯报警装置处于不正常状态而不停止作业，或者擅自拆除或者停止运行职业卫生防护设备、应急救援设施、通讯报警装置的。</w:t>
      </w:r>
    </w:p>
    <w:p w14:paraId="10B10799">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6616"/>
        <w:gridCol w:w="5720"/>
      </w:tblGrid>
      <w:tr w14:paraId="09B2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24" w:type="dxa"/>
            <w:vAlign w:val="center"/>
          </w:tcPr>
          <w:p w14:paraId="3AFB133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616" w:type="dxa"/>
            <w:vAlign w:val="center"/>
          </w:tcPr>
          <w:p w14:paraId="6BC1937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720" w:type="dxa"/>
            <w:vAlign w:val="center"/>
          </w:tcPr>
          <w:p w14:paraId="1A39747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11B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24" w:type="dxa"/>
            <w:vAlign w:val="center"/>
          </w:tcPr>
          <w:p w14:paraId="5B986C8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6616" w:type="dxa"/>
            <w:vAlign w:val="center"/>
          </w:tcPr>
          <w:p w14:paraId="11CEFE2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职业卫生防护设备、应急救援设施、通讯报警装置处于不正常状态而不停止作业，累计设备台数3台以下的。</w:t>
            </w:r>
          </w:p>
        </w:tc>
        <w:tc>
          <w:tcPr>
            <w:tcW w:w="5720" w:type="dxa"/>
            <w:vAlign w:val="center"/>
          </w:tcPr>
          <w:p w14:paraId="536B6AD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给予警告，责令限期改正，处5万元以上10万元以下的罚款。</w:t>
            </w:r>
          </w:p>
        </w:tc>
      </w:tr>
      <w:tr w14:paraId="7836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24" w:type="dxa"/>
            <w:vAlign w:val="center"/>
          </w:tcPr>
          <w:p w14:paraId="23C033A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6616" w:type="dxa"/>
            <w:vAlign w:val="center"/>
          </w:tcPr>
          <w:p w14:paraId="423FAF0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职业卫生防护设备、应急救援设施、通讯报警装置处于不正常状态而不停止作业，累计设备台数4～6台以上的。</w:t>
            </w:r>
          </w:p>
        </w:tc>
        <w:tc>
          <w:tcPr>
            <w:tcW w:w="5720" w:type="dxa"/>
            <w:vAlign w:val="center"/>
          </w:tcPr>
          <w:p w14:paraId="16BBEB2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给予警告，责令限期改正，处10万元以上20万元以下的罚款。</w:t>
            </w:r>
          </w:p>
        </w:tc>
      </w:tr>
      <w:tr w14:paraId="1BFE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24" w:type="dxa"/>
            <w:vAlign w:val="center"/>
          </w:tcPr>
          <w:p w14:paraId="55932D7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6616" w:type="dxa"/>
            <w:vAlign w:val="center"/>
          </w:tcPr>
          <w:p w14:paraId="3F35362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职业卫生防护设备、应急救援设施、通讯报警装置处于不正常状态而不停止作业，累计设备台数7台以上的。</w:t>
            </w:r>
          </w:p>
        </w:tc>
        <w:tc>
          <w:tcPr>
            <w:tcW w:w="5720" w:type="dxa"/>
            <w:vAlign w:val="center"/>
          </w:tcPr>
          <w:p w14:paraId="470A62F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给予警告，责令限期改正，处20万元以上30万元以下的罚款。</w:t>
            </w:r>
          </w:p>
        </w:tc>
      </w:tr>
      <w:tr w14:paraId="5DF5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24" w:type="dxa"/>
            <w:vAlign w:val="center"/>
          </w:tcPr>
          <w:p w14:paraId="682E7EC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特别严重</w:t>
            </w:r>
          </w:p>
        </w:tc>
        <w:tc>
          <w:tcPr>
            <w:tcW w:w="6616" w:type="dxa"/>
            <w:vAlign w:val="center"/>
          </w:tcPr>
          <w:p w14:paraId="47EA5CB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逾期不改正的；或造成严重后果的。</w:t>
            </w:r>
          </w:p>
        </w:tc>
        <w:tc>
          <w:tcPr>
            <w:tcW w:w="5720" w:type="dxa"/>
            <w:vAlign w:val="center"/>
          </w:tcPr>
          <w:p w14:paraId="4ED992F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3AF827AD">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592" w:name="_Toc28073"/>
      <w:bookmarkStart w:id="6593" w:name="_Toc24505"/>
      <w:bookmarkStart w:id="6594" w:name="_Toc25951"/>
      <w:bookmarkStart w:id="6595" w:name="_Toc8624"/>
      <w:bookmarkStart w:id="6596" w:name="_Toc3938"/>
      <w:bookmarkStart w:id="6597" w:name="_Toc22387"/>
      <w:bookmarkStart w:id="6598" w:name="_Toc28058"/>
      <w:bookmarkStart w:id="6599" w:name="_Toc19480"/>
      <w:bookmarkStart w:id="6600" w:name="_Toc23290"/>
      <w:bookmarkStart w:id="6601" w:name="_Toc25741"/>
      <w:bookmarkStart w:id="6602" w:name="_Toc29008"/>
      <w:r>
        <w:rPr>
          <w:rFonts w:hint="eastAsia" w:ascii="Times New Roman" w:hAnsi="Times New Roman" w:cs="仿宋_GB2312"/>
          <w:bCs/>
          <w:color w:val="000000" w:themeColor="text1"/>
          <w:kern w:val="0"/>
          <w14:textFill>
            <w14:solidFill>
              <w14:schemeClr w14:val="tx1"/>
            </w14:solidFill>
          </w14:textFill>
        </w:rPr>
        <w:t>第五百二十九</w:t>
      </w:r>
      <w:r>
        <w:rPr>
          <w:rFonts w:hint="eastAsia" w:ascii="Times New Roman" w:hAnsi="Times New Roman" w:cs="仿宋_GB2312"/>
          <w:bCs/>
          <w:color w:val="000000" w:themeColor="text1"/>
          <w:kern w:val="0"/>
          <w:szCs w:val="32"/>
          <w14:textFill>
            <w14:solidFill>
              <w14:schemeClr w14:val="tx1"/>
            </w14:solidFill>
          </w14:textFill>
        </w:rPr>
        <w:t>条 未依照本条例的规定维护、检修存在高毒物品的生产装置的</w:t>
      </w:r>
      <w:bookmarkEnd w:id="6592"/>
      <w:bookmarkEnd w:id="6593"/>
      <w:bookmarkEnd w:id="6594"/>
      <w:bookmarkEnd w:id="6595"/>
      <w:bookmarkEnd w:id="6596"/>
      <w:bookmarkEnd w:id="6597"/>
      <w:bookmarkEnd w:id="6598"/>
      <w:bookmarkEnd w:id="6599"/>
      <w:bookmarkEnd w:id="6600"/>
      <w:bookmarkEnd w:id="6601"/>
      <w:bookmarkEnd w:id="6602"/>
    </w:p>
    <w:p w14:paraId="42EDAD1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5F5EDE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《使用有毒物品作业场所劳动保护条例》第六十一条第（二）项　 从事使用高毒物品作业的用人单位违反本条例的规定，有下列行为之一的，由疾病预防控制部门给予警告，责令限期改正，处5万元以上20万元以下的罚款；逾期不改正的，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14:paraId="5C59285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（二）未依照本条例的规定维护、检修存在高毒物品的生产装置的。</w:t>
      </w:r>
    </w:p>
    <w:p w14:paraId="4E39DFDD">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6674"/>
        <w:gridCol w:w="5770"/>
      </w:tblGrid>
      <w:tr w14:paraId="34B2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436" w:type="dxa"/>
            <w:vAlign w:val="center"/>
          </w:tcPr>
          <w:p w14:paraId="3A7C875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674" w:type="dxa"/>
            <w:vAlign w:val="center"/>
          </w:tcPr>
          <w:p w14:paraId="7C795A5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770" w:type="dxa"/>
            <w:vAlign w:val="center"/>
          </w:tcPr>
          <w:p w14:paraId="00AA12A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2DD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36" w:type="dxa"/>
            <w:vAlign w:val="center"/>
          </w:tcPr>
          <w:p w14:paraId="250CF31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6674" w:type="dxa"/>
            <w:vAlign w:val="center"/>
          </w:tcPr>
          <w:p w14:paraId="025BACB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未依照本条例的规定维护、检修存在高毒物品的生产装置，生产装置3套以下的。</w:t>
            </w:r>
          </w:p>
        </w:tc>
        <w:tc>
          <w:tcPr>
            <w:tcW w:w="5770" w:type="dxa"/>
            <w:vAlign w:val="center"/>
          </w:tcPr>
          <w:p w14:paraId="5DD3124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给予警告，责令限期改正，处5万元以上10万元以下的罚款。</w:t>
            </w:r>
          </w:p>
        </w:tc>
      </w:tr>
      <w:tr w14:paraId="49ED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36" w:type="dxa"/>
            <w:vAlign w:val="center"/>
          </w:tcPr>
          <w:p w14:paraId="75B3928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6674" w:type="dxa"/>
            <w:vAlign w:val="center"/>
          </w:tcPr>
          <w:p w14:paraId="569FA41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未依照本条例的规定维护、检修存在高毒物品的生产装置，生产装置4套以上的。</w:t>
            </w:r>
          </w:p>
        </w:tc>
        <w:tc>
          <w:tcPr>
            <w:tcW w:w="5770" w:type="dxa"/>
            <w:vAlign w:val="center"/>
          </w:tcPr>
          <w:p w14:paraId="061DB41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给予警告，责令限期改正，处10万元以上20万元以下的罚款。</w:t>
            </w:r>
          </w:p>
        </w:tc>
      </w:tr>
      <w:tr w14:paraId="765E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36" w:type="dxa"/>
            <w:vAlign w:val="center"/>
          </w:tcPr>
          <w:p w14:paraId="088712A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6674" w:type="dxa"/>
            <w:vAlign w:val="center"/>
          </w:tcPr>
          <w:p w14:paraId="532D9BC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逾期不改正的；或造成严重后果的。</w:t>
            </w:r>
          </w:p>
        </w:tc>
        <w:tc>
          <w:tcPr>
            <w:tcW w:w="5770" w:type="dxa"/>
            <w:vAlign w:val="center"/>
          </w:tcPr>
          <w:p w14:paraId="7EFF195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5DF33DAA">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603" w:name="_Toc17361"/>
      <w:bookmarkStart w:id="6604" w:name="_Toc19105"/>
      <w:bookmarkStart w:id="6605" w:name="_Toc1053"/>
      <w:bookmarkStart w:id="6606" w:name="_Toc8357"/>
      <w:bookmarkStart w:id="6607" w:name="_Toc32033"/>
      <w:bookmarkStart w:id="6608" w:name="_Toc26897"/>
      <w:bookmarkStart w:id="6609" w:name="_Toc6814"/>
      <w:bookmarkStart w:id="6610" w:name="_Toc7400"/>
      <w:bookmarkStart w:id="6611" w:name="_Toc24340"/>
      <w:bookmarkStart w:id="6612" w:name="_Toc18061"/>
      <w:bookmarkStart w:id="6613" w:name="_Toc22392"/>
      <w:r>
        <w:rPr>
          <w:rFonts w:hint="eastAsia" w:ascii="Times New Roman" w:hAnsi="Times New Roman" w:cs="仿宋_GB2312"/>
          <w:bCs/>
          <w:color w:val="000000" w:themeColor="text1"/>
          <w:kern w:val="0"/>
          <w14:textFill>
            <w14:solidFill>
              <w14:schemeClr w14:val="tx1"/>
            </w14:solidFill>
          </w14:textFill>
        </w:rPr>
        <w:t>第五百三十</w:t>
      </w:r>
      <w:r>
        <w:rPr>
          <w:rFonts w:hint="eastAsia" w:ascii="Times New Roman" w:hAnsi="Times New Roman" w:cs="仿宋_GB2312"/>
          <w:bCs/>
          <w:color w:val="000000" w:themeColor="text1"/>
          <w:kern w:val="0"/>
          <w:szCs w:val="32"/>
          <w14:textFill>
            <w14:solidFill>
              <w14:schemeClr w14:val="tx1"/>
            </w14:solidFill>
          </w14:textFill>
        </w:rPr>
        <w:t>条 使用未经培训考核合格的劳动者从事高毒作业的</w:t>
      </w:r>
      <w:bookmarkEnd w:id="6603"/>
      <w:bookmarkEnd w:id="6604"/>
      <w:bookmarkEnd w:id="6605"/>
      <w:bookmarkEnd w:id="6606"/>
      <w:bookmarkEnd w:id="6607"/>
      <w:bookmarkEnd w:id="6608"/>
      <w:bookmarkEnd w:id="6609"/>
      <w:bookmarkEnd w:id="6610"/>
      <w:bookmarkEnd w:id="6611"/>
      <w:bookmarkEnd w:id="6612"/>
      <w:bookmarkEnd w:id="6613"/>
    </w:p>
    <w:p w14:paraId="4992FDE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CBB48F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《使用有毒物品作业场所劳动保护条例》第六十三条（二）项　 用人单位违反本条例的规定，有下列行为之一的，由疾病预防控制部门责令限期改正，处5万元以上30万元以下的罚款；情节严重的，责令停止使用有毒物品作业，或者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14:paraId="6F76F80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（二）使用未经培训考核合格的劳动者从事高毒作业的；</w:t>
      </w:r>
    </w:p>
    <w:p w14:paraId="39CE32D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p w14:paraId="0DFA49F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p>
    <w:tbl>
      <w:tblPr>
        <w:tblStyle w:val="24"/>
        <w:tblW w:w="137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8211"/>
        <w:gridCol w:w="4156"/>
      </w:tblGrid>
      <w:tr w14:paraId="520B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428" w:type="dxa"/>
            <w:vAlign w:val="center"/>
          </w:tcPr>
          <w:p w14:paraId="0D858CA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211" w:type="dxa"/>
            <w:vAlign w:val="center"/>
          </w:tcPr>
          <w:p w14:paraId="281B6E7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56" w:type="dxa"/>
            <w:vAlign w:val="center"/>
          </w:tcPr>
          <w:p w14:paraId="51B7DB9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5CE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8" w:type="dxa"/>
            <w:vAlign w:val="center"/>
          </w:tcPr>
          <w:p w14:paraId="76CDF66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211" w:type="dxa"/>
            <w:vAlign w:val="center"/>
          </w:tcPr>
          <w:p w14:paraId="4CB8C5D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使用未经培训考核合格的劳动者从事高毒作业，累计人数5人以下的。</w:t>
            </w:r>
          </w:p>
        </w:tc>
        <w:tc>
          <w:tcPr>
            <w:tcW w:w="4156" w:type="dxa"/>
            <w:vAlign w:val="center"/>
          </w:tcPr>
          <w:p w14:paraId="0624DBC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责令限期改正，处5万元以上20万元以下的罚款。</w:t>
            </w:r>
          </w:p>
        </w:tc>
      </w:tr>
      <w:tr w14:paraId="33AF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8" w:type="dxa"/>
            <w:vAlign w:val="center"/>
          </w:tcPr>
          <w:p w14:paraId="0DD88AD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211" w:type="dxa"/>
            <w:vAlign w:val="center"/>
          </w:tcPr>
          <w:p w14:paraId="3415076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使用未经培训考核合格的劳动者从事高毒作业，累计人数6人以上10人以下的。</w:t>
            </w:r>
          </w:p>
        </w:tc>
        <w:tc>
          <w:tcPr>
            <w:tcW w:w="4156" w:type="dxa"/>
            <w:vAlign w:val="center"/>
          </w:tcPr>
          <w:p w14:paraId="73F2C58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责令限期改正，处20万元以上30万元以下的罚款。</w:t>
            </w:r>
          </w:p>
        </w:tc>
      </w:tr>
      <w:tr w14:paraId="1250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28" w:type="dxa"/>
            <w:vAlign w:val="center"/>
          </w:tcPr>
          <w:p w14:paraId="4F2B7D5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211" w:type="dxa"/>
            <w:vAlign w:val="center"/>
          </w:tcPr>
          <w:p w14:paraId="0CB06B8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违反下列情形之一的：</w:t>
            </w:r>
          </w:p>
          <w:p w14:paraId="47CD790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1.使用未经培训考核合格的劳动者从事高毒作业，累计人数11人以上的；</w:t>
            </w:r>
          </w:p>
          <w:p w14:paraId="1108236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2.逾期不改正或造成严重后果的。</w:t>
            </w:r>
          </w:p>
        </w:tc>
        <w:tc>
          <w:tcPr>
            <w:tcW w:w="4156" w:type="dxa"/>
            <w:vAlign w:val="center"/>
          </w:tcPr>
          <w:p w14:paraId="5D52C0B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0EC6E2AC">
      <w:pPr>
        <w:pStyle w:val="4"/>
        <w:widowControl w:val="0"/>
        <w:ind w:firstLine="643" w:firstLineChars="200"/>
        <w:rPr>
          <w:rFonts w:hint="eastAsia" w:ascii="Times New Roman" w:hAnsi="Times New Roman" w:cs="仿宋_GB2312"/>
          <w:bCs/>
          <w:color w:val="000000" w:themeColor="text1"/>
          <w:kern w:val="0"/>
          <w:szCs w:val="32"/>
          <w14:textFill>
            <w14:solidFill>
              <w14:schemeClr w14:val="tx1"/>
            </w14:solidFill>
          </w14:textFill>
        </w:rPr>
      </w:pPr>
      <w:bookmarkStart w:id="6614" w:name="_Toc23452"/>
      <w:bookmarkStart w:id="6615" w:name="_Toc21525"/>
      <w:bookmarkStart w:id="6616" w:name="_Toc21577"/>
      <w:bookmarkStart w:id="6617" w:name="_Toc1627"/>
      <w:bookmarkStart w:id="6618" w:name="_Toc32200"/>
      <w:bookmarkStart w:id="6619" w:name="_Toc25445"/>
      <w:bookmarkStart w:id="6620" w:name="_Toc10470"/>
      <w:bookmarkStart w:id="6621" w:name="_Toc470"/>
      <w:bookmarkStart w:id="6622" w:name="_Toc2930"/>
      <w:bookmarkStart w:id="6623" w:name="_Toc8551"/>
      <w:bookmarkStart w:id="6624" w:name="_Toc6862"/>
      <w:r>
        <w:rPr>
          <w:rFonts w:hint="eastAsia" w:ascii="Times New Roman" w:hAnsi="Times New Roman" w:cs="仿宋_GB2312"/>
          <w:bCs/>
          <w:color w:val="000000" w:themeColor="text1"/>
          <w:kern w:val="0"/>
          <w14:textFill>
            <w14:solidFill>
              <w14:schemeClr w14:val="tx1"/>
            </w14:solidFill>
          </w14:textFill>
        </w:rPr>
        <w:t>第五百三十一</w:t>
      </w:r>
      <w:r>
        <w:rPr>
          <w:rFonts w:hint="eastAsia" w:ascii="Times New Roman" w:hAnsi="Times New Roman" w:cs="仿宋_GB2312"/>
          <w:bCs/>
          <w:color w:val="000000" w:themeColor="text1"/>
          <w:kern w:val="0"/>
          <w:szCs w:val="32"/>
          <w14:textFill>
            <w14:solidFill>
              <w14:schemeClr w14:val="tx1"/>
            </w14:solidFill>
          </w14:textFill>
        </w:rPr>
        <w:t>条 发现有职业禁忌或者有与所从事职业相关的健康损害的劳动者，未及时调离原工作岗位，并妥善安置的</w:t>
      </w:r>
      <w:bookmarkEnd w:id="6614"/>
      <w:bookmarkEnd w:id="6615"/>
      <w:bookmarkEnd w:id="6616"/>
      <w:bookmarkEnd w:id="6617"/>
      <w:bookmarkEnd w:id="6618"/>
      <w:bookmarkEnd w:id="6619"/>
      <w:bookmarkEnd w:id="6620"/>
      <w:bookmarkEnd w:id="6621"/>
      <w:bookmarkEnd w:id="6622"/>
      <w:bookmarkEnd w:id="6623"/>
      <w:bookmarkEnd w:id="6624"/>
    </w:p>
    <w:p w14:paraId="6C832C1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9BFD5C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《使用有毒物品作业场所劳动保护条例》第六十三条第（四）项　 用人单位违反本条例的规定，有下列行为之一的，由疾病预防控制部门责令限期改正，处5万元以上30万元以下的罚款；情节严重的，责令停止使用有毒物品作业，或者提请有关人民政府按照国务院规定的权限予以关闭；造成严重职业中毒危害或者导致职业中毒事故发生的，对负有责任的主管人员和其他直接责任人员依照刑法关于重大责任事故罪或者其他罪的规定，依法追究刑事责任：</w:t>
      </w:r>
    </w:p>
    <w:p w14:paraId="71830E72">
      <w:pPr>
        <w:widowControl w:val="0"/>
        <w:adjustRightInd/>
        <w:snapToGrid/>
        <w:spacing w:after="0" w:line="440" w:lineRule="exact"/>
        <w:ind w:firstLine="643"/>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（四）发现有职业禁忌或者有与所从事职业相关的健康损害的劳动者，未及时调离原工作岗位，并妥善安置的；</w:t>
      </w:r>
    </w:p>
    <w:p w14:paraId="33F56E8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9477"/>
        <w:gridCol w:w="2903"/>
      </w:tblGrid>
      <w:tr w14:paraId="7090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08" w:type="dxa"/>
            <w:vAlign w:val="center"/>
          </w:tcPr>
          <w:p w14:paraId="79EFFF9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477" w:type="dxa"/>
            <w:vAlign w:val="center"/>
          </w:tcPr>
          <w:p w14:paraId="3D792EB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2903" w:type="dxa"/>
            <w:vAlign w:val="center"/>
          </w:tcPr>
          <w:p w14:paraId="3DB6A4B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8AF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08" w:type="dxa"/>
            <w:vAlign w:val="center"/>
          </w:tcPr>
          <w:p w14:paraId="234372F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477" w:type="dxa"/>
            <w:vAlign w:val="center"/>
          </w:tcPr>
          <w:p w14:paraId="1F1654CF">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18F1872F">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A.使用有毒作业场所的用人单位有职业禁忌的劳动者，未调离或者暂时脱离原工作岗位，发现 1 人的；</w:t>
            </w:r>
          </w:p>
          <w:p w14:paraId="15E08DBC">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B.使用有毒作业场所的用人单位对健康损害可能与所从事的职业相关的劳动者，未进行妥善安置，发现 1 人的。</w:t>
            </w:r>
          </w:p>
        </w:tc>
        <w:tc>
          <w:tcPr>
            <w:tcW w:w="2903" w:type="dxa"/>
            <w:vAlign w:val="center"/>
          </w:tcPr>
          <w:p w14:paraId="7BD87AD9">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 5 万元以上10万元以下的罚款。</w:t>
            </w:r>
          </w:p>
        </w:tc>
      </w:tr>
      <w:tr w14:paraId="293B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08" w:type="dxa"/>
            <w:vAlign w:val="center"/>
          </w:tcPr>
          <w:p w14:paraId="3CD58BD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477" w:type="dxa"/>
            <w:vAlign w:val="center"/>
          </w:tcPr>
          <w:p w14:paraId="35C5A3EF">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7FCB7D74">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A.使用有毒作业场所的用人单位有职业禁忌的劳动者，未调离或者暂时脱离原工作岗位，发现 2 人的；</w:t>
            </w:r>
          </w:p>
          <w:p w14:paraId="478091F5">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B.使用有毒作业场所的用人单位对健康损害可能与所从事的职业相关的劳动者，未进行妥善安置，发现 2 人的。</w:t>
            </w:r>
          </w:p>
        </w:tc>
        <w:tc>
          <w:tcPr>
            <w:tcW w:w="2903" w:type="dxa"/>
            <w:vAlign w:val="center"/>
          </w:tcPr>
          <w:p w14:paraId="4114A116">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 10 万元以上 20 万元以下的罚款。</w:t>
            </w:r>
          </w:p>
        </w:tc>
      </w:tr>
      <w:tr w14:paraId="3CE4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08" w:type="dxa"/>
            <w:vAlign w:val="center"/>
          </w:tcPr>
          <w:p w14:paraId="1175212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477" w:type="dxa"/>
            <w:vAlign w:val="center"/>
          </w:tcPr>
          <w:p w14:paraId="0884E679">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697DF2AF">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A.使用有毒作业场所的用人单位有职业禁忌的劳动者，未调离或者暂时脱离原工作岗位，发现3 人以上的；</w:t>
            </w:r>
          </w:p>
          <w:p w14:paraId="029E1E57">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B.使用有毒作业场所的用人单位对健康损害可能与所从事的职业相关的劳动者，未进行妥善安置，发现 3人以上的；</w:t>
            </w:r>
          </w:p>
          <w:p w14:paraId="4AD6191A">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C.造成严重后果的。</w:t>
            </w:r>
          </w:p>
        </w:tc>
        <w:tc>
          <w:tcPr>
            <w:tcW w:w="2903" w:type="dxa"/>
            <w:vAlign w:val="center"/>
          </w:tcPr>
          <w:p w14:paraId="0D536D25">
            <w:pPr>
              <w:widowControl w:val="0"/>
              <w:adjustRightInd/>
              <w:snapToGrid/>
              <w:spacing w:after="0" w:line="30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情形A或B的给予警告，责令限期改正，并处 20 万元以上 30 万元以下的罚款；情形C的责令停止使用有毒物品作业，或者提请有关人民政府按照国务院规定的权限予以关闭。</w:t>
            </w:r>
          </w:p>
        </w:tc>
      </w:tr>
    </w:tbl>
    <w:p w14:paraId="259C5F96">
      <w:pPr>
        <w:pStyle w:val="4"/>
        <w:widowControl w:val="0"/>
        <w:ind w:firstLine="0" w:firstLineChars="0"/>
        <w:rPr>
          <w:rFonts w:hint="eastAsia" w:ascii="Times New Roman" w:hAnsi="Times New Roman" w:cs="仿宋_GB2312"/>
          <w:bCs/>
          <w:color w:val="000000" w:themeColor="text1"/>
          <w:kern w:val="0"/>
          <w:szCs w:val="32"/>
          <w14:textFill>
            <w14:solidFill>
              <w14:schemeClr w14:val="tx1"/>
            </w14:solidFill>
          </w14:textFill>
        </w:rPr>
      </w:pPr>
      <w:bookmarkStart w:id="6625" w:name="_Toc25399"/>
      <w:bookmarkStart w:id="6626" w:name="_Toc24459"/>
      <w:bookmarkStart w:id="6627" w:name="_Toc27064"/>
      <w:bookmarkStart w:id="6628" w:name="_Toc19548"/>
      <w:bookmarkStart w:id="6629" w:name="_Toc19463"/>
      <w:bookmarkStart w:id="6630" w:name="_Toc24949"/>
      <w:r>
        <w:rPr>
          <w:rFonts w:hint="eastAsia" w:cs="仿宋"/>
          <w:bCs/>
          <w:color w:val="000000" w:themeColor="text1"/>
          <w:kern w:val="2"/>
          <w:lang w:eastAsia="zh-CN"/>
          <w14:textFill>
            <w14:solidFill>
              <w14:schemeClr w14:val="tx1"/>
            </w14:solidFill>
          </w14:textFill>
        </w:rPr>
        <w:t xml:space="preserve"> </w:t>
      </w:r>
      <w:bookmarkStart w:id="6631" w:name="_Toc135"/>
      <w:bookmarkStart w:id="6632" w:name="_Toc19782"/>
      <w:bookmarkStart w:id="6633" w:name="_Toc32397"/>
      <w:bookmarkStart w:id="6634" w:name="_Toc24088"/>
      <w:bookmarkStart w:id="6635" w:name="_Toc31496"/>
      <w:r>
        <w:rPr>
          <w:rFonts w:hint="eastAsia" w:ascii="Times New Roman" w:hAnsi="Times New Roman" w:cs="仿宋_GB2312"/>
          <w:bCs/>
          <w:color w:val="000000" w:themeColor="text1"/>
          <w:kern w:val="0"/>
          <w14:textFill>
            <w14:solidFill>
              <w14:schemeClr w14:val="tx1"/>
            </w14:solidFill>
          </w14:textFill>
        </w:rPr>
        <w:t>第五百三十二</w:t>
      </w:r>
      <w:r>
        <w:rPr>
          <w:rFonts w:hint="eastAsia" w:ascii="Times New Roman" w:hAnsi="Times New Roman" w:cs="仿宋_GB2312"/>
          <w:bCs/>
          <w:color w:val="000000" w:themeColor="text1"/>
          <w:kern w:val="0"/>
          <w:szCs w:val="32"/>
          <w14:textFill>
            <w14:solidFill>
              <w14:schemeClr w14:val="tx1"/>
            </w14:solidFill>
          </w14:textFill>
        </w:rPr>
        <w:t>条 从事使用有毒物品作业的用人单位违反本条例的规定，在转产、停产、停业或者解散、破产时未采取有效措施，妥善处理留存或者残留高毒物品的设备、包装物和容器的</w:t>
      </w:r>
      <w:bookmarkEnd w:id="6625"/>
      <w:bookmarkEnd w:id="6626"/>
      <w:bookmarkEnd w:id="6627"/>
      <w:bookmarkEnd w:id="6628"/>
      <w:bookmarkEnd w:id="6629"/>
      <w:bookmarkEnd w:id="6630"/>
      <w:bookmarkEnd w:id="6631"/>
      <w:bookmarkEnd w:id="6632"/>
      <w:bookmarkEnd w:id="6633"/>
      <w:bookmarkEnd w:id="6634"/>
      <w:bookmarkEnd w:id="6635"/>
    </w:p>
    <w:p w14:paraId="09E5CDC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6D3266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《使用有毒物品作业场所劳动保护条例》第六十四条　从事使用有毒物品作业的用人单位违反本条例的规定，在转产、停产、停业或者解散、破产时未采取有效措施，妥善处理留存或者残留高毒物品的设备、包装物和容器的，由疾病预防控制部门责令改正，处2万元以上10万元以下的罚款；触犯刑律的，对负有责任的主管人员和其他直接责任人员依照刑法关于污染环境罪、危险物品肇事罪或者其他罪的规定，依法追究刑事责任。</w:t>
      </w:r>
    </w:p>
    <w:p w14:paraId="24DEFBB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8544"/>
        <w:gridCol w:w="4015"/>
      </w:tblGrid>
      <w:tr w14:paraId="6227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379" w:type="dxa"/>
            <w:vAlign w:val="center"/>
          </w:tcPr>
          <w:p w14:paraId="4CB91A6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544" w:type="dxa"/>
            <w:vAlign w:val="center"/>
          </w:tcPr>
          <w:p w14:paraId="5188CA9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015" w:type="dxa"/>
            <w:vAlign w:val="center"/>
          </w:tcPr>
          <w:p w14:paraId="3C287DA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8BD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379" w:type="dxa"/>
            <w:vAlign w:val="center"/>
          </w:tcPr>
          <w:p w14:paraId="1EBAC0E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544" w:type="dxa"/>
            <w:vAlign w:val="center"/>
          </w:tcPr>
          <w:p w14:paraId="1D3A0AF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在转产、停产、停业或者解散、破产时未采取有效措施，妥善处理留存或者残留高毒物品的设备、包装物和容器，2种（台）以下的。</w:t>
            </w:r>
          </w:p>
        </w:tc>
        <w:tc>
          <w:tcPr>
            <w:tcW w:w="4015" w:type="dxa"/>
            <w:vAlign w:val="center"/>
          </w:tcPr>
          <w:p w14:paraId="79CAB25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责令改正，处2万元以上3万元以下的罚款。</w:t>
            </w:r>
          </w:p>
        </w:tc>
      </w:tr>
      <w:tr w14:paraId="5BA6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379" w:type="dxa"/>
            <w:vAlign w:val="center"/>
          </w:tcPr>
          <w:p w14:paraId="5611458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544" w:type="dxa"/>
            <w:vAlign w:val="center"/>
          </w:tcPr>
          <w:p w14:paraId="1D886C9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在转产、停产、停业或者解散、破产时未采取有效措施，妥善处理留存或者残留高毒物品的设备、包装物和容器，数量3种（台）以上5种（台）以下的。</w:t>
            </w:r>
          </w:p>
        </w:tc>
        <w:tc>
          <w:tcPr>
            <w:tcW w:w="4015" w:type="dxa"/>
            <w:vAlign w:val="center"/>
          </w:tcPr>
          <w:p w14:paraId="2EC786B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责令改正，处3万元以上6万元以下的罚款。</w:t>
            </w:r>
          </w:p>
        </w:tc>
      </w:tr>
      <w:tr w14:paraId="76CB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379" w:type="dxa"/>
            <w:vAlign w:val="center"/>
          </w:tcPr>
          <w:p w14:paraId="4DCFC1F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544" w:type="dxa"/>
            <w:vAlign w:val="center"/>
          </w:tcPr>
          <w:p w14:paraId="24D10AC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在转产、停产、停业或者解散、破产时未采取有效措施，妥善处理留存或者残留高毒物品的设备、包装物和容器，数量6种（台）以上的；或造成严重后果的。</w:t>
            </w:r>
          </w:p>
        </w:tc>
        <w:tc>
          <w:tcPr>
            <w:tcW w:w="4015" w:type="dxa"/>
            <w:vAlign w:val="center"/>
          </w:tcPr>
          <w:p w14:paraId="7599949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责令改正，处6万元以上10万元以下的罚款。</w:t>
            </w:r>
          </w:p>
        </w:tc>
      </w:tr>
    </w:tbl>
    <w:p w14:paraId="7419D1E2">
      <w:pPr>
        <w:pStyle w:val="4"/>
        <w:widowControl w:val="0"/>
        <w:ind w:firstLine="640"/>
        <w:jc w:val="both"/>
        <w:rPr>
          <w:rFonts w:hint="eastAsia" w:ascii="Times New Roman" w:hAnsi="Times New Roman" w:cs="仿宋_GB2312"/>
          <w:bCs/>
          <w:color w:val="000000" w:themeColor="text1"/>
          <w:kern w:val="0"/>
          <w:szCs w:val="32"/>
          <w:u w:val="none"/>
          <w14:textFill>
            <w14:solidFill>
              <w14:schemeClr w14:val="tx1"/>
            </w14:solidFill>
          </w14:textFill>
        </w:rPr>
      </w:pPr>
      <w:bookmarkStart w:id="6636" w:name="_Toc22832"/>
      <w:bookmarkStart w:id="6637" w:name="_Toc4744"/>
      <w:bookmarkStart w:id="6638" w:name="_Toc18275"/>
      <w:bookmarkStart w:id="6639" w:name="_Toc21822"/>
      <w:bookmarkStart w:id="6640" w:name="_Toc12274"/>
      <w:bookmarkStart w:id="6641" w:name="_Toc19543"/>
      <w:bookmarkStart w:id="6642" w:name="_Toc30161"/>
      <w:bookmarkStart w:id="6643" w:name="_Toc13121"/>
      <w:bookmarkStart w:id="6644" w:name="_Toc26257"/>
      <w:bookmarkStart w:id="6645" w:name="_Toc30960"/>
      <w:bookmarkStart w:id="6646" w:name="_Toc17619"/>
      <w:r>
        <w:rPr>
          <w:rFonts w:hint="eastAsia" w:ascii="Times New Roman" w:hAnsi="Times New Roman" w:cs="仿宋_GB2312"/>
          <w:bCs/>
          <w:color w:val="000000" w:themeColor="text1"/>
          <w:kern w:val="0"/>
          <w14:textFill>
            <w14:solidFill>
              <w14:schemeClr w14:val="tx1"/>
            </w14:solidFill>
          </w14:textFill>
        </w:rPr>
        <w:t>第五百三十三</w:t>
      </w:r>
      <w:r>
        <w:rPr>
          <w:rFonts w:hint="eastAsia" w:ascii="Times New Roman" w:hAnsi="Times New Roman" w:cs="仿宋_GB2312"/>
          <w:bCs/>
          <w:color w:val="000000" w:themeColor="text1"/>
          <w:kern w:val="0"/>
          <w:szCs w:val="32"/>
          <w14:textFill>
            <w14:solidFill>
              <w14:schemeClr w14:val="tx1"/>
            </w14:solidFill>
          </w14:textFill>
        </w:rPr>
        <w:t>条 发生分立、合并、解散、破产情形，未对从事使用有毒物品作业的劳动者进行健康检查，并按照国家有关规定妥善安置职业病病人的</w:t>
      </w:r>
      <w:bookmarkEnd w:id="6636"/>
      <w:bookmarkEnd w:id="6637"/>
      <w:bookmarkEnd w:id="6638"/>
      <w:bookmarkEnd w:id="6639"/>
      <w:bookmarkEnd w:id="6640"/>
      <w:bookmarkEnd w:id="6641"/>
      <w:bookmarkEnd w:id="6642"/>
      <w:bookmarkEnd w:id="6643"/>
      <w:bookmarkEnd w:id="6644"/>
      <w:bookmarkEnd w:id="6645"/>
      <w:bookmarkEnd w:id="6646"/>
    </w:p>
    <w:p w14:paraId="3C775EB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1A06E1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《使用有毒物品作业场所劳动保护条例》第六十七条第（四）项　用人单位违反本条例的规定，有下列行为之一的，由疾病预防控制部门给予警告，责令限期改正，可以并处5万元以上10万元以下的罚款；逾期不改正的，责令停止使用有毒物品作业，或者提请有关人民政府按照国务院规定的权限予以关闭：</w:t>
      </w:r>
    </w:p>
    <w:p w14:paraId="5479C64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（四）发生分立、合并、解散、破产情形，未对从事使用有毒物品作业的劳动者进行健康检查，并按照国家有关规定妥善安置职业病病人的；</w:t>
      </w:r>
    </w:p>
    <w:p w14:paraId="747114BB">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8251"/>
        <w:gridCol w:w="4177"/>
      </w:tblGrid>
      <w:tr w14:paraId="0889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435" w:type="dxa"/>
            <w:vAlign w:val="center"/>
          </w:tcPr>
          <w:p w14:paraId="07DC4A7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251" w:type="dxa"/>
            <w:vAlign w:val="center"/>
          </w:tcPr>
          <w:p w14:paraId="4935356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77" w:type="dxa"/>
            <w:vAlign w:val="center"/>
          </w:tcPr>
          <w:p w14:paraId="447BD63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01C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35" w:type="dxa"/>
            <w:vAlign w:val="center"/>
          </w:tcPr>
          <w:p w14:paraId="11214AC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251" w:type="dxa"/>
            <w:vAlign w:val="center"/>
          </w:tcPr>
          <w:p w14:paraId="782A788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用人单位违反本条例的规定，有下列行为之一的：</w:t>
            </w:r>
          </w:p>
          <w:p w14:paraId="417B227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A.发生分立、合并、解散、破产情形，未对从事使用有毒物品作业的劳动者进行健康检查，累计人数10人以下的；</w:t>
            </w:r>
          </w:p>
          <w:p w14:paraId="3964C46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B.发生分立、合并、解散、破产情形未按照国家有关规定妥善安置职业病病人，累计职业病人数3人以下的。</w:t>
            </w:r>
          </w:p>
        </w:tc>
        <w:tc>
          <w:tcPr>
            <w:tcW w:w="4177" w:type="dxa"/>
            <w:vAlign w:val="center"/>
          </w:tcPr>
          <w:p w14:paraId="2546F46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给予警告，责令限期改正，可以并处5万元以上8万元以下的罚款。</w:t>
            </w:r>
          </w:p>
        </w:tc>
      </w:tr>
      <w:tr w14:paraId="7250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35" w:type="dxa"/>
            <w:vAlign w:val="center"/>
          </w:tcPr>
          <w:p w14:paraId="77CDFA1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251" w:type="dxa"/>
            <w:vAlign w:val="center"/>
          </w:tcPr>
          <w:p w14:paraId="6050DFD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用人单位违反本条例的规定，有下列行为之一的：</w:t>
            </w:r>
          </w:p>
          <w:p w14:paraId="3ED9BA2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A.发生分立、合并、解散、破产情形未对从事使用有毒物品作业的劳动者进行健康检查，累计人数11人以上的；</w:t>
            </w:r>
          </w:p>
          <w:p w14:paraId="73D23BD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B.发生分立、合并、解散、破产情形未按照国家有关规定妥善安置职业病病人，累计职业病人数4人以上的。</w:t>
            </w:r>
          </w:p>
        </w:tc>
        <w:tc>
          <w:tcPr>
            <w:tcW w:w="4177" w:type="dxa"/>
            <w:vAlign w:val="center"/>
          </w:tcPr>
          <w:p w14:paraId="5168331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给予警告，责令限期改正，可以并处8万元以上10万元以下的罚款。</w:t>
            </w:r>
          </w:p>
        </w:tc>
      </w:tr>
      <w:tr w14:paraId="4F7D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35" w:type="dxa"/>
            <w:vAlign w:val="center"/>
          </w:tcPr>
          <w:p w14:paraId="2F01458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251" w:type="dxa"/>
            <w:vAlign w:val="center"/>
          </w:tcPr>
          <w:p w14:paraId="6D058FD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逾期不改正的；或造成严重后果的。</w:t>
            </w:r>
          </w:p>
        </w:tc>
        <w:tc>
          <w:tcPr>
            <w:tcW w:w="4177" w:type="dxa"/>
            <w:vAlign w:val="center"/>
          </w:tcPr>
          <w:p w14:paraId="62E2985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责令停止使用有毒物品作业，或者提请有关人民政府按照国务院规定的权限予以关闭。</w:t>
            </w:r>
          </w:p>
        </w:tc>
      </w:tr>
    </w:tbl>
    <w:p w14:paraId="1B0A9B5F">
      <w:pPr>
        <w:widowControl w:val="0"/>
        <w:numPr>
          <w:ilvl w:val="255"/>
          <w:numId w:val="0"/>
        </w:numPr>
        <w:adjustRightInd/>
        <w:snapToGrid/>
        <w:spacing w:before="157" w:beforeLines="50" w:after="157" w:afterLines="50" w:line="440" w:lineRule="exact"/>
        <w:ind w:firstLine="643" w:firstLineChars="200"/>
        <w:outlineLvl w:val="1"/>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pPr>
      <w:bookmarkStart w:id="6647" w:name="_Toc1209"/>
      <w:bookmarkStart w:id="6648" w:name="_Toc28066"/>
      <w:bookmarkStart w:id="6649" w:name="_Toc23040"/>
      <w:bookmarkStart w:id="6650" w:name="_Toc3837"/>
      <w:bookmarkStart w:id="6651" w:name="_Toc23655"/>
      <w:bookmarkStart w:id="6652" w:name="_Toc25560"/>
      <w:r>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t>（四）《工作场所职业卫生管理规定》</w:t>
      </w:r>
      <w:bookmarkEnd w:id="6647"/>
      <w:bookmarkEnd w:id="6648"/>
      <w:bookmarkEnd w:id="6649"/>
      <w:bookmarkEnd w:id="6650"/>
      <w:bookmarkEnd w:id="6651"/>
      <w:bookmarkEnd w:id="6652"/>
    </w:p>
    <w:p w14:paraId="3B98705A">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653" w:name="_Toc3241"/>
      <w:bookmarkStart w:id="6654" w:name="_Toc24879"/>
      <w:bookmarkStart w:id="6655" w:name="_Toc16856"/>
      <w:bookmarkStart w:id="6656" w:name="_Toc15894"/>
      <w:bookmarkStart w:id="6657" w:name="_Toc11624"/>
      <w:bookmarkStart w:id="6658" w:name="_Toc12027"/>
      <w:bookmarkStart w:id="6659" w:name="_Toc27675"/>
      <w:bookmarkStart w:id="6660" w:name="_Toc27877"/>
      <w:bookmarkStart w:id="6661" w:name="_Toc21707"/>
      <w:bookmarkStart w:id="6662" w:name="_Toc19085"/>
      <w:bookmarkStart w:id="6663" w:name="_Toc1062"/>
      <w:r>
        <w:rPr>
          <w:rFonts w:hint="eastAsia" w:ascii="Times New Roman" w:hAnsi="Times New Roman" w:cs="仿宋_GB2312"/>
          <w:bCs/>
          <w:color w:val="000000" w:themeColor="text1"/>
          <w:kern w:val="0"/>
          <w14:textFill>
            <w14:solidFill>
              <w14:schemeClr w14:val="tx1"/>
            </w14:solidFill>
          </w14:textFill>
        </w:rPr>
        <w:t>第五百三十四年</w:t>
      </w:r>
      <w:r>
        <w:rPr>
          <w:rFonts w:hint="eastAsia" w:ascii="Times New Roman" w:hAnsi="Times New Roman" w:cs="仿宋_GB2312"/>
          <w:bCs/>
          <w:color w:val="000000" w:themeColor="text1"/>
          <w:kern w:val="0"/>
          <w:szCs w:val="32"/>
          <w14:textFill>
            <w14:solidFill>
              <w14:schemeClr w14:val="tx1"/>
            </w14:solidFill>
          </w14:textFill>
        </w:rPr>
        <w:t>条 用人单位的主要负责人、职业卫生管理人员未接受职业卫生培训的</w:t>
      </w:r>
      <w:bookmarkEnd w:id="6653"/>
      <w:bookmarkEnd w:id="6654"/>
      <w:bookmarkEnd w:id="6655"/>
      <w:bookmarkEnd w:id="6656"/>
      <w:bookmarkEnd w:id="6657"/>
      <w:bookmarkEnd w:id="6658"/>
      <w:bookmarkEnd w:id="6659"/>
      <w:bookmarkEnd w:id="6660"/>
      <w:bookmarkEnd w:id="6661"/>
      <w:bookmarkEnd w:id="6662"/>
      <w:bookmarkEnd w:id="6663"/>
    </w:p>
    <w:p w14:paraId="373DD49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044679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《工作场所职业卫生管理规定》第四十七条第（二）项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用人单位有下列情形之一的，责令限期改正，给予警告，可以并处五千元以上二万元以下的罚款：</w:t>
      </w:r>
    </w:p>
    <w:p w14:paraId="5EA5480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（二）用人单位的主要负责人、职业卫生管理人员未接受职业卫生培训的。</w:t>
      </w:r>
    </w:p>
    <w:p w14:paraId="28C55A2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9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631"/>
        <w:gridCol w:w="4645"/>
      </w:tblGrid>
      <w:tr w14:paraId="695B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18" w:type="dxa"/>
            <w:vAlign w:val="center"/>
          </w:tcPr>
          <w:p w14:paraId="22167A5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31" w:type="dxa"/>
            <w:vAlign w:val="center"/>
          </w:tcPr>
          <w:p w14:paraId="37E6A3B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45" w:type="dxa"/>
            <w:vAlign w:val="center"/>
          </w:tcPr>
          <w:p w14:paraId="100654A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FE7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8" w:type="dxa"/>
            <w:vAlign w:val="center"/>
          </w:tcPr>
          <w:p w14:paraId="050CAA4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631" w:type="dxa"/>
            <w:vAlign w:val="center"/>
          </w:tcPr>
          <w:p w14:paraId="28A1B71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职业病危害一般类别的用人单位的主要负责人、职业卫生管理人员未接受职业卫生培训的。</w:t>
            </w:r>
          </w:p>
        </w:tc>
        <w:tc>
          <w:tcPr>
            <w:tcW w:w="4645" w:type="dxa"/>
            <w:vAlign w:val="center"/>
          </w:tcPr>
          <w:p w14:paraId="2CA4A3F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 5 千元以上 1 万元以下的罚款。</w:t>
            </w:r>
          </w:p>
        </w:tc>
      </w:tr>
      <w:tr w14:paraId="5B3C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8" w:type="dxa"/>
            <w:vAlign w:val="center"/>
          </w:tcPr>
          <w:p w14:paraId="2AEED89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631" w:type="dxa"/>
            <w:vAlign w:val="center"/>
          </w:tcPr>
          <w:p w14:paraId="184DE21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职业病危害严重类别的用人单位的主要负责人、职业卫生管理人员未接受职业卫生培训的。</w:t>
            </w:r>
          </w:p>
        </w:tc>
        <w:tc>
          <w:tcPr>
            <w:tcW w:w="4645" w:type="dxa"/>
            <w:vAlign w:val="center"/>
          </w:tcPr>
          <w:p w14:paraId="480828B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 1万元以上1.5 万元以下的罚款。</w:t>
            </w:r>
          </w:p>
        </w:tc>
      </w:tr>
      <w:tr w14:paraId="08AA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8" w:type="dxa"/>
            <w:vAlign w:val="center"/>
          </w:tcPr>
          <w:p w14:paraId="7A71179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631" w:type="dxa"/>
            <w:vAlign w:val="center"/>
          </w:tcPr>
          <w:p w14:paraId="6F5854F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52BC184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1.逾期不改正的；2.造成严重后果的。</w:t>
            </w:r>
          </w:p>
        </w:tc>
        <w:tc>
          <w:tcPr>
            <w:tcW w:w="4645" w:type="dxa"/>
            <w:vAlign w:val="center"/>
          </w:tcPr>
          <w:p w14:paraId="16C8699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警告，并处1.5万元以上2万元以下的罚款。</w:t>
            </w:r>
          </w:p>
        </w:tc>
      </w:tr>
    </w:tbl>
    <w:p w14:paraId="0F11D84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664" w:name="_Toc26402"/>
      <w:bookmarkStart w:id="6665" w:name="_Toc20450"/>
      <w:bookmarkStart w:id="6666" w:name="_Toc1115"/>
      <w:bookmarkStart w:id="6667" w:name="_Toc1702"/>
      <w:bookmarkStart w:id="6668" w:name="_Toc16718"/>
      <w:bookmarkStart w:id="6669" w:name="_Toc30400"/>
      <w:bookmarkStart w:id="6670" w:name="_Toc640"/>
      <w:bookmarkStart w:id="6671" w:name="_Toc19230"/>
      <w:bookmarkStart w:id="6672" w:name="_Toc2437"/>
      <w:bookmarkStart w:id="6673" w:name="_Toc7184"/>
      <w:bookmarkStart w:id="6674" w:name="_Toc24019"/>
      <w:r>
        <w:rPr>
          <w:rFonts w:hint="eastAsia" w:ascii="Times New Roman" w:hAnsi="Times New Roman" w:cs="仿宋_GB2312"/>
          <w:bCs/>
          <w:color w:val="000000" w:themeColor="text1"/>
          <w:kern w:val="0"/>
          <w14:textFill>
            <w14:solidFill>
              <w14:schemeClr w14:val="tx1"/>
            </w14:solidFill>
          </w14:textFill>
        </w:rPr>
        <w:t>第五百三十五</w:t>
      </w:r>
      <w:r>
        <w:rPr>
          <w:rFonts w:hint="eastAsia" w:ascii="Times New Roman" w:hAnsi="Times New Roman" w:cs="仿宋_GB2312"/>
          <w:bCs/>
          <w:color w:val="000000" w:themeColor="text1"/>
          <w:kern w:val="0"/>
          <w:szCs w:val="32"/>
          <w14:textFill>
            <w14:solidFill>
              <w14:schemeClr w14:val="tx1"/>
            </w14:solidFill>
          </w14:textFill>
        </w:rPr>
        <w:t>条 其他违反《工作场所职业卫生管理规定》的行为</w:t>
      </w:r>
      <w:bookmarkEnd w:id="6664"/>
      <w:bookmarkEnd w:id="6665"/>
      <w:bookmarkEnd w:id="6666"/>
      <w:bookmarkEnd w:id="6667"/>
      <w:bookmarkEnd w:id="6668"/>
      <w:bookmarkEnd w:id="6669"/>
      <w:bookmarkEnd w:id="6670"/>
      <w:bookmarkEnd w:id="6671"/>
      <w:bookmarkEnd w:id="6672"/>
      <w:bookmarkEnd w:id="6673"/>
      <w:bookmarkEnd w:id="6674"/>
    </w:p>
    <w:p w14:paraId="37DAE23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632BA1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《工作场所职业卫生管理规定》第四十七条第（三）项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用人单位有下列情形之一的，责令限期改正，给予警告，可以并处五千元以上二万元以下的罚款：</w:t>
      </w:r>
    </w:p>
    <w:p w14:paraId="14C4A86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（三）其他违反《工作场所职业卫生管理规定》的行为。</w:t>
      </w:r>
    </w:p>
    <w:p w14:paraId="4BE0195D">
      <w:pPr>
        <w:widowControl w:val="0"/>
        <w:adjustRightInd/>
        <w:snapToGrid/>
        <w:spacing w:after="0" w:line="440" w:lineRule="exact"/>
        <w:jc w:val="center"/>
        <w:rPr>
          <w:rFonts w:hint="eastAsia"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裁量标准</w:t>
      </w:r>
    </w:p>
    <w:tbl>
      <w:tblPr>
        <w:tblStyle w:val="25"/>
        <w:tblW w:w="13949"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6380"/>
        <w:gridCol w:w="6011"/>
      </w:tblGrid>
      <w:tr w14:paraId="4E8A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58" w:type="dxa"/>
          </w:tcPr>
          <w:p w14:paraId="3139A6F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380" w:type="dxa"/>
          </w:tcPr>
          <w:p w14:paraId="2AF77A5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6011" w:type="dxa"/>
          </w:tcPr>
          <w:p w14:paraId="7039C96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B3B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58" w:type="dxa"/>
            <w:vAlign w:val="center"/>
          </w:tcPr>
          <w:p w14:paraId="2FEAE05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6380" w:type="dxa"/>
            <w:vAlign w:val="center"/>
          </w:tcPr>
          <w:p w14:paraId="055BD90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其他违反《工作场所职业卫生管理规定》的行为一项以下。</w:t>
            </w:r>
          </w:p>
        </w:tc>
        <w:tc>
          <w:tcPr>
            <w:tcW w:w="6011" w:type="dxa"/>
            <w:vAlign w:val="center"/>
          </w:tcPr>
          <w:p w14:paraId="7E4436D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393B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58" w:type="dxa"/>
            <w:vAlign w:val="center"/>
          </w:tcPr>
          <w:p w14:paraId="3F58C81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6380" w:type="dxa"/>
            <w:vAlign w:val="center"/>
          </w:tcPr>
          <w:p w14:paraId="206B928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其他违反《工作场所职业卫生管理规定》的行为二项以上。</w:t>
            </w:r>
          </w:p>
        </w:tc>
        <w:tc>
          <w:tcPr>
            <w:tcW w:w="6011" w:type="dxa"/>
            <w:vAlign w:val="center"/>
          </w:tcPr>
          <w:p w14:paraId="61CAF71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给予警告，责令限期改正，可以并处五千元以上一万元以下的罚款。</w:t>
            </w:r>
          </w:p>
        </w:tc>
      </w:tr>
      <w:tr w14:paraId="7AD4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58" w:type="dxa"/>
            <w:vAlign w:val="center"/>
          </w:tcPr>
          <w:p w14:paraId="55241F9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6380" w:type="dxa"/>
            <w:vAlign w:val="center"/>
          </w:tcPr>
          <w:p w14:paraId="749283B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69BCAD7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1.逾期不改正的；2.造成严重后果的。</w:t>
            </w:r>
          </w:p>
        </w:tc>
        <w:tc>
          <w:tcPr>
            <w:tcW w:w="6011" w:type="dxa"/>
            <w:vAlign w:val="center"/>
          </w:tcPr>
          <w:p w14:paraId="7180105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给予警告，责令限期改正，并处一万元以上二万元以下的罚款。</w:t>
            </w:r>
          </w:p>
        </w:tc>
      </w:tr>
    </w:tbl>
    <w:p w14:paraId="2883953C">
      <w:pPr>
        <w:widowControl w:val="0"/>
        <w:numPr>
          <w:ilvl w:val="255"/>
          <w:numId w:val="0"/>
        </w:numPr>
        <w:adjustRightInd/>
        <w:snapToGrid/>
        <w:spacing w:before="157" w:beforeLines="50" w:after="157" w:afterLines="50" w:line="240" w:lineRule="exact"/>
        <w:ind w:firstLine="643" w:firstLineChars="200"/>
        <w:outlineLvl w:val="1"/>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pPr>
      <w:bookmarkStart w:id="6675" w:name="_Toc12306"/>
      <w:bookmarkStart w:id="6676" w:name="_Toc9100"/>
      <w:bookmarkStart w:id="6677" w:name="_Toc2093"/>
      <w:bookmarkStart w:id="6678" w:name="_Toc11742"/>
      <w:bookmarkStart w:id="6679" w:name="_Toc15374"/>
      <w:bookmarkStart w:id="6680" w:name="_Toc22084"/>
      <w:r>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t>（五）《职业健康检查管理办法》</w:t>
      </w:r>
      <w:bookmarkEnd w:id="6675"/>
      <w:bookmarkEnd w:id="6676"/>
      <w:bookmarkEnd w:id="6677"/>
      <w:bookmarkEnd w:id="6678"/>
      <w:bookmarkEnd w:id="6679"/>
      <w:bookmarkEnd w:id="6680"/>
    </w:p>
    <w:p w14:paraId="65C4ED4B">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681" w:name="_Toc12767"/>
      <w:bookmarkStart w:id="6682" w:name="_Toc1906"/>
      <w:bookmarkStart w:id="6683" w:name="_Toc838"/>
      <w:bookmarkStart w:id="6684" w:name="_Toc15519"/>
      <w:bookmarkStart w:id="6685" w:name="_Toc28026"/>
      <w:bookmarkStart w:id="6686" w:name="_Toc29582"/>
      <w:bookmarkStart w:id="6687" w:name="_Toc31886"/>
      <w:bookmarkStart w:id="6688" w:name="_Toc25311"/>
      <w:bookmarkStart w:id="6689" w:name="_Toc30336"/>
      <w:bookmarkStart w:id="6690" w:name="_Toc24739"/>
      <w:bookmarkStart w:id="6691" w:name="_Toc4894"/>
      <w:r>
        <w:rPr>
          <w:rFonts w:hint="eastAsia" w:ascii="Times New Roman" w:hAnsi="Times New Roman" w:cs="仿宋_GB2312"/>
          <w:bCs/>
          <w:color w:val="000000" w:themeColor="text1"/>
          <w:kern w:val="0"/>
          <w14:textFill>
            <w14:solidFill>
              <w14:schemeClr w14:val="tx1"/>
            </w14:solidFill>
          </w14:textFill>
        </w:rPr>
        <w:t>第五百三十六</w:t>
      </w:r>
      <w:r>
        <w:rPr>
          <w:rFonts w:hint="eastAsia" w:ascii="Times New Roman" w:hAnsi="Times New Roman" w:cs="仿宋_GB2312"/>
          <w:bCs/>
          <w:color w:val="000000" w:themeColor="text1"/>
          <w:kern w:val="0"/>
          <w:szCs w:val="32"/>
          <w14:textFill>
            <w14:solidFill>
              <w14:schemeClr w14:val="tx1"/>
            </w14:solidFill>
          </w14:textFill>
        </w:rPr>
        <w:t>条 未按规定备案开展职业健康检查的</w:t>
      </w:r>
      <w:bookmarkEnd w:id="6681"/>
      <w:bookmarkEnd w:id="6682"/>
      <w:bookmarkEnd w:id="6683"/>
      <w:bookmarkEnd w:id="6684"/>
      <w:bookmarkEnd w:id="6685"/>
      <w:bookmarkEnd w:id="6686"/>
      <w:bookmarkEnd w:id="6687"/>
      <w:bookmarkEnd w:id="6688"/>
      <w:bookmarkEnd w:id="6689"/>
      <w:bookmarkEnd w:id="6690"/>
      <w:bookmarkEnd w:id="6691"/>
    </w:p>
    <w:p w14:paraId="659E2F1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3288868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《职业健康检查管理办法》第二十五条第（一）项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职业健康检查机构有下列行为之一的，由县级以上地方卫生健康主管部门责令改正，给予警告，可以并处 3 万元以下罚款：</w:t>
      </w:r>
    </w:p>
    <w:p w14:paraId="54D5063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（一）未按规定备案开展职业健康检查的；</w:t>
      </w:r>
    </w:p>
    <w:p w14:paraId="72EFB1E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7716"/>
        <w:gridCol w:w="4697"/>
      </w:tblGrid>
      <w:tr w14:paraId="35CA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433" w:type="dxa"/>
            <w:vAlign w:val="center"/>
          </w:tcPr>
          <w:p w14:paraId="4AA8B0C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16" w:type="dxa"/>
            <w:vAlign w:val="center"/>
          </w:tcPr>
          <w:p w14:paraId="1C64106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97" w:type="dxa"/>
            <w:vAlign w:val="center"/>
          </w:tcPr>
          <w:p w14:paraId="277B446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593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3" w:type="dxa"/>
            <w:vAlign w:val="center"/>
          </w:tcPr>
          <w:p w14:paraId="2E9BD14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716" w:type="dxa"/>
            <w:vAlign w:val="center"/>
          </w:tcPr>
          <w:p w14:paraId="2AAA490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未按规定备案开展职业健康检查，没有违法所得或违法所得无法认定的。</w:t>
            </w:r>
          </w:p>
        </w:tc>
        <w:tc>
          <w:tcPr>
            <w:tcW w:w="4697" w:type="dxa"/>
            <w:vAlign w:val="center"/>
          </w:tcPr>
          <w:p w14:paraId="34D7AD4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责令改正，给予警告，可以并处 1 万元以下罚款。</w:t>
            </w:r>
          </w:p>
        </w:tc>
      </w:tr>
      <w:tr w14:paraId="40E1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3" w:type="dxa"/>
            <w:vAlign w:val="center"/>
          </w:tcPr>
          <w:p w14:paraId="66ED258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716" w:type="dxa"/>
            <w:vAlign w:val="center"/>
          </w:tcPr>
          <w:p w14:paraId="3F13DBB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未按规定备案开展职业健康检查，违法所得不足 1 万元的。</w:t>
            </w:r>
          </w:p>
        </w:tc>
        <w:tc>
          <w:tcPr>
            <w:tcW w:w="4697" w:type="dxa"/>
            <w:vAlign w:val="center"/>
          </w:tcPr>
          <w:p w14:paraId="08994C2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责令改正，给予警告，可以并处 1 万元以上 2 万元以下罚款。</w:t>
            </w:r>
          </w:p>
        </w:tc>
      </w:tr>
      <w:tr w14:paraId="68AB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3" w:type="dxa"/>
            <w:vAlign w:val="center"/>
          </w:tcPr>
          <w:p w14:paraId="05950D5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716" w:type="dxa"/>
            <w:vAlign w:val="center"/>
          </w:tcPr>
          <w:p w14:paraId="2256DA4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未按规定备案开展职业健康检查，违法所得 1 万元以上的。</w:t>
            </w:r>
          </w:p>
        </w:tc>
        <w:tc>
          <w:tcPr>
            <w:tcW w:w="4697" w:type="dxa"/>
            <w:vAlign w:val="center"/>
          </w:tcPr>
          <w:p w14:paraId="013DF50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 2 万元以上 3 万元以下罚款。</w:t>
            </w:r>
          </w:p>
        </w:tc>
      </w:tr>
    </w:tbl>
    <w:p w14:paraId="0342691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692" w:name="_Toc21165"/>
      <w:bookmarkStart w:id="6693" w:name="_Toc17222"/>
      <w:bookmarkStart w:id="6694" w:name="_Toc28761"/>
      <w:bookmarkStart w:id="6695" w:name="_Toc26928"/>
      <w:bookmarkStart w:id="6696" w:name="_Toc6954"/>
      <w:bookmarkStart w:id="6697" w:name="_Toc20791"/>
      <w:bookmarkStart w:id="6698" w:name="_Toc25351"/>
      <w:bookmarkStart w:id="6699" w:name="_Toc12358"/>
      <w:bookmarkStart w:id="6700" w:name="_Toc30050"/>
      <w:bookmarkStart w:id="6701" w:name="_Toc965"/>
      <w:bookmarkStart w:id="6702" w:name="_Toc15644"/>
      <w:r>
        <w:rPr>
          <w:rFonts w:hint="eastAsia" w:ascii="Times New Roman" w:hAnsi="Times New Roman" w:cs="仿宋_GB2312"/>
          <w:bCs/>
          <w:color w:val="000000" w:themeColor="text1"/>
          <w:kern w:val="0"/>
          <w14:textFill>
            <w14:solidFill>
              <w14:schemeClr w14:val="tx1"/>
            </w14:solidFill>
          </w14:textFill>
        </w:rPr>
        <w:t>第五百三十七</w:t>
      </w:r>
      <w:r>
        <w:rPr>
          <w:rFonts w:hint="eastAsia" w:ascii="Times New Roman" w:hAnsi="Times New Roman" w:cs="仿宋_GB2312"/>
          <w:bCs/>
          <w:color w:val="000000" w:themeColor="text1"/>
          <w:kern w:val="0"/>
          <w:szCs w:val="32"/>
          <w14:textFill>
            <w14:solidFill>
              <w14:schemeClr w14:val="tx1"/>
            </w14:solidFill>
          </w14:textFill>
        </w:rPr>
        <w:t>条 承担职业健康检查的医疗卫生机构未按规定告知疑似职业病的</w:t>
      </w:r>
      <w:bookmarkEnd w:id="6692"/>
      <w:bookmarkEnd w:id="6693"/>
      <w:bookmarkEnd w:id="6694"/>
      <w:bookmarkEnd w:id="6695"/>
      <w:bookmarkEnd w:id="6696"/>
      <w:bookmarkEnd w:id="6697"/>
      <w:bookmarkEnd w:id="6698"/>
      <w:bookmarkEnd w:id="6699"/>
      <w:bookmarkEnd w:id="6700"/>
      <w:bookmarkEnd w:id="6701"/>
      <w:bookmarkEnd w:id="6702"/>
    </w:p>
    <w:p w14:paraId="52E4830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5923EA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《职业健康检查管理办法》第二十五条第（二）项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职业健康检查机构有下列行为之一的，由县级以上地方卫生健康主管部门责令改正，给予警告，可以并处3万元以下罚款：</w:t>
      </w:r>
    </w:p>
    <w:p w14:paraId="27494E9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（二）未按规定告知疑似职业病的；</w:t>
      </w:r>
    </w:p>
    <w:p w14:paraId="3EF62C7A">
      <w:pPr>
        <w:widowControl w:val="0"/>
        <w:adjustRightInd/>
        <w:snapToGrid/>
        <w:spacing w:before="156" w:beforeLines="50" w:after="0" w:line="440" w:lineRule="exact"/>
        <w:ind w:firstLine="0"/>
        <w:jc w:val="center"/>
        <w:rPr>
          <w:rFonts w:hint="eastAsia" w:ascii="Times New Roman" w:hAnsi="Times New Roman" w:eastAsia="仿宋_GB2312" w:cs="仿宋_GB2312"/>
          <w:b w:val="0"/>
          <w:color w:val="000000" w:themeColor="text1"/>
          <w:kern w:val="2"/>
          <w:sz w:val="32"/>
          <w:szCs w:val="21"/>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7581"/>
        <w:gridCol w:w="4616"/>
      </w:tblGrid>
      <w:tr w14:paraId="7F4D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08" w:type="dxa"/>
            <w:vAlign w:val="center"/>
          </w:tcPr>
          <w:p w14:paraId="4A252ED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81" w:type="dxa"/>
            <w:vAlign w:val="center"/>
          </w:tcPr>
          <w:p w14:paraId="75E1571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16" w:type="dxa"/>
            <w:vAlign w:val="center"/>
          </w:tcPr>
          <w:p w14:paraId="21ED871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0F2E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8" w:type="dxa"/>
            <w:vAlign w:val="center"/>
          </w:tcPr>
          <w:p w14:paraId="1C26B94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581" w:type="dxa"/>
            <w:vAlign w:val="center"/>
          </w:tcPr>
          <w:p w14:paraId="156A2F4C">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未按规定告知疑似职业病，涉及人数1人的。</w:t>
            </w:r>
          </w:p>
        </w:tc>
        <w:tc>
          <w:tcPr>
            <w:tcW w:w="4616" w:type="dxa"/>
            <w:vAlign w:val="center"/>
          </w:tcPr>
          <w:p w14:paraId="3D8AA609">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w:t>
            </w: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可以并处 1 万元以下罚款。</w:t>
            </w:r>
          </w:p>
        </w:tc>
      </w:tr>
      <w:tr w14:paraId="6DC7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8" w:type="dxa"/>
            <w:vAlign w:val="center"/>
          </w:tcPr>
          <w:p w14:paraId="1484239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581" w:type="dxa"/>
            <w:vAlign w:val="center"/>
          </w:tcPr>
          <w:p w14:paraId="3D914510">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未按规定告知疑似职业病，涉及人数2人的。</w:t>
            </w:r>
          </w:p>
        </w:tc>
        <w:tc>
          <w:tcPr>
            <w:tcW w:w="4616" w:type="dxa"/>
            <w:vAlign w:val="center"/>
          </w:tcPr>
          <w:p w14:paraId="383216E3">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w:t>
            </w:r>
            <w:r>
              <w:rPr>
                <w:rFonts w:hint="eastAsia" w:ascii="Times New Roman" w:hAnsi="Times New Roman" w:eastAsia="仿宋_GB2312" w:cs="Times New Roman"/>
                <w:bCs w:val="0"/>
                <w:color w:val="000000" w:themeColor="text1"/>
                <w:kern w:val="0"/>
                <w:sz w:val="24"/>
                <w:szCs w:val="22"/>
                <w:lang w:bidi="ar"/>
                <w14:textFill>
                  <w14:solidFill>
                    <w14:schemeClr w14:val="tx1"/>
                  </w14:solidFill>
                </w14:textFill>
              </w:rPr>
              <w:t>可以并处 1 万元以上 2 万元以下罚款。</w:t>
            </w:r>
          </w:p>
        </w:tc>
      </w:tr>
      <w:tr w14:paraId="1702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8" w:type="dxa"/>
            <w:vAlign w:val="center"/>
          </w:tcPr>
          <w:p w14:paraId="6D31B38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581" w:type="dxa"/>
            <w:vAlign w:val="center"/>
          </w:tcPr>
          <w:p w14:paraId="3DB49C26">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未按规定告知疑似职业病，涉及人数3人以上的。</w:t>
            </w:r>
          </w:p>
        </w:tc>
        <w:tc>
          <w:tcPr>
            <w:tcW w:w="4616" w:type="dxa"/>
            <w:vAlign w:val="center"/>
          </w:tcPr>
          <w:p w14:paraId="3E1E4203">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 2 万元以上 3 万元以下罚款。</w:t>
            </w:r>
          </w:p>
        </w:tc>
      </w:tr>
    </w:tbl>
    <w:p w14:paraId="434C1BA8">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703" w:name="_Toc1569"/>
      <w:bookmarkStart w:id="6704" w:name="_Toc27827"/>
      <w:bookmarkStart w:id="6705" w:name="_Toc20286"/>
      <w:bookmarkStart w:id="6706" w:name="_Toc17998"/>
      <w:bookmarkStart w:id="6707" w:name="_Toc8639"/>
      <w:bookmarkStart w:id="6708" w:name="_Toc25284"/>
      <w:bookmarkStart w:id="6709" w:name="_Toc20386"/>
      <w:bookmarkStart w:id="6710" w:name="_Toc16026"/>
      <w:bookmarkStart w:id="6711" w:name="_Toc8251"/>
      <w:bookmarkStart w:id="6712" w:name="_Toc32412"/>
      <w:bookmarkStart w:id="6713" w:name="_Toc31541"/>
      <w:r>
        <w:rPr>
          <w:rFonts w:hint="eastAsia" w:ascii="Times New Roman" w:hAnsi="Times New Roman" w:cs="仿宋_GB2312"/>
          <w:bCs/>
          <w:color w:val="000000" w:themeColor="text1"/>
          <w:kern w:val="0"/>
          <w14:textFill>
            <w14:solidFill>
              <w14:schemeClr w14:val="tx1"/>
            </w14:solidFill>
          </w14:textFill>
        </w:rPr>
        <w:t>第五百三十八</w:t>
      </w:r>
      <w:r>
        <w:rPr>
          <w:rFonts w:hint="eastAsia" w:ascii="Times New Roman" w:hAnsi="Times New Roman" w:cs="仿宋_GB2312"/>
          <w:bCs/>
          <w:color w:val="000000" w:themeColor="text1"/>
          <w:kern w:val="0"/>
          <w:szCs w:val="32"/>
          <w14:textFill>
            <w14:solidFill>
              <w14:schemeClr w14:val="tx1"/>
            </w14:solidFill>
          </w14:textFill>
        </w:rPr>
        <w:t>条 承担职业健康检查的医疗卫生机构出具虚假证明文件的</w:t>
      </w:r>
      <w:bookmarkEnd w:id="6703"/>
      <w:bookmarkEnd w:id="6704"/>
      <w:bookmarkEnd w:id="6705"/>
      <w:bookmarkEnd w:id="6706"/>
      <w:bookmarkEnd w:id="6707"/>
      <w:bookmarkEnd w:id="6708"/>
      <w:bookmarkEnd w:id="6709"/>
      <w:bookmarkEnd w:id="6710"/>
      <w:bookmarkEnd w:id="6711"/>
      <w:bookmarkEnd w:id="6712"/>
      <w:bookmarkEnd w:id="6713"/>
    </w:p>
    <w:p w14:paraId="7B91BD6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6AC3AF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《职业健康检查管理办法》第二十五条第（三）项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职业健康检查机构有下列行为之一的，由县级以上地方卫生健康主管部门责令改正，给予警告，可以并处 3 万元以下罚款：</w:t>
      </w:r>
    </w:p>
    <w:p w14:paraId="1BDF566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（三）出具虚假证明文件的。</w:t>
      </w:r>
    </w:p>
    <w:p w14:paraId="1830FDD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7677"/>
        <w:gridCol w:w="4674"/>
      </w:tblGrid>
      <w:tr w14:paraId="029B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26" w:type="dxa"/>
            <w:vAlign w:val="center"/>
          </w:tcPr>
          <w:p w14:paraId="12016F4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677" w:type="dxa"/>
            <w:vAlign w:val="center"/>
          </w:tcPr>
          <w:p w14:paraId="3EB95BD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74" w:type="dxa"/>
            <w:vAlign w:val="center"/>
          </w:tcPr>
          <w:p w14:paraId="6EAB125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18B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26" w:type="dxa"/>
            <w:vAlign w:val="center"/>
          </w:tcPr>
          <w:p w14:paraId="32B01C5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677" w:type="dxa"/>
            <w:vAlign w:val="center"/>
          </w:tcPr>
          <w:p w14:paraId="69A89A7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出具虚假证明文件，没有违法所得或违法所得无法认定的。</w:t>
            </w:r>
          </w:p>
        </w:tc>
        <w:tc>
          <w:tcPr>
            <w:tcW w:w="4674" w:type="dxa"/>
            <w:vAlign w:val="center"/>
          </w:tcPr>
          <w:p w14:paraId="1E40100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责令改正，给予警告，可以并处 1 万元以下罚款。</w:t>
            </w:r>
          </w:p>
        </w:tc>
      </w:tr>
      <w:tr w14:paraId="2265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26" w:type="dxa"/>
            <w:vAlign w:val="center"/>
          </w:tcPr>
          <w:p w14:paraId="72FF0D7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677" w:type="dxa"/>
            <w:vAlign w:val="center"/>
          </w:tcPr>
          <w:p w14:paraId="4EAF4D5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出具虚假证明文件，违法所得不足 1 万元的。</w:t>
            </w:r>
          </w:p>
        </w:tc>
        <w:tc>
          <w:tcPr>
            <w:tcW w:w="4674" w:type="dxa"/>
            <w:vAlign w:val="center"/>
          </w:tcPr>
          <w:p w14:paraId="597ED09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责令改正，给予警告，可以并处 1 万元以上 2 万元以下罚款。</w:t>
            </w:r>
          </w:p>
        </w:tc>
      </w:tr>
      <w:tr w14:paraId="2B12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26" w:type="dxa"/>
            <w:vAlign w:val="center"/>
          </w:tcPr>
          <w:p w14:paraId="7F347B1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677" w:type="dxa"/>
            <w:vAlign w:val="center"/>
          </w:tcPr>
          <w:p w14:paraId="617E2FE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出具虚假证明文件，违法所得 1 万元以上，或造成严重后果的。</w:t>
            </w:r>
          </w:p>
        </w:tc>
        <w:tc>
          <w:tcPr>
            <w:tcW w:w="4674" w:type="dxa"/>
            <w:vAlign w:val="center"/>
          </w:tcPr>
          <w:p w14:paraId="416DDB6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 2 万元以上 3 万元以下罚款。</w:t>
            </w:r>
          </w:p>
        </w:tc>
      </w:tr>
    </w:tbl>
    <w:p w14:paraId="08F4ACD9">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714" w:name="_Toc13405"/>
      <w:bookmarkStart w:id="6715" w:name="_Toc11370"/>
      <w:bookmarkStart w:id="6716" w:name="_Toc5278"/>
      <w:bookmarkStart w:id="6717" w:name="_Toc28183"/>
      <w:bookmarkStart w:id="6718" w:name="_Toc24535"/>
      <w:bookmarkStart w:id="6719" w:name="_Toc23758"/>
      <w:bookmarkStart w:id="6720" w:name="_Toc3490"/>
      <w:bookmarkStart w:id="6721" w:name="_Toc7006"/>
      <w:bookmarkStart w:id="6722" w:name="_Toc26610"/>
      <w:bookmarkStart w:id="6723" w:name="_Toc28278"/>
      <w:bookmarkStart w:id="6724" w:name="_Toc26270"/>
      <w:r>
        <w:rPr>
          <w:rFonts w:hint="eastAsia" w:ascii="Times New Roman" w:hAnsi="Times New Roman" w:cs="仿宋_GB2312"/>
          <w:bCs/>
          <w:color w:val="000000" w:themeColor="text1"/>
          <w:kern w:val="0"/>
          <w14:textFill>
            <w14:solidFill>
              <w14:schemeClr w14:val="tx1"/>
            </w14:solidFill>
          </w14:textFill>
        </w:rPr>
        <w:t>第五百三十九</w:t>
      </w:r>
      <w:r>
        <w:rPr>
          <w:rFonts w:hint="eastAsia" w:ascii="Times New Roman" w:hAnsi="Times New Roman" w:cs="仿宋_GB2312"/>
          <w:bCs/>
          <w:color w:val="000000" w:themeColor="text1"/>
          <w:kern w:val="0"/>
          <w:szCs w:val="32"/>
          <w14:textFill>
            <w14:solidFill>
              <w14:schemeClr w14:val="tx1"/>
            </w14:solidFill>
          </w14:textFill>
        </w:rPr>
        <w:t>条 未指定主检医师或指定的主检医师未取得职业病诊断资格的</w:t>
      </w:r>
      <w:bookmarkEnd w:id="6714"/>
      <w:bookmarkEnd w:id="6715"/>
      <w:bookmarkEnd w:id="6716"/>
      <w:bookmarkEnd w:id="6717"/>
      <w:bookmarkEnd w:id="6718"/>
      <w:bookmarkEnd w:id="6719"/>
      <w:bookmarkEnd w:id="6720"/>
      <w:bookmarkEnd w:id="6721"/>
      <w:bookmarkEnd w:id="6722"/>
      <w:bookmarkEnd w:id="6723"/>
      <w:bookmarkEnd w:id="6724"/>
    </w:p>
    <w:p w14:paraId="33E8846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4EDF4D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《职业健康检查管理办法》第二十七条第（一）项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职业健康检查机构有下列行为之一的，由县级以上地方卫生健康主管部门给予警告，责令限期改正；逾期不改的，处以三万元以下罚款：</w:t>
      </w:r>
    </w:p>
    <w:p w14:paraId="3E0C928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（一）未指定主检医师或者指定的主检医师未取得职业病诊断资格的；</w:t>
      </w:r>
    </w:p>
    <w:p w14:paraId="627587B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3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9615"/>
        <w:gridCol w:w="2875"/>
      </w:tblGrid>
      <w:tr w14:paraId="2702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442" w:type="dxa"/>
            <w:vAlign w:val="center"/>
          </w:tcPr>
          <w:p w14:paraId="221D4CB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615" w:type="dxa"/>
            <w:vAlign w:val="center"/>
          </w:tcPr>
          <w:p w14:paraId="178E117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2875" w:type="dxa"/>
            <w:vAlign w:val="center"/>
          </w:tcPr>
          <w:p w14:paraId="4F38AE7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6A2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vAlign w:val="center"/>
          </w:tcPr>
          <w:p w14:paraId="22D24F0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615" w:type="dxa"/>
            <w:vAlign w:val="center"/>
          </w:tcPr>
          <w:p w14:paraId="72096F3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职业健康检查机构未指定主检医师或者指定的主检医师未取得职业病诊断资格的。</w:t>
            </w:r>
          </w:p>
        </w:tc>
        <w:tc>
          <w:tcPr>
            <w:tcW w:w="2875" w:type="dxa"/>
            <w:vAlign w:val="center"/>
          </w:tcPr>
          <w:p w14:paraId="5AD5292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4E02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2" w:type="dxa"/>
            <w:vAlign w:val="center"/>
          </w:tcPr>
          <w:p w14:paraId="62ABD64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615" w:type="dxa"/>
            <w:vAlign w:val="center"/>
          </w:tcPr>
          <w:p w14:paraId="2FE1497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职业健康检查机构未指定主检医师或者指定的主检医师未取得职业病诊断资格，经责令限期改正，逾期不改，仍存在以上违法情形，开展职业健康检查人数在 20 人以下的。</w:t>
            </w:r>
          </w:p>
        </w:tc>
        <w:tc>
          <w:tcPr>
            <w:tcW w:w="2875" w:type="dxa"/>
            <w:vAlign w:val="center"/>
          </w:tcPr>
          <w:p w14:paraId="4E01A3D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处一万元以下罚款。</w:t>
            </w:r>
          </w:p>
        </w:tc>
      </w:tr>
      <w:tr w14:paraId="05E3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2" w:type="dxa"/>
            <w:vAlign w:val="center"/>
          </w:tcPr>
          <w:p w14:paraId="66BB143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615" w:type="dxa"/>
            <w:vAlign w:val="center"/>
          </w:tcPr>
          <w:p w14:paraId="4823436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职业健康检查机构未指定主检医师或者指定的主检医师未取得职业病诊断资格，经责令限期改正，逾期不改，仍存在以上违法情形，开展职业健康检查人数在 21-50 人的。</w:t>
            </w:r>
          </w:p>
        </w:tc>
        <w:tc>
          <w:tcPr>
            <w:tcW w:w="2875" w:type="dxa"/>
            <w:vAlign w:val="center"/>
          </w:tcPr>
          <w:p w14:paraId="545844E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处一万元以上两万元以下罚款。</w:t>
            </w:r>
          </w:p>
        </w:tc>
      </w:tr>
      <w:tr w14:paraId="583C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42" w:type="dxa"/>
            <w:vAlign w:val="center"/>
          </w:tcPr>
          <w:p w14:paraId="6F5525E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615" w:type="dxa"/>
            <w:vAlign w:val="center"/>
          </w:tcPr>
          <w:p w14:paraId="262A290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职业健康检查机构未指定主检医师或者指定的主检医师未取得职业病诊断资格，经责令限期改正，逾期不改，仍存在以上违法情形，开展职业健康检查人数在 51 人以上的。</w:t>
            </w:r>
          </w:p>
        </w:tc>
        <w:tc>
          <w:tcPr>
            <w:tcW w:w="2875" w:type="dxa"/>
            <w:vAlign w:val="center"/>
          </w:tcPr>
          <w:p w14:paraId="7E6E985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处两万元以上三万元以下罚款。</w:t>
            </w:r>
          </w:p>
        </w:tc>
      </w:tr>
    </w:tbl>
    <w:p w14:paraId="20CD6B91">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725" w:name="_Toc18095"/>
      <w:bookmarkStart w:id="6726" w:name="_Toc32429"/>
      <w:bookmarkStart w:id="6727" w:name="_Toc80"/>
      <w:bookmarkStart w:id="6728" w:name="_Toc18849"/>
      <w:bookmarkStart w:id="6729" w:name="_Toc21300"/>
      <w:bookmarkStart w:id="6730" w:name="_Toc17175"/>
      <w:bookmarkStart w:id="6731" w:name="_Toc5014"/>
      <w:bookmarkStart w:id="6732" w:name="_Toc31867"/>
      <w:bookmarkStart w:id="6733" w:name="_Toc29006"/>
      <w:bookmarkStart w:id="6734" w:name="_Toc4002"/>
      <w:bookmarkStart w:id="6735" w:name="_Toc14803"/>
      <w:r>
        <w:rPr>
          <w:rFonts w:hint="eastAsia" w:ascii="Times New Roman" w:hAnsi="Times New Roman" w:cs="仿宋_GB2312"/>
          <w:bCs/>
          <w:color w:val="000000" w:themeColor="text1"/>
          <w:kern w:val="0"/>
          <w14:textFill>
            <w14:solidFill>
              <w14:schemeClr w14:val="tx1"/>
            </w14:solidFill>
          </w14:textFill>
        </w:rPr>
        <w:t>第五百四十</w:t>
      </w:r>
      <w:r>
        <w:rPr>
          <w:rFonts w:hint="eastAsia" w:ascii="Times New Roman" w:hAnsi="Times New Roman" w:cs="仿宋_GB2312"/>
          <w:bCs/>
          <w:color w:val="000000" w:themeColor="text1"/>
          <w:kern w:val="0"/>
          <w:szCs w:val="32"/>
          <w14:textFill>
            <w14:solidFill>
              <w14:schemeClr w14:val="tx1"/>
            </w14:solidFill>
          </w14:textFill>
        </w:rPr>
        <w:t>条 未按要求建立职业健康检查档案的</w:t>
      </w:r>
      <w:bookmarkEnd w:id="6725"/>
      <w:bookmarkEnd w:id="6726"/>
      <w:bookmarkEnd w:id="6727"/>
      <w:bookmarkEnd w:id="6728"/>
      <w:bookmarkEnd w:id="6729"/>
      <w:bookmarkEnd w:id="6730"/>
      <w:bookmarkEnd w:id="6731"/>
      <w:bookmarkEnd w:id="6732"/>
      <w:bookmarkEnd w:id="6733"/>
      <w:bookmarkEnd w:id="6734"/>
      <w:bookmarkEnd w:id="6735"/>
    </w:p>
    <w:p w14:paraId="13AA207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A6F794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《职业健康检查管理办法》第二十七条第（二）项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职业健康检查机构有下列行为之一的，由县级以上地方卫生健康主管部门给予警告，责令限期改正；逾期不改的，处以三万元以下罚款：</w:t>
      </w:r>
    </w:p>
    <w:p w14:paraId="4B88D0D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（二）未按要求建立职业健康检查档案的；</w:t>
      </w:r>
    </w:p>
    <w:p w14:paraId="542EC7D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9626"/>
        <w:gridCol w:w="2772"/>
      </w:tblGrid>
      <w:tr w14:paraId="7A3C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31" w:type="dxa"/>
            <w:vAlign w:val="center"/>
          </w:tcPr>
          <w:p w14:paraId="2128951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626" w:type="dxa"/>
            <w:vAlign w:val="center"/>
          </w:tcPr>
          <w:p w14:paraId="16683C1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2772" w:type="dxa"/>
            <w:vAlign w:val="center"/>
          </w:tcPr>
          <w:p w14:paraId="16B3610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6CC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1" w:type="dxa"/>
            <w:vAlign w:val="center"/>
          </w:tcPr>
          <w:p w14:paraId="3513CC9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626" w:type="dxa"/>
            <w:vAlign w:val="center"/>
          </w:tcPr>
          <w:p w14:paraId="5A99EBD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职业健康检查机构未按要求建立职业健康检查档案的。</w:t>
            </w:r>
          </w:p>
        </w:tc>
        <w:tc>
          <w:tcPr>
            <w:tcW w:w="2772" w:type="dxa"/>
            <w:vAlign w:val="center"/>
          </w:tcPr>
          <w:p w14:paraId="3D06F5D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1B0C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31" w:type="dxa"/>
            <w:vAlign w:val="center"/>
          </w:tcPr>
          <w:p w14:paraId="62ED0AA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626" w:type="dxa"/>
            <w:vAlign w:val="center"/>
          </w:tcPr>
          <w:p w14:paraId="024681C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职业健康检查机构未按要求建立职业健康检查档案，经责令限期改正，逾期不改，仍存在职业健康检查档案中未包括职业健康检查委托协议书或《职业健康检查管理办法》第二十条第二款（四）其他有关材料的。</w:t>
            </w:r>
          </w:p>
        </w:tc>
        <w:tc>
          <w:tcPr>
            <w:tcW w:w="2772" w:type="dxa"/>
            <w:vAlign w:val="center"/>
          </w:tcPr>
          <w:p w14:paraId="084256F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处一万元以下罚款。</w:t>
            </w:r>
          </w:p>
        </w:tc>
      </w:tr>
      <w:tr w14:paraId="01A8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1" w:type="dxa"/>
            <w:vAlign w:val="center"/>
          </w:tcPr>
          <w:p w14:paraId="1AF84FD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626" w:type="dxa"/>
            <w:vAlign w:val="center"/>
          </w:tcPr>
          <w:p w14:paraId="2793D5A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职业健康检查机构未按要求建立职业健康检查档案，经责令限期改正，逾期不改，仍存在职业健康检查档案中未包括用人单位提供的相关资料的。</w:t>
            </w:r>
          </w:p>
        </w:tc>
        <w:tc>
          <w:tcPr>
            <w:tcW w:w="2772" w:type="dxa"/>
            <w:vAlign w:val="center"/>
          </w:tcPr>
          <w:p w14:paraId="0A94697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处一万元以上两万元以下罚款。</w:t>
            </w:r>
          </w:p>
        </w:tc>
      </w:tr>
      <w:tr w14:paraId="01E4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1" w:type="dxa"/>
            <w:vAlign w:val="center"/>
          </w:tcPr>
          <w:p w14:paraId="1C0FABD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626" w:type="dxa"/>
            <w:vAlign w:val="center"/>
          </w:tcPr>
          <w:p w14:paraId="49B7825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职业健康检查机构未按要求建立职业健康检查档案，经责令限期改正，逾期不改，仍存在职业健康检查档案中未包括出具的职业健康检查结果总结报告和告知材料的。</w:t>
            </w:r>
          </w:p>
        </w:tc>
        <w:tc>
          <w:tcPr>
            <w:tcW w:w="2772" w:type="dxa"/>
            <w:vAlign w:val="center"/>
          </w:tcPr>
          <w:p w14:paraId="33A026A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处两万元以上三万元以下罚款。</w:t>
            </w:r>
          </w:p>
        </w:tc>
      </w:tr>
    </w:tbl>
    <w:p w14:paraId="332193D9">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736" w:name="_Toc31538"/>
      <w:bookmarkStart w:id="6737" w:name="_Toc7397"/>
      <w:bookmarkStart w:id="6738" w:name="_Toc25271"/>
      <w:bookmarkStart w:id="6739" w:name="_Toc29700"/>
      <w:bookmarkStart w:id="6740" w:name="_Toc12007"/>
      <w:bookmarkStart w:id="6741" w:name="_Toc9522"/>
      <w:bookmarkStart w:id="6742" w:name="_Toc22000"/>
      <w:bookmarkStart w:id="6743" w:name="_Toc11466"/>
      <w:bookmarkStart w:id="6744" w:name="_Toc12683"/>
      <w:bookmarkStart w:id="6745" w:name="_Toc25037"/>
      <w:bookmarkStart w:id="6746" w:name="_Toc5543"/>
      <w:r>
        <w:rPr>
          <w:rFonts w:hint="eastAsia" w:ascii="Times New Roman" w:hAnsi="Times New Roman" w:cs="仿宋_GB2312"/>
          <w:bCs/>
          <w:color w:val="000000" w:themeColor="text1"/>
          <w:kern w:val="0"/>
          <w14:textFill>
            <w14:solidFill>
              <w14:schemeClr w14:val="tx1"/>
            </w14:solidFill>
          </w14:textFill>
        </w:rPr>
        <w:t>第五百四十一</w:t>
      </w:r>
      <w:r>
        <w:rPr>
          <w:rFonts w:hint="eastAsia" w:ascii="Times New Roman" w:hAnsi="Times New Roman" w:cs="仿宋_GB2312"/>
          <w:bCs/>
          <w:color w:val="000000" w:themeColor="text1"/>
          <w:kern w:val="0"/>
          <w:szCs w:val="32"/>
          <w14:textFill>
            <w14:solidFill>
              <w14:schemeClr w14:val="tx1"/>
            </w14:solidFill>
          </w14:textFill>
        </w:rPr>
        <w:t>条 未履行职业健康检查信息报告义务的</w:t>
      </w:r>
      <w:bookmarkEnd w:id="6736"/>
      <w:bookmarkEnd w:id="6737"/>
      <w:bookmarkEnd w:id="6738"/>
      <w:bookmarkEnd w:id="6739"/>
      <w:bookmarkEnd w:id="6740"/>
      <w:bookmarkEnd w:id="6741"/>
      <w:bookmarkEnd w:id="6742"/>
      <w:bookmarkEnd w:id="6743"/>
      <w:bookmarkEnd w:id="6744"/>
      <w:bookmarkEnd w:id="6745"/>
      <w:bookmarkEnd w:id="6746"/>
    </w:p>
    <w:p w14:paraId="58A8040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933530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《职业健康检查管理办法》第二十七条第（三）项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职业健康检查机构有下列行为之一的，由县级以上地方卫生健康主管部门给予警告，责令限期改正；逾期不改的，处以三万元以下罚款：</w:t>
      </w:r>
    </w:p>
    <w:p w14:paraId="2A433BA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（三）未履行职业健康检查信息报告义务的。</w:t>
      </w:r>
    </w:p>
    <w:p w14:paraId="50AA48A3">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9657"/>
        <w:gridCol w:w="2786"/>
      </w:tblGrid>
      <w:tr w14:paraId="4F5F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72" w:type="dxa"/>
            <w:vAlign w:val="center"/>
          </w:tcPr>
          <w:p w14:paraId="4D4FB7B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657" w:type="dxa"/>
            <w:vAlign w:val="center"/>
          </w:tcPr>
          <w:p w14:paraId="288F793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2786" w:type="dxa"/>
            <w:vAlign w:val="center"/>
          </w:tcPr>
          <w:p w14:paraId="1C3A6E2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CF6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372" w:type="dxa"/>
            <w:vAlign w:val="center"/>
          </w:tcPr>
          <w:p w14:paraId="3B0E87F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657" w:type="dxa"/>
            <w:vAlign w:val="center"/>
          </w:tcPr>
          <w:p w14:paraId="7C64C1F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未履行职业健康检查信息报告义务的。</w:t>
            </w:r>
          </w:p>
        </w:tc>
        <w:tc>
          <w:tcPr>
            <w:tcW w:w="2786" w:type="dxa"/>
            <w:vAlign w:val="center"/>
          </w:tcPr>
          <w:p w14:paraId="3D90B57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0741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372" w:type="dxa"/>
            <w:vAlign w:val="center"/>
          </w:tcPr>
          <w:p w14:paraId="359A953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657" w:type="dxa"/>
            <w:vAlign w:val="center"/>
          </w:tcPr>
          <w:p w14:paraId="3114588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未履行职业健康检查信息报告义务，经责令限期改正，逾期不改的。</w:t>
            </w:r>
          </w:p>
        </w:tc>
        <w:tc>
          <w:tcPr>
            <w:tcW w:w="2786" w:type="dxa"/>
            <w:vAlign w:val="center"/>
          </w:tcPr>
          <w:p w14:paraId="1CEF0F5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处二万元以下罚款。</w:t>
            </w:r>
          </w:p>
        </w:tc>
      </w:tr>
      <w:tr w14:paraId="77C6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372" w:type="dxa"/>
            <w:vAlign w:val="center"/>
          </w:tcPr>
          <w:p w14:paraId="6DFD8D0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657" w:type="dxa"/>
            <w:vAlign w:val="center"/>
          </w:tcPr>
          <w:p w14:paraId="5833809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未履行职业健康检查信息报告义务，经责令限期改正，逾期不改，导致卫生行政部门被上级部门通报批评的。</w:t>
            </w:r>
          </w:p>
        </w:tc>
        <w:tc>
          <w:tcPr>
            <w:tcW w:w="2786" w:type="dxa"/>
            <w:vAlign w:val="center"/>
          </w:tcPr>
          <w:p w14:paraId="236AECC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处二万元以上三万元以下罚款。</w:t>
            </w:r>
          </w:p>
        </w:tc>
      </w:tr>
    </w:tbl>
    <w:p w14:paraId="0C36DA1B">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747" w:name="_Toc2871"/>
      <w:bookmarkStart w:id="6748" w:name="_Toc19455"/>
      <w:bookmarkStart w:id="6749" w:name="_Toc7173"/>
      <w:bookmarkStart w:id="6750" w:name="_Toc22249"/>
      <w:bookmarkStart w:id="6751" w:name="_Toc4434"/>
      <w:bookmarkStart w:id="6752" w:name="_Toc16392"/>
      <w:bookmarkStart w:id="6753" w:name="_Toc4619"/>
      <w:bookmarkStart w:id="6754" w:name="_Toc23935"/>
      <w:bookmarkStart w:id="6755" w:name="_Toc27040"/>
      <w:bookmarkStart w:id="6756" w:name="_Toc21751"/>
      <w:bookmarkStart w:id="6757" w:name="_Toc13076"/>
      <w:r>
        <w:rPr>
          <w:rFonts w:hint="eastAsia" w:ascii="Times New Roman" w:hAnsi="Times New Roman" w:cs="仿宋_GB2312"/>
          <w:bCs/>
          <w:color w:val="000000" w:themeColor="text1"/>
          <w:kern w:val="0"/>
          <w14:textFill>
            <w14:solidFill>
              <w14:schemeClr w14:val="tx1"/>
            </w14:solidFill>
          </w14:textFill>
        </w:rPr>
        <w:t>第五百四十二</w:t>
      </w:r>
      <w:r>
        <w:rPr>
          <w:rFonts w:hint="eastAsia" w:ascii="Times New Roman" w:hAnsi="Times New Roman" w:cs="仿宋_GB2312"/>
          <w:bCs/>
          <w:color w:val="000000" w:themeColor="text1"/>
          <w:kern w:val="0"/>
          <w:szCs w:val="32"/>
          <w14:textFill>
            <w14:solidFill>
              <w14:schemeClr w14:val="tx1"/>
            </w14:solidFill>
          </w14:textFill>
        </w:rPr>
        <w:t>条 未按照相关职业健康监护技术规范规定开展工作的</w:t>
      </w:r>
      <w:bookmarkEnd w:id="6747"/>
      <w:bookmarkEnd w:id="6748"/>
      <w:bookmarkEnd w:id="6749"/>
      <w:bookmarkEnd w:id="6750"/>
      <w:bookmarkEnd w:id="6751"/>
      <w:bookmarkEnd w:id="6752"/>
      <w:bookmarkEnd w:id="6753"/>
      <w:bookmarkEnd w:id="6754"/>
      <w:bookmarkEnd w:id="6755"/>
      <w:bookmarkEnd w:id="6756"/>
      <w:bookmarkEnd w:id="6757"/>
    </w:p>
    <w:p w14:paraId="16E0B67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831B03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《职业健康检查管理办法》第二十七条第（四）项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职业健康检查机构有下列行为之一的，由县级以上地方卫生健康主管部门给予警告，责令限期改正；逾期不改的，处以三万元以下罚款：</w:t>
      </w:r>
    </w:p>
    <w:p w14:paraId="04218AE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（四）未按照相关职业健康监护技术规范规定开展工作的；</w:t>
      </w:r>
    </w:p>
    <w:p w14:paraId="0439C15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9622"/>
        <w:gridCol w:w="2806"/>
      </w:tblGrid>
      <w:tr w14:paraId="14EB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435" w:type="dxa"/>
            <w:vAlign w:val="center"/>
          </w:tcPr>
          <w:p w14:paraId="508C808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622" w:type="dxa"/>
            <w:vAlign w:val="center"/>
          </w:tcPr>
          <w:p w14:paraId="58ECFE4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2806" w:type="dxa"/>
            <w:vAlign w:val="center"/>
          </w:tcPr>
          <w:p w14:paraId="37825C9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EA4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35" w:type="dxa"/>
            <w:vAlign w:val="center"/>
          </w:tcPr>
          <w:p w14:paraId="73BD3CB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622" w:type="dxa"/>
            <w:vAlign w:val="center"/>
          </w:tcPr>
          <w:p w14:paraId="09F7A16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未按照相关职业健康监护技术规范规定开展工作的。</w:t>
            </w:r>
          </w:p>
        </w:tc>
        <w:tc>
          <w:tcPr>
            <w:tcW w:w="2806" w:type="dxa"/>
            <w:vAlign w:val="center"/>
          </w:tcPr>
          <w:p w14:paraId="1DDB7B4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0107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35" w:type="dxa"/>
            <w:vAlign w:val="center"/>
          </w:tcPr>
          <w:p w14:paraId="3258638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622" w:type="dxa"/>
            <w:vAlign w:val="center"/>
          </w:tcPr>
          <w:p w14:paraId="73BB081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未按照相关职业健康监护技术规范规定开展工作，经责令限期改正，逾期不改，仍存在以上违法情形，涉及劳动者 50 人以下的。</w:t>
            </w:r>
          </w:p>
        </w:tc>
        <w:tc>
          <w:tcPr>
            <w:tcW w:w="2806" w:type="dxa"/>
            <w:vAlign w:val="center"/>
          </w:tcPr>
          <w:p w14:paraId="70EB514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处一万元以下罚款。</w:t>
            </w:r>
          </w:p>
        </w:tc>
      </w:tr>
      <w:tr w14:paraId="6FB9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35" w:type="dxa"/>
            <w:vAlign w:val="center"/>
          </w:tcPr>
          <w:p w14:paraId="4B30343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622" w:type="dxa"/>
            <w:vAlign w:val="center"/>
          </w:tcPr>
          <w:p w14:paraId="54A4928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未按照相关职业健康监护技术规范规定开展工作，经责令限期改正，逾期不改，仍存在以上违法情形，涉及劳动者 51-100 人的。</w:t>
            </w:r>
          </w:p>
        </w:tc>
        <w:tc>
          <w:tcPr>
            <w:tcW w:w="2806" w:type="dxa"/>
            <w:vAlign w:val="center"/>
          </w:tcPr>
          <w:p w14:paraId="79ADAAE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处一万元以上两万元以下罚款。</w:t>
            </w:r>
          </w:p>
        </w:tc>
      </w:tr>
      <w:tr w14:paraId="7028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35" w:type="dxa"/>
            <w:vAlign w:val="center"/>
          </w:tcPr>
          <w:p w14:paraId="382CAAB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622" w:type="dxa"/>
            <w:vAlign w:val="center"/>
          </w:tcPr>
          <w:p w14:paraId="449ADE8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未按照相关职业健康监护技术规范规定开展工作的，经责令限期改正，逾期不改，仍存在以上违法情形，涉及劳动者 101 人以上或给劳动者健康造成不良后果的。</w:t>
            </w:r>
          </w:p>
        </w:tc>
        <w:tc>
          <w:tcPr>
            <w:tcW w:w="2806" w:type="dxa"/>
            <w:vAlign w:val="center"/>
          </w:tcPr>
          <w:p w14:paraId="245FD69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处两万元以上三万元以下罚款。</w:t>
            </w:r>
          </w:p>
        </w:tc>
      </w:tr>
    </w:tbl>
    <w:p w14:paraId="11C3C441">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758" w:name="_Toc31465"/>
      <w:bookmarkStart w:id="6759" w:name="_Toc28518"/>
      <w:bookmarkStart w:id="6760" w:name="_Toc11700"/>
      <w:bookmarkStart w:id="6761" w:name="_Toc12230"/>
      <w:bookmarkStart w:id="6762" w:name="_Toc26599"/>
      <w:bookmarkStart w:id="6763" w:name="_Toc29254"/>
      <w:bookmarkStart w:id="6764" w:name="_Toc3203"/>
      <w:bookmarkStart w:id="6765" w:name="_Toc11434"/>
      <w:bookmarkStart w:id="6766" w:name="_Toc6339"/>
      <w:bookmarkStart w:id="6767" w:name="_Toc20580"/>
      <w:bookmarkStart w:id="6768" w:name="_Toc13387"/>
      <w:r>
        <w:rPr>
          <w:rFonts w:hint="eastAsia" w:ascii="Times New Roman" w:hAnsi="Times New Roman" w:cs="仿宋_GB2312"/>
          <w:bCs/>
          <w:color w:val="000000" w:themeColor="text1"/>
          <w:kern w:val="0"/>
          <w14:textFill>
            <w14:solidFill>
              <w14:schemeClr w14:val="tx1"/>
            </w14:solidFill>
          </w14:textFill>
        </w:rPr>
        <w:t>第五百四十三</w:t>
      </w:r>
      <w:r>
        <w:rPr>
          <w:rFonts w:hint="eastAsia" w:ascii="Times New Roman" w:hAnsi="Times New Roman" w:cs="仿宋_GB2312"/>
          <w:bCs/>
          <w:color w:val="000000" w:themeColor="text1"/>
          <w:kern w:val="0"/>
          <w:szCs w:val="32"/>
          <w14:textFill>
            <w14:solidFill>
              <w14:schemeClr w14:val="tx1"/>
            </w14:solidFill>
          </w14:textFill>
        </w:rPr>
        <w:t>条 职业健康检查机构违反《职业健康检查管理办法》和其他有关规定的</w:t>
      </w:r>
      <w:bookmarkEnd w:id="6758"/>
      <w:bookmarkEnd w:id="6759"/>
      <w:bookmarkEnd w:id="6760"/>
      <w:bookmarkEnd w:id="6761"/>
      <w:bookmarkEnd w:id="6762"/>
      <w:bookmarkEnd w:id="6763"/>
      <w:bookmarkEnd w:id="6764"/>
      <w:bookmarkEnd w:id="6765"/>
      <w:bookmarkEnd w:id="6766"/>
      <w:bookmarkEnd w:id="6767"/>
      <w:bookmarkEnd w:id="6768"/>
    </w:p>
    <w:p w14:paraId="39C1C29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281987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《职业健康检查管理办法》第二十七条第（五）项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职业健康检查机构有下列行为之一的，由县级以上地方卫生健康主管部门给予警告，责令限期改正；逾期不改的，处以三万元以下罚款：</w:t>
      </w:r>
    </w:p>
    <w:p w14:paraId="5C053EF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（五）违反本办法其他有关规定的。</w:t>
      </w:r>
    </w:p>
    <w:p w14:paraId="08CDE2C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7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358"/>
        <w:gridCol w:w="2901"/>
      </w:tblGrid>
      <w:tr w14:paraId="58E8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15" w:type="dxa"/>
            <w:vAlign w:val="center"/>
          </w:tcPr>
          <w:p w14:paraId="4EE483A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358" w:type="dxa"/>
            <w:vAlign w:val="center"/>
          </w:tcPr>
          <w:p w14:paraId="6F329B0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2901" w:type="dxa"/>
            <w:vAlign w:val="center"/>
          </w:tcPr>
          <w:p w14:paraId="41D927E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59C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15" w:type="dxa"/>
            <w:vAlign w:val="center"/>
          </w:tcPr>
          <w:p w14:paraId="2F7822E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358" w:type="dxa"/>
            <w:vAlign w:val="center"/>
          </w:tcPr>
          <w:p w14:paraId="65F7CBF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职业健康检查机构违反《职业健康检查管理办法》其他有关规定的。</w:t>
            </w:r>
          </w:p>
        </w:tc>
        <w:tc>
          <w:tcPr>
            <w:tcW w:w="2901" w:type="dxa"/>
            <w:vAlign w:val="center"/>
          </w:tcPr>
          <w:p w14:paraId="45438B8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74AA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15" w:type="dxa"/>
            <w:vAlign w:val="center"/>
          </w:tcPr>
          <w:p w14:paraId="26E659E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358" w:type="dxa"/>
            <w:vAlign w:val="center"/>
          </w:tcPr>
          <w:p w14:paraId="059DFF1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职业健康检查机构违反《职业健康检查管理办法》和其他有关规定的，经责令限期改正，逾期不改，未对劳动者健康或健康权益造成损害，未产生社会影响的。</w:t>
            </w:r>
          </w:p>
        </w:tc>
        <w:tc>
          <w:tcPr>
            <w:tcW w:w="2901" w:type="dxa"/>
            <w:vAlign w:val="center"/>
          </w:tcPr>
          <w:p w14:paraId="2B46739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处一万元以下罚款。</w:t>
            </w:r>
          </w:p>
        </w:tc>
      </w:tr>
      <w:tr w14:paraId="19BB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15" w:type="dxa"/>
            <w:vAlign w:val="center"/>
          </w:tcPr>
          <w:p w14:paraId="76FA58D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358" w:type="dxa"/>
            <w:vAlign w:val="center"/>
          </w:tcPr>
          <w:p w14:paraId="21FD959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职业健康检查机构违反《职业健康检查管理办法》和其他有关规定的，经责令限期改正，逾期不改，对劳动者健康或健康权益造成轻微损害，产生社会影响的。</w:t>
            </w:r>
          </w:p>
        </w:tc>
        <w:tc>
          <w:tcPr>
            <w:tcW w:w="2901" w:type="dxa"/>
            <w:vAlign w:val="center"/>
          </w:tcPr>
          <w:p w14:paraId="2283D3A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处一万元以上两万元以下罚款。</w:t>
            </w:r>
          </w:p>
        </w:tc>
      </w:tr>
      <w:tr w14:paraId="5C69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15" w:type="dxa"/>
            <w:vAlign w:val="center"/>
          </w:tcPr>
          <w:p w14:paraId="02F5687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358" w:type="dxa"/>
            <w:vAlign w:val="center"/>
          </w:tcPr>
          <w:p w14:paraId="30EDD55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职业健康检查机构违反《职业健康检查管理办法》和其他有关规定的，经责令限期改正，逾期不改，对劳动者健康或健康权益造成严重损害，产生恶劣社会影响的。</w:t>
            </w:r>
          </w:p>
        </w:tc>
        <w:tc>
          <w:tcPr>
            <w:tcW w:w="2901" w:type="dxa"/>
            <w:vAlign w:val="center"/>
          </w:tcPr>
          <w:p w14:paraId="6351CA6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处两万元以上三万元以下罚款。</w:t>
            </w:r>
          </w:p>
        </w:tc>
      </w:tr>
    </w:tbl>
    <w:p w14:paraId="3F6A6F7D">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769" w:name="_Toc10148"/>
      <w:bookmarkStart w:id="6770" w:name="_Toc19277"/>
      <w:bookmarkStart w:id="6771" w:name="_Toc417"/>
      <w:bookmarkStart w:id="6772" w:name="_Toc21521"/>
      <w:bookmarkStart w:id="6773" w:name="_Toc7193"/>
      <w:bookmarkStart w:id="6774" w:name="_Toc16959"/>
      <w:bookmarkStart w:id="6775" w:name="_Toc20419"/>
      <w:bookmarkStart w:id="6776" w:name="_Toc19551"/>
      <w:bookmarkStart w:id="6777" w:name="_Toc28423"/>
      <w:bookmarkStart w:id="6778" w:name="_Toc28250"/>
      <w:bookmarkStart w:id="6779" w:name="_Toc26420"/>
      <w:r>
        <w:rPr>
          <w:rFonts w:hint="eastAsia" w:ascii="Times New Roman" w:hAnsi="Times New Roman" w:cs="仿宋_GB2312"/>
          <w:bCs/>
          <w:color w:val="000000" w:themeColor="text1"/>
          <w:kern w:val="0"/>
          <w14:textFill>
            <w14:solidFill>
              <w14:schemeClr w14:val="tx1"/>
            </w14:solidFill>
          </w14:textFill>
        </w:rPr>
        <w:t>第五百四十四</w:t>
      </w:r>
      <w:r>
        <w:rPr>
          <w:rFonts w:hint="eastAsia" w:ascii="Times New Roman" w:hAnsi="Times New Roman" w:cs="仿宋_GB2312"/>
          <w:bCs/>
          <w:color w:val="000000" w:themeColor="text1"/>
          <w:kern w:val="0"/>
          <w:szCs w:val="32"/>
          <w14:textFill>
            <w14:solidFill>
              <w14:schemeClr w14:val="tx1"/>
            </w14:solidFill>
          </w14:textFill>
        </w:rPr>
        <w:t>条 职业健康检查机构未按规定参加实验室比对或者职业健康检查质量考核工作，或者参加质量考核不合格未按要求整改仍开展职业健康检查工作的</w:t>
      </w:r>
      <w:bookmarkEnd w:id="6769"/>
      <w:bookmarkEnd w:id="6770"/>
      <w:bookmarkEnd w:id="6771"/>
      <w:bookmarkEnd w:id="6772"/>
      <w:bookmarkEnd w:id="6773"/>
      <w:bookmarkEnd w:id="6774"/>
      <w:bookmarkEnd w:id="6775"/>
      <w:bookmarkEnd w:id="6776"/>
      <w:bookmarkEnd w:id="6777"/>
      <w:bookmarkEnd w:id="6778"/>
      <w:bookmarkEnd w:id="6779"/>
    </w:p>
    <w:p w14:paraId="3BD6564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49DE51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《职业健康检查管理办法》第二十八条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健康检查机构未按规定参加实验室比对或者职业健康检查质量考核工作，或者参加质量考核不合格未按要求整改仍开展职业健康检查工作的，由县级以上地方卫生健康主管部门给予警告，责令限期改正；逾期不改的，处以三万元以下罚款。</w:t>
      </w:r>
    </w:p>
    <w:p w14:paraId="11A757D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9340"/>
        <w:gridCol w:w="3073"/>
      </w:tblGrid>
      <w:tr w14:paraId="0A1A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433" w:type="dxa"/>
            <w:vAlign w:val="center"/>
          </w:tcPr>
          <w:p w14:paraId="3D3B248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340" w:type="dxa"/>
            <w:vAlign w:val="center"/>
          </w:tcPr>
          <w:p w14:paraId="671813D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073" w:type="dxa"/>
            <w:vAlign w:val="center"/>
          </w:tcPr>
          <w:p w14:paraId="3C7DEA8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583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33" w:type="dxa"/>
            <w:vAlign w:val="center"/>
          </w:tcPr>
          <w:p w14:paraId="141233B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9340" w:type="dxa"/>
            <w:vAlign w:val="center"/>
          </w:tcPr>
          <w:p w14:paraId="286B6B8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未按规定参加实验室比对或者职业健康检查质量考核工作，或者参加质量考核不合格未按要求整改仍开展职业健康检查工作的。</w:t>
            </w:r>
          </w:p>
        </w:tc>
        <w:tc>
          <w:tcPr>
            <w:tcW w:w="3073" w:type="dxa"/>
            <w:vAlign w:val="center"/>
          </w:tcPr>
          <w:p w14:paraId="31086E0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w:t>
            </w:r>
          </w:p>
        </w:tc>
      </w:tr>
      <w:tr w14:paraId="799A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433" w:type="dxa"/>
            <w:vAlign w:val="center"/>
          </w:tcPr>
          <w:p w14:paraId="10040AC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340" w:type="dxa"/>
            <w:vAlign w:val="center"/>
          </w:tcPr>
          <w:p w14:paraId="5476586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参加实验室比对或者职业健康检查质量考核工作，或者参加质量考核不合格未按要求整改仍开展职业健康检查工作，经责令限期改正，逾期不改，未对劳动者健康或健康权益造成损害，未产生社会影响的。</w:t>
            </w:r>
          </w:p>
        </w:tc>
        <w:tc>
          <w:tcPr>
            <w:tcW w:w="3073" w:type="dxa"/>
            <w:vAlign w:val="center"/>
          </w:tcPr>
          <w:p w14:paraId="1714C8B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处一万元以下罚款。</w:t>
            </w:r>
          </w:p>
        </w:tc>
      </w:tr>
      <w:tr w14:paraId="3A92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433" w:type="dxa"/>
            <w:vAlign w:val="center"/>
          </w:tcPr>
          <w:p w14:paraId="7ADC9D5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340" w:type="dxa"/>
            <w:vAlign w:val="center"/>
          </w:tcPr>
          <w:p w14:paraId="2C18BEE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参加实验室比对或者职业健康检查质量考核工作，或者参加质量考核不合格未按要求整改仍开展职业健康检查工作，经责令限期改正，逾期不改，对劳动者健康或健康权益造成轻微损害，产生社会影响的。</w:t>
            </w:r>
          </w:p>
        </w:tc>
        <w:tc>
          <w:tcPr>
            <w:tcW w:w="3073" w:type="dxa"/>
            <w:vAlign w:val="center"/>
          </w:tcPr>
          <w:p w14:paraId="0626751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处一万元以上两万元以下罚款。</w:t>
            </w:r>
          </w:p>
        </w:tc>
      </w:tr>
      <w:tr w14:paraId="7DD0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433" w:type="dxa"/>
            <w:vAlign w:val="center"/>
          </w:tcPr>
          <w:p w14:paraId="77FEC7E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340" w:type="dxa"/>
            <w:vAlign w:val="center"/>
          </w:tcPr>
          <w:p w14:paraId="1DA04CF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参加实验室比对或者职业健康检查质量考核工作，或者参加质量考核不合格未按要求整改仍开展职业健康检查工作，经责令限期改正，逾期不改，对劳动者健康或健康权益造成严重损害，产生恶劣社会影响的。</w:t>
            </w:r>
          </w:p>
        </w:tc>
        <w:tc>
          <w:tcPr>
            <w:tcW w:w="3073" w:type="dxa"/>
            <w:vAlign w:val="center"/>
          </w:tcPr>
          <w:p w14:paraId="58CC2A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处两万元以上三万元以下罚款。</w:t>
            </w:r>
          </w:p>
        </w:tc>
      </w:tr>
    </w:tbl>
    <w:p w14:paraId="4CC4C183">
      <w:pPr>
        <w:pStyle w:val="3"/>
        <w:keepNext w:val="0"/>
        <w:keepLines w:val="0"/>
        <w:widowControl w:val="0"/>
        <w:spacing w:before="157" w:beforeLines="50" w:after="157" w:afterLines="50" w:line="440" w:lineRule="exact"/>
        <w:ind w:firstLine="643" w:firstLineChars="200"/>
        <w:rPr>
          <w:rFonts w:hint="eastAsia" w:ascii="Times New Roman" w:hAnsi="Times New Roman" w:eastAsia="楷体_GB2312" w:cs="仿宋_GB2312"/>
          <w:color w:val="000000" w:themeColor="text1"/>
          <w:kern w:val="2"/>
          <w:szCs w:val="21"/>
          <w14:textFill>
            <w14:solidFill>
              <w14:schemeClr w14:val="tx1"/>
            </w14:solidFill>
          </w14:textFill>
        </w:rPr>
      </w:pPr>
      <w:bookmarkStart w:id="6780" w:name="_Toc14464"/>
      <w:bookmarkStart w:id="6781" w:name="_Toc10215"/>
      <w:bookmarkStart w:id="6782" w:name="_Toc28929"/>
      <w:bookmarkStart w:id="6783" w:name="_Toc24986"/>
      <w:bookmarkStart w:id="6784" w:name="_Toc4258"/>
      <w:bookmarkStart w:id="6785" w:name="_Toc25390"/>
      <w:bookmarkStart w:id="6786" w:name="_Toc10803"/>
      <w:bookmarkStart w:id="6787" w:name="_Toc30435"/>
      <w:bookmarkStart w:id="6788" w:name="_Toc27655"/>
      <w:bookmarkStart w:id="6789" w:name="_Toc2882"/>
      <w:bookmarkStart w:id="6790" w:name="_Toc3339"/>
      <w:bookmarkStart w:id="6791" w:name="_Toc4796"/>
      <w:bookmarkStart w:id="6792" w:name="_Toc18006"/>
      <w:r>
        <w:rPr>
          <w:rFonts w:hint="eastAsia" w:ascii="Times New Roman" w:hAnsi="Times New Roman" w:eastAsia="楷体_GB2312" w:cs="仿宋_GB2312"/>
          <w:color w:val="000000" w:themeColor="text1"/>
          <w:kern w:val="2"/>
          <w:szCs w:val="21"/>
          <w14:textFill>
            <w14:solidFill>
              <w14:schemeClr w14:val="tx1"/>
            </w14:solidFill>
          </w14:textFill>
        </w:rPr>
        <w:t>（六）《职业病诊断与鉴定管理办法》</w:t>
      </w:r>
      <w:bookmarkEnd w:id="6780"/>
      <w:bookmarkEnd w:id="6781"/>
      <w:bookmarkEnd w:id="6782"/>
      <w:bookmarkEnd w:id="6783"/>
      <w:bookmarkEnd w:id="6784"/>
      <w:bookmarkEnd w:id="6785"/>
      <w:bookmarkEnd w:id="6786"/>
      <w:bookmarkEnd w:id="6787"/>
      <w:bookmarkEnd w:id="6788"/>
      <w:bookmarkEnd w:id="6789"/>
      <w:bookmarkEnd w:id="6790"/>
      <w:bookmarkEnd w:id="6791"/>
      <w:bookmarkEnd w:id="6792"/>
    </w:p>
    <w:p w14:paraId="383C171E">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793" w:name="_Toc9886"/>
      <w:bookmarkStart w:id="6794" w:name="_Toc5960"/>
      <w:bookmarkStart w:id="6795" w:name="_Toc10067"/>
      <w:bookmarkStart w:id="6796" w:name="_Toc28028"/>
      <w:bookmarkStart w:id="6797" w:name="_Toc28128"/>
      <w:bookmarkStart w:id="6798" w:name="_Toc12308"/>
      <w:bookmarkStart w:id="6799" w:name="_Toc28075"/>
      <w:bookmarkStart w:id="6800" w:name="_Toc17823"/>
      <w:bookmarkStart w:id="6801" w:name="_Toc12924"/>
      <w:bookmarkStart w:id="6802" w:name="_Toc6711"/>
      <w:bookmarkStart w:id="6803" w:name="_Toc13276"/>
      <w:r>
        <w:rPr>
          <w:rFonts w:hint="eastAsia" w:ascii="Times New Roman" w:hAnsi="Times New Roman" w:cs="仿宋_GB2312"/>
          <w:bCs/>
          <w:color w:val="000000" w:themeColor="text1"/>
          <w:kern w:val="0"/>
          <w14:textFill>
            <w14:solidFill>
              <w14:schemeClr w14:val="tx1"/>
            </w14:solidFill>
          </w14:textFill>
        </w:rPr>
        <w:t>第五百四十五</w:t>
      </w:r>
      <w:r>
        <w:rPr>
          <w:rFonts w:hint="eastAsia" w:ascii="Times New Roman" w:hAnsi="Times New Roman" w:cs="仿宋_GB2312"/>
          <w:bCs/>
          <w:color w:val="000000" w:themeColor="text1"/>
          <w:kern w:val="0"/>
          <w:szCs w:val="32"/>
          <w14:textFill>
            <w14:solidFill>
              <w14:schemeClr w14:val="tx1"/>
            </w14:solidFill>
          </w14:textFill>
        </w:rPr>
        <w:t>条 未按规定备案开展职业病诊断的</w:t>
      </w:r>
      <w:bookmarkEnd w:id="6793"/>
      <w:bookmarkEnd w:id="6794"/>
      <w:bookmarkEnd w:id="6795"/>
      <w:bookmarkEnd w:id="6796"/>
      <w:bookmarkEnd w:id="6797"/>
      <w:bookmarkEnd w:id="6798"/>
      <w:bookmarkEnd w:id="6799"/>
      <w:bookmarkEnd w:id="6800"/>
      <w:bookmarkEnd w:id="6801"/>
      <w:bookmarkEnd w:id="6802"/>
      <w:bookmarkEnd w:id="6803"/>
    </w:p>
    <w:p w14:paraId="582FED3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22445D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《职业病诊断与鉴定管理办法》第五十四条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医疗卫生机构未按照规定备案开展职业病诊断的，由县级以上地方卫生健康主管部门责令改正，给予警告，可以并处三万元以下罚款。</w:t>
      </w:r>
    </w:p>
    <w:p w14:paraId="01E62FB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7523"/>
        <w:gridCol w:w="4674"/>
      </w:tblGrid>
      <w:tr w14:paraId="7834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408" w:type="dxa"/>
            <w:vAlign w:val="center"/>
          </w:tcPr>
          <w:p w14:paraId="6BD5B46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23" w:type="dxa"/>
            <w:vAlign w:val="center"/>
          </w:tcPr>
          <w:p w14:paraId="05CB4AA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74" w:type="dxa"/>
            <w:vAlign w:val="center"/>
          </w:tcPr>
          <w:p w14:paraId="1A04B1E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00C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408" w:type="dxa"/>
            <w:vAlign w:val="center"/>
          </w:tcPr>
          <w:p w14:paraId="3A827AA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523" w:type="dxa"/>
            <w:vAlign w:val="center"/>
          </w:tcPr>
          <w:p w14:paraId="101095FB">
            <w:pPr>
              <w:widowControl w:val="0"/>
              <w:adjustRightInd/>
              <w:snapToGrid/>
              <w:spacing w:after="0" w:line="320" w:lineRule="exact"/>
              <w:jc w:val="both"/>
              <w:rPr>
                <w:rFonts w:hint="eastAsia" w:ascii="Times New Roman" w:hAnsi="Times New Roman" w:eastAsia="仿宋_GB2312" w:cs="Times New Roman"/>
                <w:b w:val="0"/>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未按规定备案开展职业病诊断，没有违法所得或违法所得无法认定的。</w:t>
            </w:r>
          </w:p>
        </w:tc>
        <w:tc>
          <w:tcPr>
            <w:tcW w:w="4674" w:type="dxa"/>
            <w:vAlign w:val="center"/>
          </w:tcPr>
          <w:p w14:paraId="47162D6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责令改正，给予警告，可以并处一万元以下罚款。</w:t>
            </w:r>
          </w:p>
        </w:tc>
      </w:tr>
      <w:tr w14:paraId="4113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408" w:type="dxa"/>
            <w:vAlign w:val="center"/>
          </w:tcPr>
          <w:p w14:paraId="2AC95C5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523" w:type="dxa"/>
            <w:vAlign w:val="center"/>
          </w:tcPr>
          <w:p w14:paraId="29B4B67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未按规定备案开展职业病诊断，违法所得不足 1 万元的。</w:t>
            </w:r>
          </w:p>
        </w:tc>
        <w:tc>
          <w:tcPr>
            <w:tcW w:w="4674" w:type="dxa"/>
            <w:vAlign w:val="center"/>
          </w:tcPr>
          <w:p w14:paraId="0880137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责令改正，给予警告，可以并处一万元以上二万元以下罚款。</w:t>
            </w:r>
          </w:p>
        </w:tc>
      </w:tr>
      <w:tr w14:paraId="12FB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408" w:type="dxa"/>
            <w:vAlign w:val="center"/>
          </w:tcPr>
          <w:p w14:paraId="6AA22C5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523" w:type="dxa"/>
            <w:vAlign w:val="center"/>
          </w:tcPr>
          <w:p w14:paraId="48C5A83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未按规定备案开展职业病诊断，违法所得 1 万元以上的。</w:t>
            </w:r>
          </w:p>
        </w:tc>
        <w:tc>
          <w:tcPr>
            <w:tcW w:w="4674" w:type="dxa"/>
            <w:vAlign w:val="center"/>
          </w:tcPr>
          <w:p w14:paraId="5CB7304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责令改正，给予警告，并处二万元以上三万元以下罚款。</w:t>
            </w:r>
          </w:p>
        </w:tc>
      </w:tr>
    </w:tbl>
    <w:p w14:paraId="502CBEB9">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804" w:name="_Toc12744"/>
      <w:bookmarkStart w:id="6805" w:name="_Toc24248"/>
      <w:bookmarkStart w:id="6806" w:name="_Toc3297"/>
      <w:bookmarkStart w:id="6807" w:name="_Toc13781"/>
      <w:bookmarkStart w:id="6808" w:name="_Toc21585"/>
      <w:bookmarkStart w:id="6809" w:name="_Toc16540"/>
      <w:bookmarkStart w:id="6810" w:name="_Toc25620"/>
      <w:bookmarkStart w:id="6811" w:name="_Toc377"/>
      <w:bookmarkStart w:id="6812" w:name="_Toc6598"/>
      <w:bookmarkStart w:id="6813" w:name="_Toc12484"/>
      <w:bookmarkStart w:id="6814" w:name="_Toc14444"/>
      <w:r>
        <w:rPr>
          <w:rFonts w:hint="eastAsia" w:ascii="Times New Roman" w:hAnsi="Times New Roman" w:cs="仿宋_GB2312"/>
          <w:bCs/>
          <w:color w:val="000000" w:themeColor="text1"/>
          <w:kern w:val="0"/>
          <w14:textFill>
            <w14:solidFill>
              <w14:schemeClr w14:val="tx1"/>
            </w14:solidFill>
          </w14:textFill>
        </w:rPr>
        <w:t>第五百四十六</w:t>
      </w:r>
      <w:r>
        <w:rPr>
          <w:rFonts w:hint="eastAsia" w:ascii="Times New Roman" w:hAnsi="Times New Roman" w:cs="仿宋_GB2312"/>
          <w:bCs/>
          <w:color w:val="000000" w:themeColor="text1"/>
          <w:kern w:val="0"/>
          <w:szCs w:val="32"/>
          <w14:textFill>
            <w14:solidFill>
              <w14:schemeClr w14:val="tx1"/>
            </w14:solidFill>
          </w14:textFill>
        </w:rPr>
        <w:t>条 职业病诊断机构未建立职业病诊断管理制度的</w:t>
      </w:r>
      <w:bookmarkEnd w:id="6804"/>
      <w:bookmarkEnd w:id="6805"/>
      <w:bookmarkEnd w:id="6806"/>
      <w:bookmarkEnd w:id="6807"/>
      <w:bookmarkEnd w:id="6808"/>
      <w:bookmarkEnd w:id="6809"/>
      <w:bookmarkEnd w:id="6810"/>
      <w:bookmarkEnd w:id="6811"/>
      <w:bookmarkEnd w:id="6812"/>
      <w:bookmarkEnd w:id="6813"/>
      <w:bookmarkEnd w:id="6814"/>
    </w:p>
    <w:p w14:paraId="093483A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643723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《职业病诊断与鉴定管理办法》第五十七条第（一）项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职业病诊断机构违反《职业病诊断与鉴定管理办法》规定，有下列情形之一的，由县级以上地方卫生健康主管部门责令限期改正；逾期不改的，给予警告，并可以根据情节轻重处以三万元以下罚款：</w:t>
      </w:r>
    </w:p>
    <w:p w14:paraId="7AD05C1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（一）未建立职业病诊断管理制度；</w:t>
      </w:r>
    </w:p>
    <w:p w14:paraId="6B37904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7716"/>
        <w:gridCol w:w="4697"/>
      </w:tblGrid>
      <w:tr w14:paraId="4348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33" w:type="dxa"/>
            <w:vAlign w:val="center"/>
          </w:tcPr>
          <w:p w14:paraId="01E4CAF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16" w:type="dxa"/>
            <w:vAlign w:val="center"/>
          </w:tcPr>
          <w:p w14:paraId="207A65C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97" w:type="dxa"/>
            <w:vAlign w:val="center"/>
          </w:tcPr>
          <w:p w14:paraId="6C66545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F50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33" w:type="dxa"/>
            <w:vAlign w:val="center"/>
          </w:tcPr>
          <w:p w14:paraId="2228E58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716" w:type="dxa"/>
            <w:vAlign w:val="center"/>
          </w:tcPr>
          <w:p w14:paraId="081D7BF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职业病诊断机构未建立职业病诊断管理制度。</w:t>
            </w:r>
          </w:p>
        </w:tc>
        <w:tc>
          <w:tcPr>
            <w:tcW w:w="4697" w:type="dxa"/>
            <w:vAlign w:val="center"/>
          </w:tcPr>
          <w:p w14:paraId="6BD6ACB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48F3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33" w:type="dxa"/>
            <w:vAlign w:val="center"/>
          </w:tcPr>
          <w:p w14:paraId="4FBE8F9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716" w:type="dxa"/>
            <w:vAlign w:val="center"/>
          </w:tcPr>
          <w:p w14:paraId="1E56BD9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职业病诊断机构未建立职业病诊断管理制度，责令限期改正，逾期不改正，未对劳动者健康或健康权益造成损害，未产生社会影响的。</w:t>
            </w:r>
          </w:p>
        </w:tc>
        <w:tc>
          <w:tcPr>
            <w:tcW w:w="4697" w:type="dxa"/>
            <w:vAlign w:val="center"/>
          </w:tcPr>
          <w:p w14:paraId="66C72E8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警告，并可处一万元以下罚款。</w:t>
            </w:r>
          </w:p>
        </w:tc>
      </w:tr>
      <w:tr w14:paraId="4D59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33" w:type="dxa"/>
            <w:vAlign w:val="center"/>
          </w:tcPr>
          <w:p w14:paraId="69385CC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716" w:type="dxa"/>
            <w:vAlign w:val="center"/>
          </w:tcPr>
          <w:p w14:paraId="7C43535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职业病诊断机构未建立职业病诊断管理制度，责令限期改正，逾期不改正，对劳动者健康或健康权益造成轻微损害，产生社会影响的。</w:t>
            </w:r>
          </w:p>
        </w:tc>
        <w:tc>
          <w:tcPr>
            <w:tcW w:w="4697" w:type="dxa"/>
            <w:vAlign w:val="center"/>
          </w:tcPr>
          <w:p w14:paraId="404F47C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警告，并可处一万元以上二万元以下罚款。</w:t>
            </w:r>
          </w:p>
        </w:tc>
      </w:tr>
      <w:tr w14:paraId="45B0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33" w:type="dxa"/>
            <w:vAlign w:val="center"/>
          </w:tcPr>
          <w:p w14:paraId="1E943D9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716" w:type="dxa"/>
            <w:vAlign w:val="center"/>
          </w:tcPr>
          <w:p w14:paraId="7FCF7D6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职业病诊断机构未建立职业病诊断管理制度，责令限期改正，逾期不改正，对劳动者健康或健康权益造成严重损害，产生恶劣社会影响的。</w:t>
            </w:r>
          </w:p>
        </w:tc>
        <w:tc>
          <w:tcPr>
            <w:tcW w:w="4697" w:type="dxa"/>
            <w:vAlign w:val="center"/>
          </w:tcPr>
          <w:p w14:paraId="5020232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警告，并处二万元以上三万元以下罚款。</w:t>
            </w:r>
          </w:p>
        </w:tc>
      </w:tr>
    </w:tbl>
    <w:p w14:paraId="1D87A927">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815" w:name="_Toc14879"/>
      <w:bookmarkStart w:id="6816" w:name="_Toc14417"/>
      <w:bookmarkStart w:id="6817" w:name="_Toc9377"/>
      <w:bookmarkStart w:id="6818" w:name="_Toc30494"/>
      <w:bookmarkStart w:id="6819" w:name="_Toc15389"/>
      <w:bookmarkStart w:id="6820" w:name="_Toc9607"/>
      <w:bookmarkStart w:id="6821" w:name="_Toc11044"/>
      <w:bookmarkStart w:id="6822" w:name="_Toc6026"/>
      <w:bookmarkStart w:id="6823" w:name="_Toc14746"/>
      <w:bookmarkStart w:id="6824" w:name="_Toc22898"/>
      <w:bookmarkStart w:id="6825" w:name="_Toc23422"/>
      <w:r>
        <w:rPr>
          <w:rFonts w:hint="eastAsia" w:ascii="Times New Roman" w:hAnsi="Times New Roman" w:cs="仿宋_GB2312"/>
          <w:bCs/>
          <w:color w:val="000000" w:themeColor="text1"/>
          <w:kern w:val="0"/>
          <w14:textFill>
            <w14:solidFill>
              <w14:schemeClr w14:val="tx1"/>
            </w14:solidFill>
          </w14:textFill>
        </w:rPr>
        <w:t>第五百四十七</w:t>
      </w:r>
      <w:r>
        <w:rPr>
          <w:rFonts w:hint="eastAsia" w:ascii="Times New Roman" w:hAnsi="Times New Roman" w:cs="仿宋_GB2312"/>
          <w:bCs/>
          <w:color w:val="000000" w:themeColor="text1"/>
          <w:kern w:val="0"/>
          <w:szCs w:val="32"/>
          <w14:textFill>
            <w14:solidFill>
              <w14:schemeClr w14:val="tx1"/>
            </w14:solidFill>
          </w14:textFill>
        </w:rPr>
        <w:t>条 职业病诊断机构不按照规定向劳动者公开职业病诊断程序的</w:t>
      </w:r>
      <w:bookmarkEnd w:id="6815"/>
      <w:bookmarkEnd w:id="6816"/>
      <w:bookmarkEnd w:id="6817"/>
      <w:bookmarkEnd w:id="6818"/>
      <w:bookmarkEnd w:id="6819"/>
      <w:bookmarkEnd w:id="6820"/>
      <w:bookmarkEnd w:id="6821"/>
      <w:bookmarkEnd w:id="6822"/>
      <w:bookmarkEnd w:id="6823"/>
      <w:bookmarkEnd w:id="6824"/>
      <w:bookmarkEnd w:id="6825"/>
    </w:p>
    <w:p w14:paraId="2DAEABF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8FD02E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《职业病诊断与鉴定管理办法》第五十七条第（二）项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职业病诊断机构违反《职业病诊断与鉴定管理办法》规定，有下列情形之一的，由县级以上地方卫生健康主管部门责令限期改正；逾期不改的，给予警告，并可以根据情节轻重处以三万元以下罚款：</w:t>
      </w:r>
    </w:p>
    <w:p w14:paraId="6DA8AF5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（二）不按照规定向劳动者公开职业病诊断程序。</w:t>
      </w:r>
    </w:p>
    <w:p w14:paraId="7DEF882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754"/>
        <w:gridCol w:w="4721"/>
      </w:tblGrid>
      <w:tr w14:paraId="4AB8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440" w:type="dxa"/>
            <w:vAlign w:val="center"/>
          </w:tcPr>
          <w:p w14:paraId="3F0BA0F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54" w:type="dxa"/>
            <w:vAlign w:val="center"/>
          </w:tcPr>
          <w:p w14:paraId="6059C5D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721" w:type="dxa"/>
            <w:vAlign w:val="center"/>
          </w:tcPr>
          <w:p w14:paraId="628D237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B55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440" w:type="dxa"/>
            <w:vAlign w:val="center"/>
          </w:tcPr>
          <w:p w14:paraId="265B14C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754" w:type="dxa"/>
            <w:vAlign w:val="center"/>
          </w:tcPr>
          <w:p w14:paraId="02CDEC7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不按照规定向劳动者公开职业病诊断程序。</w:t>
            </w:r>
          </w:p>
        </w:tc>
        <w:tc>
          <w:tcPr>
            <w:tcW w:w="4721" w:type="dxa"/>
            <w:vAlign w:val="center"/>
          </w:tcPr>
          <w:p w14:paraId="2F79926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56B2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440" w:type="dxa"/>
            <w:vAlign w:val="center"/>
          </w:tcPr>
          <w:p w14:paraId="10B0B31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754" w:type="dxa"/>
            <w:vAlign w:val="center"/>
          </w:tcPr>
          <w:p w14:paraId="0411B81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不按照规定向劳动者公开职业病诊断程序，责令限期改正，逾期不改正，未对劳动者健康或健康权益造成损害，未产生社会影响的。</w:t>
            </w:r>
          </w:p>
        </w:tc>
        <w:tc>
          <w:tcPr>
            <w:tcW w:w="4721" w:type="dxa"/>
            <w:vAlign w:val="center"/>
          </w:tcPr>
          <w:p w14:paraId="0CE92A3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警告，并可处一万元以下罚款。</w:t>
            </w:r>
          </w:p>
        </w:tc>
      </w:tr>
      <w:tr w14:paraId="7ED1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440" w:type="dxa"/>
            <w:vAlign w:val="center"/>
          </w:tcPr>
          <w:p w14:paraId="277306E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754" w:type="dxa"/>
            <w:vAlign w:val="center"/>
          </w:tcPr>
          <w:p w14:paraId="208AAF9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不按照规定向劳动者公开职业病诊断程序，责令限期改正，逾期不改正，对劳动者健康或健康权益造成轻微损害，产生社会影响的。</w:t>
            </w:r>
          </w:p>
        </w:tc>
        <w:tc>
          <w:tcPr>
            <w:tcW w:w="4721" w:type="dxa"/>
            <w:vAlign w:val="center"/>
          </w:tcPr>
          <w:p w14:paraId="4145130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警告，并可处一万元以上二万元以下罚款。</w:t>
            </w:r>
          </w:p>
        </w:tc>
      </w:tr>
      <w:tr w14:paraId="503E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440" w:type="dxa"/>
            <w:vAlign w:val="center"/>
          </w:tcPr>
          <w:p w14:paraId="5AEFB31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754" w:type="dxa"/>
            <w:vAlign w:val="center"/>
          </w:tcPr>
          <w:p w14:paraId="369A5ED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不按照规定向劳动者公开职业病诊断程序，责令限期改正，逾期不改正，对劳动者健康或健康权益造成严重损害，产生恶劣社会影响的。</w:t>
            </w:r>
          </w:p>
        </w:tc>
        <w:tc>
          <w:tcPr>
            <w:tcW w:w="4721" w:type="dxa"/>
            <w:vAlign w:val="center"/>
          </w:tcPr>
          <w:p w14:paraId="5118FD5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警告，并处二万元以上三万元以下罚款。</w:t>
            </w:r>
          </w:p>
        </w:tc>
      </w:tr>
    </w:tbl>
    <w:p w14:paraId="20967A9F">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826" w:name="_Toc21604"/>
      <w:bookmarkStart w:id="6827" w:name="_Toc15638"/>
      <w:bookmarkStart w:id="6828" w:name="_Toc13237"/>
      <w:bookmarkStart w:id="6829" w:name="_Toc24927"/>
      <w:bookmarkStart w:id="6830" w:name="_Toc30552"/>
      <w:bookmarkStart w:id="6831" w:name="_Toc29911"/>
      <w:bookmarkStart w:id="6832" w:name="_Toc19200"/>
      <w:bookmarkStart w:id="6833" w:name="_Toc27174"/>
      <w:bookmarkStart w:id="6834" w:name="_Toc14287"/>
      <w:bookmarkStart w:id="6835" w:name="_Toc29503"/>
      <w:bookmarkStart w:id="6836" w:name="_Toc24708"/>
      <w:r>
        <w:rPr>
          <w:rFonts w:hint="eastAsia" w:ascii="Times New Roman" w:hAnsi="Times New Roman" w:cs="仿宋_GB2312"/>
          <w:bCs/>
          <w:color w:val="000000" w:themeColor="text1"/>
          <w:kern w:val="0"/>
          <w14:textFill>
            <w14:solidFill>
              <w14:schemeClr w14:val="tx1"/>
            </w14:solidFill>
          </w14:textFill>
        </w:rPr>
        <w:t>第五百四十八</w:t>
      </w:r>
      <w:r>
        <w:rPr>
          <w:rFonts w:hint="eastAsia" w:ascii="Times New Roman" w:hAnsi="Times New Roman" w:cs="仿宋_GB2312"/>
          <w:bCs/>
          <w:color w:val="000000" w:themeColor="text1"/>
          <w:kern w:val="0"/>
          <w:szCs w:val="32"/>
          <w14:textFill>
            <w14:solidFill>
              <w14:schemeClr w14:val="tx1"/>
            </w14:solidFill>
          </w14:textFill>
        </w:rPr>
        <w:t>条 职业病诊断机构泄露劳动者涉及个人隐私的有关信息、资料的</w:t>
      </w:r>
      <w:bookmarkEnd w:id="6826"/>
      <w:bookmarkEnd w:id="6827"/>
      <w:bookmarkEnd w:id="6828"/>
      <w:bookmarkEnd w:id="6829"/>
      <w:bookmarkEnd w:id="6830"/>
      <w:bookmarkEnd w:id="6831"/>
      <w:bookmarkEnd w:id="6832"/>
      <w:bookmarkEnd w:id="6833"/>
      <w:bookmarkEnd w:id="6834"/>
      <w:bookmarkEnd w:id="6835"/>
      <w:bookmarkEnd w:id="6836"/>
    </w:p>
    <w:p w14:paraId="3EFB215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1EA1F1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《职业病诊断与鉴定管理办法》第五十七条第（三）项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职业病诊断机构违反《职业病诊断与鉴定管理办法》规定，有下列情形之一的，由县级以上地方卫生健康主管部门责令限期改正；逾期不改的，给予警告，并可以根据情节轻重处以三万元以下罚款：</w:t>
      </w:r>
    </w:p>
    <w:p w14:paraId="566A9F6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（三）泄露劳动者涉及个人隐私的有关信息、资料的；</w:t>
      </w:r>
    </w:p>
    <w:p w14:paraId="28D36DDB">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754"/>
        <w:gridCol w:w="4721"/>
      </w:tblGrid>
      <w:tr w14:paraId="1257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40" w:type="dxa"/>
            <w:vAlign w:val="center"/>
          </w:tcPr>
          <w:p w14:paraId="0235A76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54" w:type="dxa"/>
            <w:vAlign w:val="center"/>
          </w:tcPr>
          <w:p w14:paraId="2383F22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721" w:type="dxa"/>
            <w:vAlign w:val="center"/>
          </w:tcPr>
          <w:p w14:paraId="698E354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426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40" w:type="dxa"/>
            <w:vAlign w:val="center"/>
          </w:tcPr>
          <w:p w14:paraId="551C842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754" w:type="dxa"/>
            <w:vAlign w:val="center"/>
          </w:tcPr>
          <w:p w14:paraId="7E21879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泄露劳动者涉及个人隐私的有关信息、资料。</w:t>
            </w:r>
          </w:p>
        </w:tc>
        <w:tc>
          <w:tcPr>
            <w:tcW w:w="4721" w:type="dxa"/>
            <w:vAlign w:val="center"/>
          </w:tcPr>
          <w:p w14:paraId="64BDF09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75DE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40" w:type="dxa"/>
            <w:vAlign w:val="center"/>
          </w:tcPr>
          <w:p w14:paraId="2600935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754" w:type="dxa"/>
            <w:vAlign w:val="center"/>
          </w:tcPr>
          <w:p w14:paraId="6367F11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泄露劳动者涉及个人隐私的有关信息、资料，责令限期改正，逾期不改正，未对劳动者健康或健康权益造成损害，未产生社会影响的。</w:t>
            </w:r>
          </w:p>
        </w:tc>
        <w:tc>
          <w:tcPr>
            <w:tcW w:w="4721" w:type="dxa"/>
            <w:vAlign w:val="center"/>
          </w:tcPr>
          <w:p w14:paraId="2C57649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警告，并可处一万元以下罚款。</w:t>
            </w:r>
          </w:p>
        </w:tc>
      </w:tr>
      <w:tr w14:paraId="245A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40" w:type="dxa"/>
            <w:vAlign w:val="center"/>
          </w:tcPr>
          <w:p w14:paraId="2F0184D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754" w:type="dxa"/>
            <w:vAlign w:val="center"/>
          </w:tcPr>
          <w:p w14:paraId="1AE6E31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泄露劳动者涉及个人隐私的有关信息、资料，责令限期改正，逾期不改正，对劳动者健康或健康权益造成轻微损害，产生社会影响的。</w:t>
            </w:r>
          </w:p>
        </w:tc>
        <w:tc>
          <w:tcPr>
            <w:tcW w:w="4721" w:type="dxa"/>
            <w:vAlign w:val="center"/>
          </w:tcPr>
          <w:p w14:paraId="21CCDB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警告，并可处一万元以上二万元以下罚款。</w:t>
            </w:r>
          </w:p>
        </w:tc>
      </w:tr>
      <w:tr w14:paraId="0EE5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40" w:type="dxa"/>
            <w:vAlign w:val="center"/>
          </w:tcPr>
          <w:p w14:paraId="303C5C3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754" w:type="dxa"/>
            <w:vAlign w:val="center"/>
          </w:tcPr>
          <w:p w14:paraId="6D4CADB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泄露劳动者涉及个人隐私的有关信息、资料，责令限期改正，逾期不改正，对劳动者健康或健康权益造成严重损害，产生恶劣社会影响的。</w:t>
            </w:r>
          </w:p>
        </w:tc>
        <w:tc>
          <w:tcPr>
            <w:tcW w:w="4721" w:type="dxa"/>
            <w:vAlign w:val="center"/>
          </w:tcPr>
          <w:p w14:paraId="67A2BFE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警告，并处二万元以上三万元以下罚款。</w:t>
            </w:r>
          </w:p>
        </w:tc>
      </w:tr>
    </w:tbl>
    <w:p w14:paraId="59ADB29E">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837" w:name="_Toc29456"/>
      <w:bookmarkStart w:id="6838" w:name="_Toc20632"/>
      <w:bookmarkStart w:id="6839" w:name="_Toc1147"/>
      <w:bookmarkStart w:id="6840" w:name="_Toc1820"/>
      <w:bookmarkStart w:id="6841" w:name="_Toc1573"/>
      <w:bookmarkStart w:id="6842" w:name="_Toc28549"/>
      <w:bookmarkStart w:id="6843" w:name="_Toc14265"/>
      <w:bookmarkStart w:id="6844" w:name="_Toc1998"/>
      <w:bookmarkStart w:id="6845" w:name="_Toc10489"/>
      <w:bookmarkStart w:id="6846" w:name="_Toc14348"/>
      <w:bookmarkStart w:id="6847" w:name="_Toc10378"/>
      <w:r>
        <w:rPr>
          <w:rFonts w:hint="eastAsia" w:ascii="Times New Roman" w:hAnsi="Times New Roman" w:cs="仿宋_GB2312"/>
          <w:bCs/>
          <w:color w:val="000000" w:themeColor="text1"/>
          <w:kern w:val="0"/>
          <w14:textFill>
            <w14:solidFill>
              <w14:schemeClr w14:val="tx1"/>
            </w14:solidFill>
          </w14:textFill>
        </w:rPr>
        <w:t>第五百四十九</w:t>
      </w:r>
      <w:r>
        <w:rPr>
          <w:rFonts w:hint="eastAsia" w:ascii="Times New Roman" w:hAnsi="Times New Roman" w:cs="仿宋_GB2312"/>
          <w:bCs/>
          <w:color w:val="000000" w:themeColor="text1"/>
          <w:kern w:val="0"/>
          <w:szCs w:val="32"/>
          <w14:textFill>
            <w14:solidFill>
              <w14:schemeClr w14:val="tx1"/>
            </w14:solidFill>
          </w14:textFill>
        </w:rPr>
        <w:t>条 职业病诊断机构未按照规定参加质量控制评估，或者质量控制评估不合格且未按要求整改的</w:t>
      </w:r>
      <w:bookmarkEnd w:id="6837"/>
      <w:bookmarkEnd w:id="6838"/>
      <w:bookmarkEnd w:id="6839"/>
      <w:bookmarkEnd w:id="6840"/>
      <w:bookmarkEnd w:id="6841"/>
      <w:bookmarkEnd w:id="6842"/>
      <w:bookmarkEnd w:id="6843"/>
      <w:bookmarkEnd w:id="6844"/>
      <w:bookmarkEnd w:id="6845"/>
      <w:bookmarkEnd w:id="6846"/>
      <w:bookmarkEnd w:id="6847"/>
    </w:p>
    <w:p w14:paraId="79FCB67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34EDE9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《职业病诊断与鉴定管理办法》第五十七条第（四）项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职业病诊断机构违反《职业病诊断与鉴定管理办法》规定，有下列情形之一的，由县级以上地方卫生健康主管部门责令限期改正；逾期不改的，给予警告，并可以根据情节轻重处以三万元以下罚款：</w:t>
      </w:r>
    </w:p>
    <w:p w14:paraId="1D8A67D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（四）未按照规定参加质量控制评估，或者质量控制评估不合格且未按要求整改的；</w:t>
      </w:r>
    </w:p>
    <w:p w14:paraId="6CB51533">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7783"/>
        <w:gridCol w:w="4615"/>
      </w:tblGrid>
      <w:tr w14:paraId="48B3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31" w:type="dxa"/>
            <w:vAlign w:val="center"/>
          </w:tcPr>
          <w:p w14:paraId="65E7B2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83" w:type="dxa"/>
            <w:vAlign w:val="center"/>
          </w:tcPr>
          <w:p w14:paraId="612E08F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615" w:type="dxa"/>
            <w:vAlign w:val="center"/>
          </w:tcPr>
          <w:p w14:paraId="2630563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BFF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1" w:type="dxa"/>
            <w:vAlign w:val="center"/>
          </w:tcPr>
          <w:p w14:paraId="27A74C7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783" w:type="dxa"/>
            <w:vAlign w:val="center"/>
          </w:tcPr>
          <w:p w14:paraId="283480D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未按规定参加质量控制评估，或者质量控制评估不合格且未按要求整改仍开展职业病诊断工作的。</w:t>
            </w:r>
          </w:p>
        </w:tc>
        <w:tc>
          <w:tcPr>
            <w:tcW w:w="4615" w:type="dxa"/>
            <w:vAlign w:val="center"/>
          </w:tcPr>
          <w:p w14:paraId="7DB8E16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0F5A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31" w:type="dxa"/>
            <w:vAlign w:val="center"/>
          </w:tcPr>
          <w:p w14:paraId="1F52DEE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783" w:type="dxa"/>
            <w:vAlign w:val="center"/>
          </w:tcPr>
          <w:p w14:paraId="26E4CC0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未按规定参加质量控制评估，或者质量控制评估不合格且未按要求整改仍开展职业病诊断工作，经责令限期改正，逾期不改，未对劳动者健康或健康权益造成损害，未产生社会影响的。</w:t>
            </w:r>
          </w:p>
        </w:tc>
        <w:tc>
          <w:tcPr>
            <w:tcW w:w="4615" w:type="dxa"/>
            <w:vAlign w:val="center"/>
          </w:tcPr>
          <w:p w14:paraId="778B7B6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警告，并可处一万元以下罚款。</w:t>
            </w:r>
          </w:p>
        </w:tc>
      </w:tr>
      <w:tr w14:paraId="0029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31" w:type="dxa"/>
            <w:vAlign w:val="center"/>
          </w:tcPr>
          <w:p w14:paraId="77D6362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783" w:type="dxa"/>
            <w:vAlign w:val="center"/>
          </w:tcPr>
          <w:p w14:paraId="5A1D43F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未按规定参加质量控制评估，或者质量控制评估不合格且未按要求整改仍开展职业病诊断工作，经责令限期改正，逾期不改，对劳动者健康或健康权益造成轻微损害，产生社会影响的。</w:t>
            </w:r>
          </w:p>
        </w:tc>
        <w:tc>
          <w:tcPr>
            <w:tcW w:w="4615" w:type="dxa"/>
            <w:vAlign w:val="center"/>
          </w:tcPr>
          <w:p w14:paraId="64C907C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警告，并可处一万元以上二万元以下罚款。</w:t>
            </w:r>
          </w:p>
        </w:tc>
      </w:tr>
      <w:tr w14:paraId="3130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1431" w:type="dxa"/>
            <w:vAlign w:val="center"/>
          </w:tcPr>
          <w:p w14:paraId="16197B6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783" w:type="dxa"/>
            <w:vAlign w:val="center"/>
          </w:tcPr>
          <w:p w14:paraId="71A0746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未按规定参加质量控制评估，或者质量控制评估不合格且未按要求整改仍开展职业病诊断工作，经责令限期改正，逾期不改，对劳动者健康或健康权益造成严重损害，产生恶劣社会影响的。</w:t>
            </w:r>
          </w:p>
        </w:tc>
        <w:tc>
          <w:tcPr>
            <w:tcW w:w="4615" w:type="dxa"/>
            <w:vAlign w:val="center"/>
          </w:tcPr>
          <w:p w14:paraId="7AAC78C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警告，并处二万元以上三万元以下罚款。</w:t>
            </w:r>
          </w:p>
        </w:tc>
      </w:tr>
    </w:tbl>
    <w:p w14:paraId="588A0726">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848" w:name="_Toc4561"/>
      <w:bookmarkStart w:id="6849" w:name="_Toc21909"/>
      <w:bookmarkStart w:id="6850" w:name="_Toc29374"/>
      <w:bookmarkStart w:id="6851" w:name="_Toc15063"/>
      <w:bookmarkStart w:id="6852" w:name="_Toc26247"/>
      <w:bookmarkStart w:id="6853" w:name="_Toc8534"/>
      <w:bookmarkStart w:id="6854" w:name="_Toc26669"/>
      <w:bookmarkStart w:id="6855" w:name="_Toc24832"/>
      <w:bookmarkStart w:id="6856" w:name="_Toc28095"/>
      <w:bookmarkStart w:id="6857" w:name="_Toc25123"/>
      <w:bookmarkStart w:id="6858" w:name="_Toc24193"/>
      <w:r>
        <w:rPr>
          <w:rFonts w:hint="eastAsia" w:ascii="Times New Roman" w:hAnsi="Times New Roman" w:cs="仿宋_GB2312"/>
          <w:bCs/>
          <w:color w:val="000000" w:themeColor="text1"/>
          <w:kern w:val="0"/>
          <w14:textFill>
            <w14:solidFill>
              <w14:schemeClr w14:val="tx1"/>
            </w14:solidFill>
          </w14:textFill>
        </w:rPr>
        <w:t>第五百五十</w:t>
      </w:r>
      <w:r>
        <w:rPr>
          <w:rFonts w:hint="eastAsia" w:ascii="Times New Roman" w:hAnsi="Times New Roman" w:cs="仿宋_GB2312"/>
          <w:bCs/>
          <w:color w:val="000000" w:themeColor="text1"/>
          <w:kern w:val="0"/>
          <w:szCs w:val="32"/>
          <w14:textFill>
            <w14:solidFill>
              <w14:schemeClr w14:val="tx1"/>
            </w14:solidFill>
          </w14:textFill>
        </w:rPr>
        <w:t>条 职业病诊断机构拒不配合卫生健康主管部门监督检查的</w:t>
      </w:r>
      <w:bookmarkEnd w:id="6848"/>
      <w:bookmarkEnd w:id="6849"/>
      <w:bookmarkEnd w:id="6850"/>
      <w:bookmarkEnd w:id="6851"/>
      <w:bookmarkEnd w:id="6852"/>
      <w:bookmarkEnd w:id="6853"/>
      <w:bookmarkEnd w:id="6854"/>
      <w:bookmarkEnd w:id="6855"/>
      <w:bookmarkEnd w:id="6856"/>
      <w:bookmarkEnd w:id="6857"/>
      <w:bookmarkEnd w:id="6858"/>
    </w:p>
    <w:p w14:paraId="06523C6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62120D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《职业病诊断与鉴定管理办法》第五十七条第（</w:t>
      </w:r>
      <w:r>
        <w:rPr>
          <w:rFonts w:hint="eastAsia" w:ascii="Times New Roman" w:hAnsi="Times New Roman" w:eastAsia="仿宋_GB2312" w:cs="仿宋_GB2312"/>
          <w:color w:val="000000" w:themeColor="text1"/>
          <w:kern w:val="2"/>
          <w:sz w:val="32"/>
          <w:szCs w:val="21"/>
          <w14:textFill>
            <w14:solidFill>
              <w14:schemeClr w14:val="tx1"/>
            </w14:solidFill>
          </w14:textFill>
        </w:rPr>
        <w:t>五</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职业病诊断机构违反</w:t>
      </w:r>
      <w:r>
        <w:rPr>
          <w:rFonts w:hint="eastAsia" w:ascii="Times New Roman" w:hAnsi="Times New Roman" w:eastAsia="仿宋_GB2312" w:cs="仿宋_GB2312"/>
          <w:color w:val="000000" w:themeColor="text1"/>
          <w:kern w:val="2"/>
          <w:sz w:val="32"/>
          <w:szCs w:val="21"/>
          <w14:textFill>
            <w14:solidFill>
              <w14:schemeClr w14:val="tx1"/>
            </w14:solidFill>
          </w14:textFill>
        </w:rPr>
        <w:t>《职业病诊断与鉴定管理办法》</w:t>
      </w:r>
      <w:r>
        <w:rPr>
          <w:rFonts w:ascii="Times New Roman" w:hAnsi="Times New Roman" w:eastAsia="仿宋_GB2312" w:cs="仿宋_GB2312"/>
          <w:color w:val="000000" w:themeColor="text1"/>
          <w:kern w:val="2"/>
          <w:sz w:val="32"/>
          <w:szCs w:val="21"/>
          <w14:textFill>
            <w14:solidFill>
              <w14:schemeClr w14:val="tx1"/>
            </w14:solidFill>
          </w14:textFill>
        </w:rPr>
        <w:t>规定，有下列情形之一的，由县级以上地方卫生健康主管部门责令限期改正；逾期不改的，给予警告，并可以根据情节轻重处以三万元以下罚款：</w:t>
      </w:r>
    </w:p>
    <w:p w14:paraId="766EAB7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（五）拒不配合卫生健康主管部门监督检查的；</w:t>
      </w:r>
    </w:p>
    <w:p w14:paraId="0C8BD94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7785"/>
        <w:gridCol w:w="4598"/>
      </w:tblGrid>
      <w:tr w14:paraId="33A6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429" w:type="dxa"/>
            <w:vAlign w:val="center"/>
          </w:tcPr>
          <w:p w14:paraId="4150F62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85" w:type="dxa"/>
            <w:vAlign w:val="center"/>
          </w:tcPr>
          <w:p w14:paraId="778CDE0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598" w:type="dxa"/>
            <w:vAlign w:val="center"/>
          </w:tcPr>
          <w:p w14:paraId="5FB4507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82F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429" w:type="dxa"/>
            <w:vAlign w:val="center"/>
          </w:tcPr>
          <w:p w14:paraId="787F359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轻微</w:t>
            </w:r>
          </w:p>
        </w:tc>
        <w:tc>
          <w:tcPr>
            <w:tcW w:w="7785" w:type="dxa"/>
            <w:vAlign w:val="center"/>
          </w:tcPr>
          <w:p w14:paraId="29CA763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拒绝卫生健康主管部门监督检查的。</w:t>
            </w:r>
          </w:p>
        </w:tc>
        <w:tc>
          <w:tcPr>
            <w:tcW w:w="4598" w:type="dxa"/>
            <w:vAlign w:val="center"/>
          </w:tcPr>
          <w:p w14:paraId="2053B82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责令限期改正。</w:t>
            </w:r>
          </w:p>
        </w:tc>
      </w:tr>
      <w:tr w14:paraId="4CDD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9" w:type="dxa"/>
            <w:vAlign w:val="center"/>
          </w:tcPr>
          <w:p w14:paraId="591E749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785" w:type="dxa"/>
            <w:vAlign w:val="center"/>
          </w:tcPr>
          <w:p w14:paraId="25EA3D1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拒绝卫生健康主管部门监督检查，经责令限期改正，逾期不改正，仍存在不予配合、消极抵制卫生健康主管部门监督检查的。</w:t>
            </w:r>
          </w:p>
        </w:tc>
        <w:tc>
          <w:tcPr>
            <w:tcW w:w="4598" w:type="dxa"/>
            <w:vAlign w:val="center"/>
          </w:tcPr>
          <w:p w14:paraId="4687D93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警告，并可处一万元以下罚款。</w:t>
            </w:r>
          </w:p>
        </w:tc>
      </w:tr>
      <w:tr w14:paraId="7F16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9" w:type="dxa"/>
            <w:vAlign w:val="center"/>
          </w:tcPr>
          <w:p w14:paraId="1C9999E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785" w:type="dxa"/>
            <w:vAlign w:val="center"/>
          </w:tcPr>
          <w:p w14:paraId="57A43FA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拒绝卫生健康主管部门监督检查，经责令限期改正，逾期不改正，仍存在以主动方式（吵闹、谩骂等）阻碍卫生健康主管部门监督检查的。</w:t>
            </w:r>
          </w:p>
        </w:tc>
        <w:tc>
          <w:tcPr>
            <w:tcW w:w="4598" w:type="dxa"/>
            <w:vAlign w:val="center"/>
          </w:tcPr>
          <w:p w14:paraId="6974994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警告，并可处一万元以上二万元以下罚款。</w:t>
            </w:r>
          </w:p>
        </w:tc>
      </w:tr>
      <w:tr w14:paraId="15CB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9" w:type="dxa"/>
            <w:vAlign w:val="center"/>
          </w:tcPr>
          <w:p w14:paraId="6250772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785" w:type="dxa"/>
            <w:vAlign w:val="center"/>
          </w:tcPr>
          <w:p w14:paraId="5528041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拒绝卫生健康主管部门监督检查，经责令限期改正，逾期不改正，仍存在以暴力手段拒绝监督检查，对执法人员造成健康损害的。</w:t>
            </w:r>
          </w:p>
        </w:tc>
        <w:tc>
          <w:tcPr>
            <w:tcW w:w="4598" w:type="dxa"/>
            <w:vAlign w:val="center"/>
          </w:tcPr>
          <w:p w14:paraId="6D62C0C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警告，并处二万元以上三万元以下罚款。</w:t>
            </w:r>
          </w:p>
        </w:tc>
      </w:tr>
    </w:tbl>
    <w:p w14:paraId="0C22D8A1">
      <w:pPr>
        <w:widowControl w:val="0"/>
        <w:numPr>
          <w:ilvl w:val="255"/>
          <w:numId w:val="0"/>
        </w:numPr>
        <w:adjustRightInd/>
        <w:snapToGrid/>
        <w:spacing w:before="157" w:beforeLines="50" w:after="157" w:afterLines="50" w:line="440" w:lineRule="exact"/>
        <w:ind w:firstLine="643" w:firstLineChars="200"/>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pPr>
      <w:bookmarkStart w:id="6859" w:name="_Toc27203"/>
      <w:bookmarkStart w:id="6860" w:name="_Toc22739"/>
      <w:r>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t>（七）《职业卫生技术服务机构管理办法》</w:t>
      </w:r>
      <w:bookmarkEnd w:id="6859"/>
      <w:bookmarkEnd w:id="6860"/>
    </w:p>
    <w:p w14:paraId="7EE1B1F5">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861" w:name="_Toc6847"/>
      <w:bookmarkStart w:id="6862" w:name="_Toc4555"/>
      <w:bookmarkStart w:id="6863" w:name="_Toc3945"/>
      <w:bookmarkStart w:id="6864" w:name="_Toc22113"/>
      <w:bookmarkStart w:id="6865" w:name="_Toc19378"/>
      <w:bookmarkStart w:id="6866" w:name="_Toc500"/>
      <w:bookmarkStart w:id="6867" w:name="_Toc28620"/>
      <w:bookmarkStart w:id="6868" w:name="_Toc2211"/>
      <w:bookmarkStart w:id="6869" w:name="_Toc29870"/>
      <w:bookmarkStart w:id="6870" w:name="_Toc5342"/>
      <w:bookmarkStart w:id="6871" w:name="_Toc11985"/>
      <w:r>
        <w:rPr>
          <w:rFonts w:hint="eastAsia" w:ascii="Times New Roman" w:hAnsi="Times New Roman" w:cs="仿宋_GB2312"/>
          <w:bCs/>
          <w:color w:val="000000" w:themeColor="text1"/>
          <w:kern w:val="0"/>
          <w14:textFill>
            <w14:solidFill>
              <w14:schemeClr w14:val="tx1"/>
            </w14:solidFill>
          </w14:textFill>
        </w:rPr>
        <w:t>第五百五十一</w:t>
      </w:r>
      <w:r>
        <w:rPr>
          <w:rFonts w:hint="eastAsia" w:ascii="Times New Roman" w:hAnsi="Times New Roman" w:cs="仿宋_GB2312"/>
          <w:bCs/>
          <w:color w:val="000000" w:themeColor="text1"/>
          <w:kern w:val="0"/>
          <w:szCs w:val="32"/>
          <w14:textFill>
            <w14:solidFill>
              <w14:schemeClr w14:val="tx1"/>
            </w14:solidFill>
          </w14:textFill>
        </w:rPr>
        <w:t>条 隐瞒有关情况或者提供虚假材料申请职业卫生技术服务机构资质认可的</w:t>
      </w:r>
      <w:bookmarkEnd w:id="6861"/>
      <w:bookmarkEnd w:id="6862"/>
      <w:bookmarkEnd w:id="6863"/>
      <w:bookmarkEnd w:id="6864"/>
      <w:bookmarkEnd w:id="6865"/>
      <w:bookmarkEnd w:id="6866"/>
      <w:bookmarkEnd w:id="6867"/>
      <w:bookmarkEnd w:id="6868"/>
      <w:bookmarkEnd w:id="6869"/>
      <w:bookmarkEnd w:id="6870"/>
      <w:bookmarkEnd w:id="6871"/>
    </w:p>
    <w:p w14:paraId="5E1E82B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CBE22A0">
      <w:pPr>
        <w:widowControl w:val="0"/>
        <w:adjustRightInd/>
        <w:snapToGrid/>
        <w:spacing w:after="0" w:line="440" w:lineRule="exact"/>
        <w:ind w:firstLine="643"/>
        <w:jc w:val="both"/>
        <w:rPr>
          <w:rFonts w:hint="eastAsia" w:ascii="Times New Roman" w:hAnsi="Times New Roman" w:eastAsia="仿宋_GB2312" w:cs="仿宋_GB2312"/>
          <w:color w:val="000000" w:themeColor="text1"/>
          <w:spacing w:val="-6"/>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《职业卫生技术服务机构管理办法》第四十条第一款</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申请人隐瞒有关情况或者提供虚假材料申请职业卫生技术服务机构资质认可的，资质认可机关不予受理或者不予认可，并给予警告；</w:t>
      </w:r>
      <w:r>
        <w:rPr>
          <w:rFonts w:hint="eastAsia" w:ascii="Times New Roman" w:hAnsi="Times New Roman" w:eastAsia="仿宋_GB2312" w:cs="仿宋_GB2312"/>
          <w:color w:val="000000" w:themeColor="text1"/>
          <w:spacing w:val="-6"/>
          <w:kern w:val="2"/>
          <w:sz w:val="32"/>
          <w:szCs w:val="21"/>
          <w14:textFill>
            <w14:solidFill>
              <w14:schemeClr w14:val="tx1"/>
            </w14:solidFill>
          </w14:textFill>
        </w:rPr>
        <w:t>申请人自资质认可机关作出不予受理或者不予认可决定之日起一年内不得再次申请职业卫生技术服务机构资质。 </w:t>
      </w:r>
    </w:p>
    <w:p w14:paraId="18F61759">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6940"/>
        <w:gridCol w:w="5395"/>
      </w:tblGrid>
      <w:tr w14:paraId="3A1E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424" w:type="dxa"/>
            <w:vAlign w:val="center"/>
          </w:tcPr>
          <w:p w14:paraId="3ECDB82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940" w:type="dxa"/>
            <w:vAlign w:val="center"/>
          </w:tcPr>
          <w:p w14:paraId="0A3B869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395" w:type="dxa"/>
            <w:vAlign w:val="center"/>
          </w:tcPr>
          <w:p w14:paraId="58E9379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1C4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1424" w:type="dxa"/>
            <w:vAlign w:val="center"/>
          </w:tcPr>
          <w:p w14:paraId="5B182E1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6940" w:type="dxa"/>
            <w:vAlign w:val="center"/>
          </w:tcPr>
          <w:p w14:paraId="6272590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资质申请时，申请人隐瞒有关情况的或者提供虚假材料申请职业卫生技术服务机构资质认可的。</w:t>
            </w:r>
          </w:p>
        </w:tc>
        <w:tc>
          <w:tcPr>
            <w:tcW w:w="5395" w:type="dxa"/>
            <w:vAlign w:val="center"/>
          </w:tcPr>
          <w:p w14:paraId="3F80DB84">
            <w:pPr>
              <w:widowControl w:val="0"/>
              <w:adjustRightInd/>
              <w:snapToGrid/>
              <w:spacing w:after="0" w:line="320" w:lineRule="exact"/>
              <w:jc w:val="both"/>
              <w:rPr>
                <w:rFonts w:hint="default"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资质认可机关不予受理或者不予认可，给予警告</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r>
              <w:rPr>
                <w:rFonts w:hint="eastAsia" w:ascii="Times New Roman" w:hAnsi="Times New Roman" w:eastAsia="仿宋_GB2312" w:cs="Times New Roman"/>
                <w:color w:val="000000" w:themeColor="text1"/>
                <w:spacing w:val="0"/>
                <w:kern w:val="0"/>
                <w:sz w:val="24"/>
                <w:szCs w:val="22"/>
                <w:lang w:bidi="ar"/>
                <w14:textFill>
                  <w14:solidFill>
                    <w14:schemeClr w14:val="tx1"/>
                  </w14:solidFill>
                </w14:textFill>
              </w:rPr>
              <w:t>申请人自资质认可机关作出不予受理或者不予认可决定之日起一年内不得再次申请职业卫生技术服务机构资质。</w:t>
            </w:r>
          </w:p>
        </w:tc>
      </w:tr>
    </w:tbl>
    <w:p w14:paraId="4CE5DAD1">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872" w:name="_Toc29217"/>
      <w:bookmarkStart w:id="6873" w:name="_Toc24765"/>
      <w:bookmarkStart w:id="6874" w:name="_Toc28111"/>
      <w:bookmarkStart w:id="6875" w:name="_Toc11458"/>
      <w:bookmarkStart w:id="6876" w:name="_Toc18060"/>
      <w:bookmarkStart w:id="6877" w:name="_Toc613"/>
      <w:bookmarkStart w:id="6878" w:name="_Toc497"/>
      <w:bookmarkStart w:id="6879" w:name="_Toc15013"/>
      <w:bookmarkStart w:id="6880" w:name="_Toc26851"/>
      <w:bookmarkStart w:id="6881" w:name="_Toc24820"/>
      <w:bookmarkStart w:id="6882" w:name="_Toc29238"/>
      <w:r>
        <w:rPr>
          <w:rFonts w:hint="eastAsia" w:ascii="Times New Roman" w:hAnsi="Times New Roman" w:cs="仿宋_GB2312"/>
          <w:bCs/>
          <w:color w:val="000000" w:themeColor="text1"/>
          <w:kern w:val="0"/>
          <w14:textFill>
            <w14:solidFill>
              <w14:schemeClr w14:val="tx1"/>
            </w14:solidFill>
          </w14:textFill>
        </w:rPr>
        <w:t>第五百五十二</w:t>
      </w:r>
      <w:r>
        <w:rPr>
          <w:rFonts w:hint="eastAsia" w:ascii="Times New Roman" w:hAnsi="Times New Roman" w:cs="仿宋_GB2312"/>
          <w:bCs/>
          <w:color w:val="000000" w:themeColor="text1"/>
          <w:kern w:val="0"/>
          <w:szCs w:val="32"/>
          <w14:textFill>
            <w14:solidFill>
              <w14:schemeClr w14:val="tx1"/>
            </w14:solidFill>
          </w14:textFill>
        </w:rPr>
        <w:t>条 以欺骗、贿赂等不正当手段取得职业卫生技术服务机构资质认可的</w:t>
      </w:r>
      <w:bookmarkEnd w:id="6872"/>
      <w:bookmarkEnd w:id="6873"/>
      <w:bookmarkEnd w:id="6874"/>
      <w:bookmarkEnd w:id="6875"/>
      <w:bookmarkEnd w:id="6876"/>
      <w:bookmarkEnd w:id="6877"/>
      <w:bookmarkEnd w:id="6878"/>
      <w:bookmarkEnd w:id="6879"/>
      <w:bookmarkEnd w:id="6880"/>
      <w:bookmarkEnd w:id="6881"/>
      <w:bookmarkEnd w:id="6882"/>
    </w:p>
    <w:p w14:paraId="3F860E6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3B539908">
      <w:pPr>
        <w:widowControl w:val="0"/>
        <w:adjustRightInd/>
        <w:snapToGrid/>
        <w:spacing w:after="0" w:line="440" w:lineRule="exact"/>
        <w:ind w:firstLine="643"/>
        <w:jc w:val="both"/>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《职业卫生技术服务机构管理办法》第四十条第二款</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职业卫生技术服务机构以欺骗、贿赂等不正当手段取得职业卫生技术服务机构资质认可的，资质认可机关应当撤销其资质认可，并给予警告；申请人自资质认可机关撤销其资质认可之日起三年内不得再次申请职业卫生技术服务机构资质。 </w:t>
      </w:r>
    </w:p>
    <w:p w14:paraId="0A807A6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6929"/>
        <w:gridCol w:w="5499"/>
      </w:tblGrid>
      <w:tr w14:paraId="4A91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35" w:type="dxa"/>
            <w:vAlign w:val="center"/>
          </w:tcPr>
          <w:p w14:paraId="7292453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6929" w:type="dxa"/>
            <w:vAlign w:val="center"/>
          </w:tcPr>
          <w:p w14:paraId="42582D1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499" w:type="dxa"/>
            <w:vAlign w:val="center"/>
          </w:tcPr>
          <w:p w14:paraId="1E2EBF2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5FC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1435" w:type="dxa"/>
            <w:vAlign w:val="center"/>
          </w:tcPr>
          <w:p w14:paraId="0699D86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6929" w:type="dxa"/>
            <w:vAlign w:val="center"/>
          </w:tcPr>
          <w:p w14:paraId="2E48BC4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以欺骗、贿赂等不正当手段取得职业卫生技术服务机构资质认可</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tc>
        <w:tc>
          <w:tcPr>
            <w:tcW w:w="5499" w:type="dxa"/>
            <w:vAlign w:val="center"/>
          </w:tcPr>
          <w:p w14:paraId="640A610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资质认可机关撤销其资质认可，并给予警告</w:t>
            </w:r>
            <w:r>
              <w:rPr>
                <w:rFonts w:hint="eastAsia" w:ascii="Times New Roman" w:hAnsi="Times New Roman" w:eastAsia="仿宋_GB2312" w:cs="Times New Roman"/>
                <w:color w:val="000000" w:themeColor="text1"/>
                <w:kern w:val="0"/>
                <w:sz w:val="24"/>
                <w:szCs w:val="22"/>
                <w:lang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申请人自资质认可机关撤销其资质认可之日起三年内不得再次申请职业卫生技术服务机构资质。</w:t>
            </w:r>
          </w:p>
        </w:tc>
      </w:tr>
    </w:tbl>
    <w:p w14:paraId="42435D49">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883" w:name="_Toc19483"/>
      <w:bookmarkStart w:id="6884" w:name="_Toc13620"/>
      <w:bookmarkStart w:id="6885" w:name="_Toc24348"/>
      <w:bookmarkStart w:id="6886" w:name="_Toc29768"/>
      <w:bookmarkStart w:id="6887" w:name="_Toc15267"/>
      <w:bookmarkStart w:id="6888" w:name="_Toc26607"/>
      <w:bookmarkStart w:id="6889" w:name="_Toc31256"/>
      <w:bookmarkStart w:id="6890" w:name="_Toc7531"/>
      <w:bookmarkStart w:id="6891" w:name="_Toc16309"/>
      <w:bookmarkStart w:id="6892" w:name="_Toc31409"/>
      <w:bookmarkStart w:id="6893" w:name="_Toc14498"/>
      <w:r>
        <w:rPr>
          <w:rFonts w:hint="eastAsia" w:ascii="Times New Roman" w:hAnsi="Times New Roman" w:cs="仿宋_GB2312"/>
          <w:bCs/>
          <w:color w:val="000000" w:themeColor="text1"/>
          <w:kern w:val="0"/>
          <w14:textFill>
            <w14:solidFill>
              <w14:schemeClr w14:val="tx1"/>
            </w14:solidFill>
          </w14:textFill>
        </w:rPr>
        <w:t>第五百五十三</w:t>
      </w:r>
      <w:r>
        <w:rPr>
          <w:rFonts w:hint="eastAsia" w:ascii="Times New Roman" w:hAnsi="Times New Roman" w:cs="仿宋_GB2312"/>
          <w:bCs/>
          <w:color w:val="000000" w:themeColor="text1"/>
          <w:kern w:val="0"/>
          <w:szCs w:val="32"/>
          <w14:textFill>
            <w14:solidFill>
              <w14:schemeClr w14:val="tx1"/>
            </w14:solidFill>
          </w14:textFill>
        </w:rPr>
        <w:t>条 涂改、倒卖、出租、出借职业卫生技术服务机构资质证书，或者以其他形式非法转让职业卫生技术服务机构资质证书的</w:t>
      </w:r>
      <w:bookmarkEnd w:id="6883"/>
      <w:bookmarkEnd w:id="6884"/>
      <w:bookmarkEnd w:id="6885"/>
      <w:bookmarkEnd w:id="6886"/>
      <w:bookmarkEnd w:id="6887"/>
      <w:bookmarkEnd w:id="6888"/>
      <w:bookmarkEnd w:id="6889"/>
      <w:bookmarkEnd w:id="6890"/>
      <w:bookmarkEnd w:id="6891"/>
      <w:bookmarkEnd w:id="6892"/>
      <w:bookmarkEnd w:id="6893"/>
    </w:p>
    <w:p w14:paraId="77EEEF1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C91AC4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《职业卫生技术服务机构管理办法》第四十三条第</w:t>
      </w:r>
      <w:r>
        <w:rPr>
          <w:rFonts w:hint="eastAsia" w:ascii="Times New Roman" w:hAnsi="Times New Roman" w:eastAsia="仿宋_GB2312" w:cs="仿宋_GB2312"/>
          <w:color w:val="000000" w:themeColor="text1"/>
          <w:kern w:val="2"/>
          <w:sz w:val="32"/>
          <w:szCs w:val="21"/>
          <w14:textFill>
            <w14:solidFill>
              <w14:schemeClr w14:val="tx1"/>
            </w14:solidFill>
          </w14:textFill>
        </w:rPr>
        <w:t>（一）</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职业卫生技术服务机构有下列行为之一的，由县级以上地方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责令改正，给予警告，并处一万元以上三万元以下罚款；构成犯罪的，依法追究刑事责任：</w:t>
      </w:r>
    </w:p>
    <w:p w14:paraId="2137C22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（一）涂改、倒卖、出租、出借职业卫生技术服务机构资质证书，或者以其他形式非法转让职业卫生技术服务机构资质证书的；</w:t>
      </w:r>
    </w:p>
    <w:p w14:paraId="38E58D1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8231"/>
        <w:gridCol w:w="4116"/>
      </w:tblGrid>
      <w:tr w14:paraId="61CB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408" w:type="dxa"/>
            <w:vAlign w:val="center"/>
          </w:tcPr>
          <w:p w14:paraId="4D486937">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231" w:type="dxa"/>
            <w:vAlign w:val="center"/>
          </w:tcPr>
          <w:p w14:paraId="3F26C74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16" w:type="dxa"/>
            <w:vAlign w:val="center"/>
          </w:tcPr>
          <w:p w14:paraId="282AD88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3D3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408" w:type="dxa"/>
            <w:vAlign w:val="center"/>
          </w:tcPr>
          <w:p w14:paraId="2843EAB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231" w:type="dxa"/>
            <w:vAlign w:val="center"/>
          </w:tcPr>
          <w:p w14:paraId="3F54582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涂改、倒卖、出租、出借职业卫生技术服务机构资质证书，或者以其他形式非法转让职业卫生技术服务机构资质证书，没有非法所得或非法所得无法认定的。</w:t>
            </w:r>
          </w:p>
        </w:tc>
        <w:tc>
          <w:tcPr>
            <w:tcW w:w="4116" w:type="dxa"/>
            <w:vAlign w:val="center"/>
          </w:tcPr>
          <w:p w14:paraId="4FB9B9B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责令改正，给予警告，并处一万元以上一万五千元以下的罚款。</w:t>
            </w:r>
          </w:p>
        </w:tc>
      </w:tr>
      <w:tr w14:paraId="3E71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408" w:type="dxa"/>
            <w:vAlign w:val="center"/>
          </w:tcPr>
          <w:p w14:paraId="3BDB069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231" w:type="dxa"/>
            <w:vAlign w:val="center"/>
          </w:tcPr>
          <w:p w14:paraId="7340A72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涂改、倒卖、出租、出借职业卫生技术服务机构资质证书，或者以其他形式非法转让职业卫生技术服务机构资质证书，违法所得 2 万元以下的。</w:t>
            </w:r>
          </w:p>
        </w:tc>
        <w:tc>
          <w:tcPr>
            <w:tcW w:w="4116" w:type="dxa"/>
            <w:vAlign w:val="center"/>
          </w:tcPr>
          <w:p w14:paraId="4AE9B52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给予警告，并处一万五千元以上二万元以下的罚款。</w:t>
            </w:r>
          </w:p>
        </w:tc>
      </w:tr>
      <w:tr w14:paraId="1BDB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08" w:type="dxa"/>
            <w:vAlign w:val="center"/>
          </w:tcPr>
          <w:p w14:paraId="5145C9A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231" w:type="dxa"/>
            <w:vAlign w:val="center"/>
          </w:tcPr>
          <w:p w14:paraId="54B41D6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涂改、倒卖、出租、出借职业卫生技术服务机构资质证书，或者以其他形式非法转让职业卫生技术服务机构资质证书，违法所得 2 万元以上的。</w:t>
            </w:r>
          </w:p>
        </w:tc>
        <w:tc>
          <w:tcPr>
            <w:tcW w:w="4116" w:type="dxa"/>
            <w:vAlign w:val="center"/>
          </w:tcPr>
          <w:p w14:paraId="365FDB2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给予警告，并处二万元以上三万元以下的罚款。</w:t>
            </w:r>
          </w:p>
        </w:tc>
      </w:tr>
    </w:tbl>
    <w:p w14:paraId="026E6888">
      <w:pPr>
        <w:pStyle w:val="4"/>
        <w:widowControl w:val="0"/>
        <w:ind w:firstLine="640"/>
        <w:jc w:val="both"/>
        <w:rPr>
          <w:rFonts w:hint="eastAsia" w:ascii="Times New Roman" w:hAnsi="Times New Roman" w:cs="仿宋_GB2312"/>
          <w:bCs/>
          <w:color w:val="000000" w:themeColor="text1"/>
          <w:spacing w:val="-6"/>
          <w:kern w:val="0"/>
          <w:szCs w:val="32"/>
          <w14:textFill>
            <w14:solidFill>
              <w14:schemeClr w14:val="tx1"/>
            </w14:solidFill>
          </w14:textFill>
        </w:rPr>
      </w:pPr>
      <w:bookmarkStart w:id="6894" w:name="_Toc4219"/>
      <w:bookmarkStart w:id="6895" w:name="_Toc7313"/>
      <w:bookmarkStart w:id="6896" w:name="_Toc30740"/>
      <w:bookmarkStart w:id="6897" w:name="_Toc25038"/>
      <w:bookmarkStart w:id="6898" w:name="_Toc9489"/>
      <w:bookmarkStart w:id="6899" w:name="_Toc2420"/>
      <w:bookmarkStart w:id="6900" w:name="_Toc8740"/>
      <w:bookmarkStart w:id="6901" w:name="_Toc8491"/>
      <w:bookmarkStart w:id="6902" w:name="_Toc15483"/>
      <w:bookmarkStart w:id="6903" w:name="_Toc4110"/>
      <w:bookmarkStart w:id="6904" w:name="_Toc32314"/>
      <w:r>
        <w:rPr>
          <w:rFonts w:hint="eastAsia" w:ascii="Times New Roman" w:hAnsi="Times New Roman" w:cs="仿宋_GB2312"/>
          <w:bCs/>
          <w:color w:val="000000" w:themeColor="text1"/>
          <w:kern w:val="0"/>
          <w14:textFill>
            <w14:solidFill>
              <w14:schemeClr w14:val="tx1"/>
            </w14:solidFill>
          </w14:textFill>
        </w:rPr>
        <w:t>第五百五十四</w:t>
      </w:r>
      <w:r>
        <w:rPr>
          <w:rFonts w:hint="eastAsia" w:ascii="Times New Roman" w:hAnsi="Times New Roman" w:cs="仿宋_GB2312"/>
          <w:bCs/>
          <w:color w:val="000000" w:themeColor="text1"/>
          <w:kern w:val="0"/>
          <w:szCs w:val="32"/>
          <w14:textFill>
            <w14:solidFill>
              <w14:schemeClr w14:val="tx1"/>
            </w14:solidFill>
          </w14:textFill>
        </w:rPr>
        <w:t xml:space="preserve">条 </w:t>
      </w:r>
      <w:r>
        <w:rPr>
          <w:rFonts w:hint="eastAsia" w:ascii="Times New Roman" w:hAnsi="Times New Roman" w:cs="仿宋_GB2312"/>
          <w:bCs/>
          <w:color w:val="000000" w:themeColor="text1"/>
          <w:spacing w:val="-6"/>
          <w:kern w:val="0"/>
          <w:szCs w:val="32"/>
          <w14:textFill>
            <w14:solidFill>
              <w14:schemeClr w14:val="tx1"/>
            </w14:solidFill>
          </w14:textFill>
        </w:rPr>
        <w:t>未按规定向技术服务所在地卫生健康主管部门报送职业卫生技术服务相关信息的</w:t>
      </w:r>
      <w:bookmarkEnd w:id="6894"/>
      <w:bookmarkEnd w:id="6895"/>
      <w:bookmarkEnd w:id="6896"/>
      <w:bookmarkEnd w:id="6897"/>
      <w:bookmarkEnd w:id="6898"/>
      <w:bookmarkEnd w:id="6899"/>
      <w:bookmarkEnd w:id="6900"/>
      <w:bookmarkEnd w:id="6901"/>
      <w:bookmarkEnd w:id="6902"/>
      <w:bookmarkEnd w:id="6903"/>
      <w:bookmarkEnd w:id="6904"/>
    </w:p>
    <w:p w14:paraId="79A8822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E51AD9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《职业卫生技术服务机构管理办法》第四十三条第</w:t>
      </w:r>
      <w:r>
        <w:rPr>
          <w:rFonts w:hint="eastAsia" w:ascii="Times New Roman" w:hAnsi="Times New Roman" w:eastAsia="仿宋_GB2312" w:cs="仿宋_GB2312"/>
          <w:color w:val="000000" w:themeColor="text1"/>
          <w:kern w:val="2"/>
          <w:sz w:val="32"/>
          <w:szCs w:val="21"/>
          <w14:textFill>
            <w14:solidFill>
              <w14:schemeClr w14:val="tx1"/>
            </w14:solidFill>
          </w14:textFill>
        </w:rPr>
        <w:t>（二）</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职业卫生技术服务机构有下列行为之一的，由县级以上地方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责令改正，给予警告，并处一万元以上三万元以下罚款；构成犯罪的，依法追究刑事责任：</w:t>
      </w:r>
    </w:p>
    <w:p w14:paraId="6872A4C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（二）未按规定向技术服务所在地卫生健康主管部门报送职业卫生技术服务相关信息的</w:t>
      </w:r>
      <w:r>
        <w:rPr>
          <w:rFonts w:hint="eastAsia" w:ascii="Times New Roman" w:hAnsi="Times New Roman" w:eastAsia="仿宋_GB2312" w:cs="仿宋_GB2312"/>
          <w:color w:val="000000" w:themeColor="text1"/>
          <w:kern w:val="2"/>
          <w:sz w:val="32"/>
          <w:szCs w:val="21"/>
          <w14:textFill>
            <w14:solidFill>
              <w14:schemeClr w14:val="tx1"/>
            </w14:solidFill>
          </w14:textFill>
        </w:rPr>
        <w:t>；</w:t>
      </w:r>
    </w:p>
    <w:p w14:paraId="1FA1578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57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8235"/>
        <w:gridCol w:w="3932"/>
      </w:tblGrid>
      <w:tr w14:paraId="489D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04" w:type="dxa"/>
            <w:vAlign w:val="center"/>
          </w:tcPr>
          <w:p w14:paraId="444E60F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235" w:type="dxa"/>
            <w:vAlign w:val="center"/>
          </w:tcPr>
          <w:p w14:paraId="0A9E88D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932" w:type="dxa"/>
            <w:vAlign w:val="center"/>
          </w:tcPr>
          <w:p w14:paraId="7EDDF3A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BD8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04" w:type="dxa"/>
            <w:vAlign w:val="center"/>
          </w:tcPr>
          <w:p w14:paraId="6245787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235" w:type="dxa"/>
            <w:vAlign w:val="center"/>
          </w:tcPr>
          <w:p w14:paraId="2AF9458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逾期30日内，未向技术服务所在地卫生健康主管部门报送职业卫生技术服务相关信息或者未报送的信息涉及3个以下项目和关键信息的。</w:t>
            </w:r>
          </w:p>
        </w:tc>
        <w:tc>
          <w:tcPr>
            <w:tcW w:w="3932" w:type="dxa"/>
            <w:vAlign w:val="center"/>
          </w:tcPr>
          <w:p w14:paraId="4A891CF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责令改正，给予警告，并处一万元以上一万五千元以下的罚款。</w:t>
            </w:r>
          </w:p>
        </w:tc>
      </w:tr>
      <w:tr w14:paraId="06ED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04" w:type="dxa"/>
            <w:vAlign w:val="center"/>
          </w:tcPr>
          <w:p w14:paraId="785D183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235" w:type="dxa"/>
            <w:vAlign w:val="center"/>
          </w:tcPr>
          <w:p w14:paraId="408D2FF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逾期30天以上90天以内，未按规定向技术服务所在地卫生健康主管部门报送职业卫生技术服务相关信息或者未报送的信息涉及4个以上项目和关键信息的。</w:t>
            </w:r>
          </w:p>
        </w:tc>
        <w:tc>
          <w:tcPr>
            <w:tcW w:w="3932" w:type="dxa"/>
            <w:vAlign w:val="center"/>
          </w:tcPr>
          <w:p w14:paraId="6804AD1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给予警告，并处一万五千元以上二万元以下罚款。</w:t>
            </w:r>
          </w:p>
        </w:tc>
      </w:tr>
      <w:tr w14:paraId="6FDB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04" w:type="dxa"/>
            <w:vAlign w:val="center"/>
          </w:tcPr>
          <w:p w14:paraId="1CFF0E6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235" w:type="dxa"/>
            <w:vAlign w:val="center"/>
          </w:tcPr>
          <w:p w14:paraId="16C1FAF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故意隐瞒、谎报或者提供虚假信息，间接导致或可能引发职业病危害事件，造成不良社会影响的。</w:t>
            </w:r>
          </w:p>
        </w:tc>
        <w:tc>
          <w:tcPr>
            <w:tcW w:w="3932" w:type="dxa"/>
            <w:vAlign w:val="center"/>
          </w:tcPr>
          <w:p w14:paraId="7BE54BE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给予警告，并处二万以上三万元以下罚款。</w:t>
            </w:r>
          </w:p>
        </w:tc>
      </w:tr>
    </w:tbl>
    <w:p w14:paraId="40185150">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905" w:name="_Toc7662"/>
      <w:bookmarkStart w:id="6906" w:name="_Toc27459"/>
      <w:bookmarkStart w:id="6907" w:name="_Toc8719"/>
      <w:bookmarkStart w:id="6908" w:name="_Toc22154"/>
      <w:bookmarkStart w:id="6909" w:name="_Toc7449"/>
      <w:bookmarkStart w:id="6910" w:name="_Toc8236"/>
      <w:bookmarkStart w:id="6911" w:name="_Toc6946"/>
      <w:bookmarkStart w:id="6912" w:name="_Toc4171"/>
      <w:bookmarkStart w:id="6913" w:name="_Toc25558"/>
      <w:bookmarkStart w:id="6914" w:name="_Toc8416"/>
      <w:bookmarkStart w:id="6915" w:name="_Toc31777"/>
      <w:r>
        <w:rPr>
          <w:rFonts w:hint="eastAsia" w:ascii="Times New Roman" w:hAnsi="Times New Roman" w:cs="仿宋_GB2312"/>
          <w:bCs/>
          <w:color w:val="000000" w:themeColor="text1"/>
          <w:kern w:val="0"/>
          <w14:textFill>
            <w14:solidFill>
              <w14:schemeClr w14:val="tx1"/>
            </w14:solidFill>
          </w14:textFill>
        </w:rPr>
        <w:t>第五百五十五</w:t>
      </w:r>
      <w:r>
        <w:rPr>
          <w:rFonts w:hint="eastAsia" w:ascii="Times New Roman" w:hAnsi="Times New Roman" w:cs="仿宋_GB2312"/>
          <w:bCs/>
          <w:color w:val="000000" w:themeColor="text1"/>
          <w:kern w:val="0"/>
          <w:szCs w:val="32"/>
          <w14:textFill>
            <w14:solidFill>
              <w14:schemeClr w14:val="tx1"/>
            </w14:solidFill>
          </w14:textFill>
        </w:rPr>
        <w:t>条 未按规定在网上公开职业卫生技术报告相关信息的</w:t>
      </w:r>
      <w:bookmarkEnd w:id="6905"/>
      <w:bookmarkEnd w:id="6906"/>
      <w:bookmarkEnd w:id="6907"/>
      <w:bookmarkEnd w:id="6908"/>
      <w:bookmarkEnd w:id="6909"/>
      <w:bookmarkEnd w:id="6910"/>
      <w:bookmarkEnd w:id="6911"/>
      <w:bookmarkEnd w:id="6912"/>
      <w:bookmarkEnd w:id="6913"/>
      <w:bookmarkEnd w:id="6914"/>
      <w:bookmarkEnd w:id="6915"/>
    </w:p>
    <w:p w14:paraId="1407A5E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E4DF85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《职业卫生技术服务机构管理办法》第四十三条第</w:t>
      </w:r>
      <w:r>
        <w:rPr>
          <w:rFonts w:hint="eastAsia" w:ascii="Times New Roman" w:hAnsi="Times New Roman" w:eastAsia="仿宋_GB2312" w:cs="仿宋_GB2312"/>
          <w:color w:val="000000" w:themeColor="text1"/>
          <w:kern w:val="2"/>
          <w:sz w:val="32"/>
          <w:szCs w:val="21"/>
          <w14:textFill>
            <w14:solidFill>
              <w14:schemeClr w14:val="tx1"/>
            </w14:solidFill>
          </w14:textFill>
        </w:rPr>
        <w:t>（三）</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职业卫生技术服务机构有下列行为之一的，由县级以上地方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责令改正，给予警告，并处一万元以上三万元以下罚款；构成犯罪的，依法追究刑事责任：</w:t>
      </w:r>
    </w:p>
    <w:p w14:paraId="31EBE30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（三）未按规定在网上公开职业卫生技术报告相关信息的；</w:t>
      </w:r>
    </w:p>
    <w:p w14:paraId="2142056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9044"/>
        <w:gridCol w:w="3384"/>
      </w:tblGrid>
      <w:tr w14:paraId="5705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435" w:type="dxa"/>
            <w:vAlign w:val="center"/>
          </w:tcPr>
          <w:p w14:paraId="664EF3B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044" w:type="dxa"/>
            <w:vAlign w:val="center"/>
          </w:tcPr>
          <w:p w14:paraId="4CB245F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384" w:type="dxa"/>
            <w:vAlign w:val="center"/>
          </w:tcPr>
          <w:p w14:paraId="0D00571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FF9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35" w:type="dxa"/>
            <w:vAlign w:val="center"/>
          </w:tcPr>
          <w:p w14:paraId="4014CD9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044" w:type="dxa"/>
            <w:vAlign w:val="center"/>
          </w:tcPr>
          <w:p w14:paraId="0FE202E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未按规定在网上公开职业卫生技术报告相关信息2份以内的。</w:t>
            </w:r>
          </w:p>
        </w:tc>
        <w:tc>
          <w:tcPr>
            <w:tcW w:w="3384" w:type="dxa"/>
            <w:vAlign w:val="center"/>
          </w:tcPr>
          <w:p w14:paraId="439CD450">
            <w:pPr>
              <w:widowControl w:val="0"/>
              <w:adjustRightInd/>
              <w:snapToGrid/>
              <w:spacing w:after="0" w:line="320" w:lineRule="exact"/>
              <w:jc w:val="both"/>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责令改正，给予警告，并处一万元以上一万五千元以下的罚款。</w:t>
            </w:r>
          </w:p>
        </w:tc>
      </w:tr>
      <w:tr w14:paraId="626A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435" w:type="dxa"/>
            <w:vAlign w:val="center"/>
          </w:tcPr>
          <w:p w14:paraId="6EC6C28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044" w:type="dxa"/>
            <w:vAlign w:val="center"/>
          </w:tcPr>
          <w:p w14:paraId="164BDD6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未按规定在网上公开职业卫生技术报告相关信息3份以上5份以下的。</w:t>
            </w:r>
          </w:p>
        </w:tc>
        <w:tc>
          <w:tcPr>
            <w:tcW w:w="3384" w:type="dxa"/>
            <w:vAlign w:val="center"/>
          </w:tcPr>
          <w:p w14:paraId="071D088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给予警告，并处一万五千元以上二万元以下罚款。</w:t>
            </w:r>
          </w:p>
        </w:tc>
      </w:tr>
      <w:tr w14:paraId="3DCA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35" w:type="dxa"/>
            <w:vAlign w:val="center"/>
          </w:tcPr>
          <w:p w14:paraId="41FD1DC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044" w:type="dxa"/>
            <w:vAlign w:val="center"/>
          </w:tcPr>
          <w:p w14:paraId="47EE72B5">
            <w:pPr>
              <w:widowControl w:val="0"/>
              <w:numPr>
                <w:ilvl w:val="-1"/>
                <w:numId w:val="0"/>
              </w:numPr>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未公开的报告数量6份以上或长期不履行公开义务的，造成社会影响的。</w:t>
            </w:r>
          </w:p>
        </w:tc>
        <w:tc>
          <w:tcPr>
            <w:tcW w:w="3384" w:type="dxa"/>
            <w:vAlign w:val="center"/>
          </w:tcPr>
          <w:p w14:paraId="54516EF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给予警告，并处二万以上三万元以下罚款。</w:t>
            </w:r>
          </w:p>
        </w:tc>
      </w:tr>
    </w:tbl>
    <w:p w14:paraId="73CF2878">
      <w:pPr>
        <w:pStyle w:val="4"/>
        <w:widowControl w:val="0"/>
        <w:ind w:firstLine="640"/>
        <w:jc w:val="both"/>
        <w:rPr>
          <w:rFonts w:hint="eastAsia" w:ascii="Times New Roman" w:hAnsi="Times New Roman" w:cs="仿宋_GB2312"/>
          <w:bCs/>
          <w:color w:val="000000" w:themeColor="text1"/>
          <w:spacing w:val="-6"/>
          <w:kern w:val="0"/>
          <w:szCs w:val="32"/>
          <w14:textFill>
            <w14:solidFill>
              <w14:schemeClr w14:val="tx1"/>
            </w14:solidFill>
          </w14:textFill>
        </w:rPr>
      </w:pPr>
      <w:bookmarkStart w:id="6916" w:name="_Toc1887"/>
      <w:bookmarkStart w:id="6917" w:name="_Toc4181"/>
      <w:bookmarkStart w:id="6918" w:name="_Toc29210"/>
      <w:bookmarkStart w:id="6919" w:name="_Toc32596"/>
      <w:bookmarkStart w:id="6920" w:name="_Toc27109"/>
      <w:bookmarkStart w:id="6921" w:name="_Toc9361"/>
      <w:bookmarkStart w:id="6922" w:name="_Toc27267"/>
      <w:bookmarkStart w:id="6923" w:name="_Toc3960"/>
      <w:bookmarkStart w:id="6924" w:name="_Toc25029"/>
      <w:bookmarkStart w:id="6925" w:name="_Toc13214"/>
      <w:bookmarkStart w:id="6926" w:name="_Toc28637"/>
      <w:r>
        <w:rPr>
          <w:rFonts w:hint="eastAsia" w:ascii="Times New Roman" w:hAnsi="Times New Roman" w:cs="仿宋_GB2312"/>
          <w:bCs/>
          <w:color w:val="000000" w:themeColor="text1"/>
          <w:kern w:val="0"/>
          <w14:textFill>
            <w14:solidFill>
              <w14:schemeClr w14:val="tx1"/>
            </w14:solidFill>
          </w14:textFill>
        </w:rPr>
        <w:t>第五百五十六</w:t>
      </w:r>
      <w:r>
        <w:rPr>
          <w:rFonts w:hint="eastAsia" w:ascii="Times New Roman" w:hAnsi="Times New Roman" w:cs="仿宋_GB2312"/>
          <w:bCs/>
          <w:color w:val="000000" w:themeColor="text1"/>
          <w:kern w:val="0"/>
          <w:szCs w:val="32"/>
          <w14:textFill>
            <w14:solidFill>
              <w14:schemeClr w14:val="tx1"/>
            </w14:solidFill>
          </w14:textFill>
        </w:rPr>
        <w:t xml:space="preserve">条 </w:t>
      </w:r>
      <w:r>
        <w:rPr>
          <w:rFonts w:hint="eastAsia" w:ascii="Times New Roman" w:hAnsi="Times New Roman" w:cs="仿宋_GB2312"/>
          <w:bCs/>
          <w:color w:val="000000" w:themeColor="text1"/>
          <w:spacing w:val="-6"/>
          <w:kern w:val="0"/>
          <w:szCs w:val="32"/>
          <w14:textFill>
            <w14:solidFill>
              <w14:schemeClr w14:val="tx1"/>
            </w14:solidFill>
          </w14:textFill>
        </w:rPr>
        <w:t>未按标准规范开展职业卫生技术服务，或者擅自更改、简化服务程序和相关内容</w:t>
      </w:r>
      <w:bookmarkEnd w:id="6916"/>
      <w:bookmarkEnd w:id="6917"/>
      <w:bookmarkEnd w:id="6918"/>
      <w:bookmarkEnd w:id="6919"/>
      <w:bookmarkEnd w:id="6920"/>
      <w:bookmarkEnd w:id="6921"/>
      <w:bookmarkEnd w:id="6922"/>
      <w:bookmarkEnd w:id="6923"/>
      <w:bookmarkEnd w:id="6924"/>
      <w:bookmarkEnd w:id="6925"/>
      <w:bookmarkEnd w:id="6926"/>
    </w:p>
    <w:p w14:paraId="5305FDE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39A7A8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《职业卫生技术服务机构管理办法》第四十四条第</w:t>
      </w:r>
      <w:r>
        <w:rPr>
          <w:rFonts w:hint="eastAsia" w:ascii="Times New Roman" w:hAnsi="Times New Roman" w:eastAsia="仿宋_GB2312" w:cs="仿宋_GB2312"/>
          <w:color w:val="000000" w:themeColor="text1"/>
          <w:kern w:val="2"/>
          <w:sz w:val="32"/>
          <w:szCs w:val="21"/>
          <w14:textFill>
            <w14:solidFill>
              <w14:schemeClr w14:val="tx1"/>
            </w14:solidFill>
          </w14:textFill>
        </w:rPr>
        <w:t>（一）</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责令改正，给予警告，可以并处三万元以下罚款：</w:t>
      </w:r>
    </w:p>
    <w:p w14:paraId="0C377EF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（一）未按标准规范开展职业卫生技术服务，或者擅自更改、简化服务程序和相关内容；</w:t>
      </w:r>
    </w:p>
    <w:p w14:paraId="792A8BD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8797"/>
        <w:gridCol w:w="3709"/>
      </w:tblGrid>
      <w:tr w14:paraId="3180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395" w:type="dxa"/>
            <w:vAlign w:val="center"/>
          </w:tcPr>
          <w:p w14:paraId="56DFF80F">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797" w:type="dxa"/>
            <w:vAlign w:val="center"/>
          </w:tcPr>
          <w:p w14:paraId="0F96117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709" w:type="dxa"/>
            <w:vAlign w:val="center"/>
          </w:tcPr>
          <w:p w14:paraId="4603CBC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006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95" w:type="dxa"/>
            <w:vAlign w:val="center"/>
          </w:tcPr>
          <w:p w14:paraId="38443CA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797" w:type="dxa"/>
            <w:vAlign w:val="center"/>
          </w:tcPr>
          <w:p w14:paraId="3FA47CE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未按标准规范开展职业卫生技术服务，或擅自更改、简化职业卫生技术服务程序和相关内容，未造成检测、评价报告结果失真的。</w:t>
            </w:r>
          </w:p>
        </w:tc>
        <w:tc>
          <w:tcPr>
            <w:tcW w:w="3709" w:type="dxa"/>
            <w:vAlign w:val="center"/>
          </w:tcPr>
          <w:p w14:paraId="7244DD0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给予警告，责令改正，可以并处一万元以下的罚款。</w:t>
            </w:r>
          </w:p>
        </w:tc>
      </w:tr>
      <w:tr w14:paraId="03E3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95" w:type="dxa"/>
            <w:vAlign w:val="center"/>
          </w:tcPr>
          <w:p w14:paraId="2DACA1C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797" w:type="dxa"/>
            <w:vAlign w:val="center"/>
          </w:tcPr>
          <w:p w14:paraId="6555612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未按标准规范开展职业卫生技术服务，或擅自更改、简化职业卫生技术服务程序和相关内容，造成检测、评价报告结果失真的。</w:t>
            </w:r>
          </w:p>
        </w:tc>
        <w:tc>
          <w:tcPr>
            <w:tcW w:w="3709" w:type="dxa"/>
            <w:vAlign w:val="center"/>
          </w:tcPr>
          <w:p w14:paraId="4188DE1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给予警告，责令改正，并处一万元以上三万元以下的罚款。</w:t>
            </w:r>
          </w:p>
        </w:tc>
      </w:tr>
    </w:tbl>
    <w:p w14:paraId="5C6EF6DD">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927" w:name="_Toc3087"/>
      <w:bookmarkStart w:id="6928" w:name="_Toc31831"/>
      <w:bookmarkStart w:id="6929" w:name="_Toc23785"/>
      <w:bookmarkStart w:id="6930" w:name="_Toc23828"/>
      <w:bookmarkStart w:id="6931" w:name="_Toc6221"/>
      <w:bookmarkStart w:id="6932" w:name="_Toc12633"/>
      <w:bookmarkStart w:id="6933" w:name="_Toc13136"/>
      <w:bookmarkStart w:id="6934" w:name="_Toc30705"/>
      <w:bookmarkStart w:id="6935" w:name="_Toc26109"/>
      <w:bookmarkStart w:id="6936" w:name="_Toc3388"/>
      <w:bookmarkStart w:id="6937" w:name="_Toc23805"/>
      <w:r>
        <w:rPr>
          <w:rFonts w:hint="eastAsia" w:ascii="Times New Roman" w:hAnsi="Times New Roman" w:cs="仿宋_GB2312"/>
          <w:bCs/>
          <w:color w:val="000000" w:themeColor="text1"/>
          <w:kern w:val="0"/>
          <w14:textFill>
            <w14:solidFill>
              <w14:schemeClr w14:val="tx1"/>
            </w14:solidFill>
          </w14:textFill>
        </w:rPr>
        <w:t>第五百五十七</w:t>
      </w:r>
      <w:r>
        <w:rPr>
          <w:rFonts w:hint="eastAsia" w:ascii="Times New Roman" w:hAnsi="Times New Roman" w:cs="仿宋_GB2312"/>
          <w:bCs/>
          <w:color w:val="000000" w:themeColor="text1"/>
          <w:kern w:val="0"/>
          <w:szCs w:val="32"/>
          <w14:textFill>
            <w14:solidFill>
              <w14:schemeClr w14:val="tx1"/>
            </w14:solidFill>
          </w14:textFill>
        </w:rPr>
        <w:t>条 未按规定实施委托检测的</w:t>
      </w:r>
      <w:bookmarkEnd w:id="6927"/>
      <w:bookmarkEnd w:id="6928"/>
      <w:bookmarkEnd w:id="6929"/>
      <w:bookmarkEnd w:id="6930"/>
      <w:bookmarkEnd w:id="6931"/>
      <w:bookmarkEnd w:id="6932"/>
      <w:bookmarkEnd w:id="6933"/>
      <w:bookmarkEnd w:id="6934"/>
      <w:bookmarkEnd w:id="6935"/>
      <w:bookmarkEnd w:id="6936"/>
      <w:bookmarkEnd w:id="6937"/>
    </w:p>
    <w:p w14:paraId="5C86F9C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B9EDC8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《职业卫生技术服务机构管理办法》第四十四条第</w:t>
      </w:r>
      <w:r>
        <w:rPr>
          <w:rFonts w:hint="eastAsia" w:ascii="Times New Roman" w:hAnsi="Times New Roman" w:eastAsia="仿宋_GB2312" w:cs="仿宋_GB2312"/>
          <w:color w:val="000000" w:themeColor="text1"/>
          <w:kern w:val="2"/>
          <w:sz w:val="32"/>
          <w:szCs w:val="21"/>
          <w14:textFill>
            <w14:solidFill>
              <w14:schemeClr w14:val="tx1"/>
            </w14:solidFill>
          </w14:textFill>
        </w:rPr>
        <w:t>（二）</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14:textFill>
            <w14:solidFill>
              <w14:schemeClr w14:val="tx1"/>
            </w14:solidFill>
          </w14:textFill>
        </w:rPr>
        <w:t>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责令改正，给予警告，可以并处三万元以下罚款：</w:t>
      </w:r>
    </w:p>
    <w:p w14:paraId="37B1EAA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（二）未按规定实施委托检测的；</w:t>
      </w:r>
    </w:p>
    <w:p w14:paraId="7483D38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8932"/>
        <w:gridCol w:w="3552"/>
      </w:tblGrid>
      <w:tr w14:paraId="1F80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17" w:type="dxa"/>
            <w:vAlign w:val="center"/>
          </w:tcPr>
          <w:p w14:paraId="1D1091E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32" w:type="dxa"/>
            <w:vAlign w:val="center"/>
          </w:tcPr>
          <w:p w14:paraId="26B6499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552" w:type="dxa"/>
            <w:vAlign w:val="center"/>
          </w:tcPr>
          <w:p w14:paraId="1808B57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6921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17" w:type="dxa"/>
            <w:vAlign w:val="center"/>
          </w:tcPr>
          <w:p w14:paraId="3E32C24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32" w:type="dxa"/>
            <w:vAlign w:val="center"/>
          </w:tcPr>
          <w:p w14:paraId="3C047DB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委托不具备相应检测能力的机构进行测定以下检测项目的：</w:t>
            </w:r>
          </w:p>
          <w:p w14:paraId="493AA86E">
            <w:pPr>
              <w:widowControl w:val="0"/>
              <w:numPr>
                <w:ilvl w:val="-1"/>
                <w:numId w:val="0"/>
              </w:numPr>
              <w:adjustRightInd/>
              <w:snapToGrid/>
              <w:spacing w:after="0" w:line="320" w:lineRule="exact"/>
              <w:ind w:left="0" w:firstLine="0"/>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职业卫生技术服务机构检测项目限制的检测项目；</w:t>
            </w:r>
          </w:p>
          <w:p w14:paraId="62E99E42">
            <w:pPr>
              <w:widowControl w:val="0"/>
              <w:numPr>
                <w:ilvl w:val="-1"/>
                <w:numId w:val="0"/>
              </w:numPr>
              <w:adjustRightInd/>
              <w:snapToGrid/>
              <w:spacing w:after="0" w:line="320" w:lineRule="exact"/>
              <w:ind w:left="0" w:firstLine="0"/>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样品保存时限有特殊要求而无法自行检测的检测项目。</w:t>
            </w:r>
          </w:p>
        </w:tc>
        <w:tc>
          <w:tcPr>
            <w:tcW w:w="3552" w:type="dxa"/>
            <w:vAlign w:val="center"/>
          </w:tcPr>
          <w:p w14:paraId="012DC4F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给予警告，责令改正，并处一万元以下的罚款。</w:t>
            </w:r>
          </w:p>
        </w:tc>
      </w:tr>
      <w:tr w14:paraId="434B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17" w:type="dxa"/>
            <w:vAlign w:val="center"/>
          </w:tcPr>
          <w:p w14:paraId="51BE9DB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32" w:type="dxa"/>
            <w:vAlign w:val="center"/>
          </w:tcPr>
          <w:p w14:paraId="114A422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委托具备相应检测能力的职业卫生技术服务机构进行测定以下检测项目的</w:t>
            </w:r>
          </w:p>
          <w:p w14:paraId="4E5C7FE6">
            <w:pPr>
              <w:widowControl w:val="0"/>
              <w:numPr>
                <w:ilvl w:val="-1"/>
                <w:numId w:val="0"/>
              </w:numPr>
              <w:adjustRightInd/>
              <w:snapToGrid/>
              <w:spacing w:after="0" w:line="320" w:lineRule="exact"/>
              <w:ind w:left="0" w:firstLine="0"/>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职业卫生技术服务机构检测项目未受限制的检测项目；</w:t>
            </w:r>
          </w:p>
          <w:p w14:paraId="7E954768">
            <w:pPr>
              <w:widowControl w:val="0"/>
              <w:numPr>
                <w:ilvl w:val="-1"/>
                <w:numId w:val="0"/>
              </w:numPr>
              <w:adjustRightInd/>
              <w:snapToGrid/>
              <w:spacing w:after="0" w:line="320" w:lineRule="exact"/>
              <w:ind w:left="0" w:firstLine="0"/>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样品保存时限无特殊要求的检测项目。</w:t>
            </w:r>
          </w:p>
        </w:tc>
        <w:tc>
          <w:tcPr>
            <w:tcW w:w="3552" w:type="dxa"/>
            <w:vAlign w:val="center"/>
          </w:tcPr>
          <w:p w14:paraId="1AAD7CB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给予警告，责令改正，并处一万元以上二万元以下的罚款。</w:t>
            </w:r>
          </w:p>
        </w:tc>
      </w:tr>
      <w:tr w14:paraId="1B27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17" w:type="dxa"/>
            <w:vAlign w:val="center"/>
          </w:tcPr>
          <w:p w14:paraId="07286B4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32" w:type="dxa"/>
            <w:vAlign w:val="center"/>
          </w:tcPr>
          <w:p w14:paraId="2CE446C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委托不具备相应检测能力的机构进行测定以下检测项目的：</w:t>
            </w:r>
          </w:p>
          <w:p w14:paraId="59EB0A9D">
            <w:pPr>
              <w:widowControl w:val="0"/>
              <w:numPr>
                <w:ilvl w:val="-1"/>
                <w:numId w:val="0"/>
              </w:numPr>
              <w:adjustRightInd/>
              <w:snapToGrid/>
              <w:spacing w:after="0" w:line="320" w:lineRule="exact"/>
              <w:ind w:left="0" w:firstLine="0"/>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职业卫生技术服务机构检测项目未受限制的检测项目；</w:t>
            </w:r>
          </w:p>
          <w:p w14:paraId="16EF507A">
            <w:pPr>
              <w:widowControl w:val="0"/>
              <w:numPr>
                <w:ilvl w:val="-1"/>
                <w:numId w:val="0"/>
              </w:numPr>
              <w:adjustRightInd/>
              <w:snapToGrid/>
              <w:spacing w:after="0" w:line="320" w:lineRule="exact"/>
              <w:ind w:left="0" w:firstLine="0"/>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样品保存时限无特殊要求的检测项目；</w:t>
            </w:r>
          </w:p>
          <w:p w14:paraId="071A7C9C">
            <w:pPr>
              <w:widowControl w:val="0"/>
              <w:numPr>
                <w:ilvl w:val="-1"/>
                <w:numId w:val="0"/>
              </w:numPr>
              <w:adjustRightInd/>
              <w:snapToGrid/>
              <w:spacing w:after="0" w:line="320" w:lineRule="exact"/>
              <w:ind w:left="0" w:firstLine="0"/>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未按规定实施委托检测导致严重后果的。</w:t>
            </w:r>
          </w:p>
        </w:tc>
        <w:tc>
          <w:tcPr>
            <w:tcW w:w="3552" w:type="dxa"/>
            <w:vAlign w:val="center"/>
          </w:tcPr>
          <w:p w14:paraId="56B7581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给予警告，责令改正，并处二万元以上三万元以下的罚款。</w:t>
            </w:r>
          </w:p>
        </w:tc>
      </w:tr>
    </w:tbl>
    <w:p w14:paraId="5667BB40">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938" w:name="_Toc19605"/>
      <w:bookmarkStart w:id="6939" w:name="_Toc777"/>
      <w:bookmarkStart w:id="6940" w:name="_Toc20089"/>
      <w:bookmarkStart w:id="6941" w:name="_Toc5628"/>
      <w:bookmarkStart w:id="6942" w:name="_Toc18478"/>
      <w:bookmarkStart w:id="6943" w:name="_Toc25258"/>
      <w:bookmarkStart w:id="6944" w:name="_Toc28090"/>
      <w:bookmarkStart w:id="6945" w:name="_Toc4472"/>
      <w:bookmarkStart w:id="6946" w:name="_Toc32111"/>
      <w:bookmarkStart w:id="6947" w:name="_Toc8156"/>
      <w:bookmarkStart w:id="6948" w:name="_Toc24339"/>
      <w:r>
        <w:rPr>
          <w:rFonts w:hint="eastAsia" w:ascii="Times New Roman" w:hAnsi="Times New Roman" w:cs="仿宋_GB2312"/>
          <w:bCs/>
          <w:color w:val="000000" w:themeColor="text1"/>
          <w:kern w:val="0"/>
          <w14:textFill>
            <w14:solidFill>
              <w14:schemeClr w14:val="tx1"/>
            </w14:solidFill>
          </w14:textFill>
        </w:rPr>
        <w:t>第五百五十八</w:t>
      </w:r>
      <w:r>
        <w:rPr>
          <w:rFonts w:hint="eastAsia" w:ascii="Times New Roman" w:hAnsi="Times New Roman" w:cs="仿宋_GB2312"/>
          <w:bCs/>
          <w:color w:val="000000" w:themeColor="text1"/>
          <w:kern w:val="0"/>
          <w:szCs w:val="32"/>
          <w14:textFill>
            <w14:solidFill>
              <w14:schemeClr w14:val="tx1"/>
            </w14:solidFill>
          </w14:textFill>
        </w:rPr>
        <w:t>条 转包职业卫生技术服务项目的</w:t>
      </w:r>
      <w:bookmarkEnd w:id="6938"/>
      <w:bookmarkEnd w:id="6939"/>
      <w:bookmarkEnd w:id="6940"/>
      <w:bookmarkEnd w:id="6941"/>
      <w:bookmarkEnd w:id="6942"/>
      <w:bookmarkEnd w:id="6943"/>
      <w:bookmarkEnd w:id="6944"/>
      <w:bookmarkEnd w:id="6945"/>
      <w:bookmarkEnd w:id="6946"/>
      <w:bookmarkEnd w:id="6947"/>
      <w:bookmarkEnd w:id="6948"/>
    </w:p>
    <w:p w14:paraId="47AA073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1E1897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《职业卫生技术服务机构管理办法》第四十四条第</w:t>
      </w:r>
      <w:r>
        <w:rPr>
          <w:rFonts w:hint="eastAsia" w:ascii="Times New Roman" w:hAnsi="Times New Roman" w:eastAsia="仿宋_GB2312" w:cs="仿宋_GB2312"/>
          <w:color w:val="000000" w:themeColor="text1"/>
          <w:kern w:val="2"/>
          <w:sz w:val="32"/>
          <w:szCs w:val="21"/>
          <w14:textFill>
            <w14:solidFill>
              <w14:schemeClr w14:val="tx1"/>
            </w14:solidFill>
          </w14:textFill>
        </w:rPr>
        <w:t>（</w:t>
      </w:r>
      <w:r>
        <w:rPr>
          <w:rFonts w:ascii="Times New Roman" w:hAnsi="Times New Roman" w:eastAsia="仿宋_GB2312" w:cs="仿宋_GB2312"/>
          <w:color w:val="000000" w:themeColor="text1"/>
          <w:kern w:val="2"/>
          <w:sz w:val="32"/>
          <w:szCs w:val="21"/>
          <w14:textFill>
            <w14:solidFill>
              <w14:schemeClr w14:val="tx1"/>
            </w14:solidFill>
          </w14:textFill>
        </w:rPr>
        <w:t>三</w:t>
      </w:r>
      <w:r>
        <w:rPr>
          <w:rFonts w:hint="eastAsia" w:ascii="Times New Roman" w:hAnsi="Times New Roman" w:eastAsia="仿宋_GB2312" w:cs="仿宋_GB2312"/>
          <w:color w:val="000000" w:themeColor="text1"/>
          <w:kern w:val="2"/>
          <w:sz w:val="32"/>
          <w:szCs w:val="21"/>
          <w14:textFill>
            <w14:solidFill>
              <w14:schemeClr w14:val="tx1"/>
            </w14:solidFill>
          </w14:textFill>
        </w:rPr>
        <w:t>）</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责令改正，给予警告，可以并处三万元以下罚款：</w:t>
      </w:r>
    </w:p>
    <w:p w14:paraId="4F744A32">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w:t>
      </w:r>
      <w:r>
        <w:rPr>
          <w:rFonts w:hint="eastAsia" w:ascii="Times New Roman" w:hAnsi="Times New Roman" w:eastAsia="仿宋_GB2312" w:cs="仿宋_GB2312"/>
          <w:color w:val="000000" w:themeColor="text1"/>
          <w:kern w:val="2"/>
          <w:sz w:val="32"/>
          <w:szCs w:val="21"/>
          <w14:textFill>
            <w14:solidFill>
              <w14:schemeClr w14:val="tx1"/>
            </w14:solidFill>
          </w14:textFill>
        </w:rPr>
        <w:t>三</w:t>
      </w:r>
      <w:r>
        <w:rPr>
          <w:rFonts w:ascii="Times New Roman" w:hAnsi="Times New Roman" w:eastAsia="仿宋_GB2312" w:cs="仿宋_GB2312"/>
          <w:color w:val="000000" w:themeColor="text1"/>
          <w:kern w:val="2"/>
          <w:sz w:val="32"/>
          <w:szCs w:val="21"/>
          <w14:textFill>
            <w14:solidFill>
              <w14:schemeClr w14:val="tx1"/>
            </w14:solidFill>
          </w14:textFill>
        </w:rPr>
        <w:t>）</w:t>
      </w:r>
      <w:r>
        <w:rPr>
          <w:rFonts w:hint="eastAsia" w:ascii="Times New Roman" w:hAnsi="Times New Roman" w:eastAsia="仿宋_GB2312" w:cs="仿宋_GB2312"/>
          <w:color w:val="000000" w:themeColor="text1"/>
          <w:kern w:val="2"/>
          <w:sz w:val="32"/>
          <w:szCs w:val="21"/>
          <w14:textFill>
            <w14:solidFill>
              <w14:schemeClr w14:val="tx1"/>
            </w14:solidFill>
          </w14:textFill>
        </w:rPr>
        <w:t>转包职业卫生技术服务项目的</w:t>
      </w:r>
      <w:r>
        <w:rPr>
          <w:rFonts w:ascii="Times New Roman" w:hAnsi="Times New Roman" w:eastAsia="仿宋_GB2312" w:cs="仿宋_GB2312"/>
          <w:color w:val="000000" w:themeColor="text1"/>
          <w:kern w:val="2"/>
          <w:sz w:val="32"/>
          <w:szCs w:val="21"/>
          <w14:textFill>
            <w14:solidFill>
              <w14:schemeClr w14:val="tx1"/>
            </w14:solidFill>
          </w14:textFill>
        </w:rPr>
        <w:t>；</w:t>
      </w:r>
    </w:p>
    <w:p w14:paraId="0FA24E92">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8923"/>
        <w:gridCol w:w="3579"/>
      </w:tblGrid>
      <w:tr w14:paraId="2312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399" w:type="dxa"/>
            <w:vAlign w:val="center"/>
          </w:tcPr>
          <w:p w14:paraId="7D6DD18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923" w:type="dxa"/>
            <w:vAlign w:val="center"/>
          </w:tcPr>
          <w:p w14:paraId="5EFC3AF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579" w:type="dxa"/>
            <w:vAlign w:val="center"/>
          </w:tcPr>
          <w:p w14:paraId="6720010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46B7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9" w:type="dxa"/>
            <w:vAlign w:val="center"/>
          </w:tcPr>
          <w:p w14:paraId="3C26AE9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923" w:type="dxa"/>
            <w:vAlign w:val="center"/>
          </w:tcPr>
          <w:p w14:paraId="76C1CFF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转包职业卫生技术服务项目，没有违法所得或违法所得无法认定的</w:t>
            </w:r>
            <w:r>
              <w:rPr>
                <w:rFonts w:hint="eastAsia" w:ascii="Times New Roman" w:hAnsi="Times New Roman" w:eastAsia="仿宋_GB2312" w:cs="Times New Roman"/>
                <w:color w:val="000000" w:themeColor="text1"/>
                <w:kern w:val="0"/>
                <w:sz w:val="24"/>
                <w:szCs w:val="22"/>
                <w:lang w:val="en" w:bidi="ar"/>
                <w14:textFill>
                  <w14:solidFill>
                    <w14:schemeClr w14:val="tx1"/>
                  </w14:solidFill>
                </w14:textFill>
              </w:rPr>
              <w:t>。</w:t>
            </w:r>
          </w:p>
        </w:tc>
        <w:tc>
          <w:tcPr>
            <w:tcW w:w="3579" w:type="dxa"/>
            <w:vAlign w:val="center"/>
          </w:tcPr>
          <w:p w14:paraId="1710020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 万元以下的罚款。</w:t>
            </w:r>
          </w:p>
        </w:tc>
      </w:tr>
      <w:tr w14:paraId="1AED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9" w:type="dxa"/>
            <w:vAlign w:val="center"/>
          </w:tcPr>
          <w:p w14:paraId="155CBB0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923" w:type="dxa"/>
            <w:vAlign w:val="center"/>
          </w:tcPr>
          <w:p w14:paraId="241D419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转包职业卫生技术服务项目，违法所得 2 万元以下的。</w:t>
            </w:r>
          </w:p>
        </w:tc>
        <w:tc>
          <w:tcPr>
            <w:tcW w:w="3579" w:type="dxa"/>
            <w:vAlign w:val="center"/>
          </w:tcPr>
          <w:p w14:paraId="6FC9594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 万元以上二万元以下的罚款。</w:t>
            </w:r>
          </w:p>
        </w:tc>
      </w:tr>
      <w:tr w14:paraId="2F4D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9" w:type="dxa"/>
            <w:vAlign w:val="center"/>
          </w:tcPr>
          <w:p w14:paraId="1726E4D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923" w:type="dxa"/>
            <w:vAlign w:val="center"/>
          </w:tcPr>
          <w:p w14:paraId="1C64C3D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转包职业卫生技术服务项目，违法所得 2 万元以上的。</w:t>
            </w:r>
          </w:p>
        </w:tc>
        <w:tc>
          <w:tcPr>
            <w:tcW w:w="3579" w:type="dxa"/>
            <w:vAlign w:val="center"/>
          </w:tcPr>
          <w:p w14:paraId="159FEE7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给予警告，责令改正，并处二万元以上三万元以下的罚款。</w:t>
            </w:r>
          </w:p>
        </w:tc>
      </w:tr>
    </w:tbl>
    <w:p w14:paraId="2096D038">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949" w:name="_Toc15622"/>
      <w:bookmarkStart w:id="6950" w:name="_Toc12173"/>
      <w:bookmarkStart w:id="6951" w:name="_Toc22713"/>
      <w:bookmarkStart w:id="6952" w:name="_Toc28503"/>
      <w:bookmarkStart w:id="6953" w:name="_Toc19874"/>
      <w:bookmarkStart w:id="6954" w:name="_Toc8299"/>
      <w:bookmarkStart w:id="6955" w:name="_Toc20877"/>
      <w:bookmarkStart w:id="6956" w:name="_Toc6430"/>
      <w:bookmarkStart w:id="6957" w:name="_Toc20667"/>
      <w:bookmarkStart w:id="6958" w:name="_Toc8576"/>
      <w:bookmarkStart w:id="6959" w:name="_Toc9129"/>
      <w:r>
        <w:rPr>
          <w:rFonts w:hint="eastAsia" w:ascii="Times New Roman" w:hAnsi="Times New Roman" w:cs="仿宋_GB2312"/>
          <w:bCs/>
          <w:color w:val="000000" w:themeColor="text1"/>
          <w:kern w:val="0"/>
          <w14:textFill>
            <w14:solidFill>
              <w14:schemeClr w14:val="tx1"/>
            </w14:solidFill>
          </w14:textFill>
        </w:rPr>
        <w:t>第五百五十九</w:t>
      </w:r>
      <w:r>
        <w:rPr>
          <w:rFonts w:hint="eastAsia" w:ascii="Times New Roman" w:hAnsi="Times New Roman" w:cs="仿宋_GB2312"/>
          <w:bCs/>
          <w:color w:val="000000" w:themeColor="text1"/>
          <w:kern w:val="0"/>
          <w:szCs w:val="32"/>
          <w14:textFill>
            <w14:solidFill>
              <w14:schemeClr w14:val="tx1"/>
            </w14:solidFill>
          </w14:textFill>
        </w:rPr>
        <w:t>条 未按规定以书面形式与用人单位明确技术服务内容、范围以及双方责任的</w:t>
      </w:r>
      <w:bookmarkEnd w:id="6949"/>
      <w:bookmarkEnd w:id="6950"/>
      <w:bookmarkEnd w:id="6951"/>
      <w:bookmarkEnd w:id="6952"/>
      <w:bookmarkEnd w:id="6953"/>
      <w:bookmarkEnd w:id="6954"/>
      <w:bookmarkEnd w:id="6955"/>
      <w:bookmarkEnd w:id="6956"/>
      <w:bookmarkEnd w:id="6957"/>
      <w:bookmarkEnd w:id="6958"/>
      <w:bookmarkEnd w:id="6959"/>
    </w:p>
    <w:p w14:paraId="6D4F3B8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C19499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《职业卫生技术服务机构管理办法》第四十四条第</w:t>
      </w:r>
      <w:r>
        <w:rPr>
          <w:rFonts w:hint="eastAsia" w:ascii="Times New Roman" w:hAnsi="Times New Roman" w:eastAsia="仿宋_GB2312" w:cs="仿宋_GB2312"/>
          <w:color w:val="000000" w:themeColor="text1"/>
          <w:kern w:val="2"/>
          <w:sz w:val="32"/>
          <w:szCs w:val="21"/>
          <w14:textFill>
            <w14:solidFill>
              <w14:schemeClr w14:val="tx1"/>
            </w14:solidFill>
          </w14:textFill>
        </w:rPr>
        <w:t>（</w:t>
      </w:r>
      <w:r>
        <w:rPr>
          <w:rFonts w:ascii="Times New Roman" w:hAnsi="Times New Roman" w:eastAsia="仿宋_GB2312" w:cs="仿宋_GB2312"/>
          <w:color w:val="000000" w:themeColor="text1"/>
          <w:kern w:val="2"/>
          <w:sz w:val="32"/>
          <w:szCs w:val="21"/>
          <w14:textFill>
            <w14:solidFill>
              <w14:schemeClr w14:val="tx1"/>
            </w14:solidFill>
          </w14:textFill>
        </w:rPr>
        <w:t>四</w:t>
      </w:r>
      <w:r>
        <w:rPr>
          <w:rFonts w:hint="eastAsia" w:ascii="Times New Roman" w:hAnsi="Times New Roman" w:eastAsia="仿宋_GB2312" w:cs="仿宋_GB2312"/>
          <w:color w:val="000000" w:themeColor="text1"/>
          <w:kern w:val="2"/>
          <w:sz w:val="32"/>
          <w:szCs w:val="21"/>
          <w14:textFill>
            <w14:solidFill>
              <w14:schemeClr w14:val="tx1"/>
            </w14:solidFill>
          </w14:textFill>
        </w:rPr>
        <w:t>）</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责令改正，给予警告，可以并处三万元以下罚款：</w:t>
      </w:r>
    </w:p>
    <w:p w14:paraId="523D0C4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（四）未按规定以书面形式与用人单位明确技术服务内容、范围以及双方责任的；</w:t>
      </w:r>
    </w:p>
    <w:p w14:paraId="5E5A1AB4">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7742"/>
        <w:gridCol w:w="4716"/>
      </w:tblGrid>
      <w:tr w14:paraId="53A6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438" w:type="dxa"/>
            <w:vAlign w:val="center"/>
          </w:tcPr>
          <w:p w14:paraId="3E12A56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742" w:type="dxa"/>
            <w:vAlign w:val="center"/>
          </w:tcPr>
          <w:p w14:paraId="2B29CF7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716" w:type="dxa"/>
            <w:vAlign w:val="center"/>
          </w:tcPr>
          <w:p w14:paraId="2CEA57C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3E0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38" w:type="dxa"/>
            <w:vAlign w:val="center"/>
          </w:tcPr>
          <w:p w14:paraId="09AD682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742" w:type="dxa"/>
            <w:vAlign w:val="center"/>
          </w:tcPr>
          <w:p w14:paraId="54485A56">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未按规定以书面形式与用人单位明确技术服务内容、范围以及双方责任，违法所得不足3万元的。</w:t>
            </w:r>
          </w:p>
        </w:tc>
        <w:tc>
          <w:tcPr>
            <w:tcW w:w="4716" w:type="dxa"/>
            <w:vAlign w:val="center"/>
          </w:tcPr>
          <w:p w14:paraId="78807B4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给予警告，责令改正，可以并处一万元以下的罚款。</w:t>
            </w:r>
          </w:p>
        </w:tc>
      </w:tr>
      <w:tr w14:paraId="237A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38" w:type="dxa"/>
            <w:vAlign w:val="center"/>
          </w:tcPr>
          <w:p w14:paraId="333303B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742" w:type="dxa"/>
            <w:vAlign w:val="center"/>
          </w:tcPr>
          <w:p w14:paraId="67B9D99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未按规定以书面形式与用人单位明确技术服务内容、范围以及双方责任，违法所得3万元以上5万元以下的。</w:t>
            </w:r>
          </w:p>
        </w:tc>
        <w:tc>
          <w:tcPr>
            <w:tcW w:w="4716" w:type="dxa"/>
            <w:vAlign w:val="center"/>
          </w:tcPr>
          <w:p w14:paraId="1A76EEC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给予警告，责令改正，可以并处一万元以上 二万元以下的罚款。</w:t>
            </w:r>
          </w:p>
        </w:tc>
      </w:tr>
      <w:tr w14:paraId="1E7C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38" w:type="dxa"/>
            <w:vAlign w:val="center"/>
          </w:tcPr>
          <w:p w14:paraId="03B616C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742" w:type="dxa"/>
            <w:vAlign w:val="center"/>
          </w:tcPr>
          <w:p w14:paraId="4D1D8DF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未按规定以书面形式与用人单位明确技术服务内容、范围以及双方责任，违法所得5万元以上的。</w:t>
            </w:r>
          </w:p>
        </w:tc>
        <w:tc>
          <w:tcPr>
            <w:tcW w:w="4716" w:type="dxa"/>
            <w:vAlign w:val="center"/>
          </w:tcPr>
          <w:p w14:paraId="282C10E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给予警告，责令改正，并处二万元以上三万元以下的罚款。</w:t>
            </w:r>
          </w:p>
        </w:tc>
      </w:tr>
    </w:tbl>
    <w:p w14:paraId="682562EF">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960" w:name="_Toc25270"/>
      <w:bookmarkStart w:id="6961" w:name="_Toc13576"/>
      <w:bookmarkStart w:id="6962" w:name="_Toc17205"/>
      <w:bookmarkStart w:id="6963" w:name="_Toc19536"/>
      <w:bookmarkStart w:id="6964" w:name="_Toc17263"/>
      <w:bookmarkStart w:id="6965" w:name="_Toc21399"/>
      <w:bookmarkStart w:id="6966" w:name="_Toc7913"/>
      <w:bookmarkStart w:id="6967" w:name="_Toc4064"/>
      <w:bookmarkStart w:id="6968" w:name="_Toc6689"/>
      <w:bookmarkStart w:id="6969" w:name="_Toc767"/>
      <w:bookmarkStart w:id="6970" w:name="_Toc17968"/>
      <w:r>
        <w:rPr>
          <w:rFonts w:hint="eastAsia" w:ascii="Times New Roman" w:hAnsi="Times New Roman" w:cs="仿宋_GB2312"/>
          <w:bCs/>
          <w:color w:val="000000" w:themeColor="text1"/>
          <w:kern w:val="0"/>
          <w14:textFill>
            <w14:solidFill>
              <w14:schemeClr w14:val="tx1"/>
            </w14:solidFill>
          </w14:textFill>
        </w:rPr>
        <w:t>第五百六十</w:t>
      </w:r>
      <w:r>
        <w:rPr>
          <w:rFonts w:hint="eastAsia" w:ascii="Times New Roman" w:hAnsi="Times New Roman" w:cs="仿宋_GB2312"/>
          <w:bCs/>
          <w:color w:val="000000" w:themeColor="text1"/>
          <w:kern w:val="0"/>
          <w:szCs w:val="32"/>
          <w14:textFill>
            <w14:solidFill>
              <w14:schemeClr w14:val="tx1"/>
            </w14:solidFill>
          </w14:textFill>
        </w:rPr>
        <w:t>条 使用非本机构专业技术人员从事职业卫生技术服务活动的</w:t>
      </w:r>
      <w:bookmarkEnd w:id="6960"/>
      <w:bookmarkEnd w:id="6961"/>
      <w:bookmarkEnd w:id="6962"/>
      <w:bookmarkEnd w:id="6963"/>
      <w:bookmarkEnd w:id="6964"/>
      <w:bookmarkEnd w:id="6965"/>
      <w:bookmarkEnd w:id="6966"/>
      <w:bookmarkEnd w:id="6967"/>
      <w:bookmarkEnd w:id="6968"/>
      <w:bookmarkEnd w:id="6969"/>
      <w:bookmarkEnd w:id="6970"/>
    </w:p>
    <w:p w14:paraId="2E63E1AB">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790B71A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《职业卫生技术服务机构管理办法》第四十四条第</w:t>
      </w:r>
      <w:r>
        <w:rPr>
          <w:rFonts w:hint="eastAsia" w:ascii="Times New Roman" w:hAnsi="Times New Roman" w:eastAsia="仿宋_GB2312" w:cs="仿宋_GB2312"/>
          <w:color w:val="000000" w:themeColor="text1"/>
          <w:kern w:val="2"/>
          <w:sz w:val="32"/>
          <w:szCs w:val="21"/>
          <w14:textFill>
            <w14:solidFill>
              <w14:schemeClr w14:val="tx1"/>
            </w14:solidFill>
          </w14:textFill>
        </w:rPr>
        <w:t>（五）</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14:textFill>
            <w14:solidFill>
              <w14:schemeClr w14:val="tx1"/>
            </w14:solidFill>
          </w14:textFill>
        </w:rPr>
        <w:t> </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责令改正，给予警告，可以并处三万元以下罚款：</w:t>
      </w:r>
    </w:p>
    <w:p w14:paraId="219BE32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（五）使用非本机构专业技术人员从事职业卫生技术服务活动的；</w:t>
      </w:r>
    </w:p>
    <w:p w14:paraId="5276D6B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7937"/>
        <w:gridCol w:w="4352"/>
      </w:tblGrid>
      <w:tr w14:paraId="61FE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419" w:type="dxa"/>
            <w:vAlign w:val="center"/>
          </w:tcPr>
          <w:p w14:paraId="6058406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937" w:type="dxa"/>
            <w:vAlign w:val="center"/>
          </w:tcPr>
          <w:p w14:paraId="14A525F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352" w:type="dxa"/>
            <w:vAlign w:val="center"/>
          </w:tcPr>
          <w:p w14:paraId="78F88A0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A46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419" w:type="dxa"/>
            <w:vAlign w:val="center"/>
          </w:tcPr>
          <w:p w14:paraId="4FC33D4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937" w:type="dxa"/>
            <w:vAlign w:val="center"/>
          </w:tcPr>
          <w:p w14:paraId="13A4980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24629D7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A.使用1名非本机构专业技术人员从事职业卫生技术服务活动的；</w:t>
            </w:r>
          </w:p>
          <w:p w14:paraId="015ABCB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B.使用非本机构专业技术人员从事职业卫生技术服务活动，违法所得低于1 万元的。</w:t>
            </w:r>
          </w:p>
        </w:tc>
        <w:tc>
          <w:tcPr>
            <w:tcW w:w="4352" w:type="dxa"/>
            <w:vAlign w:val="center"/>
          </w:tcPr>
          <w:p w14:paraId="7591853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给予警告，责令改正，可以并处一万元以下的罚款。</w:t>
            </w:r>
          </w:p>
        </w:tc>
      </w:tr>
      <w:tr w14:paraId="3893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19" w:type="dxa"/>
            <w:vAlign w:val="center"/>
          </w:tcPr>
          <w:p w14:paraId="440E291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937" w:type="dxa"/>
            <w:vAlign w:val="center"/>
          </w:tcPr>
          <w:p w14:paraId="7EA89CE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5364A4A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A.使用2名非本机构专业技术人员从事职业卫生技术服务活动的；</w:t>
            </w:r>
          </w:p>
          <w:p w14:paraId="3F9C789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B.使用非本机构专业技术人员从事职业卫生技术服务活动，违法所得1万元以上2万元以下的。</w:t>
            </w:r>
          </w:p>
        </w:tc>
        <w:tc>
          <w:tcPr>
            <w:tcW w:w="4352" w:type="dxa"/>
            <w:vAlign w:val="center"/>
          </w:tcPr>
          <w:p w14:paraId="06690F9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给予警告，责令改正，可以并处一万元以上 二万元以下的罚款。</w:t>
            </w:r>
          </w:p>
        </w:tc>
      </w:tr>
      <w:tr w14:paraId="3221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419" w:type="dxa"/>
            <w:vAlign w:val="center"/>
          </w:tcPr>
          <w:p w14:paraId="0EA61CE2">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937" w:type="dxa"/>
            <w:vAlign w:val="center"/>
          </w:tcPr>
          <w:p w14:paraId="516EEF7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137C7FD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A.使用3名及以上非本机构专业技术人员从事职业卫生技术服务活动的；</w:t>
            </w:r>
          </w:p>
          <w:p w14:paraId="5EAB128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B.使用非本机构专业技术人员从事职业卫生技术服务活动，违法所得2万元以上的。</w:t>
            </w:r>
          </w:p>
        </w:tc>
        <w:tc>
          <w:tcPr>
            <w:tcW w:w="4352" w:type="dxa"/>
            <w:vAlign w:val="center"/>
          </w:tcPr>
          <w:p w14:paraId="34DD8A3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给予警告，责令改正，并处二万元以上三万元以下的罚款。</w:t>
            </w:r>
          </w:p>
        </w:tc>
      </w:tr>
    </w:tbl>
    <w:p w14:paraId="079356D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971" w:name="_Toc3526"/>
      <w:bookmarkStart w:id="6972" w:name="_Toc2817"/>
      <w:bookmarkStart w:id="6973" w:name="_Toc3537"/>
      <w:bookmarkStart w:id="6974" w:name="_Toc29921"/>
      <w:bookmarkStart w:id="6975" w:name="_Toc32601"/>
      <w:bookmarkStart w:id="6976" w:name="_Toc25502"/>
      <w:bookmarkStart w:id="6977" w:name="_Toc3406"/>
      <w:bookmarkStart w:id="6978" w:name="_Toc2718"/>
      <w:bookmarkStart w:id="6979" w:name="_Toc2219"/>
      <w:bookmarkStart w:id="6980" w:name="_Toc9056"/>
      <w:bookmarkStart w:id="6981" w:name="_Toc15376"/>
      <w:r>
        <w:rPr>
          <w:rFonts w:hint="eastAsia" w:ascii="Times New Roman" w:hAnsi="Times New Roman" w:cs="仿宋_GB2312"/>
          <w:bCs/>
          <w:color w:val="000000" w:themeColor="text1"/>
          <w:kern w:val="0"/>
          <w14:textFill>
            <w14:solidFill>
              <w14:schemeClr w14:val="tx1"/>
            </w14:solidFill>
          </w14:textFill>
        </w:rPr>
        <w:t>第五百六十一</w:t>
      </w:r>
      <w:r>
        <w:rPr>
          <w:rFonts w:hint="eastAsia" w:ascii="Times New Roman" w:hAnsi="Times New Roman" w:cs="仿宋_GB2312"/>
          <w:bCs/>
          <w:color w:val="000000" w:themeColor="text1"/>
          <w:kern w:val="0"/>
          <w:szCs w:val="32"/>
          <w14:textFill>
            <w14:solidFill>
              <w14:schemeClr w14:val="tx1"/>
            </w14:solidFill>
          </w14:textFill>
        </w:rPr>
        <w:t>条 安排未达到技术评审考核评估要求的专业技术人员参与职业卫生技术服务的</w:t>
      </w:r>
      <w:bookmarkEnd w:id="6971"/>
      <w:bookmarkEnd w:id="6972"/>
      <w:bookmarkEnd w:id="6973"/>
      <w:bookmarkEnd w:id="6974"/>
      <w:bookmarkEnd w:id="6975"/>
      <w:bookmarkEnd w:id="6976"/>
      <w:bookmarkEnd w:id="6977"/>
      <w:bookmarkEnd w:id="6978"/>
      <w:bookmarkEnd w:id="6979"/>
      <w:bookmarkEnd w:id="6980"/>
      <w:bookmarkEnd w:id="6981"/>
    </w:p>
    <w:p w14:paraId="77B90A1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633372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《职业卫生技术服务机构管理办法》第四十四条第</w:t>
      </w:r>
      <w:r>
        <w:rPr>
          <w:rFonts w:hint="eastAsia" w:ascii="Times New Roman" w:hAnsi="Times New Roman" w:eastAsia="仿宋_GB2312" w:cs="仿宋_GB2312"/>
          <w:color w:val="000000" w:themeColor="text1"/>
          <w:kern w:val="2"/>
          <w:sz w:val="32"/>
          <w:szCs w:val="21"/>
          <w14:textFill>
            <w14:solidFill>
              <w14:schemeClr w14:val="tx1"/>
            </w14:solidFill>
          </w14:textFill>
        </w:rPr>
        <w:t>（</w:t>
      </w:r>
      <w:r>
        <w:rPr>
          <w:rFonts w:ascii="Times New Roman" w:hAnsi="Times New Roman" w:eastAsia="仿宋_GB2312" w:cs="仿宋_GB2312"/>
          <w:color w:val="000000" w:themeColor="text1"/>
          <w:kern w:val="2"/>
          <w:sz w:val="32"/>
          <w:szCs w:val="21"/>
          <w14:textFill>
            <w14:solidFill>
              <w14:schemeClr w14:val="tx1"/>
            </w14:solidFill>
          </w14:textFill>
        </w:rPr>
        <w:t>六</w:t>
      </w:r>
      <w:r>
        <w:rPr>
          <w:rFonts w:hint="eastAsia" w:ascii="Times New Roman" w:hAnsi="Times New Roman" w:eastAsia="仿宋_GB2312" w:cs="仿宋_GB2312"/>
          <w:color w:val="000000" w:themeColor="text1"/>
          <w:kern w:val="2"/>
          <w:sz w:val="32"/>
          <w:szCs w:val="21"/>
          <w14:textFill>
            <w14:solidFill>
              <w14:schemeClr w14:val="tx1"/>
            </w14:solidFill>
          </w14:textFill>
        </w:rPr>
        <w:t>）</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14:textFill>
            <w14:solidFill>
              <w14:schemeClr w14:val="tx1"/>
            </w14:solidFill>
          </w14:textFill>
        </w:rPr>
        <w:t> </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责令改正，给予警告，可以并处三万元以下罚款：</w:t>
      </w:r>
    </w:p>
    <w:p w14:paraId="14894D6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w:t>
      </w:r>
      <w:r>
        <w:rPr>
          <w:rFonts w:ascii="Times New Roman" w:hAnsi="Times New Roman" w:eastAsia="仿宋_GB2312" w:cs="仿宋_GB2312"/>
          <w:color w:val="000000" w:themeColor="text1"/>
          <w:kern w:val="2"/>
          <w:sz w:val="32"/>
          <w:szCs w:val="21"/>
          <w14:textFill>
            <w14:solidFill>
              <w14:schemeClr w14:val="tx1"/>
            </w14:solidFill>
          </w14:textFill>
        </w:rPr>
        <w:t>安排未达到技术评审考核评估要求的专业技术人员参与职业卫生技术服务的。</w:t>
      </w:r>
    </w:p>
    <w:p w14:paraId="2D7DFBC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9033"/>
        <w:gridCol w:w="3380"/>
      </w:tblGrid>
      <w:tr w14:paraId="2B38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33" w:type="dxa"/>
            <w:vAlign w:val="center"/>
          </w:tcPr>
          <w:p w14:paraId="05D51C1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033" w:type="dxa"/>
            <w:vAlign w:val="center"/>
          </w:tcPr>
          <w:p w14:paraId="305C126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380" w:type="dxa"/>
            <w:vAlign w:val="center"/>
          </w:tcPr>
          <w:p w14:paraId="0FEBCB9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ADA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3" w:type="dxa"/>
            <w:vAlign w:val="center"/>
          </w:tcPr>
          <w:p w14:paraId="437F333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033" w:type="dxa"/>
            <w:vAlign w:val="center"/>
          </w:tcPr>
          <w:p w14:paraId="2ECEF0F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0E3846B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A.安排1个未达到技术评审考核评估要求的专业技术人员参与职业卫生技术服务的；</w:t>
            </w:r>
          </w:p>
          <w:p w14:paraId="4C72E6A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B.安排未达到技术评审考核评估要求的专业技术人员参与职业卫生技术服务，违法所得不足1 万元的。</w:t>
            </w:r>
          </w:p>
        </w:tc>
        <w:tc>
          <w:tcPr>
            <w:tcW w:w="3380" w:type="dxa"/>
            <w:vAlign w:val="center"/>
          </w:tcPr>
          <w:p w14:paraId="7F1E390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给予警告，责令改正，可以并处一万元以下的罚款。</w:t>
            </w:r>
          </w:p>
        </w:tc>
      </w:tr>
      <w:tr w14:paraId="62C2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433" w:type="dxa"/>
            <w:vAlign w:val="center"/>
          </w:tcPr>
          <w:p w14:paraId="2D39A75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033" w:type="dxa"/>
            <w:vAlign w:val="center"/>
          </w:tcPr>
          <w:p w14:paraId="3926672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22AD4E5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A.安排2个未达到技术评审考核评估要求的专业技术人员参与职业卫生技术服务的；</w:t>
            </w:r>
          </w:p>
          <w:p w14:paraId="0511AC5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B.安排未达到技术评审考核评估要求的专业技术人员参与职业卫生技术服务，违法所得1 万元以上3万元以下的。</w:t>
            </w:r>
          </w:p>
        </w:tc>
        <w:tc>
          <w:tcPr>
            <w:tcW w:w="3380" w:type="dxa"/>
            <w:vAlign w:val="center"/>
          </w:tcPr>
          <w:p w14:paraId="01A6D4A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给予警告，责令改正，可以并处一万元以上二万元以下的罚款。</w:t>
            </w:r>
          </w:p>
        </w:tc>
      </w:tr>
      <w:tr w14:paraId="5E25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1433" w:type="dxa"/>
            <w:vAlign w:val="center"/>
          </w:tcPr>
          <w:p w14:paraId="5B23BAC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2"/>
                <w:sz w:val="24"/>
                <w:szCs w:val="21"/>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033" w:type="dxa"/>
            <w:vAlign w:val="center"/>
          </w:tcPr>
          <w:p w14:paraId="575F739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26ACD85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spacing w:val="-11"/>
                <w:kern w:val="0"/>
                <w:sz w:val="24"/>
                <w:szCs w:val="22"/>
                <w:lang w:bidi="ar"/>
                <w14:textFill>
                  <w14:solidFill>
                    <w14:schemeClr w14:val="tx1"/>
                  </w14:solidFill>
                </w14:textFill>
              </w:rPr>
              <w:t>A.安排3个及以上未达到技术评审考核评估要求的专业技术人员参与职业卫生技术服务的</w:t>
            </w: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w:t>
            </w:r>
          </w:p>
          <w:p w14:paraId="175C471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B.安排未达到技术评审考核评估要求的专业技术人员参与职业卫生技术服务，违法所得3 万元以上的。</w:t>
            </w:r>
          </w:p>
        </w:tc>
        <w:tc>
          <w:tcPr>
            <w:tcW w:w="3380" w:type="dxa"/>
            <w:vAlign w:val="center"/>
          </w:tcPr>
          <w:p w14:paraId="310FE7E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给予警告，责令改正，并处二万元以上三万元以下的罚款。</w:t>
            </w:r>
          </w:p>
        </w:tc>
      </w:tr>
    </w:tbl>
    <w:p w14:paraId="3E352B5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982" w:name="_Toc27551"/>
      <w:bookmarkStart w:id="6983" w:name="_Toc410"/>
      <w:bookmarkStart w:id="6984" w:name="_Toc17930"/>
      <w:bookmarkStart w:id="6985" w:name="_Toc31343"/>
      <w:bookmarkStart w:id="6986" w:name="_Toc11610"/>
      <w:bookmarkStart w:id="6987" w:name="_Toc16542"/>
      <w:bookmarkStart w:id="6988" w:name="_Toc7409"/>
      <w:bookmarkStart w:id="6989" w:name="_Toc3971"/>
      <w:bookmarkStart w:id="6990" w:name="_Toc24684"/>
      <w:bookmarkStart w:id="6991" w:name="_Toc418"/>
      <w:bookmarkStart w:id="6992" w:name="_Toc2252"/>
      <w:r>
        <w:rPr>
          <w:rFonts w:hint="eastAsia" w:ascii="Times New Roman" w:hAnsi="Times New Roman" w:cs="仿宋_GB2312"/>
          <w:bCs/>
          <w:color w:val="000000" w:themeColor="text1"/>
          <w:kern w:val="0"/>
          <w14:textFill>
            <w14:solidFill>
              <w14:schemeClr w14:val="tx1"/>
            </w14:solidFill>
          </w14:textFill>
        </w:rPr>
        <w:t>第五百六十二</w:t>
      </w:r>
      <w:r>
        <w:rPr>
          <w:rFonts w:hint="eastAsia" w:ascii="Times New Roman" w:hAnsi="Times New Roman" w:cs="仿宋_GB2312"/>
          <w:bCs/>
          <w:color w:val="000000" w:themeColor="text1"/>
          <w:kern w:val="0"/>
          <w:szCs w:val="32"/>
          <w14:textFill>
            <w14:solidFill>
              <w14:schemeClr w14:val="tx1"/>
            </w14:solidFill>
          </w14:textFill>
        </w:rPr>
        <w:t>条 在职业卫生技术报告或者有关原始记录上代替他人签字的</w:t>
      </w:r>
      <w:bookmarkEnd w:id="6982"/>
      <w:bookmarkEnd w:id="6983"/>
      <w:bookmarkEnd w:id="6984"/>
      <w:bookmarkEnd w:id="6985"/>
      <w:bookmarkEnd w:id="6986"/>
      <w:bookmarkEnd w:id="6987"/>
      <w:bookmarkEnd w:id="6988"/>
      <w:bookmarkEnd w:id="6989"/>
      <w:bookmarkEnd w:id="6990"/>
      <w:bookmarkEnd w:id="6991"/>
      <w:bookmarkEnd w:id="6992"/>
    </w:p>
    <w:p w14:paraId="119211B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B699FE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《职业卫生技术服务机构管理办法》第四十五条第</w:t>
      </w:r>
      <w:r>
        <w:rPr>
          <w:rFonts w:hint="eastAsia" w:ascii="Times New Roman" w:hAnsi="Times New Roman" w:eastAsia="仿宋_GB2312" w:cs="仿宋_GB2312"/>
          <w:color w:val="000000" w:themeColor="text1"/>
          <w:kern w:val="2"/>
          <w:sz w:val="32"/>
          <w:szCs w:val="21"/>
          <w14:textFill>
            <w14:solidFill>
              <w14:schemeClr w14:val="tx1"/>
            </w14:solidFill>
          </w14:textFill>
        </w:rPr>
        <w:t>（</w:t>
      </w:r>
      <w:r>
        <w:rPr>
          <w:rFonts w:ascii="Times New Roman" w:hAnsi="Times New Roman" w:eastAsia="仿宋_GB2312" w:cs="仿宋_GB2312"/>
          <w:color w:val="000000" w:themeColor="text1"/>
          <w:kern w:val="2"/>
          <w:sz w:val="32"/>
          <w:szCs w:val="21"/>
          <w14:textFill>
            <w14:solidFill>
              <w14:schemeClr w14:val="tx1"/>
            </w14:solidFill>
          </w14:textFill>
        </w:rPr>
        <w:t>一</w:t>
      </w:r>
      <w:r>
        <w:rPr>
          <w:rFonts w:hint="eastAsia" w:ascii="Times New Roman" w:hAnsi="Times New Roman" w:eastAsia="仿宋_GB2312" w:cs="仿宋_GB2312"/>
          <w:color w:val="000000" w:themeColor="text1"/>
          <w:kern w:val="2"/>
          <w:sz w:val="32"/>
          <w:szCs w:val="21"/>
          <w14:textFill>
            <w14:solidFill>
              <w14:schemeClr w14:val="tx1"/>
            </w14:solidFill>
          </w14:textFill>
        </w:rPr>
        <w:t>）</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14:textFill>
            <w14:solidFill>
              <w14:schemeClr w14:val="tx1"/>
            </w14:solidFill>
          </w14:textFill>
        </w:rPr>
        <w:t> </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职业卫生技术服务机构专业技术人员有下列情形之一的，由县级以上地方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责令改正，给予警告，并处一万元以下罚款：</w:t>
      </w:r>
    </w:p>
    <w:p w14:paraId="56AD8D4A">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（一）在职业卫生技术报告或者有关原始记录上代替他人签字的；</w:t>
      </w:r>
    </w:p>
    <w:p w14:paraId="05813E17">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8490"/>
        <w:gridCol w:w="3923"/>
      </w:tblGrid>
      <w:tr w14:paraId="0210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33" w:type="dxa"/>
            <w:vAlign w:val="center"/>
          </w:tcPr>
          <w:p w14:paraId="07FC09E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490" w:type="dxa"/>
            <w:vAlign w:val="center"/>
          </w:tcPr>
          <w:p w14:paraId="152FC41D">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923" w:type="dxa"/>
            <w:vAlign w:val="center"/>
          </w:tcPr>
          <w:p w14:paraId="13053AE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BF9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433" w:type="dxa"/>
            <w:vAlign w:val="center"/>
          </w:tcPr>
          <w:p w14:paraId="5BB43CC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2"/>
                <w:sz w:val="24"/>
                <w:szCs w:val="21"/>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490" w:type="dxa"/>
            <w:vAlign w:val="center"/>
          </w:tcPr>
          <w:p w14:paraId="46C937B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3570AA3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A.在职业卫生技术报告或者有关原始记录上代替他人签字，代替签字不足3处以下的；</w:t>
            </w:r>
          </w:p>
          <w:p w14:paraId="76B2AB3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B.在职业卫生技术报告或者有关原始记录上代替他人签字，违法所得不足1 万元的。</w:t>
            </w:r>
          </w:p>
        </w:tc>
        <w:tc>
          <w:tcPr>
            <w:tcW w:w="3923" w:type="dxa"/>
            <w:vAlign w:val="center"/>
          </w:tcPr>
          <w:p w14:paraId="7316601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给予警告，责令改正，对职业卫生技术服务机构处三千元以下的罚款。</w:t>
            </w:r>
          </w:p>
        </w:tc>
      </w:tr>
      <w:tr w14:paraId="6B50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3" w:type="dxa"/>
            <w:vAlign w:val="center"/>
          </w:tcPr>
          <w:p w14:paraId="50F96EF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490" w:type="dxa"/>
            <w:vAlign w:val="center"/>
          </w:tcPr>
          <w:p w14:paraId="6BB34AD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0AB0F64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A.在职业卫生技术报告或者有关原始记录上代替他人签字，代替签字4处以上5处以下的；</w:t>
            </w:r>
          </w:p>
          <w:p w14:paraId="69BEF51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B.在职业卫生技术报告或者有关原始记录上代替他人签字，违法所得1 万元以上3万元以下的。</w:t>
            </w:r>
          </w:p>
        </w:tc>
        <w:tc>
          <w:tcPr>
            <w:tcW w:w="3923" w:type="dxa"/>
            <w:vAlign w:val="center"/>
          </w:tcPr>
          <w:p w14:paraId="5A1DFF3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给予警告，责令改正，对职业卫生技术服务机构处三千元以上六千元以下的罚款。</w:t>
            </w:r>
          </w:p>
        </w:tc>
      </w:tr>
      <w:tr w14:paraId="7364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33" w:type="dxa"/>
            <w:vAlign w:val="center"/>
          </w:tcPr>
          <w:p w14:paraId="198CA53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490" w:type="dxa"/>
            <w:vAlign w:val="center"/>
          </w:tcPr>
          <w:p w14:paraId="31E5022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42FAB88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A.在职业卫生技术报告或者有关原始记录上代替他人签字，代替签字6处以上；</w:t>
            </w:r>
          </w:p>
          <w:p w14:paraId="5253295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w:t>
            </w:r>
            <w:r>
              <w:rPr>
                <w:rFonts w:hint="eastAsia" w:ascii="Times New Roman" w:hAnsi="Times New Roman" w:eastAsia="仿宋_GB2312" w:cs="Times New Roman"/>
                <w:color w:val="000000" w:themeColor="text1"/>
                <w:spacing w:val="-6"/>
                <w:kern w:val="0"/>
                <w:sz w:val="24"/>
                <w:szCs w:val="22"/>
                <w:lang w:bidi="ar"/>
                <w14:textFill>
                  <w14:solidFill>
                    <w14:schemeClr w14:val="tx1"/>
                  </w14:solidFill>
                </w14:textFill>
              </w:rPr>
              <w:t>在职业卫生技术报告或者有关原始记录上代替他人签字，违法所得3万元以上的。</w:t>
            </w:r>
          </w:p>
        </w:tc>
        <w:tc>
          <w:tcPr>
            <w:tcW w:w="3923" w:type="dxa"/>
            <w:vAlign w:val="center"/>
          </w:tcPr>
          <w:p w14:paraId="2A7AA0D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给予警告，责令改正，对职业卫生技术服务机构处六千元以上一 万元以下的罚款。</w:t>
            </w:r>
          </w:p>
        </w:tc>
      </w:tr>
    </w:tbl>
    <w:p w14:paraId="69419125">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6993" w:name="_Toc11338"/>
      <w:bookmarkStart w:id="6994" w:name="_Toc31403"/>
      <w:bookmarkStart w:id="6995" w:name="_Toc24865"/>
      <w:bookmarkStart w:id="6996" w:name="_Toc14009"/>
      <w:bookmarkStart w:id="6997" w:name="_Toc24298"/>
      <w:bookmarkStart w:id="6998" w:name="_Toc18284"/>
      <w:bookmarkStart w:id="6999" w:name="_Toc24714"/>
      <w:bookmarkStart w:id="7000" w:name="_Toc16223"/>
      <w:bookmarkStart w:id="7001" w:name="_Toc24154"/>
      <w:bookmarkStart w:id="7002" w:name="_Toc23492"/>
      <w:bookmarkStart w:id="7003" w:name="_Toc23804"/>
      <w:r>
        <w:rPr>
          <w:rFonts w:hint="eastAsia" w:ascii="Times New Roman" w:hAnsi="Times New Roman" w:cs="仿宋_GB2312"/>
          <w:bCs/>
          <w:color w:val="000000" w:themeColor="text1"/>
          <w:kern w:val="0"/>
          <w14:textFill>
            <w14:solidFill>
              <w14:schemeClr w14:val="tx1"/>
            </w14:solidFill>
          </w14:textFill>
        </w:rPr>
        <w:t>第五百六十三</w:t>
      </w:r>
      <w:r>
        <w:rPr>
          <w:rFonts w:hint="eastAsia" w:ascii="Times New Roman" w:hAnsi="Times New Roman" w:cs="仿宋_GB2312"/>
          <w:bCs/>
          <w:color w:val="000000" w:themeColor="text1"/>
          <w:kern w:val="0"/>
          <w:szCs w:val="32"/>
          <w14:textFill>
            <w14:solidFill>
              <w14:schemeClr w14:val="tx1"/>
            </w14:solidFill>
          </w14:textFill>
        </w:rPr>
        <w:t>条 未参与相应职业卫生技术服务事项而在技术报告或者有关原始记录上签字的</w:t>
      </w:r>
      <w:bookmarkEnd w:id="6993"/>
      <w:bookmarkEnd w:id="6994"/>
      <w:bookmarkEnd w:id="6995"/>
      <w:bookmarkEnd w:id="6996"/>
      <w:bookmarkEnd w:id="6997"/>
      <w:bookmarkEnd w:id="6998"/>
      <w:bookmarkEnd w:id="6999"/>
      <w:bookmarkEnd w:id="7000"/>
      <w:bookmarkEnd w:id="7001"/>
      <w:bookmarkEnd w:id="7002"/>
      <w:bookmarkEnd w:id="7003"/>
    </w:p>
    <w:p w14:paraId="6477A3E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24AAE1E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《职业卫生技术服务机构管理办法》第四十五条第</w:t>
      </w:r>
      <w:r>
        <w:rPr>
          <w:rFonts w:hint="eastAsia" w:ascii="Times New Roman" w:hAnsi="Times New Roman" w:eastAsia="仿宋_GB2312" w:cs="仿宋_GB2312"/>
          <w:color w:val="000000" w:themeColor="text1"/>
          <w:kern w:val="2"/>
          <w:sz w:val="32"/>
          <w:szCs w:val="21"/>
          <w14:textFill>
            <w14:solidFill>
              <w14:schemeClr w14:val="tx1"/>
            </w14:solidFill>
          </w14:textFill>
        </w:rPr>
        <w:t>（二）</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职业卫生技术服务机构专业技术人员有下列情形之一的，由县级以上地方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责令改正，给予警告，并处一万元以下罚款：</w:t>
      </w:r>
    </w:p>
    <w:p w14:paraId="114805B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（二）未参与相应职业卫生技术服务事项而在技术报告或者有关原始记录上签字的；</w:t>
      </w:r>
    </w:p>
    <w:p w14:paraId="68DDF249">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221"/>
        <w:gridCol w:w="5254"/>
      </w:tblGrid>
      <w:tr w14:paraId="5C32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440" w:type="dxa"/>
            <w:vAlign w:val="center"/>
          </w:tcPr>
          <w:p w14:paraId="2C86ED09">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221" w:type="dxa"/>
            <w:vAlign w:val="center"/>
          </w:tcPr>
          <w:p w14:paraId="1A218EEB">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254" w:type="dxa"/>
            <w:vAlign w:val="center"/>
          </w:tcPr>
          <w:p w14:paraId="41B7EC5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EF6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1440" w:type="dxa"/>
            <w:vAlign w:val="center"/>
          </w:tcPr>
          <w:p w14:paraId="09B86B0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221" w:type="dxa"/>
            <w:vAlign w:val="center"/>
          </w:tcPr>
          <w:p w14:paraId="7265CBD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6E55DF9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A.未参与相应职业卫生技术服务事项而在技术报告或者有关原始记录上签字，签字不足3处的；</w:t>
            </w:r>
          </w:p>
          <w:p w14:paraId="2C56B9C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B.未参与相应职业卫生技术服务事项而在技术报告或者有关原始记录上签字，违法所得不足1万元的。</w:t>
            </w:r>
          </w:p>
        </w:tc>
        <w:tc>
          <w:tcPr>
            <w:tcW w:w="5254" w:type="dxa"/>
            <w:vAlign w:val="center"/>
          </w:tcPr>
          <w:p w14:paraId="68848B0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给予警告，责令改正，对职业卫生技术服务机构处 三千元以下的罚款。</w:t>
            </w:r>
          </w:p>
        </w:tc>
      </w:tr>
      <w:tr w14:paraId="18CA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1440" w:type="dxa"/>
            <w:vAlign w:val="center"/>
          </w:tcPr>
          <w:p w14:paraId="6DEE14E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221" w:type="dxa"/>
            <w:vAlign w:val="center"/>
          </w:tcPr>
          <w:p w14:paraId="198CE69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3E3AE92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A.未参与相应职业卫生技术服务事项而在技术报告或者有关原始记录上签字，签字4处以上5处以下的；</w:t>
            </w:r>
          </w:p>
          <w:p w14:paraId="78A6BE4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B.未参与相应职业卫生技术服务事项而在技术报告或者有关原始记录上签字，违法所得1万元以上3万元以下的。</w:t>
            </w:r>
          </w:p>
        </w:tc>
        <w:tc>
          <w:tcPr>
            <w:tcW w:w="5254" w:type="dxa"/>
            <w:vAlign w:val="center"/>
          </w:tcPr>
          <w:p w14:paraId="6BBF43A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给予警告，责令改正，对职业卫生技术服务机构处 三千元以上六千元以下的罚款。</w:t>
            </w:r>
          </w:p>
        </w:tc>
      </w:tr>
      <w:tr w14:paraId="5540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40" w:type="dxa"/>
            <w:vAlign w:val="center"/>
          </w:tcPr>
          <w:p w14:paraId="757D694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221" w:type="dxa"/>
            <w:vAlign w:val="center"/>
          </w:tcPr>
          <w:p w14:paraId="62954D0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776A17E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A.未参与相应职业卫生技术服务事项而在技术报告或者有关原始记录上签字，签字6处以上；</w:t>
            </w:r>
          </w:p>
          <w:p w14:paraId="20FB496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B.未参与相应职业卫生技术服务事项而在技术报告或者有关原始记录上签字，违法所得3万元以上的。</w:t>
            </w:r>
          </w:p>
        </w:tc>
        <w:tc>
          <w:tcPr>
            <w:tcW w:w="5254" w:type="dxa"/>
            <w:vAlign w:val="center"/>
          </w:tcPr>
          <w:p w14:paraId="096382A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给予警告，责令改正，对职业卫生技术服务机构处 六千元以上一万元以下的罚款。</w:t>
            </w:r>
          </w:p>
        </w:tc>
      </w:tr>
    </w:tbl>
    <w:p w14:paraId="5455F824">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7004" w:name="_Toc12791"/>
      <w:bookmarkStart w:id="7005" w:name="_Toc27360"/>
      <w:bookmarkStart w:id="7006" w:name="_Toc17156"/>
      <w:bookmarkStart w:id="7007" w:name="_Toc24881"/>
      <w:bookmarkStart w:id="7008" w:name="_Toc788"/>
      <w:bookmarkStart w:id="7009" w:name="_Toc6547"/>
      <w:bookmarkStart w:id="7010" w:name="_Toc9337"/>
      <w:bookmarkStart w:id="7011" w:name="_Toc16096"/>
      <w:bookmarkStart w:id="7012" w:name="_Toc24649"/>
      <w:bookmarkStart w:id="7013" w:name="_Toc23579"/>
      <w:bookmarkStart w:id="7014" w:name="_Toc13541"/>
      <w:r>
        <w:rPr>
          <w:rFonts w:hint="eastAsia" w:ascii="Times New Roman" w:hAnsi="Times New Roman" w:cs="仿宋_GB2312"/>
          <w:bCs/>
          <w:color w:val="000000" w:themeColor="text1"/>
          <w:kern w:val="0"/>
          <w14:textFill>
            <w14:solidFill>
              <w14:schemeClr w14:val="tx1"/>
            </w14:solidFill>
          </w14:textFill>
        </w:rPr>
        <w:t>第五百六十四</w:t>
      </w:r>
      <w:r>
        <w:rPr>
          <w:rFonts w:hint="eastAsia" w:ascii="Times New Roman" w:hAnsi="Times New Roman" w:cs="仿宋_GB2312"/>
          <w:bCs/>
          <w:color w:val="000000" w:themeColor="text1"/>
          <w:kern w:val="0"/>
          <w:szCs w:val="32"/>
          <w14:textFill>
            <w14:solidFill>
              <w14:schemeClr w14:val="tx1"/>
            </w14:solidFill>
          </w14:textFill>
        </w:rPr>
        <w:t>条 职业卫生技术服务机构其他违反本办法规定的行为</w:t>
      </w:r>
      <w:bookmarkEnd w:id="7004"/>
      <w:bookmarkEnd w:id="7005"/>
      <w:bookmarkEnd w:id="7006"/>
      <w:bookmarkEnd w:id="7007"/>
      <w:bookmarkEnd w:id="7008"/>
      <w:bookmarkEnd w:id="7009"/>
      <w:bookmarkEnd w:id="7010"/>
      <w:bookmarkEnd w:id="7011"/>
      <w:bookmarkEnd w:id="7012"/>
      <w:bookmarkEnd w:id="7013"/>
      <w:bookmarkEnd w:id="7014"/>
    </w:p>
    <w:p w14:paraId="2E1AC30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4C17BCA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《职业卫生技术服务机构管理办法》第四十五条第</w:t>
      </w:r>
      <w:r>
        <w:rPr>
          <w:rFonts w:hint="eastAsia" w:ascii="Times New Roman" w:hAnsi="Times New Roman" w:eastAsia="仿宋_GB2312" w:cs="仿宋_GB2312"/>
          <w:color w:val="000000" w:themeColor="text1"/>
          <w:kern w:val="2"/>
          <w:sz w:val="32"/>
          <w:szCs w:val="21"/>
          <w14:textFill>
            <w14:solidFill>
              <w14:schemeClr w14:val="tx1"/>
            </w14:solidFill>
          </w14:textFill>
        </w:rPr>
        <w:t>（三）</w:t>
      </w:r>
      <w:r>
        <w:rPr>
          <w:rFonts w:ascii="Times New Roman" w:hAnsi="Times New Roman" w:eastAsia="仿宋_GB2312" w:cs="仿宋_GB2312"/>
          <w:color w:val="000000" w:themeColor="text1"/>
          <w:kern w:val="2"/>
          <w:sz w:val="32"/>
          <w:szCs w:val="21"/>
          <w14:textFill>
            <w14:solidFill>
              <w14:schemeClr w14:val="tx1"/>
            </w14:solidFill>
          </w14:textFill>
        </w:rPr>
        <w:t>项</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职业卫生技术服务机构专业技术人员有下列情形之一的，由县级以上地方</w:t>
      </w:r>
      <w:r>
        <w:rPr>
          <w:rFonts w:hint="eastAsia" w:ascii="Times New Roman" w:hAnsi="Times New Roman" w:eastAsia="仿宋_GB2312" w:cs="仿宋_GB2312"/>
          <w:color w:val="000000" w:themeColor="text1"/>
          <w:kern w:val="2"/>
          <w:sz w:val="32"/>
          <w:szCs w:val="21"/>
          <w14:textFill>
            <w14:solidFill>
              <w14:schemeClr w14:val="tx1"/>
            </w14:solidFill>
          </w14:textFill>
        </w:rPr>
        <w:t>疾病预防控制主管部门</w:t>
      </w:r>
      <w:r>
        <w:rPr>
          <w:rFonts w:ascii="Times New Roman" w:hAnsi="Times New Roman" w:eastAsia="仿宋_GB2312" w:cs="仿宋_GB2312"/>
          <w:color w:val="000000" w:themeColor="text1"/>
          <w:kern w:val="2"/>
          <w:sz w:val="32"/>
          <w:szCs w:val="21"/>
          <w14:textFill>
            <w14:solidFill>
              <w14:schemeClr w14:val="tx1"/>
            </w14:solidFill>
          </w14:textFill>
        </w:rPr>
        <w:t>责令改正，给予警告，并处一万元以下罚款：</w:t>
      </w:r>
    </w:p>
    <w:p w14:paraId="24BB34B9">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（三）其他违反本办法规定的行为。</w:t>
      </w:r>
    </w:p>
    <w:p w14:paraId="5EA3CAB1">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8726"/>
        <w:gridCol w:w="3624"/>
      </w:tblGrid>
      <w:tr w14:paraId="1D98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6" w:type="dxa"/>
            <w:vAlign w:val="center"/>
          </w:tcPr>
          <w:p w14:paraId="63CA4CA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726" w:type="dxa"/>
            <w:vAlign w:val="center"/>
          </w:tcPr>
          <w:p w14:paraId="3500029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624" w:type="dxa"/>
            <w:vAlign w:val="center"/>
          </w:tcPr>
          <w:p w14:paraId="659F956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31BA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26" w:type="dxa"/>
            <w:vAlign w:val="center"/>
          </w:tcPr>
          <w:p w14:paraId="7A02EA1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726" w:type="dxa"/>
            <w:vAlign w:val="center"/>
          </w:tcPr>
          <w:p w14:paraId="2372BCB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职业卫生技术服务机构违反《职业卫生技术服务机构管理办法》其他有关规定，无违法所得或无法确定违法所得的。</w:t>
            </w:r>
          </w:p>
        </w:tc>
        <w:tc>
          <w:tcPr>
            <w:tcW w:w="3624" w:type="dxa"/>
            <w:vAlign w:val="center"/>
          </w:tcPr>
          <w:p w14:paraId="479EAB6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给予警告，责令改正，并处三千元以下的罚款。</w:t>
            </w:r>
          </w:p>
        </w:tc>
      </w:tr>
      <w:tr w14:paraId="52F3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26" w:type="dxa"/>
            <w:vAlign w:val="center"/>
          </w:tcPr>
          <w:p w14:paraId="4416BC0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726" w:type="dxa"/>
            <w:vAlign w:val="center"/>
          </w:tcPr>
          <w:p w14:paraId="69E486FC">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职业卫生技术服务机构违反《职业卫生技术服务机构管理办法》其他有关规定，违法所得三万元以下的。</w:t>
            </w:r>
          </w:p>
        </w:tc>
        <w:tc>
          <w:tcPr>
            <w:tcW w:w="3624" w:type="dxa"/>
            <w:vAlign w:val="center"/>
          </w:tcPr>
          <w:p w14:paraId="4E056F9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 三千元以上 六千元以下的罚款。</w:t>
            </w:r>
          </w:p>
        </w:tc>
      </w:tr>
      <w:tr w14:paraId="6A40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26" w:type="dxa"/>
            <w:vAlign w:val="center"/>
          </w:tcPr>
          <w:p w14:paraId="58727CC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726" w:type="dxa"/>
            <w:vAlign w:val="center"/>
          </w:tcPr>
          <w:p w14:paraId="44B41FF0">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职业卫生技术服务机构违反《职业卫生技术服务机构管理办法》其他有关规定，违法所得三万元以上的；或对劳动者健康或健康权益造成严重损害，产生恶劣社会影响的。</w:t>
            </w:r>
          </w:p>
        </w:tc>
        <w:tc>
          <w:tcPr>
            <w:tcW w:w="3624" w:type="dxa"/>
            <w:vAlign w:val="center"/>
          </w:tcPr>
          <w:p w14:paraId="58E03A2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给予警告，责令改正，并处 六千元以上一万元以下的罚款。</w:t>
            </w:r>
          </w:p>
        </w:tc>
      </w:tr>
    </w:tbl>
    <w:p w14:paraId="3B0AA1EF">
      <w:pPr>
        <w:pStyle w:val="4"/>
        <w:widowControl w:val="0"/>
        <w:ind w:firstLine="640"/>
        <w:jc w:val="both"/>
        <w:rPr>
          <w:rFonts w:hint="eastAsia" w:ascii="Times New Roman" w:hAnsi="Times New Roman" w:cs="仿宋_GB2312"/>
          <w:b/>
          <w:bCs/>
          <w:color w:val="000000" w:themeColor="text1"/>
          <w:kern w:val="0"/>
          <w:szCs w:val="32"/>
          <w14:textFill>
            <w14:solidFill>
              <w14:schemeClr w14:val="tx1"/>
            </w14:solidFill>
          </w14:textFill>
        </w:rPr>
      </w:pPr>
      <w:bookmarkStart w:id="7015" w:name="_Toc10481"/>
      <w:bookmarkStart w:id="7016" w:name="_Toc32440"/>
      <w:bookmarkStart w:id="7017" w:name="_Toc9936"/>
      <w:bookmarkStart w:id="7018" w:name="_Toc3300"/>
      <w:bookmarkStart w:id="7019" w:name="_Toc32308"/>
      <w:bookmarkStart w:id="7020" w:name="_Toc22015"/>
      <w:bookmarkStart w:id="7021" w:name="_Toc25976"/>
      <w:bookmarkStart w:id="7022" w:name="_Toc16983"/>
      <w:bookmarkStart w:id="7023" w:name="_Toc26783"/>
      <w:bookmarkStart w:id="7024" w:name="_Toc13052"/>
      <w:bookmarkStart w:id="7025" w:name="_Toc27806"/>
      <w:r>
        <w:rPr>
          <w:rFonts w:hint="eastAsia" w:ascii="Times New Roman" w:hAnsi="Times New Roman" w:cs="仿宋_GB2312"/>
          <w:bCs/>
          <w:color w:val="000000" w:themeColor="text1"/>
          <w:kern w:val="0"/>
          <w14:textFill>
            <w14:solidFill>
              <w14:schemeClr w14:val="tx1"/>
            </w14:solidFill>
          </w14:textFill>
        </w:rPr>
        <w:t>第五百六十五</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szCs w:val="32"/>
          <w14:textFill>
            <w14:solidFill>
              <w14:schemeClr w14:val="tx1"/>
            </w14:solidFill>
          </w14:textFill>
        </w:rPr>
        <w:t xml:space="preserve"> </w:t>
      </w:r>
      <w:r>
        <w:rPr>
          <w:rFonts w:hint="eastAsia" w:ascii="Times New Roman" w:hAnsi="Times New Roman" w:cs="仿宋_GB2312"/>
          <w:bCs/>
          <w:color w:val="000000" w:themeColor="text1"/>
          <w:kern w:val="0"/>
          <w:szCs w:val="32"/>
          <w14:textFill>
            <w14:solidFill>
              <w14:schemeClr w14:val="tx1"/>
            </w14:solidFill>
          </w14:textFill>
        </w:rPr>
        <w:t>已经取得资质认可的职业卫生技术服务机构，不再符合规定的资质条件的</w:t>
      </w:r>
      <w:bookmarkEnd w:id="7015"/>
      <w:bookmarkEnd w:id="7016"/>
      <w:bookmarkEnd w:id="7017"/>
      <w:bookmarkEnd w:id="7018"/>
      <w:bookmarkEnd w:id="7019"/>
      <w:bookmarkEnd w:id="7020"/>
      <w:bookmarkEnd w:id="7021"/>
      <w:bookmarkEnd w:id="7022"/>
      <w:bookmarkEnd w:id="7023"/>
      <w:bookmarkEnd w:id="7024"/>
      <w:bookmarkEnd w:id="7025"/>
    </w:p>
    <w:p w14:paraId="030F2BE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B71E6A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ascii="Times New Roman" w:hAnsi="Times New Roman" w:eastAsia="仿宋_GB2312" w:cs="仿宋_GB2312"/>
          <w:color w:val="000000" w:themeColor="text1"/>
          <w:kern w:val="2"/>
          <w:sz w:val="32"/>
          <w:szCs w:val="21"/>
          <w14:textFill>
            <w14:solidFill>
              <w14:schemeClr w14:val="tx1"/>
            </w14:solidFill>
          </w14:textFill>
        </w:rPr>
        <w:t>《职业卫生技术服务机构管理办法》</w:t>
      </w:r>
      <w:r>
        <w:rPr>
          <w:rFonts w:hint="eastAsia" w:ascii="Times New Roman" w:hAnsi="Times New Roman" w:eastAsia="仿宋_GB2312" w:cs="仿宋_GB2312"/>
          <w:color w:val="000000" w:themeColor="text1"/>
          <w:kern w:val="2"/>
          <w:sz w:val="32"/>
          <w:szCs w:val="21"/>
          <w14:textFill>
            <w14:solidFill>
              <w14:schemeClr w14:val="tx1"/>
            </w14:solidFill>
          </w14:textFill>
        </w:rPr>
        <w:t>第四十六条</w:t>
      </w:r>
      <w:r>
        <w:rPr>
          <w:rFonts w:hint="eastAsia" w:ascii="Times New Roman" w:hAnsi="Times New Roman" w:eastAsia="仿宋_GB2312" w:cs="仿宋_GB2312"/>
          <w:color w:val="000000" w:themeColor="text1"/>
          <w:kern w:val="2"/>
          <w:sz w:val="32"/>
          <w:szCs w:val="21"/>
          <w:lang w:eastAsia="zh-CN"/>
          <w14:textFill>
            <w14:solidFill>
              <w14:schemeClr w14:val="tx1"/>
            </w14:solidFill>
          </w14:textFill>
        </w:rPr>
        <w:t xml:space="preserve"> </w:t>
      </w:r>
      <w:r>
        <w:rPr>
          <w:rFonts w:hint="eastAsia" w:ascii="Times New Roman" w:hAnsi="Times New Roman" w:eastAsia="仿宋_GB2312" w:cs="仿宋_GB2312"/>
          <w:color w:val="000000" w:themeColor="text1"/>
          <w:kern w:val="2"/>
          <w:sz w:val="32"/>
          <w:szCs w:val="21"/>
          <w14:textFill>
            <w14:solidFill>
              <w14:schemeClr w14:val="tx1"/>
            </w14:solidFill>
          </w14:textFill>
        </w:rPr>
        <w:t>已经取得资质认可的职业卫生技术服务机构，不再符合规定的资质条件的，由原资质认可机关责令其改正，通报批评；情节严重的，依法撤销其资质认可。</w:t>
      </w:r>
    </w:p>
    <w:p w14:paraId="64A0CB9F">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8650"/>
        <w:gridCol w:w="3593"/>
      </w:tblGrid>
      <w:tr w14:paraId="601B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413" w:type="dxa"/>
            <w:vAlign w:val="center"/>
          </w:tcPr>
          <w:p w14:paraId="0B42A33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650" w:type="dxa"/>
            <w:vAlign w:val="center"/>
          </w:tcPr>
          <w:p w14:paraId="70DA330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3593" w:type="dxa"/>
            <w:vAlign w:val="center"/>
          </w:tcPr>
          <w:p w14:paraId="79E29AA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7456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3" w:type="dxa"/>
            <w:vAlign w:val="center"/>
          </w:tcPr>
          <w:p w14:paraId="459731B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650" w:type="dxa"/>
            <w:vAlign w:val="center"/>
          </w:tcPr>
          <w:p w14:paraId="4900F6A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已经取得资质认可的职业卫生技术服务机构，不再符合规定的资质条件的。</w:t>
            </w:r>
          </w:p>
        </w:tc>
        <w:tc>
          <w:tcPr>
            <w:tcW w:w="3593" w:type="dxa"/>
            <w:vAlign w:val="center"/>
          </w:tcPr>
          <w:p w14:paraId="753DE41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由原资质认可机关责令其改正，通报批评。</w:t>
            </w:r>
          </w:p>
        </w:tc>
      </w:tr>
      <w:tr w14:paraId="7613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13" w:type="dxa"/>
            <w:vAlign w:val="center"/>
          </w:tcPr>
          <w:p w14:paraId="30395D7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650" w:type="dxa"/>
            <w:vAlign w:val="center"/>
          </w:tcPr>
          <w:p w14:paraId="0EFB2A0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已经取得资质认可的职业卫生技术服务机构，不再符合规定的资质条件，对劳动者健康或健康权益造成严重损害，产生恶劣社会影响的。</w:t>
            </w:r>
          </w:p>
        </w:tc>
        <w:tc>
          <w:tcPr>
            <w:tcW w:w="3593" w:type="dxa"/>
            <w:vAlign w:val="center"/>
          </w:tcPr>
          <w:p w14:paraId="43CEFE0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依法撤销其资质认可。</w:t>
            </w:r>
          </w:p>
        </w:tc>
      </w:tr>
    </w:tbl>
    <w:p w14:paraId="04C77C76">
      <w:pPr>
        <w:widowControl w:val="0"/>
        <w:numPr>
          <w:ilvl w:val="255"/>
          <w:numId w:val="0"/>
        </w:numPr>
        <w:adjustRightInd/>
        <w:snapToGrid/>
        <w:spacing w:before="157" w:beforeLines="50" w:after="157" w:afterLines="50" w:line="480" w:lineRule="exact"/>
        <w:ind w:firstLine="643" w:firstLineChars="200"/>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pPr>
      <w:bookmarkStart w:id="7026" w:name="_Toc7975"/>
      <w:bookmarkStart w:id="7027" w:name="_Toc1375"/>
      <w:r>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t>（八）《用人单位职业健康监护监督管理办法》</w:t>
      </w:r>
      <w:bookmarkEnd w:id="7026"/>
      <w:bookmarkEnd w:id="7027"/>
    </w:p>
    <w:p w14:paraId="7413E9DC">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7028" w:name="_Toc18241"/>
      <w:bookmarkStart w:id="7029" w:name="_Toc1677"/>
      <w:bookmarkStart w:id="7030" w:name="_Toc25931"/>
      <w:bookmarkStart w:id="7031" w:name="_Toc16644"/>
      <w:bookmarkStart w:id="7032" w:name="_Toc10250"/>
      <w:bookmarkStart w:id="7033" w:name="_Toc5929"/>
      <w:bookmarkStart w:id="7034" w:name="_Toc9050"/>
      <w:bookmarkStart w:id="7035" w:name="_Toc31859"/>
      <w:bookmarkStart w:id="7036" w:name="_Toc31117"/>
      <w:bookmarkStart w:id="7037" w:name="_Toc15329"/>
      <w:bookmarkStart w:id="7038" w:name="_Toc20404"/>
      <w:r>
        <w:rPr>
          <w:rFonts w:hint="eastAsia" w:ascii="Times New Roman" w:hAnsi="Times New Roman" w:cs="仿宋_GB2312"/>
          <w:bCs/>
          <w:color w:val="000000" w:themeColor="text1"/>
          <w:kern w:val="0"/>
          <w14:textFill>
            <w14:solidFill>
              <w14:schemeClr w14:val="tx1"/>
            </w14:solidFill>
          </w14:textFill>
        </w:rPr>
        <w:t>第五百六十六</w:t>
      </w:r>
      <w:r>
        <w:rPr>
          <w:rFonts w:hint="eastAsia" w:ascii="Times New Roman" w:hAnsi="Times New Roman" w:cs="仿宋_GB2312"/>
          <w:bCs/>
          <w:color w:val="000000" w:themeColor="text1"/>
          <w:kern w:val="0"/>
          <w:szCs w:val="32"/>
          <w14:textFill>
            <w14:solidFill>
              <w14:schemeClr w14:val="tx1"/>
            </w14:solidFill>
          </w14:textFill>
        </w:rPr>
        <w:t>条 未建立或者落实职业健康监护制度的</w:t>
      </w:r>
      <w:bookmarkEnd w:id="7028"/>
      <w:bookmarkEnd w:id="7029"/>
      <w:bookmarkEnd w:id="7030"/>
      <w:bookmarkEnd w:id="7031"/>
      <w:bookmarkEnd w:id="7032"/>
      <w:bookmarkEnd w:id="7033"/>
      <w:bookmarkEnd w:id="7034"/>
      <w:bookmarkEnd w:id="7035"/>
      <w:bookmarkEnd w:id="7036"/>
      <w:bookmarkEnd w:id="7037"/>
      <w:bookmarkEnd w:id="7038"/>
    </w:p>
    <w:p w14:paraId="67ECC28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854C5C3">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《用人单位职业健康监护监督管理办法》第二十六条第（一）项　 用人单位有下列行为之一的，给予警告，责令限期改正，可以并处3万元以下的罚款：</w:t>
      </w:r>
    </w:p>
    <w:p w14:paraId="1C853FB5">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（一）未建立或者落实职业健康监护制度的；</w:t>
      </w:r>
    </w:p>
    <w:p w14:paraId="34CBCB40">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7257"/>
        <w:gridCol w:w="5096"/>
      </w:tblGrid>
      <w:tr w14:paraId="1E80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22" w:type="dxa"/>
            <w:vAlign w:val="center"/>
          </w:tcPr>
          <w:p w14:paraId="27ED638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257" w:type="dxa"/>
            <w:vAlign w:val="center"/>
          </w:tcPr>
          <w:p w14:paraId="6286EA4E">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5096" w:type="dxa"/>
            <w:vAlign w:val="center"/>
          </w:tcPr>
          <w:p w14:paraId="28FDBC6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B85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22" w:type="dxa"/>
            <w:vAlign w:val="center"/>
          </w:tcPr>
          <w:p w14:paraId="49CED0D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257" w:type="dxa"/>
            <w:vAlign w:val="center"/>
          </w:tcPr>
          <w:p w14:paraId="3CD43E2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未建立职业健康监护制度的。</w:t>
            </w:r>
          </w:p>
        </w:tc>
        <w:tc>
          <w:tcPr>
            <w:tcW w:w="5096" w:type="dxa"/>
            <w:vAlign w:val="center"/>
          </w:tcPr>
          <w:p w14:paraId="6285976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给予警告，责令限期改正，可以并处1万元以下的罚款。</w:t>
            </w:r>
          </w:p>
        </w:tc>
      </w:tr>
      <w:tr w14:paraId="1873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22" w:type="dxa"/>
            <w:vAlign w:val="center"/>
          </w:tcPr>
          <w:p w14:paraId="30FA28A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257" w:type="dxa"/>
            <w:vAlign w:val="center"/>
          </w:tcPr>
          <w:p w14:paraId="747960F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建立而未落实职业健康监护制度的。</w:t>
            </w:r>
          </w:p>
        </w:tc>
        <w:tc>
          <w:tcPr>
            <w:tcW w:w="5096" w:type="dxa"/>
            <w:vAlign w:val="center"/>
          </w:tcPr>
          <w:p w14:paraId="00983D8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给予警告，责令限期改正，可以并处1万元以上2万元以下的罚款。</w:t>
            </w:r>
          </w:p>
        </w:tc>
      </w:tr>
      <w:tr w14:paraId="5FAF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2" w:type="dxa"/>
            <w:vAlign w:val="center"/>
          </w:tcPr>
          <w:p w14:paraId="091A1E4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257" w:type="dxa"/>
            <w:vAlign w:val="center"/>
          </w:tcPr>
          <w:p w14:paraId="17186BB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未建立或落实职业健康监护制度的，经警告，逾期未改的；或造成严重后果的。</w:t>
            </w:r>
          </w:p>
        </w:tc>
        <w:tc>
          <w:tcPr>
            <w:tcW w:w="5096" w:type="dxa"/>
            <w:vAlign w:val="center"/>
          </w:tcPr>
          <w:p w14:paraId="67AE740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给予警告，责令限期改正，并处2万元以上3万元以下的罚款。</w:t>
            </w:r>
          </w:p>
        </w:tc>
      </w:tr>
    </w:tbl>
    <w:p w14:paraId="2C5AEA57">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7039" w:name="_Toc1746"/>
      <w:bookmarkStart w:id="7040" w:name="_Toc19400"/>
      <w:bookmarkStart w:id="7041" w:name="_Toc22178"/>
      <w:bookmarkStart w:id="7042" w:name="_Toc25998"/>
      <w:bookmarkStart w:id="7043" w:name="_Toc6163"/>
      <w:bookmarkStart w:id="7044" w:name="_Toc12798"/>
      <w:bookmarkStart w:id="7045" w:name="_Toc5997"/>
      <w:bookmarkStart w:id="7046" w:name="_Toc28342"/>
      <w:bookmarkStart w:id="7047" w:name="_Toc16087"/>
      <w:bookmarkStart w:id="7048" w:name="_Toc30627"/>
      <w:bookmarkStart w:id="7049" w:name="_Toc4572"/>
      <w:r>
        <w:rPr>
          <w:rFonts w:hint="eastAsia" w:ascii="Times New Roman" w:hAnsi="Times New Roman" w:cs="仿宋_GB2312"/>
          <w:bCs/>
          <w:color w:val="000000" w:themeColor="text1"/>
          <w:kern w:val="0"/>
          <w14:textFill>
            <w14:solidFill>
              <w14:schemeClr w14:val="tx1"/>
            </w14:solidFill>
          </w14:textFill>
        </w:rPr>
        <w:t>第五百六十七</w:t>
      </w:r>
      <w:r>
        <w:rPr>
          <w:rFonts w:hint="eastAsia" w:ascii="Times New Roman" w:hAnsi="Times New Roman" w:cs="仿宋_GB2312"/>
          <w:bCs/>
          <w:color w:val="000000" w:themeColor="text1"/>
          <w:kern w:val="0"/>
          <w:szCs w:val="32"/>
          <w14:textFill>
            <w14:solidFill>
              <w14:schemeClr w14:val="tx1"/>
            </w14:solidFill>
          </w14:textFill>
        </w:rPr>
        <w:t>条 未按照规定制定职业健康监护计划和落实专项经费的</w:t>
      </w:r>
      <w:bookmarkEnd w:id="7039"/>
      <w:bookmarkEnd w:id="7040"/>
      <w:bookmarkEnd w:id="7041"/>
      <w:bookmarkEnd w:id="7042"/>
      <w:bookmarkEnd w:id="7043"/>
      <w:bookmarkEnd w:id="7044"/>
      <w:bookmarkEnd w:id="7045"/>
      <w:bookmarkEnd w:id="7046"/>
      <w:bookmarkEnd w:id="7047"/>
      <w:bookmarkEnd w:id="7048"/>
      <w:bookmarkEnd w:id="7049"/>
    </w:p>
    <w:p w14:paraId="715CC90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286B671">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《用人单位职业健康监护监督管理办法》第二十六条第（二）项　用人单位有下列行为之一的，给予警告，责令限期改正，可以并处3万元以下的罚款：</w:t>
      </w:r>
    </w:p>
    <w:p w14:paraId="2529BAE8">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（二）未按照规定制定职业健康监护计划和落实专项经费的；</w:t>
      </w:r>
    </w:p>
    <w:p w14:paraId="68021DFC">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7500"/>
        <w:gridCol w:w="4898"/>
      </w:tblGrid>
      <w:tr w14:paraId="7AB1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431" w:type="dxa"/>
            <w:vAlign w:val="center"/>
          </w:tcPr>
          <w:p w14:paraId="58682F0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7500" w:type="dxa"/>
            <w:vAlign w:val="center"/>
          </w:tcPr>
          <w:p w14:paraId="52ABB215">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898" w:type="dxa"/>
            <w:vAlign w:val="center"/>
          </w:tcPr>
          <w:p w14:paraId="0B9B4DD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228B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31" w:type="dxa"/>
            <w:vAlign w:val="center"/>
          </w:tcPr>
          <w:p w14:paraId="13CD75D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7500" w:type="dxa"/>
            <w:vAlign w:val="center"/>
          </w:tcPr>
          <w:p w14:paraId="2543DF9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未按照规定制定职业健康监护计划的。</w:t>
            </w:r>
          </w:p>
        </w:tc>
        <w:tc>
          <w:tcPr>
            <w:tcW w:w="4898" w:type="dxa"/>
            <w:vAlign w:val="center"/>
          </w:tcPr>
          <w:p w14:paraId="5FC14E6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给予警告，责令限期改正，可以并处1万元以下的罚款。</w:t>
            </w:r>
          </w:p>
        </w:tc>
      </w:tr>
      <w:tr w14:paraId="1AAE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31" w:type="dxa"/>
            <w:vAlign w:val="center"/>
          </w:tcPr>
          <w:p w14:paraId="443F8BE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7500" w:type="dxa"/>
            <w:vAlign w:val="center"/>
          </w:tcPr>
          <w:p w14:paraId="61980B9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未按照规定落实专项经费的。</w:t>
            </w:r>
          </w:p>
        </w:tc>
        <w:tc>
          <w:tcPr>
            <w:tcW w:w="4898" w:type="dxa"/>
            <w:vAlign w:val="center"/>
          </w:tcPr>
          <w:p w14:paraId="560F440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给予警告，责令限期改正，可以并处1万元以上2万元以下的罚款。</w:t>
            </w:r>
          </w:p>
        </w:tc>
      </w:tr>
      <w:tr w14:paraId="00E2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1" w:type="dxa"/>
            <w:vAlign w:val="center"/>
          </w:tcPr>
          <w:p w14:paraId="36D1F4D8">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7500" w:type="dxa"/>
            <w:vAlign w:val="center"/>
          </w:tcPr>
          <w:p w14:paraId="50A3F4DF">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未按照规定制定职业健康监护计划和落实专项经费，经警告，逾期未改的；或造成严重后果的。</w:t>
            </w:r>
          </w:p>
        </w:tc>
        <w:tc>
          <w:tcPr>
            <w:tcW w:w="4898" w:type="dxa"/>
            <w:vAlign w:val="center"/>
          </w:tcPr>
          <w:p w14:paraId="1EBFEA5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给予警告，责令限期改正，并处2万元以上3万元以下的罚款。</w:t>
            </w:r>
          </w:p>
        </w:tc>
      </w:tr>
    </w:tbl>
    <w:p w14:paraId="64DE8270">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7050" w:name="_Toc9594"/>
      <w:bookmarkStart w:id="7051" w:name="_Toc29839"/>
      <w:bookmarkStart w:id="7052" w:name="_Toc11846"/>
      <w:bookmarkStart w:id="7053" w:name="_Toc6903"/>
      <w:bookmarkStart w:id="7054" w:name="_Toc32385"/>
      <w:bookmarkStart w:id="7055" w:name="_Toc9944"/>
      <w:bookmarkStart w:id="7056" w:name="_Toc6787"/>
      <w:bookmarkStart w:id="7057" w:name="_Toc3157"/>
      <w:bookmarkStart w:id="7058" w:name="_Toc23536"/>
      <w:bookmarkStart w:id="7059" w:name="_Toc11750"/>
      <w:bookmarkStart w:id="7060" w:name="_Toc26278"/>
      <w:r>
        <w:rPr>
          <w:rFonts w:hint="eastAsia" w:ascii="Times New Roman" w:hAnsi="Times New Roman" w:cs="仿宋_GB2312"/>
          <w:bCs/>
          <w:color w:val="000000" w:themeColor="text1"/>
          <w:kern w:val="0"/>
          <w14:textFill>
            <w14:solidFill>
              <w14:schemeClr w14:val="tx1"/>
            </w14:solidFill>
          </w14:textFill>
        </w:rPr>
        <w:t>第五百六十八</w:t>
      </w:r>
      <w:r>
        <w:rPr>
          <w:rFonts w:hint="eastAsia" w:ascii="Times New Roman" w:hAnsi="Times New Roman" w:cs="仿宋_GB2312"/>
          <w:bCs/>
          <w:color w:val="000000" w:themeColor="text1"/>
          <w:kern w:val="0"/>
          <w:szCs w:val="32"/>
          <w14:textFill>
            <w14:solidFill>
              <w14:schemeClr w14:val="tx1"/>
            </w14:solidFill>
          </w14:textFill>
        </w:rPr>
        <w:t>条 弄虚作假，指使他人冒名顶替参加职业健康检查的</w:t>
      </w:r>
      <w:bookmarkEnd w:id="7050"/>
      <w:bookmarkEnd w:id="7051"/>
      <w:bookmarkEnd w:id="7052"/>
      <w:bookmarkEnd w:id="7053"/>
      <w:bookmarkEnd w:id="7054"/>
      <w:bookmarkEnd w:id="7055"/>
      <w:bookmarkEnd w:id="7056"/>
      <w:bookmarkEnd w:id="7057"/>
      <w:bookmarkEnd w:id="7058"/>
      <w:bookmarkEnd w:id="7059"/>
      <w:bookmarkEnd w:id="7060"/>
    </w:p>
    <w:p w14:paraId="6173514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6B2AC91C">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《用人单位职业健康监护监督管理办法》第二十六条第（三）项　用人单位有下列行为之一的，给予警告，责令限期改正，可以并处3万元以下的罚款：</w:t>
      </w:r>
    </w:p>
    <w:p w14:paraId="176BD36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（三）弄虚作假，指使他人冒名顶替参加职业健康检查的；</w:t>
      </w:r>
    </w:p>
    <w:p w14:paraId="10BD7EB6">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8180"/>
        <w:gridCol w:w="4141"/>
      </w:tblGrid>
      <w:tr w14:paraId="7A59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422" w:type="dxa"/>
            <w:vAlign w:val="center"/>
          </w:tcPr>
          <w:p w14:paraId="212B224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80" w:type="dxa"/>
            <w:vAlign w:val="center"/>
          </w:tcPr>
          <w:p w14:paraId="5C6B475C">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41" w:type="dxa"/>
            <w:vAlign w:val="center"/>
          </w:tcPr>
          <w:p w14:paraId="335F295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0A3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2" w:type="dxa"/>
            <w:vAlign w:val="center"/>
          </w:tcPr>
          <w:p w14:paraId="1385C38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180" w:type="dxa"/>
            <w:vAlign w:val="center"/>
          </w:tcPr>
          <w:p w14:paraId="57359CF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弄虚作假，指使他人冒名顶替参加职业健康检查，发现 1 人的。</w:t>
            </w:r>
          </w:p>
        </w:tc>
        <w:tc>
          <w:tcPr>
            <w:tcW w:w="4141" w:type="dxa"/>
            <w:vAlign w:val="center"/>
          </w:tcPr>
          <w:p w14:paraId="4C294DF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给予警告，责令限期改正，可以并处1万元以下的罚款。</w:t>
            </w:r>
          </w:p>
        </w:tc>
      </w:tr>
      <w:tr w14:paraId="4DB2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2" w:type="dxa"/>
            <w:vAlign w:val="center"/>
          </w:tcPr>
          <w:p w14:paraId="667C8FD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180" w:type="dxa"/>
            <w:vAlign w:val="center"/>
          </w:tcPr>
          <w:p w14:paraId="3329125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弄虚作假，指使他人冒名顶替参加职业健康检查，发现 2 人的。</w:t>
            </w:r>
          </w:p>
        </w:tc>
        <w:tc>
          <w:tcPr>
            <w:tcW w:w="4141" w:type="dxa"/>
            <w:vAlign w:val="center"/>
          </w:tcPr>
          <w:p w14:paraId="47E6DDC3">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给予警告，责令限期改正，可以并处1万元以上2万元以下的罚款。</w:t>
            </w:r>
          </w:p>
        </w:tc>
      </w:tr>
      <w:tr w14:paraId="482A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2" w:type="dxa"/>
            <w:vAlign w:val="center"/>
          </w:tcPr>
          <w:p w14:paraId="479B683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180" w:type="dxa"/>
            <w:vAlign w:val="center"/>
          </w:tcPr>
          <w:p w14:paraId="4BD20F2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弄虚作假，指使他人冒名顶替参加职业健康检查，发现 3 人及以上的；或造成严重后果的。</w:t>
            </w:r>
          </w:p>
        </w:tc>
        <w:tc>
          <w:tcPr>
            <w:tcW w:w="4141" w:type="dxa"/>
            <w:vAlign w:val="center"/>
          </w:tcPr>
          <w:p w14:paraId="0254D37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给予警告，责令限期改正，并处2万元以上3万元以下的罚款。</w:t>
            </w:r>
          </w:p>
        </w:tc>
      </w:tr>
    </w:tbl>
    <w:p w14:paraId="0C4F3183">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7061" w:name="_Toc25525"/>
      <w:bookmarkStart w:id="7062" w:name="_Toc11669"/>
      <w:bookmarkStart w:id="7063" w:name="_Toc29165"/>
      <w:bookmarkStart w:id="7064" w:name="_Toc21198"/>
      <w:bookmarkStart w:id="7065" w:name="_Toc3152"/>
      <w:bookmarkStart w:id="7066" w:name="_Toc22983"/>
      <w:bookmarkStart w:id="7067" w:name="_Toc27924"/>
      <w:bookmarkStart w:id="7068" w:name="_Toc5489"/>
      <w:bookmarkStart w:id="7069" w:name="_Toc28070"/>
      <w:bookmarkStart w:id="7070" w:name="_Toc25292"/>
      <w:bookmarkStart w:id="7071" w:name="_Toc20060"/>
      <w:r>
        <w:rPr>
          <w:rFonts w:hint="eastAsia" w:ascii="Times New Roman" w:hAnsi="Times New Roman" w:cs="仿宋_GB2312"/>
          <w:bCs/>
          <w:color w:val="000000" w:themeColor="text1"/>
          <w:kern w:val="0"/>
          <w14:textFill>
            <w14:solidFill>
              <w14:schemeClr w14:val="tx1"/>
            </w14:solidFill>
          </w14:textFill>
        </w:rPr>
        <w:t>第五百六十九</w:t>
      </w:r>
      <w:r>
        <w:rPr>
          <w:rFonts w:hint="eastAsia" w:ascii="Times New Roman" w:hAnsi="Times New Roman" w:cs="仿宋_GB2312"/>
          <w:bCs/>
          <w:color w:val="000000" w:themeColor="text1"/>
          <w:kern w:val="0"/>
          <w:szCs w:val="32"/>
          <w14:textFill>
            <w14:solidFill>
              <w14:schemeClr w14:val="tx1"/>
            </w14:solidFill>
          </w14:textFill>
        </w:rPr>
        <w:t>条 未如实提供职业健康检查所需要的文件、资料的</w:t>
      </w:r>
      <w:bookmarkEnd w:id="7061"/>
      <w:bookmarkEnd w:id="7062"/>
      <w:bookmarkEnd w:id="7063"/>
      <w:bookmarkEnd w:id="7064"/>
      <w:bookmarkEnd w:id="7065"/>
      <w:bookmarkEnd w:id="7066"/>
      <w:bookmarkEnd w:id="7067"/>
      <w:bookmarkEnd w:id="7068"/>
      <w:bookmarkEnd w:id="7069"/>
      <w:bookmarkEnd w:id="7070"/>
      <w:bookmarkEnd w:id="7071"/>
    </w:p>
    <w:p w14:paraId="308EF23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04B8FDE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《用人单位职业健康监护监督管理办法》第二十六条第（四）项　用人单位有下列行为之一的，给予警告，责令限期改正，可以并处3万元以下的罚款：</w:t>
      </w:r>
    </w:p>
    <w:p w14:paraId="390798A0">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（四）未如实提供职业健康检查所需要的文件、资料的；</w:t>
      </w:r>
    </w:p>
    <w:p w14:paraId="2750496E">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7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8190"/>
        <w:gridCol w:w="4146"/>
      </w:tblGrid>
      <w:tr w14:paraId="5A2F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24" w:type="dxa"/>
            <w:vAlign w:val="center"/>
          </w:tcPr>
          <w:p w14:paraId="64C57B40">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190" w:type="dxa"/>
            <w:vAlign w:val="center"/>
          </w:tcPr>
          <w:p w14:paraId="59783662">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146" w:type="dxa"/>
            <w:vAlign w:val="center"/>
          </w:tcPr>
          <w:p w14:paraId="0B3E297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5268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4" w:type="dxa"/>
            <w:vAlign w:val="center"/>
          </w:tcPr>
          <w:p w14:paraId="3E72654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190" w:type="dxa"/>
            <w:vAlign w:val="center"/>
          </w:tcPr>
          <w:p w14:paraId="74D00BC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未按照规定如实提供职业健康检查所需文件、资料，缺少1种的。</w:t>
            </w:r>
          </w:p>
        </w:tc>
        <w:tc>
          <w:tcPr>
            <w:tcW w:w="4146" w:type="dxa"/>
            <w:vAlign w:val="center"/>
          </w:tcPr>
          <w:p w14:paraId="381D172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 万元以下的罚款。</w:t>
            </w:r>
          </w:p>
        </w:tc>
      </w:tr>
      <w:tr w14:paraId="22A3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4" w:type="dxa"/>
            <w:vAlign w:val="center"/>
          </w:tcPr>
          <w:p w14:paraId="289498D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190" w:type="dxa"/>
            <w:vAlign w:val="center"/>
          </w:tcPr>
          <w:p w14:paraId="7367011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未按照规定如实提供职业健康检查所需文件、资料，缺少2种的。</w:t>
            </w:r>
          </w:p>
        </w:tc>
        <w:tc>
          <w:tcPr>
            <w:tcW w:w="4146" w:type="dxa"/>
            <w:vAlign w:val="center"/>
          </w:tcPr>
          <w:p w14:paraId="3D7587B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给予警告，责令限期改正，可以并处1万元以上2万元以下的罚款。</w:t>
            </w:r>
          </w:p>
        </w:tc>
      </w:tr>
      <w:tr w14:paraId="5E3F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4" w:type="dxa"/>
            <w:vAlign w:val="center"/>
          </w:tcPr>
          <w:p w14:paraId="1CEBA45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190" w:type="dxa"/>
            <w:vAlign w:val="center"/>
          </w:tcPr>
          <w:p w14:paraId="0475781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未按照规定如实提供职业健康检查所需文件、资料，缺少3种及以上的；或造成严重后果的。</w:t>
            </w:r>
          </w:p>
        </w:tc>
        <w:tc>
          <w:tcPr>
            <w:tcW w:w="4146" w:type="dxa"/>
            <w:vAlign w:val="center"/>
          </w:tcPr>
          <w:p w14:paraId="092DFE5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给予警告，责令限期改正，并处2万元以上3万元以下的罚款。</w:t>
            </w:r>
          </w:p>
        </w:tc>
      </w:tr>
    </w:tbl>
    <w:p w14:paraId="1112047F">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7072" w:name="_Toc31878"/>
      <w:bookmarkStart w:id="7073" w:name="_Toc24344"/>
      <w:bookmarkStart w:id="7074" w:name="_Toc14240"/>
      <w:bookmarkStart w:id="7075" w:name="_Toc3784"/>
      <w:bookmarkStart w:id="7076" w:name="_Toc12609"/>
      <w:bookmarkStart w:id="7077" w:name="_Toc20725"/>
      <w:bookmarkStart w:id="7078" w:name="_Toc22521"/>
      <w:bookmarkStart w:id="7079" w:name="_Toc20347"/>
      <w:bookmarkStart w:id="7080" w:name="_Toc3736"/>
      <w:bookmarkStart w:id="7081" w:name="_Toc11001"/>
      <w:bookmarkStart w:id="7082" w:name="_Toc17288"/>
      <w:r>
        <w:rPr>
          <w:rFonts w:hint="eastAsia" w:ascii="Times New Roman" w:hAnsi="Times New Roman" w:cs="仿宋_GB2312"/>
          <w:bCs/>
          <w:color w:val="000000" w:themeColor="text1"/>
          <w:kern w:val="0"/>
          <w14:textFill>
            <w14:solidFill>
              <w14:schemeClr w14:val="tx1"/>
            </w14:solidFill>
          </w14:textFill>
        </w:rPr>
        <w:t>第五百七十</w:t>
      </w:r>
      <w:r>
        <w:rPr>
          <w:rFonts w:hint="eastAsia" w:ascii="Times New Roman" w:hAnsi="Times New Roman" w:cs="仿宋_GB2312"/>
          <w:bCs/>
          <w:color w:val="000000" w:themeColor="text1"/>
          <w:kern w:val="0"/>
          <w:szCs w:val="32"/>
          <w14:textFill>
            <w14:solidFill>
              <w14:schemeClr w14:val="tx1"/>
            </w14:solidFill>
          </w14:textFill>
        </w:rPr>
        <w:t>条 未根据职业健康检查情况采取相应措施的</w:t>
      </w:r>
      <w:bookmarkEnd w:id="7072"/>
      <w:bookmarkEnd w:id="7073"/>
      <w:bookmarkEnd w:id="7074"/>
      <w:bookmarkEnd w:id="7075"/>
      <w:bookmarkEnd w:id="7076"/>
      <w:bookmarkEnd w:id="7077"/>
      <w:bookmarkEnd w:id="7078"/>
      <w:bookmarkEnd w:id="7079"/>
      <w:bookmarkEnd w:id="7080"/>
      <w:bookmarkEnd w:id="7081"/>
      <w:bookmarkEnd w:id="7082"/>
    </w:p>
    <w:p w14:paraId="55504EF6">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16C610CD">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《用人单位职业健康监护监督管理办法》第二十六条第（五）项　用人单位有下列行为之一的，给予警告，责令限期改正，可以并处3万元以下的罚款：</w:t>
      </w:r>
    </w:p>
    <w:p w14:paraId="7CA3FF44">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（五）未根据职业健康检查情况采取相应措施的；</w:t>
      </w:r>
    </w:p>
    <w:p w14:paraId="4EBDA839">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9477"/>
        <w:gridCol w:w="2720"/>
      </w:tblGrid>
      <w:tr w14:paraId="0040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08" w:type="dxa"/>
            <w:vAlign w:val="center"/>
          </w:tcPr>
          <w:p w14:paraId="4BDE5858">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9477" w:type="dxa"/>
            <w:vAlign w:val="center"/>
          </w:tcPr>
          <w:p w14:paraId="4B7E1634">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2720" w:type="dxa"/>
            <w:vAlign w:val="center"/>
          </w:tcPr>
          <w:p w14:paraId="48362C83">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B72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408" w:type="dxa"/>
            <w:vAlign w:val="center"/>
          </w:tcPr>
          <w:p w14:paraId="1E6A510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9477" w:type="dxa"/>
            <w:vAlign w:val="center"/>
          </w:tcPr>
          <w:p w14:paraId="52FD953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69893A0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A.有职业禁忌的劳动者，未调离或者暂时脱离原工作岗位，发现 1 人的；</w:t>
            </w:r>
          </w:p>
          <w:p w14:paraId="0C1EBA2B">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B.对健康损害可能与所从事的职业相关的劳动者，未进行妥善安置，发现 1 人的；</w:t>
            </w:r>
          </w:p>
          <w:p w14:paraId="039D3FA4">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C.对需要复查的劳动者，按照职业健康检查机构要求的时间安排复查和医学观察的；</w:t>
            </w:r>
          </w:p>
          <w:p w14:paraId="12A5DA0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D.对疑似职业病病人，按照职业健康检查机构的建议未安排其进行医学观察或者职业病诊断的，发现 1 人；</w:t>
            </w:r>
          </w:p>
          <w:p w14:paraId="2C8EE20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E.对存在职业病危害的岗位，立即改善劳动条件，完善职业病防护设施，为劳动者配备符合国家标准的职业病危害防护用品，发现 1 个岗位的。</w:t>
            </w:r>
          </w:p>
        </w:tc>
        <w:tc>
          <w:tcPr>
            <w:tcW w:w="2720" w:type="dxa"/>
            <w:vAlign w:val="center"/>
          </w:tcPr>
          <w:p w14:paraId="5D32C51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 1 万元以下的罚款。</w:t>
            </w:r>
          </w:p>
        </w:tc>
      </w:tr>
      <w:tr w14:paraId="3E59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08" w:type="dxa"/>
            <w:vAlign w:val="center"/>
          </w:tcPr>
          <w:p w14:paraId="1B70367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9477" w:type="dxa"/>
            <w:vAlign w:val="center"/>
          </w:tcPr>
          <w:p w14:paraId="42BB99A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4C10C4A9">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A.有职业禁忌的劳动者，未调离或者暂时脱离原工作岗位，发现 2 人的；</w:t>
            </w:r>
          </w:p>
          <w:p w14:paraId="2FB7347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B.对健康损害可能与所从事的职业相关的劳动者，未进行妥善安置，发现 2 人的；</w:t>
            </w:r>
          </w:p>
          <w:p w14:paraId="761B137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C.对需要复查的劳动者，按照职业健康检查机构要求的时间安排复查和医学观察的；</w:t>
            </w:r>
          </w:p>
          <w:p w14:paraId="4B2B1CE7">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D.对疑似职业病病人，按照职业健康检查机构的建议未安排其进行医学观察或者职业病诊断的，发现 2 人的；</w:t>
            </w:r>
          </w:p>
          <w:p w14:paraId="6E228325">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E.对存在职业病危害的岗位，立即改善劳动条件，完善职业病防护设施，为劳动者配备符合国家标准的职业病危害防护用品，发现 2个岗位的。</w:t>
            </w:r>
          </w:p>
        </w:tc>
        <w:tc>
          <w:tcPr>
            <w:tcW w:w="2720" w:type="dxa"/>
            <w:vAlign w:val="center"/>
          </w:tcPr>
          <w:p w14:paraId="339A2868">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 1 万元以上 2 万元以下的罚款。</w:t>
            </w:r>
          </w:p>
        </w:tc>
      </w:tr>
      <w:tr w14:paraId="4B65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08" w:type="dxa"/>
            <w:vAlign w:val="center"/>
          </w:tcPr>
          <w:p w14:paraId="4A6526A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9477" w:type="dxa"/>
            <w:vAlign w:val="center"/>
          </w:tcPr>
          <w:p w14:paraId="56DB3530">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有下列情形之一的：</w:t>
            </w:r>
          </w:p>
          <w:p w14:paraId="1E0D4EFC">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A.有职业禁忌的劳动者，未调离或者暂时脱离原工作岗位，发现3 人以上的；</w:t>
            </w:r>
          </w:p>
          <w:p w14:paraId="62A86C5C">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B.对健康损害可能与所从事的职业相关的劳动者，未进行妥善安置，发现 3人以上的；</w:t>
            </w:r>
          </w:p>
          <w:p w14:paraId="0D5F3F76">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C.对需要复查的劳动者，按照职业健康检查机构要求的时间安排复查和医学观察，发现 3人以上的；</w:t>
            </w:r>
          </w:p>
          <w:p w14:paraId="6B8A2569">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D.对疑似职业病病人，按照职业健康检查机构的建议未安排其进行医学观察或者职业病诊断的，发现 3人以上的；</w:t>
            </w:r>
          </w:p>
          <w:p w14:paraId="32AA0AF5">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E.对存在职业病危害的岗位，立即改善劳动条件，完善职业病防护设施，为劳动者配备符合国家标准的职业病危害防护用品，发现 3 个岗位以上的；</w:t>
            </w:r>
          </w:p>
          <w:p w14:paraId="2B117D51">
            <w:pPr>
              <w:widowControl w:val="0"/>
              <w:adjustRightInd/>
              <w:snapToGrid/>
              <w:spacing w:after="0" w:line="30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F.造成严重后果的。</w:t>
            </w:r>
          </w:p>
        </w:tc>
        <w:tc>
          <w:tcPr>
            <w:tcW w:w="2720" w:type="dxa"/>
            <w:vAlign w:val="center"/>
          </w:tcPr>
          <w:p w14:paraId="3EC633E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 2 万元以上 3 万元以下的罚款。</w:t>
            </w:r>
          </w:p>
        </w:tc>
      </w:tr>
    </w:tbl>
    <w:p w14:paraId="41F98DF8">
      <w:pPr>
        <w:pStyle w:val="4"/>
        <w:widowControl w:val="0"/>
        <w:ind w:firstLine="640"/>
        <w:jc w:val="both"/>
        <w:rPr>
          <w:rFonts w:hint="eastAsia" w:ascii="Times New Roman" w:hAnsi="Times New Roman" w:cs="仿宋_GB2312"/>
          <w:bCs/>
          <w:color w:val="000000" w:themeColor="text1"/>
          <w:kern w:val="0"/>
          <w:szCs w:val="32"/>
          <w14:textFill>
            <w14:solidFill>
              <w14:schemeClr w14:val="tx1"/>
            </w14:solidFill>
          </w14:textFill>
        </w:rPr>
      </w:pPr>
      <w:bookmarkStart w:id="7083" w:name="_Toc25228"/>
      <w:bookmarkStart w:id="7084" w:name="_Toc20432"/>
      <w:bookmarkStart w:id="7085" w:name="_Toc2579"/>
      <w:bookmarkStart w:id="7086" w:name="_Toc5900"/>
      <w:bookmarkStart w:id="7087" w:name="_Toc21766"/>
      <w:bookmarkStart w:id="7088" w:name="_Toc17693"/>
      <w:bookmarkStart w:id="7089" w:name="_Toc7848"/>
      <w:bookmarkStart w:id="7090" w:name="_Toc16858"/>
      <w:bookmarkStart w:id="7091" w:name="_Toc11064"/>
      <w:bookmarkStart w:id="7092" w:name="_Toc2387"/>
      <w:bookmarkStart w:id="7093" w:name="_Toc4698"/>
      <w:r>
        <w:rPr>
          <w:rFonts w:hint="eastAsia" w:ascii="Times New Roman" w:hAnsi="Times New Roman" w:cs="仿宋_GB2312"/>
          <w:bCs/>
          <w:color w:val="000000" w:themeColor="text1"/>
          <w:kern w:val="0"/>
          <w14:textFill>
            <w14:solidFill>
              <w14:schemeClr w14:val="tx1"/>
            </w14:solidFill>
          </w14:textFill>
        </w:rPr>
        <w:t>第五百七十一</w:t>
      </w:r>
      <w:r>
        <w:rPr>
          <w:rFonts w:hint="eastAsia" w:ascii="Times New Roman" w:hAnsi="Times New Roman" w:cs="仿宋_GB2312"/>
          <w:bCs/>
          <w:color w:val="000000" w:themeColor="text1"/>
          <w:kern w:val="0"/>
          <w:szCs w:val="32"/>
          <w14:textFill>
            <w14:solidFill>
              <w14:schemeClr w14:val="tx1"/>
            </w14:solidFill>
          </w14:textFill>
        </w:rPr>
        <w:t>条 不承担职业健康检查费用的</w:t>
      </w:r>
      <w:bookmarkEnd w:id="7083"/>
      <w:bookmarkEnd w:id="7084"/>
      <w:bookmarkEnd w:id="7085"/>
      <w:bookmarkEnd w:id="7086"/>
      <w:bookmarkEnd w:id="7087"/>
      <w:bookmarkEnd w:id="7088"/>
      <w:bookmarkEnd w:id="7089"/>
      <w:bookmarkEnd w:id="7090"/>
      <w:bookmarkEnd w:id="7091"/>
      <w:bookmarkEnd w:id="7092"/>
      <w:bookmarkEnd w:id="7093"/>
    </w:p>
    <w:p w14:paraId="492A21E7">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法律依据：</w:t>
      </w:r>
    </w:p>
    <w:p w14:paraId="54114D1E">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《用人单位职业健康监护监督管理办法》第二十六条第（六）项　用人单位有下列行为之一的，给予警告，责令限期改正，可以并处3万元以下的罚款：</w:t>
      </w:r>
    </w:p>
    <w:p w14:paraId="5142C87F">
      <w:pPr>
        <w:widowControl w:val="0"/>
        <w:adjustRightInd/>
        <w:snapToGrid/>
        <w:spacing w:after="0" w:line="440" w:lineRule="exact"/>
        <w:ind w:firstLine="643"/>
        <w:rPr>
          <w:rFonts w:hint="eastAsia" w:ascii="Times New Roman" w:hAnsi="Times New Roman" w:eastAsia="仿宋_GB2312" w:cs="仿宋_GB2312"/>
          <w:color w:val="000000" w:themeColor="text1"/>
          <w:kern w:val="2"/>
          <w:sz w:val="32"/>
          <w:szCs w:val="21"/>
          <w14:textFill>
            <w14:solidFill>
              <w14:schemeClr w14:val="tx1"/>
            </w14:solidFill>
          </w14:textFill>
        </w:rPr>
      </w:pPr>
      <w:r>
        <w:rPr>
          <w:rFonts w:hint="eastAsia" w:ascii="Times New Roman" w:hAnsi="Times New Roman" w:eastAsia="仿宋_GB2312" w:cs="仿宋_GB2312"/>
          <w:color w:val="000000" w:themeColor="text1"/>
          <w:kern w:val="2"/>
          <w:sz w:val="32"/>
          <w:szCs w:val="21"/>
          <w14:textFill>
            <w14:solidFill>
              <w14:schemeClr w14:val="tx1"/>
            </w14:solidFill>
          </w14:textFill>
        </w:rPr>
        <w:t>（六）不承担职业健康检查费用的。</w:t>
      </w:r>
    </w:p>
    <w:p w14:paraId="29885893">
      <w:pPr>
        <w:widowControl w:val="0"/>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5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8088"/>
        <w:gridCol w:w="4094"/>
      </w:tblGrid>
      <w:tr w14:paraId="3C58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06" w:type="dxa"/>
            <w:vAlign w:val="center"/>
          </w:tcPr>
          <w:p w14:paraId="7CB7AC86">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违法程度</w:t>
            </w:r>
          </w:p>
        </w:tc>
        <w:tc>
          <w:tcPr>
            <w:tcW w:w="8088" w:type="dxa"/>
            <w:vAlign w:val="center"/>
          </w:tcPr>
          <w:p w14:paraId="48AED0A1">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情节后果</w:t>
            </w:r>
          </w:p>
        </w:tc>
        <w:tc>
          <w:tcPr>
            <w:tcW w:w="4094" w:type="dxa"/>
            <w:vAlign w:val="center"/>
          </w:tcPr>
          <w:p w14:paraId="599CF4CA">
            <w:pPr>
              <w:widowControl/>
              <w:adjustRightInd/>
              <w:snapToGrid/>
              <w:spacing w:after="0" w:line="240" w:lineRule="auto"/>
              <w:jc w:val="center"/>
              <w:rPr>
                <w:rFonts w:hint="eastAsia" w:ascii="Times New Roman" w:hAnsi="Times New Roman" w:cs="微软雅黑"/>
                <w:b/>
                <w:bCs/>
                <w:color w:val="000000" w:themeColor="text1"/>
                <w:kern w:val="0"/>
                <w:sz w:val="28"/>
                <w:szCs w:val="28"/>
                <w:lang w:bidi="ar"/>
                <w14:textFill>
                  <w14:solidFill>
                    <w14:schemeClr w14:val="tx1"/>
                  </w14:solidFill>
                </w14:textFill>
              </w:rPr>
            </w:pPr>
            <w:r>
              <w:rPr>
                <w:rFonts w:hint="eastAsia" w:ascii="Times New Roman" w:hAnsi="Times New Roman" w:cs="微软雅黑"/>
                <w:b/>
                <w:bCs/>
                <w:color w:val="000000" w:themeColor="text1"/>
                <w:kern w:val="0"/>
                <w:sz w:val="28"/>
                <w:szCs w:val="28"/>
                <w:lang w:bidi="ar"/>
                <w14:textFill>
                  <w14:solidFill>
                    <w14:schemeClr w14:val="tx1"/>
                  </w14:solidFill>
                </w14:textFill>
              </w:rPr>
              <w:t>裁量幅度</w:t>
            </w:r>
          </w:p>
        </w:tc>
      </w:tr>
      <w:tr w14:paraId="1054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06" w:type="dxa"/>
            <w:vAlign w:val="center"/>
          </w:tcPr>
          <w:p w14:paraId="4B8D75C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一般</w:t>
            </w:r>
          </w:p>
        </w:tc>
        <w:tc>
          <w:tcPr>
            <w:tcW w:w="8088" w:type="dxa"/>
            <w:vAlign w:val="center"/>
          </w:tcPr>
          <w:p w14:paraId="5AE9B21D">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不承担职业健康检查费用，累计 1 人的。</w:t>
            </w:r>
          </w:p>
        </w:tc>
        <w:tc>
          <w:tcPr>
            <w:tcW w:w="4094" w:type="dxa"/>
            <w:vAlign w:val="center"/>
          </w:tcPr>
          <w:p w14:paraId="214B53D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给予警告，责令限期改正，可以并处1万元以下的罚款。</w:t>
            </w:r>
          </w:p>
        </w:tc>
      </w:tr>
      <w:tr w14:paraId="6514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06" w:type="dxa"/>
            <w:vAlign w:val="center"/>
          </w:tcPr>
          <w:p w14:paraId="18360AC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较重</w:t>
            </w:r>
          </w:p>
        </w:tc>
        <w:tc>
          <w:tcPr>
            <w:tcW w:w="8088" w:type="dxa"/>
            <w:vAlign w:val="center"/>
          </w:tcPr>
          <w:p w14:paraId="1A798CDA">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不承担职业健康检查费用，累计 2 人的。</w:t>
            </w:r>
          </w:p>
        </w:tc>
        <w:tc>
          <w:tcPr>
            <w:tcW w:w="4094" w:type="dxa"/>
            <w:vAlign w:val="center"/>
          </w:tcPr>
          <w:p w14:paraId="29C5B122">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给予警告，责令限期改正，可以并处1万元以上2万元以下的罚款。</w:t>
            </w:r>
          </w:p>
        </w:tc>
      </w:tr>
      <w:tr w14:paraId="107C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06" w:type="dxa"/>
            <w:vAlign w:val="center"/>
          </w:tcPr>
          <w:p w14:paraId="5E6DF670">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kern w:val="0"/>
                <w:sz w:val="24"/>
                <w:szCs w:val="22"/>
                <w14:textFill>
                  <w14:solidFill>
                    <w14:schemeClr w14:val="tx1"/>
                  </w14:solidFill>
                </w14:textFill>
              </w:rPr>
            </w:pPr>
            <w:r>
              <w:rPr>
                <w:rFonts w:hint="eastAsia" w:ascii="Times New Roman" w:hAnsi="Times New Roman" w:eastAsia="仿宋_GB2312" w:cs="仿宋_GB2312"/>
                <w:b/>
                <w:bCs/>
                <w:color w:val="000000" w:themeColor="text1"/>
                <w:kern w:val="0"/>
                <w:sz w:val="24"/>
                <w:szCs w:val="22"/>
                <w14:textFill>
                  <w14:solidFill>
                    <w14:schemeClr w14:val="tx1"/>
                  </w14:solidFill>
                </w14:textFill>
              </w:rPr>
              <w:t>严重</w:t>
            </w:r>
          </w:p>
        </w:tc>
        <w:tc>
          <w:tcPr>
            <w:tcW w:w="8088" w:type="dxa"/>
            <w:vAlign w:val="center"/>
          </w:tcPr>
          <w:p w14:paraId="16D02561">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不承担职业健康检查费用，累计 3 人及以上的；或造成严重后果的。</w:t>
            </w:r>
          </w:p>
        </w:tc>
        <w:tc>
          <w:tcPr>
            <w:tcW w:w="4094" w:type="dxa"/>
            <w:vAlign w:val="center"/>
          </w:tcPr>
          <w:p w14:paraId="3F0328FE">
            <w:pPr>
              <w:widowControl w:val="0"/>
              <w:adjustRightInd/>
              <w:snapToGrid/>
              <w:spacing w:after="0" w:line="320" w:lineRule="exact"/>
              <w:jc w:val="both"/>
              <w:rPr>
                <w:rFonts w:hint="eastAsia" w:ascii="Times New Roman" w:hAnsi="Times New Roman" w:eastAsia="仿宋_GB2312" w:cs="Times New Roman"/>
                <w:color w:val="000000" w:themeColor="text1"/>
                <w:kern w:val="0"/>
                <w:sz w:val="24"/>
                <w:szCs w:val="22"/>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2"/>
                <w:lang w:bidi="ar"/>
                <w14:textFill>
                  <w14:solidFill>
                    <w14:schemeClr w14:val="tx1"/>
                  </w14:solidFill>
                </w14:textFill>
              </w:rPr>
              <w:t>给予警告，责令限期改正，并处2万元以上3万元以下的罚款。</w:t>
            </w:r>
          </w:p>
        </w:tc>
      </w:tr>
    </w:tbl>
    <w:p w14:paraId="2E1FF0EB">
      <w:pPr>
        <w:widowControl w:val="0"/>
        <w:spacing w:line="440" w:lineRule="exact"/>
        <w:jc w:val="center"/>
        <w:rPr>
          <w:rFonts w:hint="eastAsia" w:ascii="Times New Roman" w:hAnsi="Times New Roman"/>
          <w:color w:val="000000" w:themeColor="text1"/>
          <w14:textFill>
            <w14:solidFill>
              <w14:schemeClr w14:val="tx1"/>
            </w14:solidFill>
          </w14:textFill>
        </w:rPr>
      </w:pPr>
      <w:bookmarkStart w:id="7094" w:name="_Toc9088"/>
      <w:bookmarkStart w:id="7095" w:name="_Toc25202"/>
      <w:bookmarkStart w:id="7096" w:name="_Toc9940"/>
      <w:bookmarkStart w:id="7097" w:name="_Toc13220"/>
      <w:bookmarkStart w:id="7098" w:name="_Toc10416"/>
      <w:bookmarkStart w:id="7099" w:name="_Toc32316"/>
      <w:bookmarkStart w:id="7100" w:name="_Toc17481"/>
      <w:bookmarkStart w:id="7101" w:name="_Toc11430"/>
      <w:bookmarkStart w:id="7102" w:name="_Toc18208"/>
      <w:r>
        <w:rPr>
          <w:rFonts w:hint="eastAsia" w:ascii="Times New Roman" w:hAnsi="Times New Roman"/>
          <w:color w:val="000000" w:themeColor="text1"/>
          <w14:textFill>
            <w14:solidFill>
              <w14:schemeClr w14:val="tx1"/>
            </w14:solidFill>
          </w14:textFill>
        </w:rPr>
        <w:br w:type="page"/>
      </w:r>
    </w:p>
    <w:p w14:paraId="642BDC6A">
      <w:pPr>
        <w:pStyle w:val="2"/>
        <w:keepNext w:val="0"/>
        <w:keepLines w:val="0"/>
        <w:widowControl w:val="0"/>
        <w:spacing w:line="440" w:lineRule="exact"/>
        <w:jc w:val="center"/>
        <w:rPr>
          <w:rFonts w:hint="eastAsia" w:ascii="Times New Roman" w:hAnsi="Times New Roman" w:eastAsia="黑体" w:cs="仿宋_GB2312"/>
          <w:color w:val="000000" w:themeColor="text1"/>
          <w:kern w:val="2"/>
          <w:sz w:val="32"/>
          <w:szCs w:val="21"/>
          <w14:textFill>
            <w14:solidFill>
              <w14:schemeClr w14:val="tx1"/>
            </w14:solidFill>
          </w14:textFill>
        </w:rPr>
      </w:pPr>
      <w:bookmarkStart w:id="7103" w:name="_Toc26765"/>
      <w:bookmarkStart w:id="7104" w:name="_Toc7484"/>
      <w:bookmarkStart w:id="7105" w:name="_Toc28"/>
      <w:bookmarkStart w:id="7106" w:name="_Toc3437"/>
      <w:bookmarkStart w:id="7107" w:name="_Toc25465"/>
      <w:bookmarkStart w:id="7108" w:name="_Toc25891"/>
      <w:r>
        <w:rPr>
          <w:rFonts w:hint="eastAsia" w:ascii="Times New Roman" w:hAnsi="Times New Roman" w:eastAsia="黑体" w:cs="仿宋_GB2312"/>
          <w:color w:val="000000" w:themeColor="text1"/>
          <w:kern w:val="2"/>
          <w:sz w:val="32"/>
          <w:szCs w:val="21"/>
          <w14:textFill>
            <w14:solidFill>
              <w14:schemeClr w14:val="tx1"/>
            </w14:solidFill>
          </w14:textFill>
        </w:rPr>
        <w:t>六、放射管理</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p>
    <w:p w14:paraId="51B90F01">
      <w:pPr>
        <w:widowControl w:val="0"/>
        <w:numPr>
          <w:ilvl w:val="255"/>
          <w:numId w:val="0"/>
        </w:numPr>
        <w:adjustRightInd/>
        <w:snapToGrid/>
        <w:spacing w:before="157" w:beforeLines="50" w:after="157" w:afterLines="50" w:line="480" w:lineRule="exact"/>
        <w:ind w:firstLine="643" w:firstLineChars="200"/>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pPr>
      <w:bookmarkStart w:id="7109" w:name="_Toc25919"/>
      <w:bookmarkStart w:id="7110" w:name="_Toc10390"/>
      <w:r>
        <w:rPr>
          <w:rFonts w:hint="eastAsia" w:ascii="Times New Roman" w:hAnsi="Times New Roman" w:eastAsia="楷体_GB2312" w:cs="仿宋_GB2312"/>
          <w:b/>
          <w:bCs/>
          <w:color w:val="000000" w:themeColor="text1"/>
          <w:kern w:val="0"/>
          <w:sz w:val="32"/>
          <w:szCs w:val="32"/>
          <w:highlight w:val="none"/>
          <w14:textFill>
            <w14:solidFill>
              <w14:schemeClr w14:val="tx1"/>
            </w14:solidFill>
          </w14:textFill>
        </w:rPr>
        <w:t>（一）《放射诊疗管理规定》</w:t>
      </w:r>
      <w:bookmarkEnd w:id="7109"/>
      <w:bookmarkEnd w:id="7110"/>
    </w:p>
    <w:p w14:paraId="117EF30C">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11" w:name="_Toc32283"/>
      <w:bookmarkStart w:id="7112" w:name="_Toc28599"/>
      <w:bookmarkStart w:id="7113" w:name="_Toc20457"/>
      <w:bookmarkStart w:id="7114" w:name="_Toc2023"/>
      <w:bookmarkStart w:id="7115" w:name="_Toc3237"/>
      <w:bookmarkStart w:id="7116" w:name="_Toc16116"/>
      <w:bookmarkStart w:id="7117" w:name="_Toc31352"/>
      <w:bookmarkStart w:id="7118" w:name="_Toc19857"/>
      <w:bookmarkStart w:id="7119" w:name="_Toc8729"/>
      <w:bookmarkStart w:id="7120" w:name="_Toc29929"/>
      <w:bookmarkStart w:id="7121" w:name="_Toc27342"/>
      <w:r>
        <w:rPr>
          <w:rFonts w:hint="eastAsia" w:ascii="Times New Roman" w:hAnsi="Times New Roman" w:cs="仿宋_GB2312"/>
          <w:bCs/>
          <w:color w:val="000000" w:themeColor="text1"/>
          <w:kern w:val="0"/>
          <w14:textFill>
            <w14:solidFill>
              <w14:schemeClr w14:val="tx1"/>
            </w14:solidFill>
          </w14:textFill>
        </w:rPr>
        <w:t>第五百七十二</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医疗机构未取得放射诊疗许可从事放射诊疗工作的</w:t>
      </w:r>
      <w:bookmarkEnd w:id="7111"/>
      <w:bookmarkEnd w:id="7112"/>
      <w:bookmarkEnd w:id="7113"/>
      <w:bookmarkEnd w:id="7114"/>
      <w:bookmarkEnd w:id="7115"/>
      <w:bookmarkEnd w:id="7116"/>
      <w:bookmarkEnd w:id="7117"/>
      <w:bookmarkEnd w:id="7118"/>
      <w:bookmarkEnd w:id="7119"/>
      <w:bookmarkEnd w:id="7120"/>
      <w:bookmarkEnd w:id="7121"/>
    </w:p>
    <w:p w14:paraId="36BBE20D">
      <w:pPr>
        <w:widowControl w:val="0"/>
        <w:adjustRightInd/>
        <w:snapToGrid/>
        <w:spacing w:after="0" w:line="440" w:lineRule="exact"/>
        <w:ind w:firstLine="640" w:firstLineChars="200"/>
        <w:jc w:val="both"/>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15189DF8">
      <w:pPr>
        <w:widowControl w:val="0"/>
        <w:adjustRightInd/>
        <w:snapToGrid/>
        <w:spacing w:after="0" w:line="440" w:lineRule="exact"/>
        <w:ind w:firstLine="640" w:firstLineChars="200"/>
        <w:jc w:val="both"/>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《放射诊疗管理规定》第三十八条第（一）项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医疗机构有下列情形之一的，由县级以上卫生行政部门给予警告、责令限期改正，并可以根据情节处以3000元以下的罚款；情节严重的，吊销其《医疗机构执业许可证》。</w:t>
      </w:r>
    </w:p>
    <w:p w14:paraId="789E80C1">
      <w:pPr>
        <w:widowControl w:val="0"/>
        <w:adjustRightInd/>
        <w:snapToGrid/>
        <w:spacing w:beforeLines="0" w:after="0" w:line="440" w:lineRule="exact"/>
        <w:ind w:firstLine="640" w:firstLineChars="200"/>
        <w:jc w:val="both"/>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（一）未取得放射诊疗许可从事放射诊疗工作的；</w:t>
      </w:r>
    </w:p>
    <w:p w14:paraId="569D1417">
      <w:pPr>
        <w:widowControl w:val="0"/>
        <w:spacing w:before="0" w:beforeLines="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645"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7359"/>
        <w:gridCol w:w="4757"/>
      </w:tblGrid>
      <w:tr w14:paraId="4F93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529" w:type="dxa"/>
            <w:vAlign w:val="center"/>
          </w:tcPr>
          <w:p w14:paraId="47F74D8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359" w:type="dxa"/>
            <w:vAlign w:val="center"/>
          </w:tcPr>
          <w:p w14:paraId="1825104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57" w:type="dxa"/>
            <w:vAlign w:val="center"/>
          </w:tcPr>
          <w:p w14:paraId="61EF259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910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29" w:type="dxa"/>
            <w:vAlign w:val="center"/>
          </w:tcPr>
          <w:p w14:paraId="4608173A">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7359" w:type="dxa"/>
            <w:vAlign w:val="center"/>
          </w:tcPr>
          <w:p w14:paraId="6FA5127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医疗机构未取得放射诊疗许可从事放射诊疗工作三个月以内的。</w:t>
            </w:r>
          </w:p>
        </w:tc>
        <w:tc>
          <w:tcPr>
            <w:tcW w:w="4757" w:type="dxa"/>
            <w:vAlign w:val="center"/>
          </w:tcPr>
          <w:p w14:paraId="57E70C4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给予警告，责令限期改正，并可以处2000 元以下的罚款。</w:t>
            </w:r>
          </w:p>
        </w:tc>
      </w:tr>
      <w:tr w14:paraId="337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29" w:type="dxa"/>
            <w:vAlign w:val="center"/>
          </w:tcPr>
          <w:p w14:paraId="5C36BD8E">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7359" w:type="dxa"/>
            <w:vAlign w:val="center"/>
          </w:tcPr>
          <w:p w14:paraId="7AE037A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医疗机构未取得放射诊疗许可从事放射诊疗工作三个月以上、六个月以内的。</w:t>
            </w:r>
          </w:p>
        </w:tc>
        <w:tc>
          <w:tcPr>
            <w:tcW w:w="4757" w:type="dxa"/>
            <w:vAlign w:val="center"/>
          </w:tcPr>
          <w:p w14:paraId="4F22468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给予警告、责令限期改正，并可以处2000 元以上3000 元以下的罚款。</w:t>
            </w:r>
          </w:p>
        </w:tc>
      </w:tr>
      <w:tr w14:paraId="556E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29" w:type="dxa"/>
            <w:vAlign w:val="center"/>
          </w:tcPr>
          <w:p w14:paraId="1F54C820">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7359" w:type="dxa"/>
            <w:vAlign w:val="center"/>
          </w:tcPr>
          <w:p w14:paraId="6E0A0E5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有下列情形之一的：</w:t>
            </w:r>
          </w:p>
          <w:p w14:paraId="345547E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A.医疗机构未取得放射诊疗许可从事放射诊疗工作超过六个月的；</w:t>
            </w:r>
          </w:p>
          <w:p w14:paraId="75B69CF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B.医疗机构未取得放射诊疗许可从事放射诊疗工作，致人死亡或造成其他严重后果的。</w:t>
            </w:r>
          </w:p>
        </w:tc>
        <w:tc>
          <w:tcPr>
            <w:tcW w:w="4757" w:type="dxa"/>
            <w:vAlign w:val="center"/>
          </w:tcPr>
          <w:p w14:paraId="7B2D163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对于情形A，给予警告、责令限期改正，并处3000 元的罚款；</w:t>
            </w:r>
          </w:p>
          <w:p w14:paraId="5967384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对于情形B，给予警告，责令限期改正，并处3000 元的罚款，吊销其《医疗机构执业许可证》。</w:t>
            </w:r>
          </w:p>
        </w:tc>
      </w:tr>
    </w:tbl>
    <w:p w14:paraId="1F2A87E9">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22" w:name="_Toc31601"/>
      <w:bookmarkStart w:id="7123" w:name="_Toc19856"/>
      <w:bookmarkStart w:id="7124" w:name="_Toc7171"/>
      <w:bookmarkStart w:id="7125" w:name="_Toc6320"/>
      <w:bookmarkStart w:id="7126" w:name="_Toc16371"/>
      <w:bookmarkStart w:id="7127" w:name="_Toc790"/>
      <w:bookmarkStart w:id="7128" w:name="_Toc796"/>
      <w:bookmarkStart w:id="7129" w:name="_Toc15108"/>
      <w:bookmarkStart w:id="7130" w:name="_Toc14280"/>
      <w:bookmarkStart w:id="7131" w:name="_Toc13606"/>
      <w:bookmarkStart w:id="7132" w:name="_Toc17808"/>
      <w:r>
        <w:rPr>
          <w:rFonts w:hint="eastAsia" w:ascii="Times New Roman" w:hAnsi="Times New Roman" w:cs="仿宋_GB2312"/>
          <w:bCs/>
          <w:color w:val="000000" w:themeColor="text1"/>
          <w:kern w:val="0"/>
          <w14:textFill>
            <w14:solidFill>
              <w14:schemeClr w14:val="tx1"/>
            </w14:solidFill>
          </w14:textFill>
        </w:rPr>
        <w:t>第五百七十三</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医疗机构未办理诊疗科目登记或者未按照规定进行校验的</w:t>
      </w:r>
      <w:bookmarkEnd w:id="7122"/>
      <w:bookmarkEnd w:id="7123"/>
      <w:bookmarkEnd w:id="7124"/>
      <w:bookmarkEnd w:id="7125"/>
      <w:bookmarkEnd w:id="7126"/>
      <w:bookmarkEnd w:id="7127"/>
      <w:bookmarkEnd w:id="7128"/>
      <w:bookmarkEnd w:id="7129"/>
      <w:bookmarkEnd w:id="7130"/>
      <w:bookmarkEnd w:id="7131"/>
      <w:bookmarkEnd w:id="7132"/>
    </w:p>
    <w:p w14:paraId="47AED54A">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38E21F86">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《放射诊疗管理规定》第三十八条第（二）项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医疗机构有下列情形之一的，由县级以上卫生行政部门给予警告、责令限期改正，并可以根据情节处以3000元以下的罚款；情节严重的，吊销其《医疗机构执业许可证》。</w:t>
      </w:r>
    </w:p>
    <w:p w14:paraId="59A29E7E">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（二）未办理诊疗科目登记或者未按照规定进行校验的；</w:t>
      </w:r>
    </w:p>
    <w:p w14:paraId="49083E2B">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8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7348"/>
        <w:gridCol w:w="4835"/>
      </w:tblGrid>
      <w:tr w14:paraId="6C3A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632" w:type="dxa"/>
            <w:vAlign w:val="center"/>
          </w:tcPr>
          <w:p w14:paraId="1B47475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348" w:type="dxa"/>
            <w:vAlign w:val="center"/>
          </w:tcPr>
          <w:p w14:paraId="6A71964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835" w:type="dxa"/>
            <w:vAlign w:val="center"/>
          </w:tcPr>
          <w:p w14:paraId="68DB0A6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767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32" w:type="dxa"/>
            <w:vAlign w:val="center"/>
          </w:tcPr>
          <w:p w14:paraId="7AAA190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348" w:type="dxa"/>
            <w:vAlign w:val="center"/>
          </w:tcPr>
          <w:p w14:paraId="24C9550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医疗机构未办理诊疗科目登记或者未按照规定进行校验工作一个月以内的。</w:t>
            </w:r>
          </w:p>
        </w:tc>
        <w:tc>
          <w:tcPr>
            <w:tcW w:w="4835" w:type="dxa"/>
            <w:vAlign w:val="center"/>
          </w:tcPr>
          <w:p w14:paraId="371F3B5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给予警告、责令限期改正，并可以处1000 元以下的罚款。</w:t>
            </w:r>
          </w:p>
        </w:tc>
      </w:tr>
      <w:tr w14:paraId="7EF7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32" w:type="dxa"/>
            <w:vAlign w:val="center"/>
          </w:tcPr>
          <w:p w14:paraId="630622E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348" w:type="dxa"/>
            <w:vAlign w:val="center"/>
          </w:tcPr>
          <w:p w14:paraId="0FB3F8C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医疗机构未办理诊疗科目登记或者未按照规定进行校验工作一个月以上、三个月以内的。</w:t>
            </w:r>
          </w:p>
        </w:tc>
        <w:tc>
          <w:tcPr>
            <w:tcW w:w="4835" w:type="dxa"/>
            <w:vAlign w:val="center"/>
          </w:tcPr>
          <w:p w14:paraId="1AE6F66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给予警告、责令限期改正，并可以处1000 元以上2000 元以下的罚款。</w:t>
            </w:r>
          </w:p>
        </w:tc>
      </w:tr>
      <w:tr w14:paraId="4BB6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32" w:type="dxa"/>
            <w:vAlign w:val="center"/>
          </w:tcPr>
          <w:p w14:paraId="60A9B1F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348" w:type="dxa"/>
            <w:vAlign w:val="center"/>
          </w:tcPr>
          <w:p w14:paraId="01C0336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医疗机构未办理诊疗科目登记或者未按照规定进行校验工作三个月以上、六个月以内的。</w:t>
            </w:r>
          </w:p>
        </w:tc>
        <w:tc>
          <w:tcPr>
            <w:tcW w:w="4835" w:type="dxa"/>
            <w:vAlign w:val="center"/>
          </w:tcPr>
          <w:p w14:paraId="34ABF7D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给予警告、责令限期改正，并处2000 元以上3000 元以下的罚款。</w:t>
            </w:r>
          </w:p>
        </w:tc>
      </w:tr>
      <w:tr w14:paraId="15ED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632" w:type="dxa"/>
            <w:vAlign w:val="center"/>
          </w:tcPr>
          <w:p w14:paraId="60514C2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7348" w:type="dxa"/>
            <w:vAlign w:val="center"/>
          </w:tcPr>
          <w:p w14:paraId="0CC376C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有下列情形之一的：</w:t>
            </w:r>
          </w:p>
          <w:p w14:paraId="6749D0E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A.医疗机构未办理诊疗科目登记或者未按照规定进行校验工作超过六个月的；</w:t>
            </w:r>
          </w:p>
          <w:p w14:paraId="536C0D2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B.医疗机构未办理诊疗科目登记或者未按照规定进行校验工作，致人死亡或造成其他严重后果的。</w:t>
            </w:r>
          </w:p>
        </w:tc>
        <w:tc>
          <w:tcPr>
            <w:tcW w:w="4835" w:type="dxa"/>
            <w:vAlign w:val="center"/>
          </w:tcPr>
          <w:p w14:paraId="5D64FBD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对于情形A，给予警告、责令限期改正，并处3000 元的罚款；</w:t>
            </w:r>
          </w:p>
          <w:p w14:paraId="3B0170B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对于情形B，给予警告，责令限期改正，并处3000 元的罚款，吊销其《医疗机构执业许可证》。</w:t>
            </w:r>
          </w:p>
        </w:tc>
      </w:tr>
    </w:tbl>
    <w:p w14:paraId="585096DF">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33" w:name="_Toc14554"/>
      <w:bookmarkStart w:id="7134" w:name="_Toc25159"/>
      <w:bookmarkStart w:id="7135" w:name="_Toc17594"/>
      <w:bookmarkStart w:id="7136" w:name="_Toc11027"/>
      <w:bookmarkStart w:id="7137" w:name="_Toc16658"/>
      <w:bookmarkStart w:id="7138" w:name="_Toc32197"/>
      <w:bookmarkStart w:id="7139" w:name="_Toc18657"/>
      <w:bookmarkStart w:id="7140" w:name="_Toc3748"/>
      <w:bookmarkStart w:id="7141" w:name="_Toc19006"/>
      <w:bookmarkStart w:id="7142" w:name="_Toc17646"/>
      <w:bookmarkStart w:id="7143" w:name="_Toc25810"/>
      <w:r>
        <w:rPr>
          <w:rFonts w:hint="eastAsia" w:ascii="Times New Roman" w:hAnsi="Times New Roman" w:cs="仿宋_GB2312"/>
          <w:bCs/>
          <w:color w:val="000000" w:themeColor="text1"/>
          <w:kern w:val="0"/>
          <w14:textFill>
            <w14:solidFill>
              <w14:schemeClr w14:val="tx1"/>
            </w14:solidFill>
          </w14:textFill>
        </w:rPr>
        <w:t>第五百七十四</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医疗机构未经批准擅自变更放射诊疗项目或者超出批准范围从事放射诊疗工作的</w:t>
      </w:r>
      <w:bookmarkEnd w:id="7133"/>
      <w:bookmarkEnd w:id="7134"/>
      <w:bookmarkEnd w:id="7135"/>
      <w:bookmarkEnd w:id="7136"/>
      <w:bookmarkEnd w:id="7137"/>
      <w:bookmarkEnd w:id="7138"/>
      <w:bookmarkEnd w:id="7139"/>
      <w:bookmarkEnd w:id="7140"/>
      <w:bookmarkEnd w:id="7141"/>
      <w:bookmarkEnd w:id="7142"/>
      <w:bookmarkEnd w:id="7143"/>
    </w:p>
    <w:p w14:paraId="681B7F7D">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06266AFE">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《放射诊疗管理规定》第三十八条第（三）项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医疗机构有下列情形之一的，由县级以上卫生行政部门给予警告、责令限期改正，并可以根据情节处以3000元以下的罚款；情节严重的，吊销其《医疗机构执业许可证》。</w:t>
      </w:r>
    </w:p>
    <w:p w14:paraId="333F043E">
      <w:pPr>
        <w:widowControl w:val="0"/>
        <w:adjustRightInd/>
        <w:snapToGrid/>
        <w:spacing w:after="0" w:line="440" w:lineRule="exact"/>
        <w:ind w:firstLine="640" w:firstLineChars="200"/>
        <w:rPr>
          <w:rFonts w:ascii="Times New Roman" w:hAnsi="Times New Roman" w:cs="Times New Roman"/>
          <w:bCs/>
          <w:color w:val="000000" w:themeColor="text1"/>
          <w:sz w:val="24"/>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（三）未经批准擅自变更放射诊疗项目或者超出批准范围从事放射诊疗工作的。</w:t>
      </w:r>
    </w:p>
    <w:p w14:paraId="7CFCC939">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414"/>
        <w:gridCol w:w="4678"/>
      </w:tblGrid>
      <w:tr w14:paraId="713E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800" w:type="dxa"/>
            <w:vAlign w:val="center"/>
          </w:tcPr>
          <w:p w14:paraId="4299D31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414" w:type="dxa"/>
            <w:vAlign w:val="center"/>
          </w:tcPr>
          <w:p w14:paraId="52CF235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78" w:type="dxa"/>
            <w:vAlign w:val="center"/>
          </w:tcPr>
          <w:p w14:paraId="5E54809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40C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800" w:type="dxa"/>
            <w:vAlign w:val="center"/>
          </w:tcPr>
          <w:p w14:paraId="0D9E372D">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414" w:type="dxa"/>
            <w:vAlign w:val="center"/>
          </w:tcPr>
          <w:p w14:paraId="62EF10F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医疗机构未经批准擅自变更放射诊疗项目或者超出批准范围从事放射诊疗工作一个月以内的。</w:t>
            </w:r>
          </w:p>
        </w:tc>
        <w:tc>
          <w:tcPr>
            <w:tcW w:w="4678" w:type="dxa"/>
            <w:vAlign w:val="center"/>
          </w:tcPr>
          <w:p w14:paraId="526633F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给予警告、责令限期改正，并可以处1000 元以下的罚款。</w:t>
            </w:r>
          </w:p>
        </w:tc>
      </w:tr>
      <w:tr w14:paraId="41A0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800" w:type="dxa"/>
            <w:vAlign w:val="center"/>
          </w:tcPr>
          <w:p w14:paraId="20D052C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414" w:type="dxa"/>
            <w:vAlign w:val="center"/>
          </w:tcPr>
          <w:p w14:paraId="6889DCA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医疗机构未经批准擅自变更放射诊疗项目或者超出批准范围从事放射诊疗工作一个月以上、三个月以内的。</w:t>
            </w:r>
          </w:p>
        </w:tc>
        <w:tc>
          <w:tcPr>
            <w:tcW w:w="4678" w:type="dxa"/>
            <w:vAlign w:val="center"/>
          </w:tcPr>
          <w:p w14:paraId="09EB815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给予警告、责令限期改正，并可以处1000 元以上2000 元以下的罚款。</w:t>
            </w:r>
          </w:p>
        </w:tc>
      </w:tr>
      <w:tr w14:paraId="50CE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800" w:type="dxa"/>
            <w:vAlign w:val="center"/>
          </w:tcPr>
          <w:p w14:paraId="45A3FAC6">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414" w:type="dxa"/>
            <w:vAlign w:val="center"/>
          </w:tcPr>
          <w:p w14:paraId="64E299B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医疗机构未经批准擅自变更放射诊疗项目或者超出批准范围从事放射诊疗工作三个月以上、六个月以内的。</w:t>
            </w:r>
          </w:p>
        </w:tc>
        <w:tc>
          <w:tcPr>
            <w:tcW w:w="4678" w:type="dxa"/>
            <w:vAlign w:val="center"/>
          </w:tcPr>
          <w:p w14:paraId="525FF87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给予警告、责令限期改正，并处2000 元以上3000 元以下的罚款。</w:t>
            </w:r>
          </w:p>
        </w:tc>
      </w:tr>
      <w:tr w14:paraId="4A75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800" w:type="dxa"/>
            <w:vAlign w:val="center"/>
          </w:tcPr>
          <w:p w14:paraId="4387FB13">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7414" w:type="dxa"/>
            <w:vAlign w:val="center"/>
          </w:tcPr>
          <w:p w14:paraId="0CB6383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有下列情形之一的：</w:t>
            </w:r>
          </w:p>
          <w:p w14:paraId="7D74332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A.医疗机构未经批准擅自变更放射诊疗项目或者超出批准范围从事放射诊疗工作超过六个月的；</w:t>
            </w:r>
          </w:p>
          <w:p w14:paraId="2A40967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B.医疗机构未经批准擅自变更放射诊疗项目或者超出批准范围从事放射诊疗工作，致人死亡或造成其他严重后果的。</w:t>
            </w:r>
          </w:p>
        </w:tc>
        <w:tc>
          <w:tcPr>
            <w:tcW w:w="4678" w:type="dxa"/>
            <w:vAlign w:val="center"/>
          </w:tcPr>
          <w:p w14:paraId="092D4B4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对于情形A，给予警告、责令限期改正，并处3000 元的罚款；</w:t>
            </w:r>
          </w:p>
          <w:p w14:paraId="26D0C73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对于情形B，给予警告，责令限期改正，并处3000 元的罚款，吊销其《医疗机构执业许可证》。</w:t>
            </w:r>
          </w:p>
        </w:tc>
      </w:tr>
    </w:tbl>
    <w:p w14:paraId="1192BDEA">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44" w:name="_Toc1770"/>
      <w:bookmarkStart w:id="7145" w:name="_Toc17301"/>
      <w:bookmarkStart w:id="7146" w:name="_Toc11677"/>
      <w:bookmarkStart w:id="7147" w:name="_Toc1769"/>
      <w:bookmarkStart w:id="7148" w:name="_Toc12289"/>
      <w:bookmarkStart w:id="7149" w:name="_Toc29266"/>
      <w:bookmarkStart w:id="7150" w:name="_Toc3336"/>
      <w:bookmarkStart w:id="7151" w:name="_Toc28449"/>
      <w:bookmarkStart w:id="7152" w:name="_Toc11915"/>
      <w:bookmarkStart w:id="7153" w:name="_Toc2208"/>
      <w:bookmarkStart w:id="7154" w:name="_Toc6624"/>
      <w:r>
        <w:rPr>
          <w:rFonts w:hint="eastAsia" w:ascii="Times New Roman" w:hAnsi="Times New Roman" w:cs="仿宋_GB2312"/>
          <w:bCs/>
          <w:color w:val="000000" w:themeColor="text1"/>
          <w:kern w:val="0"/>
          <w14:textFill>
            <w14:solidFill>
              <w14:schemeClr w14:val="tx1"/>
            </w14:solidFill>
          </w14:textFill>
        </w:rPr>
        <w:t>第五百七十五</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医疗机构使用不具备相应资质的人员从事放射诊疗工作的</w:t>
      </w:r>
      <w:bookmarkEnd w:id="7144"/>
      <w:bookmarkEnd w:id="7145"/>
      <w:bookmarkEnd w:id="7146"/>
      <w:bookmarkEnd w:id="7147"/>
      <w:bookmarkEnd w:id="7148"/>
      <w:bookmarkEnd w:id="7149"/>
      <w:bookmarkEnd w:id="7150"/>
      <w:bookmarkEnd w:id="7151"/>
      <w:bookmarkEnd w:id="7152"/>
      <w:bookmarkEnd w:id="7153"/>
      <w:bookmarkEnd w:id="7154"/>
    </w:p>
    <w:p w14:paraId="54740E7E">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733D7877">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《放射诊疗管理规定》第三十九条</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医疗机构使用不具备相应资质的人员从事放射诊疗工作的，由县级以上卫生行政部门责令限期改正，并可以处以5000元以下的罚款；情节严重的，吊销其《医疗机构执业许可证》。</w:t>
      </w:r>
    </w:p>
    <w:p w14:paraId="6BBA4E61">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7618"/>
        <w:gridCol w:w="4567"/>
      </w:tblGrid>
      <w:tr w14:paraId="56B6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14" w:type="dxa"/>
            <w:vAlign w:val="center"/>
          </w:tcPr>
          <w:p w14:paraId="4F1412B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618" w:type="dxa"/>
            <w:vAlign w:val="center"/>
          </w:tcPr>
          <w:p w14:paraId="06DE831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67" w:type="dxa"/>
            <w:vAlign w:val="center"/>
          </w:tcPr>
          <w:p w14:paraId="0079DB1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9FB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14" w:type="dxa"/>
            <w:vAlign w:val="center"/>
          </w:tcPr>
          <w:p w14:paraId="103763B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618" w:type="dxa"/>
            <w:vAlign w:val="center"/>
          </w:tcPr>
          <w:p w14:paraId="0A5609D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医疗机构使用1 名不具备相应资质的人员从事放射诊疗工作的。</w:t>
            </w:r>
          </w:p>
        </w:tc>
        <w:tc>
          <w:tcPr>
            <w:tcW w:w="4567" w:type="dxa"/>
            <w:vAlign w:val="center"/>
          </w:tcPr>
          <w:p w14:paraId="360D8CB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责令限期改正，并可以处2000 元以下的罚款。</w:t>
            </w:r>
          </w:p>
        </w:tc>
      </w:tr>
      <w:tr w14:paraId="447C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14" w:type="dxa"/>
            <w:vAlign w:val="center"/>
          </w:tcPr>
          <w:p w14:paraId="07CC6C2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618" w:type="dxa"/>
            <w:vAlign w:val="center"/>
          </w:tcPr>
          <w:p w14:paraId="3596D7C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医疗机构使用2 名及以上不具备相应资质的人员从事放射诊疗工作的。</w:t>
            </w:r>
          </w:p>
        </w:tc>
        <w:tc>
          <w:tcPr>
            <w:tcW w:w="4567" w:type="dxa"/>
            <w:vAlign w:val="center"/>
          </w:tcPr>
          <w:p w14:paraId="6A1500F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责令限期改正，并可以处2000 元以上5000 元以下的罚款。</w:t>
            </w:r>
          </w:p>
        </w:tc>
      </w:tr>
      <w:tr w14:paraId="1B0E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814" w:type="dxa"/>
            <w:vAlign w:val="center"/>
          </w:tcPr>
          <w:p w14:paraId="68F4FB5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7618" w:type="dxa"/>
            <w:vAlign w:val="center"/>
          </w:tcPr>
          <w:p w14:paraId="14010D9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医疗机构使用不具备相应资质的人员从事放射诊疗工作，造成严重危害后果的。</w:t>
            </w:r>
          </w:p>
        </w:tc>
        <w:tc>
          <w:tcPr>
            <w:tcW w:w="4567" w:type="dxa"/>
            <w:vAlign w:val="center"/>
          </w:tcPr>
          <w:p w14:paraId="0F46920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责令限期改正，并处5000 元的罚款，吊销其《医疗机构执业许可证》。</w:t>
            </w:r>
          </w:p>
        </w:tc>
      </w:tr>
    </w:tbl>
    <w:p w14:paraId="7C4136F1">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55" w:name="_Toc30087"/>
      <w:bookmarkStart w:id="7156" w:name="_Toc8027"/>
      <w:bookmarkStart w:id="7157" w:name="_Toc15809"/>
      <w:bookmarkStart w:id="7158" w:name="_Toc30891"/>
      <w:bookmarkStart w:id="7159" w:name="_Toc10594"/>
      <w:bookmarkStart w:id="7160" w:name="_Toc16188"/>
      <w:bookmarkStart w:id="7161" w:name="_Toc11777"/>
      <w:bookmarkStart w:id="7162" w:name="_Toc7428"/>
      <w:bookmarkStart w:id="7163" w:name="_Toc15656"/>
      <w:bookmarkStart w:id="7164" w:name="_Toc18679"/>
      <w:bookmarkStart w:id="7165" w:name="_Toc18805"/>
      <w:r>
        <w:rPr>
          <w:rFonts w:hint="eastAsia" w:ascii="Times New Roman" w:hAnsi="Times New Roman" w:cs="仿宋_GB2312"/>
          <w:bCs/>
          <w:color w:val="000000" w:themeColor="text1"/>
          <w:kern w:val="0"/>
          <w14:textFill>
            <w14:solidFill>
              <w14:schemeClr w14:val="tx1"/>
            </w14:solidFill>
          </w14:textFill>
        </w:rPr>
        <w:t>第五百七十六</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医疗机构购置、使用不合格或国家有关部门规定淘汰的放射诊疗设备的</w:t>
      </w:r>
      <w:bookmarkEnd w:id="7155"/>
      <w:bookmarkEnd w:id="7156"/>
      <w:bookmarkEnd w:id="7157"/>
      <w:bookmarkEnd w:id="7158"/>
      <w:bookmarkEnd w:id="7159"/>
      <w:bookmarkEnd w:id="7160"/>
      <w:bookmarkEnd w:id="7161"/>
      <w:bookmarkEnd w:id="7162"/>
      <w:bookmarkEnd w:id="7163"/>
      <w:bookmarkEnd w:id="7164"/>
      <w:bookmarkEnd w:id="7165"/>
    </w:p>
    <w:p w14:paraId="3B61E260">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3DEFF777">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《放射诊疗管理规定》第四十一条第（一）项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047FF949">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（一）购置、使用不合格或国家有关部门规定淘汰的放射诊疗设备的；</w:t>
      </w:r>
    </w:p>
    <w:p w14:paraId="46933C2C">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080"/>
        <w:gridCol w:w="4536"/>
      </w:tblGrid>
      <w:tr w14:paraId="3CBC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18" w:type="dxa"/>
            <w:vAlign w:val="center"/>
          </w:tcPr>
          <w:p w14:paraId="133294D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080" w:type="dxa"/>
            <w:vAlign w:val="center"/>
          </w:tcPr>
          <w:p w14:paraId="2F52A99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36" w:type="dxa"/>
            <w:vAlign w:val="center"/>
          </w:tcPr>
          <w:p w14:paraId="39D9669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579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418" w:type="dxa"/>
            <w:vAlign w:val="center"/>
          </w:tcPr>
          <w:p w14:paraId="2477A1E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8080" w:type="dxa"/>
            <w:vAlign w:val="center"/>
          </w:tcPr>
          <w:p w14:paraId="24852DE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医疗机构购置、使用不合格或国家有关部门规定淘汰的放射诊疗设备，数量为1 件且已投入临床使用不足 10 日，未造成人员健康损害或其他危害后果的。</w:t>
            </w:r>
          </w:p>
        </w:tc>
        <w:tc>
          <w:tcPr>
            <w:tcW w:w="4536" w:type="dxa"/>
            <w:vAlign w:val="center"/>
          </w:tcPr>
          <w:p w14:paraId="62FACA4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给予警告，责令限期改正；并可处1000 元以下的罚款。</w:t>
            </w:r>
          </w:p>
        </w:tc>
      </w:tr>
      <w:tr w14:paraId="05F6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418" w:type="dxa"/>
            <w:vAlign w:val="center"/>
          </w:tcPr>
          <w:p w14:paraId="0FE180D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8080" w:type="dxa"/>
            <w:vAlign w:val="center"/>
          </w:tcPr>
          <w:p w14:paraId="0D00DAA6">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医疗机构购置、使用不合格或国家有关部门规定淘汰的放射诊疗设备，数量为1～2件且已投入临床使用10日以上30日以下，未造成明显人员健康损害，但存在潜在安全风险的。</w:t>
            </w:r>
          </w:p>
        </w:tc>
        <w:tc>
          <w:tcPr>
            <w:tcW w:w="4536" w:type="dxa"/>
            <w:vAlign w:val="center"/>
          </w:tcPr>
          <w:p w14:paraId="7D3540CE">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给予警告，责令限期改正；并可处1000元以上3000 元以下的罚款。</w:t>
            </w:r>
          </w:p>
        </w:tc>
      </w:tr>
      <w:tr w14:paraId="6319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418" w:type="dxa"/>
            <w:vAlign w:val="center"/>
          </w:tcPr>
          <w:p w14:paraId="199918DF">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8080" w:type="dxa"/>
            <w:vAlign w:val="center"/>
          </w:tcPr>
          <w:p w14:paraId="3CB7F53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医疗机构购置、使用不合格或国家有关部门规定淘汰的放射诊疗设备，数量为2～3件且已投入临床使用30日以上90日以下，未造成明显人员健康损害，但存在潜在安全风险的。</w:t>
            </w:r>
          </w:p>
        </w:tc>
        <w:tc>
          <w:tcPr>
            <w:tcW w:w="4536" w:type="dxa"/>
            <w:vAlign w:val="center"/>
          </w:tcPr>
          <w:p w14:paraId="1A82C404">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给予警告，责令限期改正；并处3000元以上7000 元以下的罚款。</w:t>
            </w:r>
          </w:p>
        </w:tc>
      </w:tr>
      <w:tr w14:paraId="6688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1418" w:type="dxa"/>
            <w:vAlign w:val="center"/>
          </w:tcPr>
          <w:p w14:paraId="6630556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8080" w:type="dxa"/>
            <w:vAlign w:val="center"/>
          </w:tcPr>
          <w:p w14:paraId="71C4147E">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有下列情形之一的：</w:t>
            </w:r>
          </w:p>
          <w:p w14:paraId="515CB3C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A.医疗机构购置、使用不合格或国家有关部门规定淘汰的放射诊疗设备，数量为4 件及以上且已投入临床使用 90日以上的；</w:t>
            </w:r>
          </w:p>
          <w:p w14:paraId="7DC3AB5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B.医疗机构购置、使用不合格或国家有关部门规定淘汰的放射诊疗设备，造成1人及以上轻度辐射损伤或其他明显危害后果的。</w:t>
            </w:r>
          </w:p>
        </w:tc>
        <w:tc>
          <w:tcPr>
            <w:tcW w:w="4536" w:type="dxa"/>
            <w:vAlign w:val="center"/>
          </w:tcPr>
          <w:p w14:paraId="4447290B">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给予警告，责令限期改正；并处7000元以上一万元以下的罚款。</w:t>
            </w:r>
          </w:p>
        </w:tc>
      </w:tr>
    </w:tbl>
    <w:p w14:paraId="095A0518">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66" w:name="_Toc14439"/>
      <w:bookmarkStart w:id="7167" w:name="_Toc28418"/>
      <w:bookmarkStart w:id="7168" w:name="_Toc19936"/>
      <w:bookmarkStart w:id="7169" w:name="_Toc29046"/>
      <w:bookmarkStart w:id="7170" w:name="_Toc14732"/>
      <w:bookmarkStart w:id="7171" w:name="_Toc20453"/>
      <w:bookmarkStart w:id="7172" w:name="_Toc19247"/>
      <w:bookmarkStart w:id="7173" w:name="_Toc24443"/>
      <w:bookmarkStart w:id="7174" w:name="_Toc31275"/>
      <w:bookmarkStart w:id="7175" w:name="_Toc27044"/>
      <w:bookmarkStart w:id="7176" w:name="_Toc15731"/>
      <w:r>
        <w:rPr>
          <w:rFonts w:hint="eastAsia" w:ascii="Times New Roman" w:hAnsi="Times New Roman" w:cs="仿宋_GB2312"/>
          <w:bCs/>
          <w:color w:val="000000" w:themeColor="text1"/>
          <w:kern w:val="0"/>
          <w14:textFill>
            <w14:solidFill>
              <w14:schemeClr w14:val="tx1"/>
            </w14:solidFill>
          </w14:textFill>
        </w:rPr>
        <w:t>第五百七十七</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医疗机构未按照规定使用安全防护装置和个人防护用品的</w:t>
      </w:r>
      <w:bookmarkEnd w:id="7166"/>
      <w:bookmarkEnd w:id="7167"/>
      <w:bookmarkEnd w:id="7168"/>
      <w:bookmarkEnd w:id="7169"/>
      <w:bookmarkEnd w:id="7170"/>
      <w:bookmarkEnd w:id="7171"/>
      <w:bookmarkEnd w:id="7172"/>
      <w:bookmarkEnd w:id="7173"/>
      <w:bookmarkEnd w:id="7174"/>
      <w:bookmarkEnd w:id="7175"/>
      <w:bookmarkEnd w:id="7176"/>
    </w:p>
    <w:p w14:paraId="7146FE35">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3A4E7013">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《放射诊疗管理规定》第四十一条第（二）项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1D6E9F8D">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（二）未按照规定使用安全防护装置和个人防护用品的；</w:t>
      </w:r>
    </w:p>
    <w:p w14:paraId="3A7D7FE5">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698"/>
        <w:gridCol w:w="4542"/>
      </w:tblGrid>
      <w:tr w14:paraId="0D18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800" w:type="dxa"/>
            <w:vAlign w:val="center"/>
          </w:tcPr>
          <w:p w14:paraId="6AB7AAC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698" w:type="dxa"/>
            <w:vAlign w:val="center"/>
          </w:tcPr>
          <w:p w14:paraId="7F1CE75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42" w:type="dxa"/>
            <w:vAlign w:val="center"/>
          </w:tcPr>
          <w:p w14:paraId="3B7F3B9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EA7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800" w:type="dxa"/>
            <w:vAlign w:val="center"/>
          </w:tcPr>
          <w:p w14:paraId="6DB1710B">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轻微</w:t>
            </w:r>
          </w:p>
        </w:tc>
        <w:tc>
          <w:tcPr>
            <w:tcW w:w="7698" w:type="dxa"/>
            <w:vAlign w:val="center"/>
          </w:tcPr>
          <w:p w14:paraId="32689B6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 xml:space="preserve"> 医疗机构未按照规定使用安全防护装置和个人防护用品，初次违法且仅限于普通X射线摄影，未对人员健康造成实际损害或可测量的超剂量照射，发现后能立即纠正，整改积极彻底的。</w:t>
            </w:r>
          </w:p>
        </w:tc>
        <w:tc>
          <w:tcPr>
            <w:tcW w:w="4542" w:type="dxa"/>
            <w:vAlign w:val="center"/>
          </w:tcPr>
          <w:p w14:paraId="173188F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给予警告，责令限期改正；并可处1000 元以下的罚款。</w:t>
            </w:r>
          </w:p>
        </w:tc>
      </w:tr>
      <w:tr w14:paraId="2FC0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800" w:type="dxa"/>
            <w:vAlign w:val="center"/>
          </w:tcPr>
          <w:p w14:paraId="78A0229B">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698" w:type="dxa"/>
            <w:vAlign w:val="center"/>
          </w:tcPr>
          <w:p w14:paraId="1BBBFF79">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有下列情形之一的：</w:t>
            </w:r>
          </w:p>
          <w:p w14:paraId="04A83BB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A.医疗机构未按照规定对受检者（不含孕妇、婴幼儿、少年儿童等特殊人群）使用安全防护装置和个人防护用品，未造成明显人体健康损害的；</w:t>
            </w:r>
          </w:p>
          <w:p w14:paraId="5D103B03">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B.医疗机构实施放射性药物给药和X 射线照射操作时，无关人员或陪检者等（不含孕妇、婴幼儿、少年儿童等特殊人群）滞留电离辐射场所，未采取防护措施的。</w:t>
            </w:r>
          </w:p>
        </w:tc>
        <w:tc>
          <w:tcPr>
            <w:tcW w:w="4542" w:type="dxa"/>
            <w:vAlign w:val="center"/>
          </w:tcPr>
          <w:p w14:paraId="415B9A3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给予警告，责令限期改正；并可处1000元以上3000 元以下的罚款。</w:t>
            </w:r>
          </w:p>
        </w:tc>
      </w:tr>
      <w:tr w14:paraId="6AE7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800" w:type="dxa"/>
            <w:vAlign w:val="center"/>
          </w:tcPr>
          <w:p w14:paraId="7473672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698" w:type="dxa"/>
            <w:vAlign w:val="center"/>
          </w:tcPr>
          <w:p w14:paraId="6294B55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有下列情形之一的：</w:t>
            </w:r>
          </w:p>
          <w:p w14:paraId="7873E56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A. 医疗机构未按照规定对孕妇、婴幼儿、少年儿童等特殊人群受检者或陪检者使用安全防护装置和个人防护用品，未造成明显人体健康损害的；</w:t>
            </w:r>
          </w:p>
          <w:p w14:paraId="178691D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B. 医疗机构实施放射性药物给药和X 射线照射操作时，孕妇、婴幼儿、少年儿童等特殊人群滞留电离辐射场所，未采取防护措施的。</w:t>
            </w:r>
          </w:p>
        </w:tc>
        <w:tc>
          <w:tcPr>
            <w:tcW w:w="4542" w:type="dxa"/>
            <w:vAlign w:val="center"/>
          </w:tcPr>
          <w:p w14:paraId="1187743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给予警告，责令限期改正；并处3000 元以上7000元以下的罚款。</w:t>
            </w:r>
          </w:p>
        </w:tc>
      </w:tr>
      <w:tr w14:paraId="7A5B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800" w:type="dxa"/>
            <w:vAlign w:val="center"/>
          </w:tcPr>
          <w:p w14:paraId="5BD0A28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698" w:type="dxa"/>
            <w:vAlign w:val="center"/>
          </w:tcPr>
          <w:p w14:paraId="278B3EA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医疗机构未按照规定使用安全防护装置和个人防护用品，明显造成人体健康损害或造成其他严重后果的。</w:t>
            </w:r>
          </w:p>
        </w:tc>
        <w:tc>
          <w:tcPr>
            <w:tcW w:w="4542" w:type="dxa"/>
            <w:vAlign w:val="center"/>
          </w:tcPr>
          <w:p w14:paraId="612C4A8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给予警告，责令限期改正；并处7000元以上一万元以下的罚款。</w:t>
            </w:r>
          </w:p>
        </w:tc>
      </w:tr>
    </w:tbl>
    <w:p w14:paraId="7384773C">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77" w:name="_Toc7940"/>
      <w:bookmarkStart w:id="7178" w:name="_Toc13104"/>
      <w:bookmarkStart w:id="7179" w:name="_Toc10500"/>
      <w:bookmarkStart w:id="7180" w:name="_Toc29742"/>
      <w:bookmarkStart w:id="7181" w:name="_Toc26519"/>
      <w:bookmarkStart w:id="7182" w:name="_Toc32446"/>
      <w:bookmarkStart w:id="7183" w:name="_Toc16524"/>
      <w:bookmarkStart w:id="7184" w:name="_Toc29851"/>
      <w:bookmarkStart w:id="7185" w:name="_Toc26495"/>
      <w:bookmarkStart w:id="7186" w:name="_Toc18546"/>
      <w:bookmarkStart w:id="7187" w:name="_Toc18335"/>
      <w:r>
        <w:rPr>
          <w:rFonts w:hint="eastAsia" w:ascii="Times New Roman" w:hAnsi="Times New Roman" w:cs="仿宋_GB2312"/>
          <w:bCs/>
          <w:color w:val="000000" w:themeColor="text1"/>
          <w:kern w:val="0"/>
          <w14:textFill>
            <w14:solidFill>
              <w14:schemeClr w14:val="tx1"/>
            </w14:solidFill>
          </w14:textFill>
        </w:rPr>
        <w:t>第五百七十八</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医疗机构新安装、维修或更换重要部件后的放射诊疗设备，未经省级以上卫生行政部门资质认证的检测机构对其进行检测投入使用的</w:t>
      </w:r>
      <w:bookmarkEnd w:id="7177"/>
      <w:bookmarkEnd w:id="7178"/>
      <w:bookmarkEnd w:id="7179"/>
      <w:bookmarkEnd w:id="7180"/>
      <w:bookmarkEnd w:id="7181"/>
      <w:bookmarkEnd w:id="7182"/>
      <w:bookmarkEnd w:id="7183"/>
      <w:bookmarkEnd w:id="7184"/>
      <w:bookmarkEnd w:id="7185"/>
      <w:bookmarkEnd w:id="7186"/>
      <w:bookmarkEnd w:id="7187"/>
    </w:p>
    <w:p w14:paraId="05DA404E">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2A2EC01C">
      <w:pPr>
        <w:widowControl w:val="0"/>
        <w:adjustRightInd/>
        <w:snapToGrid/>
        <w:spacing w:after="0" w:line="440" w:lineRule="exact"/>
        <w:ind w:firstLine="640" w:firstLineChars="200"/>
        <w:jc w:val="both"/>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1.《放射诊疗管理规定》第四十一条第（三）项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10CDE746">
      <w:pPr>
        <w:widowControl w:val="0"/>
        <w:adjustRightInd/>
        <w:snapToGrid/>
        <w:spacing w:after="0" w:line="440" w:lineRule="exact"/>
        <w:ind w:firstLine="640" w:firstLineChars="200"/>
        <w:jc w:val="both"/>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（三）未按照规定对放射诊疗设备、工作场所及防护设施进行检测和检查的；</w:t>
      </w:r>
    </w:p>
    <w:p w14:paraId="5FD26979">
      <w:pPr>
        <w:widowControl w:val="0"/>
        <w:adjustRightInd/>
        <w:snapToGrid/>
        <w:spacing w:after="0" w:line="440" w:lineRule="exact"/>
        <w:ind w:firstLine="640" w:firstLineChars="200"/>
        <w:jc w:val="both"/>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2.《放射诊疗管理规定》第二十条第（一）项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医疗机构的放射诊疗设备和检测仪表，应当符合下列要求：</w:t>
      </w:r>
    </w:p>
    <w:p w14:paraId="76E087D3">
      <w:pPr>
        <w:widowControl w:val="0"/>
        <w:adjustRightInd/>
        <w:snapToGrid/>
        <w:spacing w:after="0" w:line="440" w:lineRule="exact"/>
        <w:ind w:firstLine="640" w:firstLineChars="200"/>
        <w:jc w:val="both"/>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（一）新安装、维修或更换重要部件后的设备，应当经省级以上卫生行政部门资质认证的检测机构对其进行检测，合格后方可启用；</w:t>
      </w:r>
    </w:p>
    <w:p w14:paraId="53F034C4">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520"/>
        <w:gridCol w:w="4096"/>
      </w:tblGrid>
      <w:tr w14:paraId="1A71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8" w:type="dxa"/>
            <w:vAlign w:val="center"/>
          </w:tcPr>
          <w:p w14:paraId="1C6D9C7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20" w:type="dxa"/>
            <w:vAlign w:val="center"/>
          </w:tcPr>
          <w:p w14:paraId="270693E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096" w:type="dxa"/>
            <w:vAlign w:val="center"/>
          </w:tcPr>
          <w:p w14:paraId="0FBE3D4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472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1418" w:type="dxa"/>
            <w:vAlign w:val="center"/>
          </w:tcPr>
          <w:p w14:paraId="379A441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8520" w:type="dxa"/>
            <w:vAlign w:val="center"/>
          </w:tcPr>
          <w:p w14:paraId="606110E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有下列情形之一且未造成任何健康损害或纠纷的：</w:t>
            </w:r>
          </w:p>
          <w:p w14:paraId="2AB039B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 医疗机构新安装、维修或更换重要部件后的放射诊疗设备未经省级以上卫生行政部门资质认证的检测机构对其进行检测即启用，设备数目为1 件（套）的；</w:t>
            </w:r>
          </w:p>
          <w:p w14:paraId="160FC5F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 医疗机构新安装、维修或更换重要部件后的放射诊疗设备未经省级以上卫生行政部门资质认证的检测机构对其进行检测即启用三个月以内的。</w:t>
            </w:r>
          </w:p>
        </w:tc>
        <w:tc>
          <w:tcPr>
            <w:tcW w:w="4096" w:type="dxa"/>
            <w:vAlign w:val="center"/>
          </w:tcPr>
          <w:p w14:paraId="4581673D">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给予警告，责令限期改正；并可处1000 元以下的罚款。</w:t>
            </w:r>
          </w:p>
        </w:tc>
      </w:tr>
      <w:tr w14:paraId="694B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1418" w:type="dxa"/>
            <w:vAlign w:val="center"/>
          </w:tcPr>
          <w:p w14:paraId="245D3B4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8520" w:type="dxa"/>
            <w:vAlign w:val="center"/>
          </w:tcPr>
          <w:p w14:paraId="5214140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有下列情形之一且未造成任何健康损害或纠纷的：</w:t>
            </w:r>
          </w:p>
          <w:p w14:paraId="7B07DDA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 医疗机构新安装、维修或更换重要部件后的放射诊疗设备未经省级以上卫生行政部门资质认证的检测机构对其进行检测即启用，设备数目为2 件（套）的；</w:t>
            </w:r>
          </w:p>
          <w:p w14:paraId="4EC5E39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 医疗机构新安装、维修或更换重要部件后的放射诊疗设备未经省级以上卫生行政部门资质认证的检测机构对其进行检测即启用三个月以上六个月以内的。</w:t>
            </w:r>
          </w:p>
        </w:tc>
        <w:tc>
          <w:tcPr>
            <w:tcW w:w="4096" w:type="dxa"/>
            <w:vAlign w:val="center"/>
          </w:tcPr>
          <w:p w14:paraId="69479F5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给予警告，责令限期改正；并可处1000 元以上3000 元以下的罚款。</w:t>
            </w:r>
          </w:p>
        </w:tc>
      </w:tr>
      <w:tr w14:paraId="49DB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1418" w:type="dxa"/>
            <w:vAlign w:val="center"/>
          </w:tcPr>
          <w:p w14:paraId="0A3EABE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8520" w:type="dxa"/>
            <w:vAlign w:val="center"/>
          </w:tcPr>
          <w:p w14:paraId="4E80014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有下列情形之一且未造成任何健康损害或纠纷的：</w:t>
            </w:r>
          </w:p>
          <w:p w14:paraId="43981F7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 医疗机构新安装、维修或更换重要部件后的放射诊疗设备未经省级以上卫生行政部门资质认证的检测机构对其进行检测即启用，设备数目为3 件（套）的；</w:t>
            </w:r>
          </w:p>
          <w:p w14:paraId="268E7F8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 医疗机构新安装、维修或更换重要部件后的放射诊疗设备未经省级以上卫生行政部门资质认证的检测机构对其进行检测即启用六个月以上十二个月以内的。</w:t>
            </w:r>
          </w:p>
        </w:tc>
        <w:tc>
          <w:tcPr>
            <w:tcW w:w="4096" w:type="dxa"/>
            <w:vAlign w:val="center"/>
          </w:tcPr>
          <w:p w14:paraId="4E96430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给予警告，责令限期改正，并处3000 元以上7000元以下的罚款。</w:t>
            </w:r>
          </w:p>
        </w:tc>
      </w:tr>
      <w:tr w14:paraId="37D0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1418" w:type="dxa"/>
            <w:vAlign w:val="center"/>
          </w:tcPr>
          <w:p w14:paraId="1CE4493E">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8520" w:type="dxa"/>
            <w:vAlign w:val="center"/>
          </w:tcPr>
          <w:p w14:paraId="6AE55F3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有下列情形之一的：</w:t>
            </w:r>
          </w:p>
          <w:p w14:paraId="6431E03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 医疗机构新安装、维修或更换重要部件后的放射诊疗设备未经省级以上卫生行政部门资质认证的检测机构对其进行检测即启用，设备数目为4 件（套）的；</w:t>
            </w:r>
          </w:p>
          <w:p w14:paraId="61193D3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 医疗机构新安装、维修或更换重要部件后的放射诊疗设备未经省级以上卫生行政部门资质认证的检测机构对其进行检测即启用十二个月以上的；</w:t>
            </w:r>
          </w:p>
          <w:p w14:paraId="571D43B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C. 医疗机构新安装、维修或更换重要部件后的放射诊疗设备未经省级以上卫生行政部门资质认证的检测机构对其进行检测即启用，造成严重后果的。</w:t>
            </w:r>
          </w:p>
        </w:tc>
        <w:tc>
          <w:tcPr>
            <w:tcW w:w="4096" w:type="dxa"/>
            <w:vAlign w:val="center"/>
          </w:tcPr>
          <w:p w14:paraId="7E86C2D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给予警告，责令限期改正，并处7000元以上一万元以下的罚款。</w:t>
            </w:r>
          </w:p>
        </w:tc>
      </w:tr>
    </w:tbl>
    <w:p w14:paraId="54E47964">
      <w:pPr>
        <w:widowControl w:val="0"/>
        <w:spacing w:after="0" w:line="440" w:lineRule="exact"/>
        <w:rPr>
          <w:rFonts w:hint="eastAsia" w:ascii="Times New Roman" w:hAnsi="Times New Roman" w:eastAsia="仿宋_GB2312" w:cs="仿宋_GB2312"/>
          <w:b/>
          <w:color w:val="000000" w:themeColor="text1"/>
          <w:sz w:val="24"/>
          <w:szCs w:val="24"/>
          <w14:textFill>
            <w14:solidFill>
              <w14:schemeClr w14:val="tx1"/>
            </w14:solidFill>
          </w14:textFill>
        </w:rPr>
      </w:pPr>
      <w:r>
        <w:rPr>
          <w:rFonts w:hint="eastAsia" w:ascii="Times New Roman" w:hAnsi="Times New Roman" w:eastAsia="仿宋_GB2312" w:cs="仿宋_GB2312"/>
          <w:bCs/>
          <w:color w:val="000000" w:themeColor="text1"/>
          <w:sz w:val="24"/>
          <w:szCs w:val="24"/>
          <w14:textFill>
            <w14:solidFill>
              <w14:schemeClr w14:val="tx1"/>
            </w14:solidFill>
          </w14:textFill>
        </w:rPr>
        <w:t>备注：若AB两种情形同时出现在不同违法程度中，择重处罚。</w:t>
      </w:r>
    </w:p>
    <w:p w14:paraId="297389B0">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88" w:name="_Toc8155"/>
      <w:bookmarkStart w:id="7189" w:name="_Toc7138"/>
      <w:bookmarkStart w:id="7190" w:name="_Toc27221"/>
      <w:bookmarkStart w:id="7191" w:name="_Toc32759"/>
      <w:bookmarkStart w:id="7192" w:name="_Toc29798"/>
      <w:bookmarkStart w:id="7193" w:name="_Toc20025"/>
      <w:bookmarkStart w:id="7194" w:name="_Toc26042"/>
      <w:bookmarkStart w:id="7195" w:name="_Toc9609"/>
      <w:bookmarkStart w:id="7196" w:name="_Toc4626"/>
      <w:bookmarkStart w:id="7197" w:name="_Toc22851"/>
      <w:bookmarkStart w:id="7198" w:name="_Toc31002"/>
      <w:r>
        <w:rPr>
          <w:rFonts w:hint="eastAsia" w:ascii="Times New Roman" w:hAnsi="Times New Roman" w:cs="仿宋_GB2312"/>
          <w:bCs/>
          <w:color w:val="000000" w:themeColor="text1"/>
          <w:kern w:val="0"/>
          <w14:textFill>
            <w14:solidFill>
              <w14:schemeClr w14:val="tx1"/>
            </w14:solidFill>
          </w14:textFill>
        </w:rPr>
        <w:t>第五百七十九</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医疗机构放射诊疗设备未由省级以上卫生行政部门资质认证的检测机构每年至少进行一次状态检测的</w:t>
      </w:r>
      <w:bookmarkEnd w:id="7188"/>
      <w:bookmarkEnd w:id="7189"/>
      <w:bookmarkEnd w:id="7190"/>
      <w:bookmarkEnd w:id="7191"/>
      <w:bookmarkEnd w:id="7192"/>
      <w:bookmarkEnd w:id="7193"/>
      <w:bookmarkEnd w:id="7194"/>
      <w:bookmarkEnd w:id="7195"/>
      <w:bookmarkEnd w:id="7196"/>
      <w:bookmarkEnd w:id="7197"/>
      <w:bookmarkEnd w:id="7198"/>
    </w:p>
    <w:p w14:paraId="2FD1202A">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0A71E4FA">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1.《放射诊疗管理规定》第四十一条第（三）项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18615A7A">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（三）未按照规定对放射诊疗设备、工作场所及防护设施进行检测和检查的；</w:t>
      </w:r>
    </w:p>
    <w:p w14:paraId="77AB5ED8">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2.《放射诊疗管理规定》第二十条第（二）项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医疗机构的放射诊疗设备和检测仪表，应当符合下列要求：</w:t>
      </w:r>
    </w:p>
    <w:p w14:paraId="1C2FC476">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（二）定期进行稳定性检测、校正和维护保养，由省级以上卫生行政部门资质认证的检测机构每年至少进行一次状态检测；</w:t>
      </w:r>
    </w:p>
    <w:p w14:paraId="783AD774">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520"/>
        <w:gridCol w:w="4096"/>
      </w:tblGrid>
      <w:tr w14:paraId="6659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418" w:type="dxa"/>
            <w:vAlign w:val="center"/>
          </w:tcPr>
          <w:p w14:paraId="385076B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520" w:type="dxa"/>
            <w:vAlign w:val="center"/>
          </w:tcPr>
          <w:p w14:paraId="0D9E60B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096" w:type="dxa"/>
            <w:vAlign w:val="center"/>
          </w:tcPr>
          <w:p w14:paraId="7A139FF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5F4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418" w:type="dxa"/>
            <w:vAlign w:val="center"/>
          </w:tcPr>
          <w:p w14:paraId="6831193B">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8520" w:type="dxa"/>
            <w:vAlign w:val="center"/>
          </w:tcPr>
          <w:p w14:paraId="51B8AAA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有下列情形之一且未造成任何健康损害或纠纷的：</w:t>
            </w:r>
          </w:p>
          <w:p w14:paraId="764351D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 医疗机构放射诊疗设备未由省级以上卫生行政部门资质认证的检测机构每年至少进行一次状态检测，设备数目为1 件（套）的；</w:t>
            </w:r>
          </w:p>
          <w:p w14:paraId="2FB44D6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 医疗机构放射诊疗设备未由省级以上卫生行政部门资质认证的检测机构每年至少进行一次状态检测，超出检测周期三个月以内的。</w:t>
            </w:r>
          </w:p>
        </w:tc>
        <w:tc>
          <w:tcPr>
            <w:tcW w:w="4096" w:type="dxa"/>
            <w:vAlign w:val="center"/>
          </w:tcPr>
          <w:p w14:paraId="0E6F764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给予警告，责令限期改正；并可处1000 元以下的罚款。</w:t>
            </w:r>
          </w:p>
        </w:tc>
      </w:tr>
      <w:tr w14:paraId="52AA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418" w:type="dxa"/>
            <w:vAlign w:val="center"/>
          </w:tcPr>
          <w:p w14:paraId="76A2DC87">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8520" w:type="dxa"/>
            <w:vAlign w:val="center"/>
          </w:tcPr>
          <w:p w14:paraId="62C2EB5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有下列情形之一且未造成任何健康损害或纠纷的：</w:t>
            </w:r>
          </w:p>
          <w:p w14:paraId="0928A57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 医疗机构放射诊疗设备未由省级以上卫生行政部门资质认证的检测机构每年至少进行一次状态检测，设备数目为2 件（套）的；</w:t>
            </w:r>
          </w:p>
          <w:p w14:paraId="04B99E7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 医疗机构放射诊疗设备未由省级以上卫生行政部门资质认证的检测机构每年至少进行一次状态检测，超出检测周期三个月以上六个月以内的。</w:t>
            </w:r>
          </w:p>
        </w:tc>
        <w:tc>
          <w:tcPr>
            <w:tcW w:w="4096" w:type="dxa"/>
            <w:vAlign w:val="center"/>
          </w:tcPr>
          <w:p w14:paraId="61C52E4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给予警告，责令限期改正；并可处1000 元以上3000 元以下的罚款。</w:t>
            </w:r>
          </w:p>
        </w:tc>
      </w:tr>
      <w:tr w14:paraId="0C15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418" w:type="dxa"/>
            <w:vAlign w:val="center"/>
          </w:tcPr>
          <w:p w14:paraId="171594F1">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8520" w:type="dxa"/>
            <w:vAlign w:val="center"/>
          </w:tcPr>
          <w:p w14:paraId="1433C7F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有下列情形之一且未造成任何健康损害或纠纷的：</w:t>
            </w:r>
          </w:p>
          <w:p w14:paraId="6EE04EC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 医疗机构放射诊疗设备未由省级以上卫生行政部门资质认证的检测机构每年至少进行一次状态检测，设备数目为3 件（套）的；</w:t>
            </w:r>
          </w:p>
          <w:p w14:paraId="62F6654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 医疗机构放射诊疗设备未由省级以上卫生行政部门资质认证的检测机构每年至少进行一次状态检测，超出检测周期六个月以上十二个月以内的。</w:t>
            </w:r>
          </w:p>
        </w:tc>
        <w:tc>
          <w:tcPr>
            <w:tcW w:w="4096" w:type="dxa"/>
            <w:vAlign w:val="center"/>
          </w:tcPr>
          <w:p w14:paraId="3D9D699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给予警告，责令限期改正，并处3000 元以上7000 元以下的罚款。</w:t>
            </w:r>
          </w:p>
        </w:tc>
      </w:tr>
      <w:tr w14:paraId="36C3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1418" w:type="dxa"/>
            <w:vAlign w:val="center"/>
          </w:tcPr>
          <w:p w14:paraId="71FCA26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8520" w:type="dxa"/>
            <w:vAlign w:val="center"/>
          </w:tcPr>
          <w:p w14:paraId="0E9912C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有下列情形之一的：</w:t>
            </w:r>
          </w:p>
          <w:p w14:paraId="7D3231F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A. 医疗机构放射诊疗设备未由省级以上卫生行政部门资质认证的检测机构每年至少进行一次状态检测，设备数目为4 件（套）及以上的；</w:t>
            </w:r>
          </w:p>
          <w:p w14:paraId="1D392A5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B. 医疗机构放射诊疗设备未由省级以上卫生行政部门资质认证的检测机构每年至少进行一次状态检测，超出检测周期十二个月以上的；</w:t>
            </w:r>
          </w:p>
          <w:p w14:paraId="7AF55F2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C. 医疗机构未按照规定对放射诊疗设备、工作场所及防护设施进行检测和检查，造成严重后果的。</w:t>
            </w:r>
          </w:p>
        </w:tc>
        <w:tc>
          <w:tcPr>
            <w:tcW w:w="4096" w:type="dxa"/>
            <w:vAlign w:val="center"/>
          </w:tcPr>
          <w:p w14:paraId="6FB2E45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szCs w:val="22"/>
                <w:lang w:bidi="ar"/>
                <w14:textFill>
                  <w14:solidFill>
                    <w14:schemeClr w14:val="tx1"/>
                  </w14:solidFill>
                </w14:textFill>
              </w:rPr>
              <w:t>给予警告，责令限期改正，并处7000 元以上一万元以下的罚款。</w:t>
            </w:r>
          </w:p>
        </w:tc>
      </w:tr>
    </w:tbl>
    <w:p w14:paraId="1FA7160B">
      <w:pPr>
        <w:widowControl w:val="0"/>
        <w:spacing w:after="0" w:line="440" w:lineRule="exact"/>
        <w:rPr>
          <w:rFonts w:hint="eastAsia" w:ascii="Times New Roman" w:hAnsi="Times New Roman" w:eastAsia="仿宋_GB2312" w:cs="仿宋_GB2312"/>
          <w:b/>
          <w:color w:val="000000" w:themeColor="text1"/>
          <w:sz w:val="24"/>
          <w:szCs w:val="24"/>
          <w14:textFill>
            <w14:solidFill>
              <w14:schemeClr w14:val="tx1"/>
            </w14:solidFill>
          </w14:textFill>
        </w:rPr>
      </w:pPr>
      <w:r>
        <w:rPr>
          <w:rFonts w:hint="eastAsia" w:ascii="Times New Roman" w:hAnsi="Times New Roman" w:eastAsia="仿宋_GB2312" w:cs="仿宋_GB2312"/>
          <w:bCs/>
          <w:color w:val="000000" w:themeColor="text1"/>
          <w:sz w:val="24"/>
          <w:szCs w:val="24"/>
          <w14:textFill>
            <w14:solidFill>
              <w14:schemeClr w14:val="tx1"/>
            </w14:solidFill>
          </w14:textFill>
        </w:rPr>
        <w:t>备注：若AB两种情形同时出现在不同违法程度中，择重处罚。</w:t>
      </w:r>
    </w:p>
    <w:p w14:paraId="650D338C">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199" w:name="_Toc26375"/>
      <w:bookmarkStart w:id="7200" w:name="_Toc28465"/>
      <w:bookmarkStart w:id="7201" w:name="_Toc6473"/>
      <w:bookmarkStart w:id="7202" w:name="_Toc24843"/>
      <w:bookmarkStart w:id="7203" w:name="_Toc28719"/>
      <w:bookmarkStart w:id="7204" w:name="_Toc2350"/>
      <w:bookmarkStart w:id="7205" w:name="_Toc18640"/>
      <w:bookmarkStart w:id="7206" w:name="_Toc10880"/>
      <w:bookmarkStart w:id="7207" w:name="_Toc5398"/>
      <w:bookmarkStart w:id="7208" w:name="_Toc27341"/>
      <w:bookmarkStart w:id="7209" w:name="_Toc2615"/>
      <w:r>
        <w:rPr>
          <w:rFonts w:hint="eastAsia" w:ascii="Times New Roman" w:hAnsi="Times New Roman" w:cs="仿宋_GB2312"/>
          <w:bCs/>
          <w:color w:val="000000" w:themeColor="text1"/>
          <w:kern w:val="0"/>
          <w14:textFill>
            <w14:solidFill>
              <w14:schemeClr w14:val="tx1"/>
            </w14:solidFill>
          </w14:textFill>
        </w:rPr>
        <w:t>第五百八十</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医疗机构未按照规定对放射诊疗工作人员进行个人剂量监测、健康检查、建立个人剂量和健康档案的</w:t>
      </w:r>
      <w:bookmarkEnd w:id="7199"/>
      <w:bookmarkEnd w:id="7200"/>
      <w:bookmarkEnd w:id="7201"/>
      <w:bookmarkEnd w:id="7202"/>
      <w:bookmarkEnd w:id="7203"/>
      <w:bookmarkEnd w:id="7204"/>
      <w:bookmarkEnd w:id="7205"/>
      <w:bookmarkEnd w:id="7206"/>
      <w:bookmarkEnd w:id="7207"/>
      <w:bookmarkEnd w:id="7208"/>
      <w:bookmarkEnd w:id="7209"/>
    </w:p>
    <w:p w14:paraId="6F766803">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10F4E7F9">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《放射诊疗管理规定》第四十一条第（四）项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595DC5FD">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pacing w:val="-6"/>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（四）</w:t>
      </w:r>
      <w:r>
        <w:rPr>
          <w:rFonts w:hint="eastAsia" w:ascii="Times New Roman" w:hAnsi="Times New Roman" w:eastAsia="仿宋_GB2312" w:cs="仿宋_GB2312"/>
          <w:bCs/>
          <w:color w:val="000000" w:themeColor="text1"/>
          <w:spacing w:val="-6"/>
          <w:sz w:val="32"/>
          <w:szCs w:val="32"/>
          <w14:textFill>
            <w14:solidFill>
              <w14:schemeClr w14:val="tx1"/>
            </w14:solidFill>
          </w14:textFill>
        </w:rPr>
        <w:t>未按照规定对放射诊疗工作人员进行个人剂量监测、健康检查、建立个人剂量和健康档案的；</w:t>
      </w:r>
    </w:p>
    <w:p w14:paraId="400D3197">
      <w:pPr>
        <w:widowControl w:val="0"/>
        <w:adjustRightInd/>
        <w:snapToGrid/>
        <w:spacing w:before="156" w:beforeLines="50" w:after="0" w:line="440" w:lineRule="exact"/>
        <w:jc w:val="center"/>
        <w:rPr>
          <w:rFonts w:ascii="Times New Roman" w:hAnsi="Times New Roman" w:cs="Times New Roman"/>
          <w:b/>
          <w:bCs/>
          <w:color w:val="000000" w:themeColor="text1"/>
          <w:kern w:val="2"/>
          <w:sz w:val="28"/>
          <w:szCs w:val="28"/>
          <w14:textFill>
            <w14:solidFill>
              <w14:schemeClr w14:val="tx1"/>
            </w14:solidFill>
          </w14:textFill>
        </w:rPr>
      </w:pPr>
      <w:r>
        <w:rPr>
          <w:rFonts w:hint="eastAsia" w:ascii="Times New Roman" w:hAnsi="Times New Roman" w:cs="Times New Roman"/>
          <w:b/>
          <w:bCs/>
          <w:color w:val="000000" w:themeColor="text1"/>
          <w:kern w:val="2"/>
          <w:sz w:val="28"/>
          <w:szCs w:val="28"/>
          <w14:textFill>
            <w14:solidFill>
              <w14:schemeClr w14:val="tx1"/>
            </w14:solidFill>
          </w14:textFill>
        </w:rPr>
        <w:t>裁量标准</w:t>
      </w:r>
    </w:p>
    <w:tbl>
      <w:tblPr>
        <w:tblStyle w:val="24"/>
        <w:tblW w:w="139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560"/>
        <w:gridCol w:w="4568"/>
      </w:tblGrid>
      <w:tr w14:paraId="5E7B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00" w:type="dxa"/>
            <w:vAlign w:val="center"/>
          </w:tcPr>
          <w:p w14:paraId="435677D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60" w:type="dxa"/>
            <w:vAlign w:val="center"/>
          </w:tcPr>
          <w:p w14:paraId="4AF2E11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68" w:type="dxa"/>
            <w:vAlign w:val="center"/>
          </w:tcPr>
          <w:p w14:paraId="52144CE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113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800" w:type="dxa"/>
            <w:vAlign w:val="center"/>
          </w:tcPr>
          <w:p w14:paraId="4AC9466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7560" w:type="dxa"/>
            <w:vAlign w:val="center"/>
          </w:tcPr>
          <w:p w14:paraId="5D0ECB9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未按规定对放射诊疗工作人员建立个人剂量和健康档案，数目为1人次数的。</w:t>
            </w:r>
          </w:p>
        </w:tc>
        <w:tc>
          <w:tcPr>
            <w:tcW w:w="4568" w:type="dxa"/>
            <w:vAlign w:val="center"/>
          </w:tcPr>
          <w:p w14:paraId="69D6BE8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给予警告，责令限期改正；并可处1000元 以下的罚款。</w:t>
            </w:r>
          </w:p>
        </w:tc>
      </w:tr>
      <w:tr w14:paraId="5320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800" w:type="dxa"/>
            <w:vAlign w:val="center"/>
          </w:tcPr>
          <w:p w14:paraId="09834D2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7560" w:type="dxa"/>
            <w:vAlign w:val="center"/>
          </w:tcPr>
          <w:p w14:paraId="50E5A39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未按规定对放射诊疗工作人员进行个人剂量监测、健康检查、建立个人剂量和健康档案，数目为1人次数的。</w:t>
            </w:r>
          </w:p>
        </w:tc>
        <w:tc>
          <w:tcPr>
            <w:tcW w:w="4568" w:type="dxa"/>
            <w:vAlign w:val="center"/>
          </w:tcPr>
          <w:p w14:paraId="305A61B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给予警告，责令限期改正；并可处1000元以上3000 元以下的罚款。</w:t>
            </w:r>
          </w:p>
        </w:tc>
      </w:tr>
      <w:tr w14:paraId="007E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800" w:type="dxa"/>
            <w:vAlign w:val="center"/>
          </w:tcPr>
          <w:p w14:paraId="6793741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7560" w:type="dxa"/>
            <w:vAlign w:val="center"/>
          </w:tcPr>
          <w:p w14:paraId="2CB9C80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未按规定对放射诊疗工作人员进行个人剂量监测、健康检查、建立个人剂量和健康档案，数目在2人次数及以上的。</w:t>
            </w:r>
          </w:p>
        </w:tc>
        <w:tc>
          <w:tcPr>
            <w:tcW w:w="4568" w:type="dxa"/>
            <w:vAlign w:val="center"/>
          </w:tcPr>
          <w:p w14:paraId="23D6227E">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给予警告，责令限期改正；并处3000 元以上7000元以下的罚款。</w:t>
            </w:r>
          </w:p>
        </w:tc>
      </w:tr>
      <w:tr w14:paraId="2D82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00" w:type="dxa"/>
            <w:vAlign w:val="center"/>
          </w:tcPr>
          <w:p w14:paraId="36FE30BA">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7560" w:type="dxa"/>
            <w:vAlign w:val="center"/>
          </w:tcPr>
          <w:p w14:paraId="6581608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未按规定对放射诊疗工作人员进行个人剂量监测、健康检查，造成严重后果的。</w:t>
            </w:r>
          </w:p>
        </w:tc>
        <w:tc>
          <w:tcPr>
            <w:tcW w:w="4568" w:type="dxa"/>
            <w:vAlign w:val="center"/>
          </w:tcPr>
          <w:p w14:paraId="7E61DBF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给予警告，责令限期改正；并处7000元以上一万元以下的罚款。</w:t>
            </w:r>
          </w:p>
        </w:tc>
      </w:tr>
    </w:tbl>
    <w:p w14:paraId="2F22064F">
      <w:pPr>
        <w:pStyle w:val="4"/>
        <w:widowControl w:val="0"/>
        <w:ind w:firstLine="640"/>
        <w:jc w:val="both"/>
        <w:rPr>
          <w:rFonts w:hint="eastAsia" w:ascii="Times New Roman" w:hAnsi="Times New Roman" w:cs="仿宋_GB2312"/>
          <w:bCs/>
          <w:color w:val="000000" w:themeColor="text1"/>
          <w14:textFill>
            <w14:solidFill>
              <w14:schemeClr w14:val="tx1"/>
            </w14:solidFill>
          </w14:textFill>
        </w:rPr>
      </w:pPr>
      <w:bookmarkStart w:id="7210" w:name="_Toc22066"/>
      <w:bookmarkStart w:id="7211" w:name="_Toc32365"/>
      <w:bookmarkStart w:id="7212" w:name="_Toc26726"/>
      <w:bookmarkStart w:id="7213" w:name="_Toc4426"/>
      <w:bookmarkStart w:id="7214" w:name="_Toc7111"/>
      <w:bookmarkStart w:id="7215" w:name="_Toc17984"/>
      <w:bookmarkStart w:id="7216" w:name="_Toc15266"/>
      <w:bookmarkStart w:id="7217" w:name="_Toc4890"/>
      <w:bookmarkStart w:id="7218" w:name="_Toc10220"/>
      <w:bookmarkStart w:id="7219" w:name="_Toc32182"/>
      <w:bookmarkStart w:id="7220" w:name="_Toc26354"/>
      <w:r>
        <w:rPr>
          <w:rFonts w:hint="eastAsia" w:ascii="Times New Roman" w:hAnsi="Times New Roman" w:cs="仿宋_GB2312"/>
          <w:bCs/>
          <w:color w:val="000000" w:themeColor="text1"/>
          <w:kern w:val="0"/>
          <w14:textFill>
            <w14:solidFill>
              <w14:schemeClr w14:val="tx1"/>
            </w14:solidFill>
          </w14:textFill>
        </w:rPr>
        <w:t>第五百八十一</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医疗机构发生放射事件并造成人员健康严重损害的</w:t>
      </w:r>
      <w:bookmarkEnd w:id="7210"/>
      <w:bookmarkEnd w:id="7211"/>
      <w:bookmarkEnd w:id="7212"/>
      <w:bookmarkEnd w:id="7213"/>
      <w:bookmarkEnd w:id="7214"/>
      <w:bookmarkEnd w:id="7215"/>
      <w:bookmarkEnd w:id="7216"/>
      <w:bookmarkEnd w:id="7217"/>
      <w:bookmarkEnd w:id="7218"/>
      <w:bookmarkEnd w:id="7219"/>
      <w:bookmarkEnd w:id="7220"/>
    </w:p>
    <w:p w14:paraId="1CA2AA05">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080C7631">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《放射诊疗管理规定》第四十一条第（五）项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61862B6F">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（五）发生放射事件并造成人员健康严重损害的；</w:t>
      </w:r>
    </w:p>
    <w:p w14:paraId="156ECDBE">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7469"/>
        <w:gridCol w:w="4732"/>
      </w:tblGrid>
      <w:tr w14:paraId="3A12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83" w:type="dxa"/>
            <w:vAlign w:val="center"/>
          </w:tcPr>
          <w:p w14:paraId="6AB16B7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469" w:type="dxa"/>
            <w:vAlign w:val="center"/>
          </w:tcPr>
          <w:p w14:paraId="1602A88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732" w:type="dxa"/>
            <w:vAlign w:val="center"/>
          </w:tcPr>
          <w:p w14:paraId="1B8AB9F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8FC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83" w:type="dxa"/>
            <w:vAlign w:val="center"/>
          </w:tcPr>
          <w:p w14:paraId="6E6B331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469" w:type="dxa"/>
            <w:vAlign w:val="center"/>
          </w:tcPr>
          <w:p w14:paraId="5286F42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医疗机构发生放射事件，未造成人员健康损害且未造成不良影响的。</w:t>
            </w:r>
          </w:p>
        </w:tc>
        <w:tc>
          <w:tcPr>
            <w:tcW w:w="4732" w:type="dxa"/>
            <w:vAlign w:val="center"/>
          </w:tcPr>
          <w:p w14:paraId="57D8911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给予警告，责令限期改正；并可处3000元 以下的罚款。</w:t>
            </w:r>
          </w:p>
        </w:tc>
      </w:tr>
      <w:tr w14:paraId="2405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83" w:type="dxa"/>
            <w:vAlign w:val="center"/>
          </w:tcPr>
          <w:p w14:paraId="214932E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469" w:type="dxa"/>
            <w:vAlign w:val="center"/>
          </w:tcPr>
          <w:p w14:paraId="6EC5A53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医疗机构发生放射事件，造成1人局部轻微健康损害且未造成不良影响的。</w:t>
            </w:r>
          </w:p>
        </w:tc>
        <w:tc>
          <w:tcPr>
            <w:tcW w:w="4732" w:type="dxa"/>
            <w:vAlign w:val="center"/>
          </w:tcPr>
          <w:p w14:paraId="740CAC4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给予警告，责令限期改正；并可处3000元 以上7000元以下的罚款。</w:t>
            </w:r>
          </w:p>
        </w:tc>
      </w:tr>
      <w:tr w14:paraId="482B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783" w:type="dxa"/>
            <w:vAlign w:val="center"/>
          </w:tcPr>
          <w:p w14:paraId="7C295E5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469" w:type="dxa"/>
            <w:vAlign w:val="center"/>
          </w:tcPr>
          <w:p w14:paraId="078AA32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医疗机构发生放射事件并造成1 人健康严重损害的。</w:t>
            </w:r>
          </w:p>
        </w:tc>
        <w:tc>
          <w:tcPr>
            <w:tcW w:w="4732" w:type="dxa"/>
            <w:vAlign w:val="center"/>
          </w:tcPr>
          <w:p w14:paraId="0D5908F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 元以上一万元以下的罚款。</w:t>
            </w:r>
          </w:p>
        </w:tc>
      </w:tr>
      <w:tr w14:paraId="6542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783" w:type="dxa"/>
            <w:vAlign w:val="center"/>
          </w:tcPr>
          <w:p w14:paraId="111FDD3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469" w:type="dxa"/>
            <w:vAlign w:val="center"/>
          </w:tcPr>
          <w:p w14:paraId="6BDABFF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医疗机构发生放射事件并造成1 人及以上死亡或2 人及以上健康严重损害的。</w:t>
            </w:r>
          </w:p>
        </w:tc>
        <w:tc>
          <w:tcPr>
            <w:tcW w:w="4732" w:type="dxa"/>
            <w:vAlign w:val="center"/>
          </w:tcPr>
          <w:p w14:paraId="0E37E2A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给予警告，责令限期改正；并处一万元的罚款。</w:t>
            </w:r>
          </w:p>
        </w:tc>
      </w:tr>
    </w:tbl>
    <w:p w14:paraId="00B39DED">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221" w:name="_Toc5231"/>
      <w:bookmarkStart w:id="7222" w:name="_Toc16828"/>
      <w:bookmarkStart w:id="7223" w:name="_Toc14537"/>
      <w:bookmarkStart w:id="7224" w:name="_Toc15199"/>
      <w:bookmarkStart w:id="7225" w:name="_Toc18798"/>
      <w:bookmarkStart w:id="7226" w:name="_Toc27141"/>
      <w:bookmarkStart w:id="7227" w:name="_Toc16759"/>
      <w:bookmarkStart w:id="7228" w:name="_Toc21571"/>
      <w:bookmarkStart w:id="7229" w:name="_Toc2389"/>
      <w:bookmarkStart w:id="7230" w:name="_Toc3817"/>
      <w:bookmarkStart w:id="7231" w:name="_Toc14944"/>
      <w:r>
        <w:rPr>
          <w:rFonts w:hint="eastAsia" w:ascii="Times New Roman" w:hAnsi="Times New Roman" w:cs="仿宋_GB2312"/>
          <w:bCs/>
          <w:color w:val="000000" w:themeColor="text1"/>
          <w:kern w:val="0"/>
          <w14:textFill>
            <w14:solidFill>
              <w14:schemeClr w14:val="tx1"/>
            </w14:solidFill>
          </w14:textFill>
        </w:rPr>
        <w:t>第五百八十二</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医疗机构发生放射事件未立即采取应急救援和控制措施或者未按照规定及时报告的</w:t>
      </w:r>
      <w:bookmarkEnd w:id="7221"/>
      <w:bookmarkEnd w:id="7222"/>
      <w:bookmarkEnd w:id="7223"/>
      <w:bookmarkEnd w:id="7224"/>
      <w:bookmarkEnd w:id="7225"/>
      <w:bookmarkEnd w:id="7226"/>
      <w:bookmarkEnd w:id="7227"/>
      <w:bookmarkEnd w:id="7228"/>
      <w:bookmarkEnd w:id="7229"/>
      <w:bookmarkEnd w:id="7230"/>
      <w:bookmarkEnd w:id="7231"/>
    </w:p>
    <w:p w14:paraId="4DE6A8D8">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法律依据：</w:t>
      </w:r>
    </w:p>
    <w:p w14:paraId="5C71BA5C">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《放射诊疗管理规定》第四十一条第（六）项</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1A851D4A">
      <w:pPr>
        <w:widowControl w:val="0"/>
        <w:adjustRightInd/>
        <w:snapToGrid/>
        <w:spacing w:after="0" w:line="440" w:lineRule="exact"/>
        <w:ind w:firstLine="640" w:firstLineChars="200"/>
        <w:rPr>
          <w:rFonts w:hint="eastAsia" w:ascii="Times New Roman" w:hAnsi="Times New Roman" w:eastAsia="仿宋_GB2312" w:cs="仿宋_GB2312"/>
          <w:bCs/>
          <w:color w:val="000000" w:themeColor="text1"/>
          <w:sz w:val="32"/>
          <w:szCs w:val="32"/>
          <w14:textFill>
            <w14:solidFill>
              <w14:schemeClr w14:val="tx1"/>
            </w14:solidFill>
          </w14:textFill>
        </w:rPr>
      </w:pPr>
      <w:r>
        <w:rPr>
          <w:rFonts w:hint="eastAsia" w:ascii="Times New Roman" w:hAnsi="Times New Roman" w:eastAsia="仿宋_GB2312" w:cs="仿宋_GB2312"/>
          <w:bCs/>
          <w:color w:val="000000" w:themeColor="text1"/>
          <w:sz w:val="32"/>
          <w:szCs w:val="32"/>
          <w14:textFill>
            <w14:solidFill>
              <w14:schemeClr w14:val="tx1"/>
            </w14:solidFill>
          </w14:textFill>
        </w:rPr>
        <w:t>（六）发生放射事件未立即采取应急救援和控制措施或者未按照规定及时报告的；</w:t>
      </w:r>
    </w:p>
    <w:p w14:paraId="40AE9712">
      <w:pPr>
        <w:widowControl w:val="0"/>
        <w:spacing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53B3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1078A6C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6FB2354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0642EEB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061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4" w:type="dxa"/>
            <w:vAlign w:val="center"/>
          </w:tcPr>
          <w:p w14:paraId="25CAB8D2">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09D09CE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发生</w:t>
            </w:r>
            <w:r>
              <w:rPr>
                <w:rFonts w:hint="eastAsia" w:ascii="Times New Roman" w:hAnsi="Times New Roman" w:eastAsia="仿宋_GB2312" w:cs="Times New Roman"/>
                <w:bCs w:val="0"/>
                <w:color w:val="000000" w:themeColor="text1"/>
                <w:sz w:val="24"/>
                <w:shd w:val="clear" w:color="auto" w:fill="auto"/>
                <w:lang w:bidi="ar"/>
                <w14:textFill>
                  <w14:solidFill>
                    <w14:schemeClr w14:val="tx1"/>
                  </w14:solidFill>
                </w14:textFill>
              </w:rPr>
              <w:t>微剂量差错等极小</w:t>
            </w:r>
            <w:r>
              <w:rPr>
                <w:rFonts w:hint="eastAsia" w:ascii="Times New Roman" w:hAnsi="Times New Roman" w:eastAsia="仿宋_GB2312" w:cs="Times New Roman"/>
                <w:bCs w:val="0"/>
                <w:color w:val="000000" w:themeColor="text1"/>
                <w:sz w:val="24"/>
                <w:lang w:bidi="ar"/>
                <w14:textFill>
                  <w14:solidFill>
                    <w14:schemeClr w14:val="tx1"/>
                  </w14:solidFill>
                </w14:textFill>
              </w:rPr>
              <w:t>放射事件，且医疗机构能主动发现并纠正，未造成实际危害，报告存在程序上的轻微瑕疵的。</w:t>
            </w:r>
          </w:p>
        </w:tc>
        <w:tc>
          <w:tcPr>
            <w:tcW w:w="4620" w:type="dxa"/>
            <w:vAlign w:val="center"/>
          </w:tcPr>
          <w:p w14:paraId="2204734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118A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4" w:type="dxa"/>
            <w:vAlign w:val="center"/>
          </w:tcPr>
          <w:p w14:paraId="6497A315">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2747299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发生放射事件，应急处置</w:t>
            </w:r>
            <w:r>
              <w:rPr>
                <w:rFonts w:hint="eastAsia" w:ascii="Times New Roman" w:hAnsi="Times New Roman" w:eastAsia="仿宋_GB2312" w:cs="Times New Roman"/>
                <w:bCs w:val="0"/>
                <w:color w:val="000000" w:themeColor="text1"/>
                <w:sz w:val="24"/>
                <w:shd w:val="clear" w:color="auto" w:fill="auto"/>
                <w:lang w:bidi="ar"/>
                <w14:textFill>
                  <w14:solidFill>
                    <w14:schemeClr w14:val="tx1"/>
                  </w14:solidFill>
                </w14:textFill>
              </w:rPr>
              <w:t>存在明显延迟或疏漏</w:t>
            </w:r>
            <w:r>
              <w:rPr>
                <w:rFonts w:hint="eastAsia" w:ascii="Times New Roman" w:hAnsi="Times New Roman" w:eastAsia="仿宋_GB2312" w:cs="Times New Roman"/>
                <w:bCs w:val="0"/>
                <w:color w:val="000000" w:themeColor="text1"/>
                <w:sz w:val="24"/>
                <w:lang w:bidi="ar"/>
                <w14:textFill>
                  <w14:solidFill>
                    <w14:schemeClr w14:val="tx1"/>
                  </w14:solidFill>
                </w14:textFill>
              </w:rPr>
              <w:t>，但未造成严重后果扩大； 存在</w:t>
            </w:r>
            <w:r>
              <w:rPr>
                <w:rFonts w:hint="eastAsia" w:ascii="Times New Roman" w:hAnsi="Times New Roman" w:eastAsia="仿宋_GB2312" w:cs="Times New Roman"/>
                <w:bCs w:val="0"/>
                <w:color w:val="000000" w:themeColor="text1"/>
                <w:sz w:val="24"/>
                <w:shd w:val="clear" w:color="auto" w:fill="auto"/>
                <w:lang w:bidi="ar"/>
                <w14:textFill>
                  <w14:solidFill>
                    <w14:schemeClr w14:val="tx1"/>
                  </w14:solidFill>
                </w14:textFill>
              </w:rPr>
              <w:t>迟报</w:t>
            </w:r>
            <w:r>
              <w:rPr>
                <w:rFonts w:hint="eastAsia" w:ascii="Times New Roman" w:hAnsi="Times New Roman" w:eastAsia="仿宋_GB2312" w:cs="Times New Roman"/>
                <w:bCs w:val="0"/>
                <w:color w:val="000000" w:themeColor="text1"/>
                <w:sz w:val="24"/>
                <w:lang w:bidi="ar"/>
                <w14:textFill>
                  <w14:solidFill>
                    <w14:schemeClr w14:val="tx1"/>
                  </w14:solidFill>
                </w14:textFill>
              </w:rPr>
              <w:t>超过2小时但未超过24小时，报告内容真实的。</w:t>
            </w:r>
          </w:p>
        </w:tc>
        <w:tc>
          <w:tcPr>
            <w:tcW w:w="4620" w:type="dxa"/>
            <w:vAlign w:val="center"/>
          </w:tcPr>
          <w:p w14:paraId="50FC092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49F9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04" w:type="dxa"/>
            <w:vAlign w:val="center"/>
          </w:tcPr>
          <w:p w14:paraId="5A8567D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70856E7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发生放射事件，未立即采取有效措施，但后期有补救行动；或虽已报告但严重迟报超过24小时或应急处置措施严重不当或无力，未能有效控制事态或未报告的行为涉及可能对公众健康产生影响的。</w:t>
            </w:r>
          </w:p>
        </w:tc>
        <w:tc>
          <w:tcPr>
            <w:tcW w:w="4620" w:type="dxa"/>
            <w:vAlign w:val="center"/>
          </w:tcPr>
          <w:p w14:paraId="488887F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给予警告，责令限期改正；并处3000元以上7000 元以下的罚款。</w:t>
            </w:r>
          </w:p>
        </w:tc>
      </w:tr>
      <w:tr w14:paraId="7B60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804" w:type="dxa"/>
            <w:vAlign w:val="center"/>
          </w:tcPr>
          <w:p w14:paraId="537B907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07E853F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发生放射事件未立即采取应急救援和控制措施或者未按照规定及时报告，造成严重后果的。</w:t>
            </w:r>
          </w:p>
        </w:tc>
        <w:tc>
          <w:tcPr>
            <w:tcW w:w="4620" w:type="dxa"/>
            <w:vAlign w:val="center"/>
          </w:tcPr>
          <w:p w14:paraId="5030B4DE">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给予警告，责令限期改正；并处7000元以上一万元以下的罚款。</w:t>
            </w:r>
          </w:p>
        </w:tc>
      </w:tr>
    </w:tbl>
    <w:p w14:paraId="3FC46FB9">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232" w:name="_Toc12148"/>
      <w:bookmarkStart w:id="7233" w:name="_Toc13916"/>
      <w:bookmarkStart w:id="7234" w:name="_Toc26171"/>
      <w:bookmarkStart w:id="7235" w:name="_Toc26245"/>
      <w:bookmarkStart w:id="7236" w:name="_Toc25048"/>
      <w:bookmarkStart w:id="7237" w:name="_Toc20792"/>
      <w:bookmarkStart w:id="7238" w:name="_Toc23128"/>
      <w:bookmarkStart w:id="7239" w:name="_Toc11393"/>
      <w:bookmarkStart w:id="7240" w:name="_Toc31138"/>
      <w:bookmarkStart w:id="7241" w:name="_Toc1659"/>
      <w:bookmarkStart w:id="7242" w:name="_Toc11124"/>
      <w:r>
        <w:rPr>
          <w:rFonts w:hint="eastAsia" w:ascii="Times New Roman" w:hAnsi="Times New Roman" w:cs="仿宋_GB2312"/>
          <w:bCs/>
          <w:color w:val="000000" w:themeColor="text1"/>
          <w:kern w:val="0"/>
          <w14:textFill>
            <w14:solidFill>
              <w14:schemeClr w14:val="tx1"/>
            </w14:solidFill>
          </w14:textFill>
        </w:rPr>
        <w:t>第五百八十三</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对患者和受检者进行医疗照射时，未遵守医疗照射正当化的</w:t>
      </w:r>
      <w:bookmarkEnd w:id="7232"/>
      <w:bookmarkEnd w:id="7233"/>
      <w:bookmarkEnd w:id="7234"/>
      <w:bookmarkEnd w:id="7235"/>
      <w:bookmarkEnd w:id="7236"/>
      <w:bookmarkEnd w:id="7237"/>
      <w:bookmarkEnd w:id="7238"/>
      <w:bookmarkEnd w:id="7239"/>
      <w:bookmarkEnd w:id="7240"/>
      <w:bookmarkEnd w:id="7241"/>
      <w:bookmarkEnd w:id="7242"/>
    </w:p>
    <w:p w14:paraId="3407083F">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66D0E0E">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1F903DD7">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6F92D045">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放射诊疗工作人员对患者和受检者进行医疗照射时，应当遵守医疗照射正当化和放射防护最优化的原则，有明确的医疗目的，严格控制受照剂量；对邻近照射野的敏感器官和组织进行屏蔽防护，并事先告知患者和受检者辐射对健康的影响。</w:t>
      </w:r>
    </w:p>
    <w:p w14:paraId="5E07FDB6">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1BA7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3AC5E96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3E6B252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7FA2091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E76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04" w:type="dxa"/>
            <w:vAlign w:val="center"/>
          </w:tcPr>
          <w:p w14:paraId="7FE6F03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00C1216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对1 名患者或受检者（不含孕妇、婴幼儿、少年儿童等特殊人群）进行医疗照射时，未遵守医疗照射正当化，涉及的照射剂量较小且未造成实际健康后果和社会不良影响的。</w:t>
            </w:r>
          </w:p>
        </w:tc>
        <w:tc>
          <w:tcPr>
            <w:tcW w:w="4620" w:type="dxa"/>
            <w:vAlign w:val="center"/>
          </w:tcPr>
          <w:p w14:paraId="165741D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2031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04" w:type="dxa"/>
            <w:vAlign w:val="center"/>
          </w:tcPr>
          <w:p w14:paraId="42250EF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3E8F384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对1 名患者或受检者（不含孕妇、婴幼儿、少年儿童等特殊人群）进行医疗照射时，未遵守医疗照射正当化，虽未造成严重健康损害，但已引起患者投诉或质疑，造成一定社会影响的。</w:t>
            </w:r>
          </w:p>
        </w:tc>
        <w:tc>
          <w:tcPr>
            <w:tcW w:w="4620" w:type="dxa"/>
            <w:vAlign w:val="center"/>
          </w:tcPr>
          <w:p w14:paraId="7BCD9E7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给予警告，责令限期改正；并可处1000元以上3000 元以下的罚款。</w:t>
            </w:r>
          </w:p>
        </w:tc>
      </w:tr>
      <w:tr w14:paraId="4D9D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0D6CF90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7FBA82A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有下列情形之一者：</w:t>
            </w:r>
          </w:p>
          <w:p w14:paraId="0C3EB95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A.对2 名及以上患者或受检者（不含孕妇、婴幼儿、少年儿童等特殊人群）进行医疗照射时，未遵守医疗照射正当化的；</w:t>
            </w:r>
          </w:p>
          <w:p w14:paraId="16357FF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B.对孕妇、婴幼儿、少年儿童等特殊人群患者和受检者进行医疗照射时，未遵守医疗照射正当化的。</w:t>
            </w:r>
          </w:p>
        </w:tc>
        <w:tc>
          <w:tcPr>
            <w:tcW w:w="4620" w:type="dxa"/>
            <w:vAlign w:val="center"/>
          </w:tcPr>
          <w:p w14:paraId="327778E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给予警告，责令限期改正；并处3000元以上7000 元以下的罚款。</w:t>
            </w:r>
          </w:p>
        </w:tc>
      </w:tr>
      <w:tr w14:paraId="435B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739A5D5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5C84332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对患者和受检者进行医疗照射前，未进行正当性判断，造成严重后果的。</w:t>
            </w:r>
          </w:p>
        </w:tc>
        <w:tc>
          <w:tcPr>
            <w:tcW w:w="4620" w:type="dxa"/>
            <w:vAlign w:val="center"/>
          </w:tcPr>
          <w:p w14:paraId="5CC154D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1C400533">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243" w:name="_Toc16844"/>
      <w:bookmarkStart w:id="7244" w:name="_Toc18124"/>
      <w:bookmarkStart w:id="7245" w:name="_Toc23224"/>
      <w:bookmarkStart w:id="7246" w:name="_Toc11736"/>
      <w:bookmarkStart w:id="7247" w:name="_Toc20080"/>
      <w:bookmarkStart w:id="7248" w:name="_Toc1419"/>
      <w:bookmarkStart w:id="7249" w:name="_Toc20208"/>
      <w:bookmarkStart w:id="7250" w:name="_Toc8177"/>
      <w:bookmarkStart w:id="7251" w:name="_Toc2092"/>
      <w:bookmarkStart w:id="7252" w:name="_Toc4277"/>
      <w:bookmarkStart w:id="7253" w:name="_Toc10389"/>
      <w:r>
        <w:rPr>
          <w:rFonts w:hint="eastAsia" w:ascii="Times New Roman" w:hAnsi="Times New Roman" w:cs="仿宋_GB2312"/>
          <w:bCs/>
          <w:color w:val="000000" w:themeColor="text1"/>
          <w:kern w:val="0"/>
          <w14:textFill>
            <w14:solidFill>
              <w14:schemeClr w14:val="tx1"/>
            </w14:solidFill>
          </w14:textFill>
        </w:rPr>
        <w:t>第五百八十四</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对患者和受检者进行医疗照射前，未告知其辐射对健康影响的</w:t>
      </w:r>
      <w:bookmarkEnd w:id="7243"/>
      <w:bookmarkEnd w:id="7244"/>
      <w:bookmarkEnd w:id="7245"/>
      <w:bookmarkEnd w:id="7246"/>
      <w:bookmarkEnd w:id="7247"/>
      <w:bookmarkEnd w:id="7248"/>
      <w:bookmarkEnd w:id="7249"/>
      <w:bookmarkEnd w:id="7250"/>
      <w:bookmarkEnd w:id="7251"/>
      <w:bookmarkEnd w:id="7252"/>
      <w:bookmarkEnd w:id="7253"/>
    </w:p>
    <w:p w14:paraId="3D630659">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A5F30C6">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480884CD">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62D33B77">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放射诊疗工作人员对患者和受检者进行医疗照射时，应当遵守医疗照射正当化和放射防护最优化的原则，有明确的医疗目的，严格控制受照剂量；对邻近照射野的敏感器官和组织进行屏蔽防护，并事先告知患者和受检者辐射对健康的影响。</w:t>
      </w:r>
    </w:p>
    <w:p w14:paraId="61BF67B3">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0E8B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6FE3A82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4FF01D3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180265A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D88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01FBED8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50B5CFC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对1 名患者或受检者（不含孕妇、婴幼儿、少年儿童等特殊人群）进行医疗照射前，涉及的是</w:t>
            </w:r>
            <w:r>
              <w:rPr>
                <w:rFonts w:hint="eastAsia" w:ascii="Times New Roman" w:hAnsi="Times New Roman" w:eastAsia="仿宋_GB2312" w:cs="Times New Roman"/>
                <w:bCs w:val="0"/>
                <w:color w:val="000000" w:themeColor="text1"/>
                <w:sz w:val="24"/>
                <w:shd w:val="clear" w:color="auto" w:fill="auto"/>
                <w:lang w:bidi="ar"/>
                <w14:textFill>
                  <w14:solidFill>
                    <w14:schemeClr w14:val="tx1"/>
                  </w14:solidFill>
                </w14:textFill>
              </w:rPr>
              <w:t>低剂量常规检查，</w:t>
            </w:r>
            <w:r>
              <w:rPr>
                <w:rFonts w:hint="eastAsia" w:ascii="Times New Roman" w:hAnsi="Times New Roman" w:eastAsia="仿宋_GB2312" w:cs="Times New Roman"/>
                <w:bCs w:val="0"/>
                <w:color w:val="000000" w:themeColor="text1"/>
                <w:sz w:val="24"/>
                <w:lang w:bidi="ar"/>
                <w14:textFill>
                  <w14:solidFill>
                    <w14:schemeClr w14:val="tx1"/>
                  </w14:solidFill>
                </w14:textFill>
              </w:rPr>
              <w:t>未告知其辐射对健康影响且</w:t>
            </w:r>
            <w:r>
              <w:rPr>
                <w:rFonts w:hint="eastAsia" w:ascii="Times New Roman" w:hAnsi="Times New Roman" w:eastAsia="仿宋_GB2312" w:cs="Times New Roman"/>
                <w:bCs w:val="0"/>
                <w:color w:val="000000" w:themeColor="text1"/>
                <w:sz w:val="24"/>
                <w:shd w:val="clear" w:color="auto" w:fill="auto"/>
                <w:lang w:bidi="ar"/>
                <w14:textFill>
                  <w14:solidFill>
                    <w14:schemeClr w14:val="tx1"/>
                  </w14:solidFill>
                </w14:textFill>
              </w:rPr>
              <w:t>未造成实际纠纷或后果</w:t>
            </w:r>
            <w:r>
              <w:rPr>
                <w:rFonts w:hint="eastAsia" w:ascii="Times New Roman" w:hAnsi="Times New Roman" w:eastAsia="仿宋_GB2312" w:cs="Times New Roman"/>
                <w:bCs w:val="0"/>
                <w:color w:val="000000" w:themeColor="text1"/>
                <w:sz w:val="24"/>
                <w:lang w:bidi="ar"/>
                <w14:textFill>
                  <w14:solidFill>
                    <w14:schemeClr w14:val="tx1"/>
                  </w14:solidFill>
                </w14:textFill>
              </w:rPr>
              <w:t>的。</w:t>
            </w:r>
          </w:p>
        </w:tc>
        <w:tc>
          <w:tcPr>
            <w:tcW w:w="4620" w:type="dxa"/>
            <w:vAlign w:val="center"/>
          </w:tcPr>
          <w:p w14:paraId="36FA05D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0F35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3A22DD7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57BC2F7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对2 名患者或受检者（不含孕妇、婴幼儿、少年儿童等特殊人群）进行医疗照射前，未告知其辐射对健康影响的。</w:t>
            </w:r>
          </w:p>
        </w:tc>
        <w:tc>
          <w:tcPr>
            <w:tcW w:w="4620" w:type="dxa"/>
            <w:vAlign w:val="center"/>
          </w:tcPr>
          <w:p w14:paraId="4949508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给予警告，责令限期改正；并可处1000元以上3000 元以下的罚款。</w:t>
            </w:r>
          </w:p>
        </w:tc>
      </w:tr>
      <w:tr w14:paraId="66EC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7AC2A5E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162E067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有下列情形之一者：</w:t>
            </w:r>
          </w:p>
          <w:p w14:paraId="0AB67FD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A.对3 名及以上患者或受检者（不含孕妇、婴幼儿、少年儿童等特殊</w:t>
            </w:r>
          </w:p>
          <w:p w14:paraId="6DEACC3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人群）进行医疗照射前，未告知其辐射对健康影响的；</w:t>
            </w:r>
          </w:p>
          <w:p w14:paraId="2622113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B.对孕妇、婴幼儿、少年儿童等特殊人群患者和受检者进行医疗照射</w:t>
            </w:r>
          </w:p>
          <w:p w14:paraId="349A093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前，未告知其辐射对健康影响的。</w:t>
            </w:r>
          </w:p>
        </w:tc>
        <w:tc>
          <w:tcPr>
            <w:tcW w:w="4620" w:type="dxa"/>
            <w:vAlign w:val="center"/>
          </w:tcPr>
          <w:p w14:paraId="594BED2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给予警告，责令限期改正；并处3000元以上7000 元以下的罚款。</w:t>
            </w:r>
          </w:p>
        </w:tc>
      </w:tr>
      <w:tr w14:paraId="57FB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04" w:type="dxa"/>
            <w:vAlign w:val="center"/>
          </w:tcPr>
          <w:p w14:paraId="1DF5E3B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3A1E370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对患者和受检者进行医疗照射前，未告知其辐射对健康影响，造成严</w:t>
            </w:r>
          </w:p>
          <w:p w14:paraId="68FBD16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重后果的。</w:t>
            </w:r>
          </w:p>
        </w:tc>
        <w:tc>
          <w:tcPr>
            <w:tcW w:w="4620" w:type="dxa"/>
            <w:vAlign w:val="center"/>
          </w:tcPr>
          <w:p w14:paraId="624287B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1E649A60">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254" w:name="_Toc12965"/>
      <w:bookmarkStart w:id="7255" w:name="_Toc29947"/>
      <w:bookmarkStart w:id="7256" w:name="_Toc22856"/>
      <w:bookmarkStart w:id="7257" w:name="_Toc18023"/>
      <w:bookmarkStart w:id="7258" w:name="_Toc13300"/>
      <w:bookmarkStart w:id="7259" w:name="_Toc20894"/>
      <w:bookmarkStart w:id="7260" w:name="_Toc9315"/>
      <w:bookmarkStart w:id="7261" w:name="_Toc26281"/>
      <w:bookmarkStart w:id="7262" w:name="_Toc21524"/>
      <w:bookmarkStart w:id="7263" w:name="_Toc26357"/>
      <w:bookmarkStart w:id="7264" w:name="_Toc8924"/>
      <w:r>
        <w:rPr>
          <w:rFonts w:hint="eastAsia" w:ascii="Times New Roman" w:hAnsi="Times New Roman" w:cs="仿宋_GB2312"/>
          <w:bCs/>
          <w:color w:val="000000" w:themeColor="text1"/>
          <w:kern w:val="0"/>
          <w14:textFill>
            <w14:solidFill>
              <w14:schemeClr w14:val="tx1"/>
            </w14:solidFill>
          </w14:textFill>
        </w:rPr>
        <w:t>第五百八十五</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对患者和受检者进行医疗照射时，未严格控制照射范围或照射剂量的</w:t>
      </w:r>
      <w:bookmarkEnd w:id="7254"/>
      <w:bookmarkEnd w:id="7255"/>
      <w:bookmarkEnd w:id="7256"/>
      <w:bookmarkEnd w:id="7257"/>
      <w:bookmarkEnd w:id="7258"/>
      <w:bookmarkEnd w:id="7259"/>
      <w:bookmarkEnd w:id="7260"/>
      <w:bookmarkEnd w:id="7261"/>
      <w:bookmarkEnd w:id="7262"/>
      <w:bookmarkEnd w:id="7263"/>
      <w:bookmarkEnd w:id="7264"/>
    </w:p>
    <w:p w14:paraId="4161E4C9">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E15D98E">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0FE1F1DE">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43134CFA">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放射诊疗工作人员对患者和受检者进行医疗照射时，应当遵守医疗照射正当化和放射防护最优化的原则，有明确的医疗目的，严格控制受照剂量；对邻近照射野的敏感器官和组织进行屏蔽防护，并事先告知患者和受检者辐射对健康的影响。</w:t>
      </w:r>
    </w:p>
    <w:p w14:paraId="5537B5A2">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56D7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1755CB9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555BE5E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1C58AF9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219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4D03ACF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1F7B9A6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对1名患者或受检者（不含孕妇、婴幼儿、少年儿童等特殊人群）进行医疗照射时，未严格控制照射范围或照射剂量的，涉及的照射剂量较小且未造成实际健康后果和社会不良影响的。</w:t>
            </w:r>
          </w:p>
        </w:tc>
        <w:tc>
          <w:tcPr>
            <w:tcW w:w="4620" w:type="dxa"/>
            <w:vAlign w:val="center"/>
          </w:tcPr>
          <w:p w14:paraId="567272A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4CBC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1745D31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7F7F188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对1名患者或受检者（不含孕妇、婴幼儿、少年儿童等特殊人群）进行医疗照射时，未严格控制照射范围或照射剂量，虽未造成严重健康损害，但已引起患者投诉或质疑，造成一定社会影响的。</w:t>
            </w:r>
          </w:p>
        </w:tc>
        <w:tc>
          <w:tcPr>
            <w:tcW w:w="4620" w:type="dxa"/>
            <w:vAlign w:val="center"/>
          </w:tcPr>
          <w:p w14:paraId="396E750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给予警告，责令限期改正；并可处1000元以上3000 元以下的罚款。</w:t>
            </w:r>
          </w:p>
        </w:tc>
      </w:tr>
      <w:tr w14:paraId="13D4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11D569E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067AF130">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有下列情形之一者：</w:t>
            </w:r>
          </w:p>
          <w:p w14:paraId="495980DA">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A.对2名及以上患者或受检者（不含孕妇、婴幼儿、少年儿童等特殊人群）进行医疗照射时，未严格控制照射范围或照射剂量的；</w:t>
            </w:r>
          </w:p>
          <w:p w14:paraId="4DDCCE33">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B.对孕妇、婴幼儿、少年儿童等特殊人群患者和受检者进行医疗照射时，未严格控制照射范围或照射剂量的。</w:t>
            </w:r>
          </w:p>
        </w:tc>
        <w:tc>
          <w:tcPr>
            <w:tcW w:w="4620" w:type="dxa"/>
            <w:vAlign w:val="center"/>
          </w:tcPr>
          <w:p w14:paraId="79A903B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3D76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3FF6444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3E4002C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对患者和受检者进行医疗照射时，未严格控制照射范围或照射剂量，造成严重后果的。</w:t>
            </w:r>
          </w:p>
        </w:tc>
        <w:tc>
          <w:tcPr>
            <w:tcW w:w="4620" w:type="dxa"/>
            <w:vAlign w:val="center"/>
          </w:tcPr>
          <w:p w14:paraId="773F13D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449076D1">
      <w:pPr>
        <w:pStyle w:val="4"/>
        <w:widowControl w:val="0"/>
        <w:ind w:firstLine="640"/>
        <w:jc w:val="both"/>
        <w:rPr>
          <w:rFonts w:hint="eastAsia" w:ascii="Times New Roman" w:hAnsi="Times New Roman" w:cs="仿宋_GB2312"/>
          <w:b/>
          <w:bCs/>
          <w:color w:val="000000" w:themeColor="text1"/>
          <w:spacing w:val="-6"/>
          <w14:textFill>
            <w14:solidFill>
              <w14:schemeClr w14:val="tx1"/>
            </w14:solidFill>
          </w14:textFill>
        </w:rPr>
      </w:pPr>
      <w:bookmarkStart w:id="7265" w:name="_Toc23499"/>
      <w:bookmarkStart w:id="7266" w:name="_Toc14532"/>
      <w:bookmarkStart w:id="7267" w:name="_Toc22476"/>
      <w:bookmarkStart w:id="7268" w:name="_Toc4428"/>
      <w:bookmarkStart w:id="7269" w:name="_Toc9612"/>
      <w:bookmarkStart w:id="7270" w:name="_Toc15612"/>
      <w:bookmarkStart w:id="7271" w:name="_Toc2852"/>
      <w:bookmarkStart w:id="7272" w:name="_Toc865"/>
      <w:bookmarkStart w:id="7273" w:name="_Toc25312"/>
      <w:bookmarkStart w:id="7274" w:name="_Toc28229"/>
      <w:bookmarkStart w:id="7275" w:name="_Toc1508"/>
      <w:r>
        <w:rPr>
          <w:rFonts w:hint="eastAsia" w:ascii="Times New Roman" w:hAnsi="Times New Roman" w:cs="仿宋_GB2312"/>
          <w:bCs/>
          <w:color w:val="000000" w:themeColor="text1"/>
          <w:kern w:val="0"/>
          <w14:textFill>
            <w14:solidFill>
              <w14:schemeClr w14:val="tx1"/>
            </w14:solidFill>
          </w14:textFill>
        </w:rPr>
        <w:t>第五百八十六</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w:t>
      </w:r>
      <w:r>
        <w:rPr>
          <w:rFonts w:hint="eastAsia" w:ascii="Times New Roman" w:hAnsi="Times New Roman" w:cs="仿宋_GB2312"/>
          <w:bCs/>
          <w:color w:val="000000" w:themeColor="text1"/>
          <w:spacing w:val="-6"/>
          <w14:textFill>
            <w14:solidFill>
              <w14:schemeClr w14:val="tx1"/>
            </w14:solidFill>
          </w14:textFill>
        </w:rPr>
        <w:t>对育龄妇女腹部或骨盆进行核素显像检查或X 射线检查前，未问明是否怀孕的</w:t>
      </w:r>
      <w:bookmarkEnd w:id="7265"/>
      <w:bookmarkEnd w:id="7266"/>
      <w:bookmarkEnd w:id="7267"/>
      <w:bookmarkEnd w:id="7268"/>
      <w:bookmarkEnd w:id="7269"/>
      <w:bookmarkEnd w:id="7270"/>
      <w:bookmarkEnd w:id="7271"/>
      <w:bookmarkEnd w:id="7272"/>
      <w:bookmarkEnd w:id="7273"/>
      <w:bookmarkEnd w:id="7274"/>
      <w:bookmarkEnd w:id="7275"/>
    </w:p>
    <w:p w14:paraId="166D2D36">
      <w:pPr>
        <w:widowControl w:val="0"/>
        <w:spacing w:after="0" w:line="440" w:lineRule="exact"/>
        <w:ind w:firstLine="641"/>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82870C1">
      <w:pPr>
        <w:widowControl w:val="0"/>
        <w:spacing w:after="0" w:line="440" w:lineRule="exact"/>
        <w:ind w:firstLine="641"/>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37163D27">
      <w:pPr>
        <w:widowControl w:val="0"/>
        <w:spacing w:after="0" w:line="440" w:lineRule="exact"/>
        <w:ind w:firstLine="641"/>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311298A6">
      <w:pPr>
        <w:widowControl w:val="0"/>
        <w:spacing w:after="0" w:line="440" w:lineRule="exact"/>
        <w:ind w:firstLine="641"/>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2.《放射诊疗管理规定》第二十六条第（三）项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医疗机构在实施放射诊断检查前应当对不同检查方法进行利弊分析，在保证诊断效果的前提下，优先采用对人体健康影响较小的诊断技术。实施检查应当遵守下列规定：</w:t>
      </w:r>
    </w:p>
    <w:p w14:paraId="787A94BA">
      <w:pPr>
        <w:widowControl w:val="0"/>
        <w:spacing w:after="0" w:line="440" w:lineRule="exact"/>
        <w:ind w:firstLine="641"/>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（三）对育龄妇女腹部或骨盆进行核素显像检查或</w:t>
      </w:r>
      <w:r>
        <w:rPr>
          <w:rFonts w:ascii="Times New Roman" w:hAnsi="Times New Roman" w:eastAsia="仿宋_GB2312" w:cs="仿宋_GB2312"/>
          <w:color w:val="000000" w:themeColor="text1"/>
          <w:sz w:val="32"/>
          <w:szCs w:val="32"/>
          <w14:textFill>
            <w14:solidFill>
              <w14:schemeClr w14:val="tx1"/>
            </w14:solidFill>
          </w14:textFill>
        </w:rPr>
        <w:t xml:space="preserve">X </w:t>
      </w:r>
      <w:r>
        <w:rPr>
          <w:rFonts w:hint="eastAsia" w:ascii="Times New Roman" w:hAnsi="Times New Roman" w:eastAsia="仿宋_GB2312" w:cs="仿宋_GB2312"/>
          <w:color w:val="000000" w:themeColor="text1"/>
          <w:sz w:val="32"/>
          <w:szCs w:val="32"/>
          <w14:textFill>
            <w14:solidFill>
              <w14:schemeClr w14:val="tx1"/>
            </w14:solidFill>
          </w14:textFill>
        </w:rPr>
        <w:t>射线检查前，应问明是否怀孕；非特殊需要，对受孕后八至十五周的育龄妇女，不得进行下腹部放射影像检查。</w:t>
      </w:r>
    </w:p>
    <w:p w14:paraId="4EA17E3A">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29E8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45D50A6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36C24A1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43BA05D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AD3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64238BC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52A7DFA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医疗机构对育龄妇女腹部或骨盆进行核素显像检查或X 射线检查前，未问明是否怀孕，育龄妇女人数为1 名且未造成实际健康后果和社会不良影响的。</w:t>
            </w:r>
          </w:p>
        </w:tc>
        <w:tc>
          <w:tcPr>
            <w:tcW w:w="4620" w:type="dxa"/>
            <w:vAlign w:val="center"/>
          </w:tcPr>
          <w:p w14:paraId="7723A8E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39CE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2F2F84D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3443F2F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医疗机构对育龄妇女腹部或骨盆进行核素显像检查或X 射线检查前，未问明是否怀孕，育龄妇女人数为1 名，虽未造成严重健康损害，但已引起患者投诉或质疑，造成一定社会影响的。</w:t>
            </w:r>
          </w:p>
        </w:tc>
        <w:tc>
          <w:tcPr>
            <w:tcW w:w="4620" w:type="dxa"/>
            <w:vAlign w:val="center"/>
          </w:tcPr>
          <w:p w14:paraId="7193200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给予警告，责令限期改正；并可处1000元以上3000 元以下的罚款。</w:t>
            </w:r>
          </w:p>
        </w:tc>
      </w:tr>
      <w:tr w14:paraId="2AE4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04" w:type="dxa"/>
            <w:vAlign w:val="center"/>
          </w:tcPr>
          <w:p w14:paraId="1F14F16B">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4863E5A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医疗机构对育龄妇女腹部或骨盆进行核素显像检查或X 射线检查前，未问明是否怀孕，育龄妇女人数在2 名及以上的。</w:t>
            </w:r>
          </w:p>
        </w:tc>
        <w:tc>
          <w:tcPr>
            <w:tcW w:w="4620" w:type="dxa"/>
            <w:vAlign w:val="center"/>
          </w:tcPr>
          <w:p w14:paraId="0AC4340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4DD1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04" w:type="dxa"/>
            <w:vAlign w:val="center"/>
          </w:tcPr>
          <w:p w14:paraId="3A33BAA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3F66FCA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医疗机构对育龄妇女腹部或骨盆进行核素显像检查或X 射线检查前，未问明是否怀孕，造成严重后果的。</w:t>
            </w:r>
          </w:p>
        </w:tc>
        <w:tc>
          <w:tcPr>
            <w:tcW w:w="4620" w:type="dxa"/>
            <w:vAlign w:val="center"/>
          </w:tcPr>
          <w:p w14:paraId="11DE341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0047E292">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276" w:name="_Toc30832"/>
      <w:bookmarkStart w:id="7277" w:name="_Toc15289"/>
      <w:bookmarkStart w:id="7278" w:name="_Toc24591"/>
      <w:bookmarkStart w:id="7279" w:name="_Toc31740"/>
      <w:bookmarkStart w:id="7280" w:name="_Toc9817"/>
      <w:bookmarkStart w:id="7281" w:name="_Toc70"/>
      <w:bookmarkStart w:id="7282" w:name="_Toc5027"/>
      <w:bookmarkStart w:id="7283" w:name="_Toc13894"/>
      <w:bookmarkStart w:id="7284" w:name="_Toc28115"/>
      <w:bookmarkStart w:id="7285" w:name="_Toc26890"/>
      <w:bookmarkStart w:id="7286" w:name="_Toc2646"/>
      <w:r>
        <w:rPr>
          <w:rFonts w:hint="eastAsia" w:ascii="Times New Roman" w:hAnsi="Times New Roman" w:cs="仿宋_GB2312"/>
          <w:bCs/>
          <w:color w:val="000000" w:themeColor="text1"/>
          <w:kern w:val="0"/>
          <w14:textFill>
            <w14:solidFill>
              <w14:schemeClr w14:val="tx1"/>
            </w14:solidFill>
          </w14:textFill>
        </w:rPr>
        <w:t>第五百八十七</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非特殊需要，对受孕后八至十五周的育龄妇女进行下腹部放射影像检查的</w:t>
      </w:r>
      <w:bookmarkEnd w:id="7276"/>
      <w:bookmarkEnd w:id="7277"/>
      <w:bookmarkEnd w:id="7278"/>
      <w:bookmarkEnd w:id="7279"/>
      <w:bookmarkEnd w:id="7280"/>
      <w:bookmarkEnd w:id="7281"/>
      <w:bookmarkEnd w:id="7282"/>
      <w:bookmarkEnd w:id="7283"/>
      <w:bookmarkEnd w:id="7284"/>
      <w:bookmarkEnd w:id="7285"/>
      <w:bookmarkEnd w:id="7286"/>
    </w:p>
    <w:p w14:paraId="7B0B0EC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076FC87">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5C70C622">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613CCDDF">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2.《放射诊疗管理规定》第二十六条第（三）项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医疗机构在实施放射诊断检查前应当对不同检查方法进行利弊分析，在保证诊断效果的前提下，优先采用对人体健康影响较小的诊断技术。实施检查应当遵守下列规定：</w:t>
      </w:r>
    </w:p>
    <w:p w14:paraId="4FC4FDA5">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（三）对育龄妇女腹部或骨盆进行核素显像检查或</w:t>
      </w:r>
      <w:r>
        <w:rPr>
          <w:rFonts w:ascii="Times New Roman" w:hAnsi="Times New Roman" w:eastAsia="仿宋_GB2312" w:cs="仿宋_GB2312"/>
          <w:color w:val="000000" w:themeColor="text1"/>
          <w:sz w:val="32"/>
          <w:szCs w:val="32"/>
          <w14:textFill>
            <w14:solidFill>
              <w14:schemeClr w14:val="tx1"/>
            </w14:solidFill>
          </w14:textFill>
        </w:rPr>
        <w:t xml:space="preserve">X </w:t>
      </w:r>
      <w:r>
        <w:rPr>
          <w:rFonts w:hint="eastAsia" w:ascii="Times New Roman" w:hAnsi="Times New Roman" w:eastAsia="仿宋_GB2312" w:cs="仿宋_GB2312"/>
          <w:color w:val="000000" w:themeColor="text1"/>
          <w:sz w:val="32"/>
          <w:szCs w:val="32"/>
          <w14:textFill>
            <w14:solidFill>
              <w14:schemeClr w14:val="tx1"/>
            </w14:solidFill>
          </w14:textFill>
        </w:rPr>
        <w:t>射线检查前，应问明是否怀孕；非特殊需要，对受孕后八至十五周的育龄妇女，不得进行下腹部放射影像检查。</w:t>
      </w:r>
    </w:p>
    <w:p w14:paraId="29672D76">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3FC9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69DB705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7E8585B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02DD388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28D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0C270D9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032B9AE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医疗机构非特殊需要，对受孕后八至十五周的1名育龄妇女进行下腹部放射影像检查，因问诊疏漏未能及时发现患者已怀孕且未对受检者造成实际健康损害或引发医疗纠纷的。</w:t>
            </w:r>
          </w:p>
        </w:tc>
        <w:tc>
          <w:tcPr>
            <w:tcW w:w="4620" w:type="dxa"/>
            <w:vAlign w:val="center"/>
          </w:tcPr>
          <w:p w14:paraId="65E96FD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431D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221848A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4242158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医疗机构非特殊需要，对受孕后八至十五周的1名育龄妇女进行下腹部放射影像检查，检查剂量在常规诊断范围内，但已对受检者造成严重心理负担或引发医疗纠纷的。</w:t>
            </w:r>
          </w:p>
        </w:tc>
        <w:tc>
          <w:tcPr>
            <w:tcW w:w="4620" w:type="dxa"/>
            <w:vAlign w:val="center"/>
          </w:tcPr>
          <w:p w14:paraId="740D640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56F5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433A873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2820356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医疗机构非特殊需要，对受孕后八至十五周的2名及以上育龄妇女进行下腹部放射影像检查的。</w:t>
            </w:r>
          </w:p>
        </w:tc>
        <w:tc>
          <w:tcPr>
            <w:tcW w:w="4620" w:type="dxa"/>
            <w:vAlign w:val="center"/>
          </w:tcPr>
          <w:p w14:paraId="0B021A2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59B2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59C73FC5">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5BD3799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医疗机构非特殊需要，对受孕后八至十五周的育龄妇女进行下腹部放射影像检查，造成严重后果的。</w:t>
            </w:r>
          </w:p>
        </w:tc>
        <w:tc>
          <w:tcPr>
            <w:tcW w:w="4620" w:type="dxa"/>
            <w:vAlign w:val="center"/>
          </w:tcPr>
          <w:p w14:paraId="56F6D63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给予警告，责令限期改正；并处7000元以下一万元以上的罚款。</w:t>
            </w:r>
          </w:p>
        </w:tc>
      </w:tr>
    </w:tbl>
    <w:p w14:paraId="60F92BBC">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287" w:name="_Toc32244"/>
      <w:bookmarkStart w:id="7288" w:name="_Toc22920"/>
      <w:bookmarkStart w:id="7289" w:name="_Toc15995"/>
      <w:bookmarkStart w:id="7290" w:name="_Toc24513"/>
      <w:bookmarkStart w:id="7291" w:name="_Toc17770"/>
      <w:bookmarkStart w:id="7292" w:name="_Toc14191"/>
      <w:bookmarkStart w:id="7293" w:name="_Toc12714"/>
      <w:bookmarkStart w:id="7294" w:name="_Toc27872"/>
      <w:bookmarkStart w:id="7295" w:name="_Toc581"/>
      <w:bookmarkStart w:id="7296" w:name="_Toc20997"/>
      <w:bookmarkStart w:id="7297" w:name="_Toc16814"/>
      <w:r>
        <w:rPr>
          <w:rFonts w:hint="eastAsia" w:ascii="Times New Roman" w:hAnsi="Times New Roman" w:cs="仿宋_GB2312"/>
          <w:bCs/>
          <w:color w:val="000000" w:themeColor="text1"/>
          <w:kern w:val="0"/>
          <w14:textFill>
            <w14:solidFill>
              <w14:schemeClr w14:val="tx1"/>
            </w14:solidFill>
          </w14:textFill>
        </w:rPr>
        <w:t>第五百八十八</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医疗机构将核素显像检查或X 射线胸部检查列入对婴幼儿及少年儿童体检的常规检查项目的</w:t>
      </w:r>
      <w:bookmarkEnd w:id="7287"/>
      <w:bookmarkEnd w:id="7288"/>
      <w:bookmarkEnd w:id="7289"/>
      <w:bookmarkEnd w:id="7290"/>
      <w:bookmarkEnd w:id="7291"/>
      <w:bookmarkEnd w:id="7292"/>
      <w:bookmarkEnd w:id="7293"/>
      <w:bookmarkEnd w:id="7294"/>
      <w:bookmarkEnd w:id="7295"/>
      <w:bookmarkEnd w:id="7296"/>
      <w:bookmarkEnd w:id="7297"/>
    </w:p>
    <w:p w14:paraId="285E1CE7">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F68FB2D">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79352172">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09172CA2">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2.《放射诊疗管理规定》第二十六条第（二）项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医疗机构在实施放射诊断检查前应当对不同检查方法进行利弊分析，在保证诊断效果的前提下，优先采用对人体健康影响较小的诊断技术。实施检查应当遵守下列规定：</w:t>
      </w:r>
    </w:p>
    <w:p w14:paraId="13AAAAF2">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（二）不得将核素显像检查和</w:t>
      </w:r>
      <w:r>
        <w:rPr>
          <w:rFonts w:ascii="Times New Roman" w:hAnsi="Times New Roman" w:eastAsia="仿宋_GB2312" w:cs="仿宋_GB2312"/>
          <w:color w:val="000000" w:themeColor="text1"/>
          <w:sz w:val="32"/>
          <w:szCs w:val="32"/>
          <w14:textFill>
            <w14:solidFill>
              <w14:schemeClr w14:val="tx1"/>
            </w14:solidFill>
          </w14:textFill>
        </w:rPr>
        <w:t xml:space="preserve">X </w:t>
      </w:r>
      <w:r>
        <w:rPr>
          <w:rFonts w:hint="eastAsia" w:ascii="Times New Roman" w:hAnsi="Times New Roman" w:eastAsia="仿宋_GB2312" w:cs="仿宋_GB2312"/>
          <w:color w:val="000000" w:themeColor="text1"/>
          <w:sz w:val="32"/>
          <w:szCs w:val="32"/>
          <w14:textFill>
            <w14:solidFill>
              <w14:schemeClr w14:val="tx1"/>
            </w14:solidFill>
          </w14:textFill>
        </w:rPr>
        <w:t>射线胸部检查列入对婴幼儿及少年儿童体检的常规检查项目。</w:t>
      </w:r>
    </w:p>
    <w:p w14:paraId="545C42BF">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8408"/>
        <w:gridCol w:w="3788"/>
      </w:tblGrid>
      <w:tr w14:paraId="5389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04" w:type="dxa"/>
            <w:vAlign w:val="center"/>
          </w:tcPr>
          <w:p w14:paraId="6812043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408" w:type="dxa"/>
            <w:vAlign w:val="center"/>
          </w:tcPr>
          <w:p w14:paraId="147529B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3788" w:type="dxa"/>
            <w:vAlign w:val="center"/>
          </w:tcPr>
          <w:p w14:paraId="26F15E1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D65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04" w:type="dxa"/>
            <w:vAlign w:val="center"/>
          </w:tcPr>
          <w:p w14:paraId="239C52F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8408" w:type="dxa"/>
            <w:vAlign w:val="center"/>
          </w:tcPr>
          <w:p w14:paraId="3752A6CF">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医疗机构将核素显像检查或X 射线胸部检查列入对1名少年儿童体检的常规检查项目，未造成实际健康损害且社会影响小的。</w:t>
            </w:r>
          </w:p>
        </w:tc>
        <w:tc>
          <w:tcPr>
            <w:tcW w:w="3788" w:type="dxa"/>
            <w:vAlign w:val="center"/>
          </w:tcPr>
          <w:p w14:paraId="120FF847">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7CD9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04" w:type="dxa"/>
            <w:vAlign w:val="center"/>
          </w:tcPr>
          <w:p w14:paraId="3E671612">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8408" w:type="dxa"/>
            <w:vAlign w:val="center"/>
          </w:tcPr>
          <w:p w14:paraId="424824CE">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医疗机构将核素显像检查或X 射线胸部检查列入对1名婴幼儿或2名少年儿童体检的常规检查项目，未造成实际健康损害，社会影响小的。</w:t>
            </w:r>
          </w:p>
        </w:tc>
        <w:tc>
          <w:tcPr>
            <w:tcW w:w="3788" w:type="dxa"/>
            <w:vAlign w:val="center"/>
          </w:tcPr>
          <w:p w14:paraId="1D7A79C4">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元以上3000元以下的罚款。</w:t>
            </w:r>
          </w:p>
        </w:tc>
      </w:tr>
      <w:tr w14:paraId="7BDD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6F0E73B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8408" w:type="dxa"/>
            <w:vAlign w:val="center"/>
          </w:tcPr>
          <w:p w14:paraId="69C9AFA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医疗机构将核素显像检查或X 射线胸部检查列入对2名及以上婴幼儿或3名及以上少年儿童体检的常规检查项目，或引发投诉或媒体关注，造成社会不良影响的。</w:t>
            </w:r>
          </w:p>
        </w:tc>
        <w:tc>
          <w:tcPr>
            <w:tcW w:w="3788" w:type="dxa"/>
            <w:vAlign w:val="center"/>
          </w:tcPr>
          <w:p w14:paraId="2DDACE6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0131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7404837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8408" w:type="dxa"/>
            <w:vAlign w:val="center"/>
          </w:tcPr>
          <w:p w14:paraId="5FD9162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将核素显像检查或X 射线胸部检查列入对婴幼儿及少年儿童体检的常规检查项目，造成严重后果的。</w:t>
            </w:r>
          </w:p>
        </w:tc>
        <w:tc>
          <w:tcPr>
            <w:tcW w:w="3788" w:type="dxa"/>
            <w:vAlign w:val="center"/>
          </w:tcPr>
          <w:p w14:paraId="10555AB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1474EE23">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298" w:name="_Toc28432"/>
      <w:bookmarkStart w:id="7299" w:name="_Toc22075"/>
      <w:bookmarkStart w:id="7300" w:name="_Toc21421"/>
      <w:bookmarkStart w:id="7301" w:name="_Toc9861"/>
      <w:bookmarkStart w:id="7302" w:name="_Toc12888"/>
      <w:bookmarkStart w:id="7303" w:name="_Toc8047"/>
      <w:bookmarkStart w:id="7304" w:name="_Toc1544"/>
      <w:bookmarkStart w:id="7305" w:name="_Toc18804"/>
      <w:bookmarkStart w:id="7306" w:name="_Toc14391"/>
      <w:bookmarkStart w:id="7307" w:name="_Toc346"/>
      <w:bookmarkStart w:id="7308" w:name="_Toc3338"/>
      <w:r>
        <w:rPr>
          <w:rFonts w:hint="eastAsia" w:ascii="Times New Roman" w:hAnsi="Times New Roman" w:cs="仿宋_GB2312"/>
          <w:bCs/>
          <w:color w:val="000000" w:themeColor="text1"/>
          <w:kern w:val="0"/>
          <w14:textFill>
            <w14:solidFill>
              <w14:schemeClr w14:val="tx1"/>
            </w14:solidFill>
          </w14:textFill>
        </w:rPr>
        <w:t>第五百八十九</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未按国家有关规定检验或校准用于放射防护和质量控制的检测仪表的</w:t>
      </w:r>
      <w:bookmarkEnd w:id="7298"/>
      <w:bookmarkEnd w:id="7299"/>
      <w:bookmarkEnd w:id="7300"/>
      <w:bookmarkEnd w:id="7301"/>
      <w:bookmarkEnd w:id="7302"/>
      <w:bookmarkEnd w:id="7303"/>
      <w:bookmarkEnd w:id="7304"/>
      <w:bookmarkEnd w:id="7305"/>
      <w:bookmarkEnd w:id="7306"/>
      <w:bookmarkEnd w:id="7307"/>
      <w:bookmarkEnd w:id="7308"/>
    </w:p>
    <w:p w14:paraId="3D87EFE8">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A77AFF3">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06A64EFF">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5C46F4F6">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医疗机构的放射诊疗设备和检测仪表，应当符合下列要求：</w:t>
      </w:r>
    </w:p>
    <w:p w14:paraId="67D76A00">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（三）按照国家有关规定检验或者校准用于放射防护和质量控制的检测仪表。</w:t>
      </w:r>
    </w:p>
    <w:p w14:paraId="56B0FDA1">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7E06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159120F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21153A5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7CB0FFD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7F7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4" w:type="dxa"/>
            <w:vAlign w:val="center"/>
          </w:tcPr>
          <w:p w14:paraId="7E4B249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7776AE6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医疗机构未按国家有关规定检验或校准用于放射防护和质量控制的检测仪表，逾期1 个月以内的。</w:t>
            </w:r>
          </w:p>
        </w:tc>
        <w:tc>
          <w:tcPr>
            <w:tcW w:w="4620" w:type="dxa"/>
            <w:vAlign w:val="center"/>
          </w:tcPr>
          <w:p w14:paraId="1D2048E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08FA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4" w:type="dxa"/>
            <w:vAlign w:val="center"/>
          </w:tcPr>
          <w:p w14:paraId="7B6D242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5F17F77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医疗机构未按国家有关规定检验或校准用于放射防护和质量控制的检测仪表逾期1 个月以上3 个月以下的。</w:t>
            </w:r>
          </w:p>
        </w:tc>
        <w:tc>
          <w:tcPr>
            <w:tcW w:w="4620" w:type="dxa"/>
            <w:vAlign w:val="center"/>
          </w:tcPr>
          <w:p w14:paraId="22D7D9D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710A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4" w:type="dxa"/>
            <w:vAlign w:val="center"/>
          </w:tcPr>
          <w:p w14:paraId="12D2B57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75421FE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医疗机构未按国家有关规定检验或校准用于放射防护和质量控制的检测仪表，逾期3 个月以上的。</w:t>
            </w:r>
          </w:p>
        </w:tc>
        <w:tc>
          <w:tcPr>
            <w:tcW w:w="4620" w:type="dxa"/>
            <w:vAlign w:val="center"/>
          </w:tcPr>
          <w:p w14:paraId="0CBBF3C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32A5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4" w:type="dxa"/>
            <w:vAlign w:val="center"/>
          </w:tcPr>
          <w:p w14:paraId="2CB0E51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73EEAED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医疗机构未按国家有关规定检验或校准用于放射防护和质量控制的检测仪表，造成严重后果的。</w:t>
            </w:r>
          </w:p>
        </w:tc>
        <w:tc>
          <w:tcPr>
            <w:tcW w:w="4620" w:type="dxa"/>
            <w:vAlign w:val="center"/>
          </w:tcPr>
          <w:p w14:paraId="22A51AC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25B6E42A">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309" w:name="_Toc1816"/>
      <w:bookmarkStart w:id="7310" w:name="_Toc29805"/>
      <w:bookmarkStart w:id="7311" w:name="_Toc2299"/>
      <w:bookmarkStart w:id="7312" w:name="_Toc22382"/>
      <w:bookmarkStart w:id="7313" w:name="_Toc23278"/>
      <w:bookmarkStart w:id="7314" w:name="_Toc13758"/>
      <w:bookmarkStart w:id="7315" w:name="_Toc30223"/>
      <w:bookmarkStart w:id="7316" w:name="_Toc11619"/>
      <w:bookmarkStart w:id="7317" w:name="_Toc8562"/>
      <w:bookmarkStart w:id="7318" w:name="_Toc14041"/>
      <w:bookmarkStart w:id="7319" w:name="_Toc28566"/>
      <w:r>
        <w:rPr>
          <w:rFonts w:hint="eastAsia" w:ascii="Times New Roman" w:hAnsi="Times New Roman" w:cs="仿宋_GB2312"/>
          <w:bCs/>
          <w:color w:val="000000" w:themeColor="text1"/>
          <w:kern w:val="0"/>
          <w14:textFill>
            <w14:solidFill>
              <w14:schemeClr w14:val="tx1"/>
            </w14:solidFill>
          </w14:textFill>
        </w:rPr>
        <w:t>第五百九十</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医疗机构放射诊疗场所和配套设施不符合国家相关标准和规定的</w:t>
      </w:r>
      <w:bookmarkEnd w:id="7309"/>
      <w:bookmarkEnd w:id="7310"/>
      <w:bookmarkEnd w:id="7311"/>
      <w:bookmarkEnd w:id="7312"/>
      <w:bookmarkEnd w:id="7313"/>
      <w:bookmarkEnd w:id="7314"/>
      <w:bookmarkEnd w:id="7315"/>
      <w:bookmarkEnd w:id="7316"/>
      <w:bookmarkEnd w:id="7317"/>
      <w:bookmarkEnd w:id="7318"/>
      <w:bookmarkEnd w:id="7319"/>
    </w:p>
    <w:p w14:paraId="5C74BE67">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D18ABEF">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1884DF5E">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20F6AE74">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医疗机构应当采取有效措施，保证放射防护、安全与放射诊疗质量符合有关规定、标准和规范的要求。</w:t>
      </w:r>
    </w:p>
    <w:p w14:paraId="516F6CD2">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143A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0264300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4FE96D5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5A5DFD7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C1F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804" w:type="dxa"/>
            <w:shd w:val="clear" w:color="auto" w:fill="auto"/>
            <w:vAlign w:val="center"/>
          </w:tcPr>
          <w:p w14:paraId="3FFA689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shd w:val="clear" w:color="auto" w:fill="auto"/>
            <w:vAlign w:val="center"/>
          </w:tcPr>
          <w:p w14:paraId="2C6B6DD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医疗机构放射诊疗场所和配套设施不符合国家相关标准和规定，数目为1 处（件）且轻微不符合，持续时间不超过1个月，未造成危害后果的。</w:t>
            </w:r>
          </w:p>
        </w:tc>
        <w:tc>
          <w:tcPr>
            <w:tcW w:w="4620" w:type="dxa"/>
            <w:shd w:val="clear" w:color="auto" w:fill="auto"/>
            <w:vAlign w:val="center"/>
          </w:tcPr>
          <w:p w14:paraId="7BB257C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072C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804" w:type="dxa"/>
            <w:shd w:val="clear" w:color="auto" w:fill="auto"/>
            <w:vAlign w:val="center"/>
          </w:tcPr>
          <w:p w14:paraId="67CC956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shd w:val="clear" w:color="auto" w:fill="auto"/>
            <w:vAlign w:val="center"/>
          </w:tcPr>
          <w:p w14:paraId="3F182F5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医疗机构放射诊疗场所和配套设施不符合国家相关标准和规定，数目为2处（件）轻微不符合或1处（件）较严重不符合，持续时间1个月以上3个月以内，未造成危害后果的。</w:t>
            </w:r>
          </w:p>
        </w:tc>
        <w:tc>
          <w:tcPr>
            <w:tcW w:w="4620" w:type="dxa"/>
            <w:shd w:val="clear" w:color="auto" w:fill="auto"/>
            <w:vAlign w:val="center"/>
          </w:tcPr>
          <w:p w14:paraId="522217A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2A7C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804" w:type="dxa"/>
            <w:shd w:val="clear" w:color="auto" w:fill="auto"/>
            <w:vAlign w:val="center"/>
          </w:tcPr>
          <w:p w14:paraId="1775CB7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shd w:val="clear" w:color="auto" w:fill="auto"/>
            <w:vAlign w:val="center"/>
          </w:tcPr>
          <w:p w14:paraId="4F0AADB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医疗机构放射诊疗场所和配套设施不符合国家相关标准和规定，数目为3 处（件）及以上轻微不符合或2处（件）及以上较严重不符合，持续时间3个月以上。</w:t>
            </w:r>
          </w:p>
        </w:tc>
        <w:tc>
          <w:tcPr>
            <w:tcW w:w="4620" w:type="dxa"/>
            <w:shd w:val="clear" w:color="auto" w:fill="auto"/>
            <w:vAlign w:val="center"/>
          </w:tcPr>
          <w:p w14:paraId="24F1AE2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0D93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804" w:type="dxa"/>
            <w:shd w:val="clear" w:color="auto" w:fill="auto"/>
            <w:vAlign w:val="center"/>
          </w:tcPr>
          <w:p w14:paraId="5224004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shd w:val="clear" w:color="auto" w:fill="auto"/>
            <w:vAlign w:val="center"/>
          </w:tcPr>
          <w:p w14:paraId="5CB9E35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医疗机构放射诊疗场所和配套设施不符合国家相关标准和规定，造成严重后果的。</w:t>
            </w:r>
          </w:p>
        </w:tc>
        <w:tc>
          <w:tcPr>
            <w:tcW w:w="4620" w:type="dxa"/>
            <w:shd w:val="clear" w:color="auto" w:fill="auto"/>
            <w:vAlign w:val="center"/>
          </w:tcPr>
          <w:p w14:paraId="680F063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14E91E96">
      <w:pPr>
        <w:pStyle w:val="4"/>
        <w:widowControl w:val="0"/>
        <w:ind w:firstLine="640"/>
        <w:jc w:val="both"/>
        <w:rPr>
          <w:rFonts w:hint="eastAsia" w:cs="仿宋_GB2312"/>
          <w:bCs/>
          <w:color w:val="000000" w:themeColor="text1"/>
          <w14:textFill>
            <w14:solidFill>
              <w14:schemeClr w14:val="tx1"/>
            </w14:solidFill>
          </w14:textFill>
        </w:rPr>
      </w:pPr>
      <w:bookmarkStart w:id="7320" w:name="_Toc21757"/>
      <w:bookmarkStart w:id="7321" w:name="_Toc16006"/>
      <w:bookmarkStart w:id="7322" w:name="_Toc14891"/>
      <w:bookmarkStart w:id="7323" w:name="_Toc31847"/>
      <w:bookmarkStart w:id="7324" w:name="_Toc3762"/>
      <w:bookmarkStart w:id="7325" w:name="_Toc8224"/>
      <w:bookmarkStart w:id="7326" w:name="_Toc1671"/>
      <w:bookmarkStart w:id="7327" w:name="_Toc4696"/>
      <w:bookmarkStart w:id="7328" w:name="_Toc23802"/>
      <w:bookmarkStart w:id="7329" w:name="_Toc22552"/>
      <w:bookmarkStart w:id="7330" w:name="_Toc18187"/>
      <w:r>
        <w:rPr>
          <w:rFonts w:hint="eastAsia" w:ascii="Times New Roman" w:hAnsi="Times New Roman" w:cs="仿宋_GB2312"/>
          <w:bCs/>
          <w:color w:val="000000" w:themeColor="text1"/>
          <w:kern w:val="0"/>
          <w14:textFill>
            <w14:solidFill>
              <w14:schemeClr w14:val="tx1"/>
            </w14:solidFill>
          </w14:textFill>
        </w:rPr>
        <w:t>第五百九十一</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医疗机构放射治疗场所多重安全联锁系统、剂量监测系统、影像监控、对讲装置和固定式剂量监测报警装置不符合国家相关标准的</w:t>
      </w:r>
      <w:bookmarkEnd w:id="7320"/>
      <w:bookmarkEnd w:id="7321"/>
      <w:bookmarkEnd w:id="7322"/>
      <w:bookmarkEnd w:id="7323"/>
      <w:bookmarkEnd w:id="7324"/>
      <w:bookmarkEnd w:id="7325"/>
      <w:bookmarkEnd w:id="7326"/>
      <w:bookmarkEnd w:id="7327"/>
      <w:bookmarkEnd w:id="7328"/>
      <w:bookmarkEnd w:id="7329"/>
      <w:bookmarkEnd w:id="7330"/>
    </w:p>
    <w:p w14:paraId="5337F1F8">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7077DCCF">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4A7B4D8F">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406D1080">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医疗机构应当采取有效措施，保证放射防护、安全与放射诊疗质量符合有关规定、标准和规范的要求。</w:t>
      </w:r>
    </w:p>
    <w:p w14:paraId="101F732B">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3DC0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4" w:type="dxa"/>
            <w:vAlign w:val="center"/>
          </w:tcPr>
          <w:p w14:paraId="0572D38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3553CED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0E73EB2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F4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0A96BCE9">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553CD02B">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医疗机构放射治疗场所辅助性安全装置不符合标准，但未实质性影响安全监控和沟通且无实际后果，风险可控的。</w:t>
            </w:r>
          </w:p>
        </w:tc>
        <w:tc>
          <w:tcPr>
            <w:tcW w:w="4620" w:type="dxa"/>
            <w:vAlign w:val="center"/>
          </w:tcPr>
          <w:p w14:paraId="34C9FF26">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1419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7024290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48D3A2C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医疗机构放射治疗场所多重安全联锁系统、剂量监测系统、影像监控、对讲装置和固定式剂量监测报警装置不符合国家相关标准，数目为1 件（套）的。</w:t>
            </w:r>
          </w:p>
        </w:tc>
        <w:tc>
          <w:tcPr>
            <w:tcW w:w="4620" w:type="dxa"/>
            <w:vAlign w:val="center"/>
          </w:tcPr>
          <w:p w14:paraId="57C2338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7E7E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7B02D32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1F8C297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医疗机构放射治疗场所多重安全联锁系统、剂量监测系统、影像监控、对讲装置和固定式剂量监测报警装置不符合国家相关标准，数目为2 件（套）及以上的。</w:t>
            </w:r>
          </w:p>
        </w:tc>
        <w:tc>
          <w:tcPr>
            <w:tcW w:w="4620" w:type="dxa"/>
            <w:vAlign w:val="center"/>
          </w:tcPr>
          <w:p w14:paraId="56CCEE2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57D0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7F0269C2">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37B2AE9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pacing w:val="-6"/>
                <w:sz w:val="24"/>
                <w:lang w:bidi="ar"/>
                <w14:textFill>
                  <w14:solidFill>
                    <w14:schemeClr w14:val="tx1"/>
                  </w14:solidFill>
                </w14:textFill>
              </w:rPr>
              <w:t>医疗机构放射治疗场所多重安全联锁系统、剂量监测系统、影像监控、对讲装置和固定式剂量监测报警装置不符合国家相关标准，造成严重后果的。</w:t>
            </w:r>
          </w:p>
        </w:tc>
        <w:tc>
          <w:tcPr>
            <w:tcW w:w="4620" w:type="dxa"/>
            <w:vAlign w:val="center"/>
          </w:tcPr>
          <w:p w14:paraId="4798321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68E37932">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331" w:name="_Toc9426"/>
      <w:bookmarkStart w:id="7332" w:name="_Toc2621"/>
      <w:bookmarkStart w:id="7333" w:name="_Toc2054"/>
      <w:bookmarkStart w:id="7334" w:name="_Toc6404"/>
      <w:bookmarkStart w:id="7335" w:name="_Toc18078"/>
      <w:bookmarkStart w:id="7336" w:name="_Toc4520"/>
      <w:bookmarkStart w:id="7337" w:name="_Toc12388"/>
      <w:bookmarkStart w:id="7338" w:name="_Toc28008"/>
      <w:bookmarkStart w:id="7339" w:name="_Toc7455"/>
      <w:bookmarkStart w:id="7340" w:name="_Toc10013"/>
      <w:bookmarkStart w:id="7341" w:name="_Toc24580"/>
      <w:r>
        <w:rPr>
          <w:rFonts w:hint="eastAsia" w:ascii="Times New Roman" w:hAnsi="Times New Roman" w:cs="仿宋_GB2312"/>
          <w:bCs/>
          <w:color w:val="000000" w:themeColor="text1"/>
          <w:kern w:val="0"/>
          <w14:textFill>
            <w14:solidFill>
              <w14:schemeClr w14:val="tx1"/>
            </w14:solidFill>
          </w14:textFill>
        </w:rPr>
        <w:t>第五百九十二</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医疗机构放射治疗场所未按照相应标准配备放疗剂量仪、剂量扫描装置和个人剂量报警仪的</w:t>
      </w:r>
      <w:bookmarkEnd w:id="7331"/>
      <w:bookmarkEnd w:id="7332"/>
      <w:bookmarkEnd w:id="7333"/>
      <w:bookmarkEnd w:id="7334"/>
      <w:bookmarkEnd w:id="7335"/>
      <w:bookmarkEnd w:id="7336"/>
      <w:bookmarkEnd w:id="7337"/>
      <w:bookmarkEnd w:id="7338"/>
      <w:bookmarkEnd w:id="7339"/>
      <w:bookmarkEnd w:id="7340"/>
      <w:bookmarkEnd w:id="7341"/>
    </w:p>
    <w:p w14:paraId="721A367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DFEED08">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48DC86AC">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436D05E7">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医疗机构应当采取有效措施，保证放射防护、安全与放射诊疗质量符合有关规定、标准和规范的要求。</w:t>
      </w:r>
    </w:p>
    <w:p w14:paraId="10E0A774">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45DB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04" w:type="dxa"/>
            <w:vAlign w:val="center"/>
          </w:tcPr>
          <w:p w14:paraId="4154EE5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0E0FB08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19E535C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61C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04" w:type="dxa"/>
            <w:vAlign w:val="center"/>
          </w:tcPr>
          <w:p w14:paraId="0D2F23A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39DC465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医疗机构放射治疗场所仅个别辅助性设备暂时缺失，且有替代监测方案并能确保安全且未在设备缺失期间开展放射治疗活动的。</w:t>
            </w:r>
          </w:p>
        </w:tc>
        <w:tc>
          <w:tcPr>
            <w:tcW w:w="4620" w:type="dxa"/>
            <w:vAlign w:val="center"/>
          </w:tcPr>
          <w:p w14:paraId="5528A94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0867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804" w:type="dxa"/>
            <w:vAlign w:val="center"/>
          </w:tcPr>
          <w:p w14:paraId="1DAB9EC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49C9D20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医疗机构放射治疗场所未按照相应标准配备放疗剂量仪、剂量扫描装</w:t>
            </w:r>
          </w:p>
          <w:p w14:paraId="32B59DC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置和个人剂量报警仪，数目为1 件（套）的。</w:t>
            </w:r>
          </w:p>
        </w:tc>
        <w:tc>
          <w:tcPr>
            <w:tcW w:w="4620" w:type="dxa"/>
            <w:vAlign w:val="center"/>
          </w:tcPr>
          <w:p w14:paraId="0631D55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6526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2DA0D385">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0EB72AC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医疗机构放射治疗场所未按照相应标准配备放疗剂量仪、剂量扫描装</w:t>
            </w:r>
          </w:p>
          <w:p w14:paraId="33330B0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置和个人剂量报警仪，数目为2 件（套）及以上的。</w:t>
            </w:r>
          </w:p>
        </w:tc>
        <w:tc>
          <w:tcPr>
            <w:tcW w:w="4620" w:type="dxa"/>
            <w:vAlign w:val="center"/>
          </w:tcPr>
          <w:p w14:paraId="325E6B8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4926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5648207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31D8EC2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医疗机构放射治疗场所未按照相应标准配备放疗剂量仪、剂量扫描装</w:t>
            </w:r>
          </w:p>
          <w:p w14:paraId="366CE07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置和个人剂量报警仪，造成严重后果的。</w:t>
            </w:r>
          </w:p>
        </w:tc>
        <w:tc>
          <w:tcPr>
            <w:tcW w:w="4620" w:type="dxa"/>
            <w:vAlign w:val="center"/>
          </w:tcPr>
          <w:p w14:paraId="49242F3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42D1AD0F">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342" w:name="_Toc29667"/>
      <w:bookmarkStart w:id="7343" w:name="_Toc32622"/>
      <w:bookmarkStart w:id="7344" w:name="_Toc14346"/>
      <w:bookmarkStart w:id="7345" w:name="_Toc25366"/>
      <w:bookmarkStart w:id="7346" w:name="_Toc29321"/>
      <w:bookmarkStart w:id="7347" w:name="_Toc3578"/>
      <w:bookmarkStart w:id="7348" w:name="_Toc13401"/>
      <w:bookmarkStart w:id="7349" w:name="_Toc7145"/>
      <w:bookmarkStart w:id="7350" w:name="_Toc31003"/>
      <w:bookmarkStart w:id="7351" w:name="_Toc30685"/>
      <w:bookmarkStart w:id="7352" w:name="_Toc11567"/>
      <w:r>
        <w:rPr>
          <w:rFonts w:hint="eastAsia" w:ascii="Times New Roman" w:hAnsi="Times New Roman" w:cs="仿宋_GB2312"/>
          <w:bCs/>
          <w:color w:val="000000" w:themeColor="text1"/>
          <w:kern w:val="0"/>
          <w14:textFill>
            <w14:solidFill>
              <w14:schemeClr w14:val="tx1"/>
            </w14:solidFill>
          </w14:textFill>
        </w:rPr>
        <w:t>第五百九十三</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医疗机构核医学工作场所未设有专门的放射性同位素分装、注射、储存场所，放射性废物屏蔽设备和存放场所的</w:t>
      </w:r>
      <w:bookmarkEnd w:id="7342"/>
      <w:bookmarkEnd w:id="7343"/>
      <w:bookmarkEnd w:id="7344"/>
      <w:bookmarkEnd w:id="7345"/>
      <w:bookmarkEnd w:id="7346"/>
      <w:bookmarkEnd w:id="7347"/>
      <w:bookmarkEnd w:id="7348"/>
      <w:bookmarkEnd w:id="7349"/>
      <w:bookmarkEnd w:id="7350"/>
      <w:bookmarkEnd w:id="7351"/>
      <w:bookmarkEnd w:id="7352"/>
    </w:p>
    <w:p w14:paraId="1866622E">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7BF7994">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0945B692">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0F248BB8">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医疗机构应当采取有效措施，保证放射防护、安全与放射诊疗质量符合有关规定、标准和规范的要求。</w:t>
      </w:r>
    </w:p>
    <w:p w14:paraId="50FA585C">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3546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2A54560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2E38365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196D93B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7D4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573799F2">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79C50F33">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医疗机构核医学工作场所仅个别辅助区域或设施存在瑕疵，但基本功能具备，风险可控且未在设施不全情况下开展高风险核医学操作。</w:t>
            </w:r>
          </w:p>
        </w:tc>
        <w:tc>
          <w:tcPr>
            <w:tcW w:w="4620" w:type="dxa"/>
            <w:vAlign w:val="center"/>
          </w:tcPr>
          <w:p w14:paraId="6FC3442C">
            <w:pPr>
              <w:widowControl w:val="0"/>
              <w:adjustRightInd/>
              <w:snapToGrid/>
              <w:spacing w:after="0" w:line="320" w:lineRule="exact"/>
              <w:jc w:val="both"/>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给予警告，责令限期改正；并可处1000元以下的罚款。</w:t>
            </w:r>
          </w:p>
        </w:tc>
      </w:tr>
      <w:tr w14:paraId="79A7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00AE677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4AA4726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医疗机构核医学工作场所未设有专门的放射性同位素分装、注射、储存场所，放射性废物屏蔽设备和存放场所，数目为1 处（套）的。</w:t>
            </w:r>
          </w:p>
        </w:tc>
        <w:tc>
          <w:tcPr>
            <w:tcW w:w="4620" w:type="dxa"/>
            <w:vAlign w:val="center"/>
          </w:tcPr>
          <w:p w14:paraId="7D61B4F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给予警告，责令限期改正；并可处3000 元以上7000元以下的罚款。</w:t>
            </w:r>
          </w:p>
        </w:tc>
      </w:tr>
      <w:tr w14:paraId="517C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648762B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0C1971C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医疗机构核医学工作场所未设有专门的放射性同位素分装、注射、储存场所，放射性废物屏蔽设备和存放场所，数目为2 处（套）及以上的。</w:t>
            </w:r>
          </w:p>
        </w:tc>
        <w:tc>
          <w:tcPr>
            <w:tcW w:w="4620" w:type="dxa"/>
            <w:vAlign w:val="center"/>
          </w:tcPr>
          <w:p w14:paraId="28FC6A4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r w14:paraId="5285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1F4BFCF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0C480A4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医疗机构核医学工作场所未设有专门的放射性同位素分装、注射、储存场所，放射性废物屏蔽设备和存放场所，造成严重后果的。</w:t>
            </w:r>
          </w:p>
        </w:tc>
        <w:tc>
          <w:tcPr>
            <w:tcW w:w="4620" w:type="dxa"/>
            <w:vAlign w:val="center"/>
          </w:tcPr>
          <w:p w14:paraId="68A67CA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给予警告，责令限期改正；并处一万元的罚款。</w:t>
            </w:r>
          </w:p>
        </w:tc>
      </w:tr>
    </w:tbl>
    <w:p w14:paraId="28200320">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353" w:name="_Toc29357"/>
      <w:bookmarkStart w:id="7354" w:name="_Toc1040"/>
      <w:bookmarkStart w:id="7355" w:name="_Toc25348"/>
      <w:bookmarkStart w:id="7356" w:name="_Toc22540"/>
      <w:bookmarkStart w:id="7357" w:name="_Toc21280"/>
      <w:bookmarkStart w:id="7358" w:name="_Toc27625"/>
      <w:bookmarkStart w:id="7359" w:name="_Toc10054"/>
      <w:bookmarkStart w:id="7360" w:name="_Toc18810"/>
      <w:bookmarkStart w:id="7361" w:name="_Toc22744"/>
      <w:bookmarkStart w:id="7362" w:name="_Toc7376"/>
      <w:bookmarkStart w:id="7363" w:name="_Toc15972"/>
      <w:r>
        <w:rPr>
          <w:rFonts w:hint="eastAsia" w:ascii="Times New Roman" w:hAnsi="Times New Roman" w:cs="仿宋_GB2312"/>
          <w:bCs/>
          <w:color w:val="000000" w:themeColor="text1"/>
          <w:kern w:val="0"/>
          <w14:textFill>
            <w14:solidFill>
              <w14:schemeClr w14:val="tx1"/>
            </w14:solidFill>
          </w14:textFill>
        </w:rPr>
        <w:t>第五百九十四</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医疗机构核医学工作场所未配备活度计、放射性表面污染监测仪的</w:t>
      </w:r>
      <w:bookmarkEnd w:id="7353"/>
      <w:bookmarkEnd w:id="7354"/>
      <w:bookmarkEnd w:id="7355"/>
      <w:bookmarkEnd w:id="7356"/>
      <w:bookmarkEnd w:id="7357"/>
      <w:bookmarkEnd w:id="7358"/>
      <w:bookmarkEnd w:id="7359"/>
      <w:bookmarkEnd w:id="7360"/>
      <w:bookmarkEnd w:id="7361"/>
      <w:bookmarkEnd w:id="7362"/>
      <w:bookmarkEnd w:id="7363"/>
    </w:p>
    <w:p w14:paraId="44357E9D">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7670143">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05B26627">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6823FDDF">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2.《放射诊疗管理规定》第五条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医疗机构应当采取有效措施，保证放射防护、安全与放射诊疗质量符合有关规定、标准和规范的要求。</w:t>
      </w:r>
    </w:p>
    <w:p w14:paraId="77816900">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778A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11ABD01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63C6BA3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616B5D10">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28AB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shd w:val="clear" w:color="auto" w:fill="auto"/>
            <w:vAlign w:val="center"/>
          </w:tcPr>
          <w:p w14:paraId="2EC9856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shd w:val="clear" w:color="auto" w:fill="auto"/>
            <w:vAlign w:val="center"/>
          </w:tcPr>
          <w:p w14:paraId="6961BA4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医疗机构核医学工作场所未配备活度计或放射性表面污染监测仪，持续时间在30日内，仪器种类仅缺一种且另一种仪器功能完好，未造成任何实际危害后果的。</w:t>
            </w:r>
          </w:p>
        </w:tc>
        <w:tc>
          <w:tcPr>
            <w:tcW w:w="4620" w:type="dxa"/>
            <w:shd w:val="clear" w:color="auto" w:fill="auto"/>
            <w:vAlign w:val="center"/>
          </w:tcPr>
          <w:p w14:paraId="0223F33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431A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6D8D3FC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0FC12DD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医疗机构核医学工作场所未配备活度计或放射性表面污染监测仪，持续时间超过30日，仪器种类仅缺一种且另一种仪器功能完好，未造成实际危害后果，但存在明显的安全隐患。</w:t>
            </w:r>
          </w:p>
        </w:tc>
        <w:tc>
          <w:tcPr>
            <w:tcW w:w="4620" w:type="dxa"/>
            <w:vAlign w:val="center"/>
          </w:tcPr>
          <w:p w14:paraId="463F1BC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2C94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7E05D5C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46C91BD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医疗机构核医学工作场所未长期同时配备活度计和放射性表面污染监测仪或已造成轻度危害后果或发生小范围可控的污染事件但未向社会扩散的。</w:t>
            </w:r>
          </w:p>
        </w:tc>
        <w:tc>
          <w:tcPr>
            <w:tcW w:w="4620" w:type="dxa"/>
            <w:vAlign w:val="center"/>
          </w:tcPr>
          <w:p w14:paraId="4ABBECA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5ACD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5DA6D93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01394CC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医疗机构核医学工作场所未配备活度计或放射性表面污染监测仪，造成严重后果的。</w:t>
            </w:r>
          </w:p>
        </w:tc>
        <w:tc>
          <w:tcPr>
            <w:tcW w:w="4620" w:type="dxa"/>
            <w:vAlign w:val="center"/>
          </w:tcPr>
          <w:p w14:paraId="5681B4C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给予警告，责令限期改正；并处7000以上一万元以下的罚款。</w:t>
            </w:r>
          </w:p>
        </w:tc>
      </w:tr>
    </w:tbl>
    <w:p w14:paraId="6FA41E2C">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364" w:name="_Toc27885"/>
      <w:bookmarkStart w:id="7365" w:name="_Toc8323"/>
      <w:bookmarkStart w:id="7366" w:name="_Toc28713"/>
      <w:bookmarkStart w:id="7367" w:name="_Toc4793"/>
      <w:bookmarkStart w:id="7368" w:name="_Toc7806"/>
      <w:bookmarkStart w:id="7369" w:name="_Toc14425"/>
      <w:bookmarkStart w:id="7370" w:name="_Toc22795"/>
      <w:bookmarkStart w:id="7371" w:name="_Toc9347"/>
      <w:bookmarkStart w:id="7372" w:name="_Toc10680"/>
      <w:bookmarkStart w:id="7373" w:name="_Toc32107"/>
      <w:bookmarkStart w:id="7374" w:name="_Toc2039"/>
      <w:r>
        <w:rPr>
          <w:rFonts w:hint="eastAsia" w:ascii="Times New Roman" w:hAnsi="Times New Roman" w:cs="仿宋_GB2312"/>
          <w:bCs/>
          <w:color w:val="000000" w:themeColor="text1"/>
          <w:kern w:val="0"/>
          <w14:textFill>
            <w14:solidFill>
              <w14:schemeClr w14:val="tx1"/>
            </w14:solidFill>
          </w14:textFill>
        </w:rPr>
        <w:t>第五百九十五</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医疗机构放射诊疗工作场所、放射性同位素储存场所和防护设施辐射水平不符合有关规定或者标准的</w:t>
      </w:r>
      <w:bookmarkEnd w:id="7364"/>
      <w:bookmarkEnd w:id="7365"/>
      <w:bookmarkEnd w:id="7366"/>
      <w:bookmarkEnd w:id="7367"/>
      <w:bookmarkEnd w:id="7368"/>
      <w:bookmarkEnd w:id="7369"/>
      <w:bookmarkEnd w:id="7370"/>
      <w:bookmarkEnd w:id="7371"/>
      <w:bookmarkEnd w:id="7372"/>
      <w:bookmarkEnd w:id="7373"/>
      <w:bookmarkEnd w:id="7374"/>
      <w:r>
        <w:rPr>
          <w:rFonts w:hint="eastAsia" w:cs="仿宋_GB2312"/>
          <w:bCs/>
          <w:color w:val="000000" w:themeColor="text1"/>
          <w:lang w:eastAsia="zh-CN"/>
          <w14:textFill>
            <w14:solidFill>
              <w14:schemeClr w14:val="tx1"/>
            </w14:solidFill>
          </w14:textFill>
        </w:rPr>
        <w:t xml:space="preserve"> </w:t>
      </w:r>
    </w:p>
    <w:p w14:paraId="263454B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07B1889">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6B986BED">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090ABADA">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2.《放射诊疗管理规定》第二十一条第一款</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医疗机构应当定期对放射诊疗工作场所、放射性同位素储存场所和防护设施进行放射防护检测，保证辐射水平符合有关规定或者标准。</w:t>
      </w:r>
    </w:p>
    <w:p w14:paraId="3D07FDF4">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4FF6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1E325FE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6BE7A85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28DDDD7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B5F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804" w:type="dxa"/>
            <w:vAlign w:val="center"/>
          </w:tcPr>
          <w:p w14:paraId="2A8E94C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698BAA45">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诊疗工作场所、放射性同位素储存场所和防护设施未定期进行放射防护检测（含X射线影像诊断），或经检测辐射水平超过标准限值但未超过1倍，超标点位于非人员经常驻留的监督区边缘，且为孤立点位，未造成实际危害后果，风险可控的。</w:t>
            </w:r>
          </w:p>
        </w:tc>
        <w:tc>
          <w:tcPr>
            <w:tcW w:w="4620" w:type="dxa"/>
            <w:vAlign w:val="center"/>
          </w:tcPr>
          <w:p w14:paraId="4C78044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6A4F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804" w:type="dxa"/>
            <w:vAlign w:val="center"/>
          </w:tcPr>
          <w:p w14:paraId="15A6828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6145A84C">
            <w:pPr>
              <w:widowControl w:val="0"/>
              <w:adjustRightInd/>
              <w:snapToGrid/>
              <w:spacing w:after="0" w:line="300" w:lineRule="exact"/>
              <w:jc w:val="both"/>
              <w:rPr>
                <w:rFonts w:hint="eastAsia" w:ascii="Times New Roman" w:hAnsi="Times New Roman" w:eastAsia="仿宋_GB2312" w:cs="Times New Roman"/>
                <w:bCs w:val="0"/>
                <w:color w:val="000000" w:themeColor="text1"/>
                <w:spacing w:val="-6"/>
                <w:sz w:val="24"/>
                <w:lang w:bidi="ar"/>
                <w14:textFill>
                  <w14:solidFill>
                    <w14:schemeClr w14:val="tx1"/>
                  </w14:solidFill>
                </w14:textFill>
              </w:rPr>
            </w:pPr>
            <w:r>
              <w:rPr>
                <w:rFonts w:hint="eastAsia" w:ascii="Times New Roman" w:hAnsi="Times New Roman" w:eastAsia="仿宋_GB2312" w:cs="Times New Roman"/>
                <w:bCs w:val="0"/>
                <w:color w:val="000000" w:themeColor="text1"/>
                <w:spacing w:val="-6"/>
                <w:sz w:val="24"/>
                <w:lang w:bidi="ar"/>
                <w14:textFill>
                  <w14:solidFill>
                    <w14:schemeClr w14:val="tx1"/>
                  </w14:solidFill>
                </w14:textFill>
              </w:rPr>
              <w:t>医疗机构放射诊疗工作场所、放射性同位素储存场所和防护设施未定期进行放射防护检测（含CT、DSA），或经检测辐射水平超过标准限值1倍以上3倍以下，存在多个超标点，对放射工作人员构成潜在健康风险。</w:t>
            </w:r>
          </w:p>
        </w:tc>
        <w:tc>
          <w:tcPr>
            <w:tcW w:w="4620" w:type="dxa"/>
            <w:vAlign w:val="center"/>
          </w:tcPr>
          <w:p w14:paraId="01E7CDA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25D3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804" w:type="dxa"/>
            <w:vAlign w:val="center"/>
          </w:tcPr>
          <w:p w14:paraId="202C315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0DB7CBE6">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诊疗工作场所、放射性同位素储存场所和防护设施未定期进行放射防护检测（含严重危害类），或经检测辐射水平超过标准限值3倍以上5倍以下，存在大面积超标，关键防护设施失效工作人员个人剂量监测结果异常升高，对公众安全构成直接威胁的。</w:t>
            </w:r>
          </w:p>
        </w:tc>
        <w:tc>
          <w:tcPr>
            <w:tcW w:w="4620" w:type="dxa"/>
            <w:vAlign w:val="center"/>
          </w:tcPr>
          <w:p w14:paraId="03925E0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7A77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804" w:type="dxa"/>
            <w:vAlign w:val="center"/>
          </w:tcPr>
          <w:p w14:paraId="0214FA6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031ECA4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医疗机构放射诊疗工作场所、放射性同位素储存场所和防护设施未定期进行放射防护检测，且经检测辐射水平超过标准限值5倍以上或造成严重后果的。</w:t>
            </w:r>
          </w:p>
        </w:tc>
        <w:tc>
          <w:tcPr>
            <w:tcW w:w="4620" w:type="dxa"/>
            <w:vAlign w:val="center"/>
          </w:tcPr>
          <w:p w14:paraId="0A1B38B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406C8A23">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375" w:name="_Toc12685"/>
      <w:bookmarkStart w:id="7376" w:name="_Toc29566"/>
      <w:bookmarkStart w:id="7377" w:name="_Toc544"/>
      <w:bookmarkStart w:id="7378" w:name="_Toc20014"/>
      <w:bookmarkStart w:id="7379" w:name="_Toc14799"/>
      <w:bookmarkStart w:id="7380" w:name="_Toc12167"/>
      <w:bookmarkStart w:id="7381" w:name="_Toc29368"/>
      <w:bookmarkStart w:id="7382" w:name="_Toc11928"/>
      <w:bookmarkStart w:id="7383" w:name="_Toc20614"/>
      <w:bookmarkStart w:id="7384" w:name="_Toc20305"/>
      <w:bookmarkStart w:id="7385" w:name="_Toc18543"/>
      <w:r>
        <w:rPr>
          <w:rFonts w:hint="eastAsia" w:ascii="Times New Roman" w:hAnsi="Times New Roman" w:cs="仿宋_GB2312"/>
          <w:bCs/>
          <w:color w:val="000000" w:themeColor="text1"/>
          <w:kern w:val="0"/>
          <w14:textFill>
            <w14:solidFill>
              <w14:schemeClr w14:val="tx1"/>
            </w14:solidFill>
          </w14:textFill>
        </w:rPr>
        <w:t>第五百九十六</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医疗机构放射性同位素与易燃、易爆、腐蚀性物品同库储存的</w:t>
      </w:r>
      <w:bookmarkEnd w:id="7375"/>
      <w:bookmarkEnd w:id="7376"/>
      <w:bookmarkEnd w:id="7377"/>
      <w:bookmarkEnd w:id="7378"/>
      <w:bookmarkEnd w:id="7379"/>
      <w:bookmarkEnd w:id="7380"/>
      <w:bookmarkEnd w:id="7381"/>
      <w:bookmarkEnd w:id="7382"/>
      <w:bookmarkEnd w:id="7383"/>
      <w:bookmarkEnd w:id="7384"/>
      <w:bookmarkEnd w:id="7385"/>
    </w:p>
    <w:p w14:paraId="2404910C">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D4199B6">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064CDF3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7847A58F">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2.《放射诊疗管理规定》第二十一条第二款</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放射性同位素不得与易燃、易爆、腐蚀性物品同库储存；储存场所应当采取有效的防泄漏等措施，并安装必要的报警装置。</w:t>
      </w:r>
    </w:p>
    <w:p w14:paraId="3FBB2525">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0F74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7A744B0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310EE40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3F50C38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3CC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shd w:val="clear" w:color="auto" w:fill="auto"/>
            <w:vAlign w:val="center"/>
          </w:tcPr>
          <w:p w14:paraId="7FB0465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shd w:val="clear" w:color="auto" w:fill="auto"/>
            <w:vAlign w:val="center"/>
          </w:tcPr>
          <w:p w14:paraId="6B7549A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医疗机构放射性同位素储存区有少量、低危险性的实验室常用试剂，且为明显的临时性、疏忽性存放不超过7日，未造成任何实际后果，风险被即时消除的。</w:t>
            </w:r>
          </w:p>
        </w:tc>
        <w:tc>
          <w:tcPr>
            <w:tcW w:w="4620" w:type="dxa"/>
            <w:shd w:val="clear" w:color="auto" w:fill="auto"/>
            <w:vAlign w:val="center"/>
          </w:tcPr>
          <w:p w14:paraId="555E0D2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04AE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shd w:val="clear" w:color="auto" w:fill="auto"/>
            <w:vAlign w:val="center"/>
          </w:tcPr>
          <w:p w14:paraId="33CD246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shd w:val="clear" w:color="auto" w:fill="auto"/>
            <w:vAlign w:val="center"/>
          </w:tcPr>
          <w:p w14:paraId="2AC36D4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医疗机构放射性同位素与较少易燃、易爆、腐蚀性物（易燃品≤5kg，易爆品≤1kg，腐蚀品≤10L）等同库储存，储存时间超过 7 日以上30 日以下，未造成实质性危害后果的。</w:t>
            </w:r>
          </w:p>
        </w:tc>
        <w:tc>
          <w:tcPr>
            <w:tcW w:w="4620" w:type="dxa"/>
            <w:shd w:val="clear" w:color="auto" w:fill="auto"/>
            <w:vAlign w:val="center"/>
          </w:tcPr>
          <w:p w14:paraId="54A053F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给予警告，责令限期改正；并处1000 元以上3000元以下的罚款。</w:t>
            </w:r>
          </w:p>
        </w:tc>
      </w:tr>
      <w:tr w14:paraId="09D8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804" w:type="dxa"/>
            <w:vAlign w:val="center"/>
          </w:tcPr>
          <w:p w14:paraId="7C4085D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73C8433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医疗机构放射性同位素与较多易燃、易爆、腐蚀性物品（易燃品＞5kg，易爆品＞1kg，腐蚀品＞10L）等同库储存，储存时间超过30日以上，未造成实质性危害后果的。</w:t>
            </w:r>
          </w:p>
        </w:tc>
        <w:tc>
          <w:tcPr>
            <w:tcW w:w="4620" w:type="dxa"/>
            <w:vAlign w:val="center"/>
          </w:tcPr>
          <w:p w14:paraId="675A669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6D9F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804" w:type="dxa"/>
            <w:vAlign w:val="center"/>
          </w:tcPr>
          <w:p w14:paraId="2AF3CC8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54FE3F6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医疗机构放射性同位素与易燃、易爆、腐蚀性物品同库储存，造成危害后果或引发人员恐慌等不良社会影响的。</w:t>
            </w:r>
          </w:p>
        </w:tc>
        <w:tc>
          <w:tcPr>
            <w:tcW w:w="4620" w:type="dxa"/>
            <w:vAlign w:val="center"/>
          </w:tcPr>
          <w:p w14:paraId="402FE69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2A23809C">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386" w:name="_Toc9378"/>
      <w:bookmarkStart w:id="7387" w:name="_Toc22690"/>
      <w:bookmarkStart w:id="7388" w:name="_Toc28541"/>
      <w:bookmarkStart w:id="7389" w:name="_Toc13285"/>
      <w:bookmarkStart w:id="7390" w:name="_Toc12449"/>
      <w:bookmarkStart w:id="7391" w:name="_Toc21633"/>
      <w:bookmarkStart w:id="7392" w:name="_Toc15237"/>
      <w:bookmarkStart w:id="7393" w:name="_Toc18518"/>
      <w:bookmarkStart w:id="7394" w:name="_Toc16954"/>
      <w:bookmarkStart w:id="7395" w:name="_Toc27445"/>
      <w:bookmarkStart w:id="7396" w:name="_Toc19420"/>
      <w:r>
        <w:rPr>
          <w:rFonts w:hint="eastAsia" w:ascii="Times New Roman" w:hAnsi="Times New Roman" w:cs="仿宋_GB2312"/>
          <w:bCs/>
          <w:color w:val="000000" w:themeColor="text1"/>
          <w:kern w:val="0"/>
          <w14:textFill>
            <w14:solidFill>
              <w14:schemeClr w14:val="tx1"/>
            </w14:solidFill>
          </w14:textFill>
        </w:rPr>
        <w:t>第五百九十七</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医疗机构放射性同位素储存场所未采取有效的防泄漏等措施，未安装必要的报警装置的</w:t>
      </w:r>
      <w:bookmarkEnd w:id="7386"/>
      <w:bookmarkEnd w:id="7387"/>
      <w:bookmarkEnd w:id="7388"/>
      <w:bookmarkEnd w:id="7389"/>
      <w:bookmarkEnd w:id="7390"/>
      <w:bookmarkEnd w:id="7391"/>
      <w:bookmarkEnd w:id="7392"/>
      <w:bookmarkEnd w:id="7393"/>
      <w:bookmarkEnd w:id="7394"/>
      <w:bookmarkEnd w:id="7395"/>
      <w:bookmarkEnd w:id="7396"/>
    </w:p>
    <w:p w14:paraId="4A8B7A7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70ED75E9">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79A8D6B2">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26C190C0">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2.《放射诊疗管理规定》第二十一条第二款</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放射性同位素不得与易燃、易爆、腐蚀性物品同库储存；储存场所应当采取有效的防泄漏等措施，并安装必要的报警装置。</w:t>
      </w:r>
    </w:p>
    <w:p w14:paraId="40F8FE7E">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3968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66C1436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734AB01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5AE883E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B47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804" w:type="dxa"/>
            <w:shd w:val="clear" w:color="auto" w:fill="auto"/>
            <w:vAlign w:val="center"/>
          </w:tcPr>
          <w:p w14:paraId="49920F5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shd w:val="clear" w:color="auto" w:fill="auto"/>
            <w:vAlign w:val="center"/>
          </w:tcPr>
          <w:p w14:paraId="5CC15AB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医疗机构放射性同位素储存场所防泄漏措施部分不全但风险相对可控未造成任何污染或照射后果的。</w:t>
            </w:r>
          </w:p>
        </w:tc>
        <w:tc>
          <w:tcPr>
            <w:tcW w:w="4620" w:type="dxa"/>
            <w:shd w:val="clear" w:color="auto" w:fill="auto"/>
            <w:vAlign w:val="center"/>
          </w:tcPr>
          <w:p w14:paraId="4008091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2461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804" w:type="dxa"/>
            <w:vAlign w:val="center"/>
          </w:tcPr>
          <w:p w14:paraId="3B625CD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76DC8E0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医疗机构放射性同位素储存场所未采取有效的防泄漏等措施，或未安装必要的报警装置的。</w:t>
            </w:r>
          </w:p>
        </w:tc>
        <w:tc>
          <w:tcPr>
            <w:tcW w:w="4620" w:type="dxa"/>
            <w:vAlign w:val="center"/>
          </w:tcPr>
          <w:p w14:paraId="070AFDC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39DC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804" w:type="dxa"/>
            <w:vAlign w:val="center"/>
          </w:tcPr>
          <w:p w14:paraId="122DBE6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718973B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医疗机构放射性同位素储存场所未采取有效的防泄漏等措施，也未安装必要的报警装置的。</w:t>
            </w:r>
          </w:p>
        </w:tc>
        <w:tc>
          <w:tcPr>
            <w:tcW w:w="4620" w:type="dxa"/>
            <w:vAlign w:val="center"/>
          </w:tcPr>
          <w:p w14:paraId="35B07E0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6EF4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804" w:type="dxa"/>
            <w:vAlign w:val="center"/>
          </w:tcPr>
          <w:p w14:paraId="4142BC2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042C929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医疗机构放射性同位素储存场所未采取有效的防泄漏等措施，未安装必要的报警装置，已造成危害后果的。</w:t>
            </w:r>
          </w:p>
        </w:tc>
        <w:tc>
          <w:tcPr>
            <w:tcW w:w="4620" w:type="dxa"/>
            <w:vAlign w:val="center"/>
          </w:tcPr>
          <w:p w14:paraId="7DAD80A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给予警告，责令限期改正；并处7000以上一万元以下的罚款。</w:t>
            </w:r>
          </w:p>
        </w:tc>
      </w:tr>
    </w:tbl>
    <w:p w14:paraId="29610925">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397" w:name="_Toc105"/>
      <w:bookmarkStart w:id="7398" w:name="_Toc7608"/>
      <w:bookmarkStart w:id="7399" w:name="_Toc23059"/>
      <w:bookmarkStart w:id="7400" w:name="_Toc28780"/>
      <w:bookmarkStart w:id="7401" w:name="_Toc28411"/>
      <w:bookmarkStart w:id="7402" w:name="_Toc32738"/>
      <w:bookmarkStart w:id="7403" w:name="_Toc23510"/>
      <w:bookmarkStart w:id="7404" w:name="_Toc9364"/>
      <w:bookmarkStart w:id="7405" w:name="_Toc3585"/>
      <w:bookmarkStart w:id="7406" w:name="_Toc2415"/>
      <w:bookmarkStart w:id="7407" w:name="_Toc31864"/>
      <w:r>
        <w:rPr>
          <w:rFonts w:hint="eastAsia" w:ascii="Times New Roman" w:hAnsi="Times New Roman" w:cs="仿宋_GB2312"/>
          <w:bCs/>
          <w:color w:val="000000" w:themeColor="text1"/>
          <w:kern w:val="0"/>
          <w14:textFill>
            <w14:solidFill>
              <w14:schemeClr w14:val="tx1"/>
            </w14:solidFill>
          </w14:textFill>
        </w:rPr>
        <w:t>第五百九十八</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医疗机构放射性同位素储存场所无专人负责，无完善的存入、领取、归还登记和检查的制度，未做到交接严格，检查及时，账目清楚，账物相符，记录资料完整的</w:t>
      </w:r>
      <w:bookmarkEnd w:id="7397"/>
      <w:bookmarkEnd w:id="7398"/>
      <w:bookmarkEnd w:id="7399"/>
      <w:bookmarkEnd w:id="7400"/>
      <w:bookmarkEnd w:id="7401"/>
      <w:bookmarkEnd w:id="7402"/>
      <w:bookmarkEnd w:id="7403"/>
      <w:bookmarkEnd w:id="7404"/>
      <w:bookmarkEnd w:id="7405"/>
      <w:bookmarkEnd w:id="7406"/>
      <w:bookmarkEnd w:id="7407"/>
    </w:p>
    <w:p w14:paraId="2C8F34A8">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E50A91A">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5174624B">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34C5633A">
      <w:pPr>
        <w:widowControl w:val="0"/>
        <w:spacing w:after="0" w:line="440" w:lineRule="exact"/>
        <w:ind w:firstLine="630"/>
        <w:rPr>
          <w:rFonts w:hint="eastAsia" w:ascii="Times New Roman" w:hAnsi="Times New Roman" w:eastAsia="仿宋_GB2312" w:cs="仿宋_GB2312"/>
          <w:color w:val="000000" w:themeColor="text1"/>
          <w:spacing w:val="-6"/>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w:t>
      </w:r>
      <w:r>
        <w:rPr>
          <w:rFonts w:hint="eastAsia" w:ascii="Times New Roman" w:hAnsi="Times New Roman" w:eastAsia="仿宋_GB2312" w:cs="仿宋_GB2312"/>
          <w:color w:val="000000" w:themeColor="text1"/>
          <w:spacing w:val="-6"/>
          <w:sz w:val="32"/>
          <w:szCs w:val="32"/>
          <w14:textFill>
            <w14:solidFill>
              <w14:schemeClr w14:val="tx1"/>
            </w14:solidFill>
          </w14:textFill>
        </w:rPr>
        <w:t>《放射诊疗管理规定》第二十一条第三款</w:t>
      </w:r>
      <w:r>
        <w:rPr>
          <w:rFonts w:hint="eastAsia" w:ascii="Times New Roman" w:hAnsi="Times New Roman" w:eastAsia="仿宋_GB2312" w:cs="仿宋_GB2312"/>
          <w:color w:val="000000" w:themeColor="text1"/>
          <w:spacing w:val="-6"/>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pacing w:val="-6"/>
          <w:sz w:val="32"/>
          <w:szCs w:val="32"/>
          <w14:textFill>
            <w14:solidFill>
              <w14:schemeClr w14:val="tx1"/>
            </w14:solidFill>
          </w14:textFill>
        </w:rPr>
        <w:t>放射性同位素储存场所应当有专人负责，有完善的存入、领取、归还登记和检查的制度，做到交接严格，检查及时，账目清楚，账物相符，记录资料完整。</w:t>
      </w:r>
    </w:p>
    <w:p w14:paraId="054EC850">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7CCC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442967A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22386C6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65BE89F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AFE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shd w:val="clear" w:color="auto" w:fill="auto"/>
            <w:vAlign w:val="center"/>
          </w:tcPr>
          <w:p w14:paraId="410385F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shd w:val="clear" w:color="auto" w:fill="auto"/>
            <w:vAlign w:val="center"/>
          </w:tcPr>
          <w:p w14:paraId="1493881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医疗机构放射性同位素储存场所有专人负责，但无完善的存入、领取、归还登记和检查的制度的。</w:t>
            </w:r>
          </w:p>
        </w:tc>
        <w:tc>
          <w:tcPr>
            <w:tcW w:w="4620" w:type="dxa"/>
            <w:shd w:val="clear" w:color="auto" w:fill="auto"/>
            <w:vAlign w:val="center"/>
          </w:tcPr>
          <w:p w14:paraId="4DD1194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13BF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804" w:type="dxa"/>
            <w:vAlign w:val="center"/>
          </w:tcPr>
          <w:p w14:paraId="2CEB710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347648D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医疗机构放射性同位素储存场所无专人负责的。</w:t>
            </w:r>
          </w:p>
        </w:tc>
        <w:tc>
          <w:tcPr>
            <w:tcW w:w="4620" w:type="dxa"/>
            <w:vAlign w:val="center"/>
          </w:tcPr>
          <w:p w14:paraId="6053DE5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786D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804" w:type="dxa"/>
            <w:vAlign w:val="center"/>
          </w:tcPr>
          <w:p w14:paraId="4C80779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60B1E80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医疗机构放射性同位素储存场所无完善的存入、领取、归还登记和检查的制度，未做到交接严格，检查及时，账目清楚，账物相符，记录资料完整的。</w:t>
            </w:r>
          </w:p>
        </w:tc>
        <w:tc>
          <w:tcPr>
            <w:tcW w:w="4620" w:type="dxa"/>
            <w:vAlign w:val="center"/>
          </w:tcPr>
          <w:p w14:paraId="3C0320C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6F9E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0E54D81B">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7A97CDB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医疗机构放射性同位素储存场所无专人负责，无完善的存入、领取、归还登记和检查的制度，未做到交接严格，检查及时，账目清楚，账物相符，记录资料完整，造成严重后果的。</w:t>
            </w:r>
          </w:p>
        </w:tc>
        <w:tc>
          <w:tcPr>
            <w:tcW w:w="4620" w:type="dxa"/>
            <w:vAlign w:val="center"/>
          </w:tcPr>
          <w:p w14:paraId="1B34065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2007742C">
      <w:pPr>
        <w:widowControl w:val="0"/>
        <w:spacing w:before="0" w:beforeLines="0" w:after="0" w:afterLines="0" w:line="440" w:lineRule="exact"/>
        <w:ind w:firstLine="643" w:firstLineChars="200"/>
        <w:jc w:val="both"/>
        <w:outlineLvl w:val="2"/>
        <w:rPr>
          <w:rFonts w:hint="eastAsia" w:ascii="Times New Roman" w:hAnsi="Times New Roman" w:eastAsia="仿宋_GB2312" w:cs="仿宋_GB2312"/>
          <w:b/>
          <w:bCs/>
          <w:color w:val="000000" w:themeColor="text1"/>
          <w:sz w:val="32"/>
          <w:szCs w:val="32"/>
          <w14:textFill>
            <w14:solidFill>
              <w14:schemeClr w14:val="tx1"/>
            </w14:solidFill>
          </w14:textFill>
        </w:rPr>
      </w:pPr>
      <w:bookmarkStart w:id="7408" w:name="_Toc17739"/>
      <w:bookmarkStart w:id="7409" w:name="_Toc2794"/>
      <w:bookmarkStart w:id="7410" w:name="_Toc23343"/>
      <w:bookmarkStart w:id="7411" w:name="_Toc7261"/>
      <w:bookmarkStart w:id="7412" w:name="_Toc13695"/>
      <w:bookmarkStart w:id="7413" w:name="_Toc1942"/>
      <w:bookmarkStart w:id="7414" w:name="_Toc5913"/>
      <w:bookmarkStart w:id="7415" w:name="_Toc22043"/>
      <w:bookmarkStart w:id="7416" w:name="_Toc16682"/>
      <w:bookmarkStart w:id="7417" w:name="_Toc29959"/>
      <w:bookmarkStart w:id="7418" w:name="_Toc12594"/>
      <w:r>
        <w:rPr>
          <w:rFonts w:hint="eastAsia" w:ascii="Times New Roman" w:hAnsi="Times New Roman" w:eastAsia="仿宋_GB2312" w:cs="仿宋_GB2312"/>
          <w:b/>
          <w:bCs/>
          <w:color w:val="000000" w:themeColor="text1"/>
          <w:kern w:val="0"/>
          <w:sz w:val="32"/>
          <w:szCs w:val="32"/>
          <w14:textFill>
            <w14:solidFill>
              <w14:schemeClr w14:val="tx1"/>
            </w14:solidFill>
          </w14:textFill>
        </w:rPr>
        <w:t>第五百九十九条</w:t>
      </w:r>
      <w:r>
        <w:rPr>
          <w:rFonts w:hint="eastAsia" w:ascii="Times New Roman" w:hAnsi="Times New Roman" w:eastAsia="仿宋_GB2312" w:cs="仿宋_GB2312"/>
          <w:b/>
          <w:bCs/>
          <w:color w:val="000000" w:themeColor="text1"/>
          <w:sz w:val="32"/>
          <w:szCs w:val="32"/>
          <w14:textFill>
            <w14:solidFill>
              <w14:schemeClr w14:val="tx1"/>
            </w14:solidFill>
          </w14:textFill>
        </w:rPr>
        <w:t xml:space="preserve"> 开展核医学诊疗的医疗机构，未遵守相应的操作规范、规程，防止放射性同位素污染人体、设备、工作场所和环境；未按照有关标准的规定对接受体内放射性药物诊治的患者进行控制，避免其他患者和公众受到超过允许水平的照射的</w:t>
      </w:r>
      <w:bookmarkEnd w:id="7408"/>
      <w:bookmarkEnd w:id="7409"/>
      <w:bookmarkEnd w:id="7410"/>
      <w:bookmarkEnd w:id="7411"/>
      <w:bookmarkEnd w:id="7412"/>
      <w:bookmarkEnd w:id="7413"/>
      <w:bookmarkEnd w:id="7414"/>
      <w:bookmarkEnd w:id="7415"/>
      <w:bookmarkEnd w:id="7416"/>
      <w:bookmarkEnd w:id="7417"/>
      <w:bookmarkEnd w:id="7418"/>
    </w:p>
    <w:p w14:paraId="4E42249E">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7CFABD0C">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29CB5019">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1FD01588">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2.《放射诊疗管理规定》第二十九条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开展核医学诊疗的医疗机构，应当遵守相应的操作规范、规程，防止放射性同位素污染人体、设备、工作场所和环境；按照有关标准的规定对接受体内放射性药物诊治的患者进行控制，避免其他患者和公众受到超过允许水平的照射。</w:t>
      </w:r>
    </w:p>
    <w:p w14:paraId="3F78CE53">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1654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35D842AE">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2707465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582F803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75E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2B5A251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4D731FC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开展核医学诊疗的医疗机构，操作记录不规范，但实际操作未偏离规程；对诊断患者防护告知不全，但患者均在专用候诊区等候；未造成可测量的污染或人员额外照射的。</w:t>
            </w:r>
          </w:p>
        </w:tc>
        <w:tc>
          <w:tcPr>
            <w:tcW w:w="4620" w:type="dxa"/>
            <w:vAlign w:val="center"/>
          </w:tcPr>
          <w:p w14:paraId="0157D1A8">
            <w:pPr>
              <w:widowControl w:val="0"/>
              <w:adjustRightInd/>
              <w:snapToGrid/>
              <w:spacing w:after="0" w:line="320" w:lineRule="exact"/>
              <w:ind w:left="0" w:firstLine="0" w:firstLineChars="0"/>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元以下的罚款。</w:t>
            </w:r>
          </w:p>
        </w:tc>
      </w:tr>
      <w:tr w14:paraId="7BE8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1D3539B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6B0CE15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开展核医学诊疗的医疗机构，未遵守相应的操作规范、规程；且未按照有关标准的规定对接受体内放射性药物诊治的患者进行控制，发生小范围、低水平的表面污染，但能及时去污；让治疗剂量患者与非放射工作人员同处一室，但时间短暂；未造成经证实的超剂量照射的。</w:t>
            </w:r>
          </w:p>
        </w:tc>
        <w:tc>
          <w:tcPr>
            <w:tcW w:w="4620" w:type="dxa"/>
            <w:vAlign w:val="center"/>
          </w:tcPr>
          <w:p w14:paraId="0AEB243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给予警告，责令限期改正；并可处1000 元以上3000 元以下的罚款。</w:t>
            </w:r>
          </w:p>
        </w:tc>
      </w:tr>
      <w:tr w14:paraId="588F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69EE397B">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005558B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开展核医学诊疗的医疗机构，未遵守相应的操作规范、规程，致使放射性同位素污染人体、设备、工作场所和环境；或未按照有关标准的规定对接受体内放射性药物诊治的患者进行控制，致使1名其他患者和公众受到低于剂量限值的照射。</w:t>
            </w:r>
          </w:p>
        </w:tc>
        <w:tc>
          <w:tcPr>
            <w:tcW w:w="4620" w:type="dxa"/>
            <w:vAlign w:val="center"/>
          </w:tcPr>
          <w:p w14:paraId="664C71D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4F3B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3CC9F2F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3E19213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有下列情形之一的：</w:t>
            </w:r>
          </w:p>
          <w:p w14:paraId="10AB43F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A.开展核医学诊疗的医疗机构，未遵守相应的操作规范、规程，致使放射性同位素污染人体、设备、工作场所和环境；也未按照有关标准的规定对接受体内放射性药物诊治的患者进行控制，致使2名以上其他患者和公众受到超过允许水平的照射的；</w:t>
            </w:r>
          </w:p>
          <w:p w14:paraId="1AE178F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B.开展核医学诊疗的医疗机构，未遵守相应的操作规范、规程，或未按照有关标准的规定对接受体内放射性药物诊治的患者进行控制，造成其他严重后果的。</w:t>
            </w:r>
          </w:p>
        </w:tc>
        <w:tc>
          <w:tcPr>
            <w:tcW w:w="4620" w:type="dxa"/>
            <w:vAlign w:val="center"/>
          </w:tcPr>
          <w:p w14:paraId="0D53966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45C0CFAE">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419" w:name="_Toc3944"/>
      <w:bookmarkStart w:id="7420" w:name="_Toc21243"/>
      <w:bookmarkStart w:id="7421" w:name="_Toc4577"/>
      <w:bookmarkStart w:id="7422" w:name="_Toc27845"/>
      <w:bookmarkStart w:id="7423" w:name="_Toc4456"/>
      <w:bookmarkStart w:id="7424" w:name="_Toc3800"/>
      <w:bookmarkStart w:id="7425" w:name="_Toc3455"/>
      <w:bookmarkStart w:id="7426" w:name="_Toc10518"/>
      <w:bookmarkStart w:id="7427" w:name="_Toc9353"/>
      <w:bookmarkStart w:id="7428" w:name="_Toc18750"/>
      <w:bookmarkStart w:id="7429" w:name="_Toc29146"/>
      <w:r>
        <w:rPr>
          <w:rFonts w:hint="eastAsia" w:ascii="Times New Roman" w:hAnsi="Times New Roman" w:cs="仿宋_GB2312"/>
          <w:bCs/>
          <w:color w:val="000000" w:themeColor="text1"/>
          <w:kern w:val="0"/>
          <w14:textFill>
            <w14:solidFill>
              <w14:schemeClr w14:val="tx1"/>
            </w14:solidFill>
          </w14:textFill>
        </w:rPr>
        <w:t>第六百</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医疗机构核医学诊疗产生的放射性固体废物、废液及患者的放射性排出物未单独收集，未与其他废物、废液分开存放，未按照国家有关规定处理的</w:t>
      </w:r>
      <w:bookmarkEnd w:id="7419"/>
      <w:bookmarkEnd w:id="7420"/>
      <w:bookmarkEnd w:id="7421"/>
      <w:bookmarkEnd w:id="7422"/>
      <w:bookmarkEnd w:id="7423"/>
      <w:bookmarkEnd w:id="7424"/>
      <w:bookmarkEnd w:id="7425"/>
      <w:bookmarkEnd w:id="7426"/>
      <w:bookmarkEnd w:id="7427"/>
      <w:bookmarkEnd w:id="7428"/>
      <w:bookmarkEnd w:id="7429"/>
    </w:p>
    <w:p w14:paraId="50E19419">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06BC147">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1.《放射诊疗管理规定》第四十一条第（七）项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医疗机构违反本规定，有下列行为之一的，由县级以上卫生行政部门给予警告，责令限期改正；并可处一万元以下的罚款：</w:t>
      </w:r>
    </w:p>
    <w:p w14:paraId="4F7FD6BA">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（七）违反本规定的其他情形。</w:t>
      </w:r>
    </w:p>
    <w:p w14:paraId="091351FF">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2.《放射诊疗管理规定》第三十条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核医学诊疗产生的放射性固体废物、废液及患者的放射性排出物应当单独收集，与其他废物、废液分开存放，按照国家有关规定处理。</w:t>
      </w:r>
    </w:p>
    <w:p w14:paraId="0026CE40">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835"/>
        <w:gridCol w:w="4361"/>
      </w:tblGrid>
      <w:tr w14:paraId="22E6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245C65C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835" w:type="dxa"/>
            <w:vAlign w:val="center"/>
          </w:tcPr>
          <w:p w14:paraId="5931D26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361" w:type="dxa"/>
            <w:vAlign w:val="center"/>
          </w:tcPr>
          <w:p w14:paraId="179B77B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01AE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shd w:val="clear" w:color="auto" w:fill="auto"/>
            <w:vAlign w:val="center"/>
          </w:tcPr>
          <w:p w14:paraId="7460515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835" w:type="dxa"/>
            <w:shd w:val="clear" w:color="auto" w:fill="auto"/>
            <w:vAlign w:val="center"/>
          </w:tcPr>
          <w:p w14:paraId="18DBA30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核医学诊疗产生的少量短半衰期诊断性固体废物、废液及患者的放射性排出物未单独收集，未与其他废物、废液分开存放，或未按照国家有关规定处理，未造成任何污染或照射后果的。</w:t>
            </w:r>
          </w:p>
        </w:tc>
        <w:tc>
          <w:tcPr>
            <w:tcW w:w="4361" w:type="dxa"/>
            <w:shd w:val="clear" w:color="auto" w:fill="auto"/>
            <w:vAlign w:val="center"/>
          </w:tcPr>
          <w:p w14:paraId="48CA24A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给予警告，责令限期改正；并处1000 元以下的罚款。</w:t>
            </w:r>
          </w:p>
        </w:tc>
      </w:tr>
      <w:tr w14:paraId="2011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5135AB7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835" w:type="dxa"/>
            <w:vAlign w:val="center"/>
          </w:tcPr>
          <w:p w14:paraId="789D9F1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核医学诊疗产生的放射性固体废物、废液及患者的放射性排出物未单独收集，未与其他废物、废液分开存放，或未按照国家有关规定处理，存在可预见的污染风险的。</w:t>
            </w:r>
          </w:p>
        </w:tc>
        <w:tc>
          <w:tcPr>
            <w:tcW w:w="4361" w:type="dxa"/>
            <w:vAlign w:val="center"/>
          </w:tcPr>
          <w:p w14:paraId="31BF06A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给予警告，责令限期改正；并处1000 元以上3000 元以下的罚款。</w:t>
            </w:r>
          </w:p>
        </w:tc>
      </w:tr>
      <w:tr w14:paraId="17D6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2238B63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835" w:type="dxa"/>
            <w:vAlign w:val="center"/>
          </w:tcPr>
          <w:p w14:paraId="4C9F320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核医学诊疗产生的放射性固体废物、废液及患者的放射性排出物未单独收集，未与其他废物、废液分开存放，且未按照国家有关规定处理，监测发现废物暂存区外环境辐射水平升高，或普通垃圾中发现放射性废物，需要启动应急处理或管理缺失严重的。</w:t>
            </w:r>
          </w:p>
        </w:tc>
        <w:tc>
          <w:tcPr>
            <w:tcW w:w="4361" w:type="dxa"/>
            <w:vAlign w:val="center"/>
          </w:tcPr>
          <w:p w14:paraId="2269ADE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给予警告，责令限期改正；并处3000 元以上7000元以下的罚款。</w:t>
            </w:r>
          </w:p>
        </w:tc>
      </w:tr>
      <w:tr w14:paraId="36CB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6504EBC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835" w:type="dxa"/>
            <w:vAlign w:val="center"/>
          </w:tcPr>
          <w:p w14:paraId="6F46D16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核医学诊疗产生的放射性固体废物、废液及患者的放射性排出物未单独收集，未与其他废物、废液分开存放，或未按照国家有关规定处理，造成严重后果的。</w:t>
            </w:r>
          </w:p>
        </w:tc>
        <w:tc>
          <w:tcPr>
            <w:tcW w:w="4361" w:type="dxa"/>
            <w:vAlign w:val="center"/>
          </w:tcPr>
          <w:p w14:paraId="0D678923">
            <w:pPr>
              <w:widowControl w:val="0"/>
              <w:adjustRightInd/>
              <w:snapToGrid/>
              <w:spacing w:after="0" w:line="320" w:lineRule="exact"/>
              <w:ind w:left="0" w:firstLine="0" w:firstLineChars="0"/>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给予警告，责令限期改正；并处7000元以上一万元以下的罚款。</w:t>
            </w:r>
          </w:p>
        </w:tc>
      </w:tr>
    </w:tbl>
    <w:p w14:paraId="71BC9019">
      <w:pPr>
        <w:widowControl w:val="0"/>
        <w:numPr>
          <w:ilvl w:val="255"/>
          <w:numId w:val="0"/>
        </w:numPr>
        <w:adjustRightInd/>
        <w:snapToGrid/>
        <w:spacing w:before="157" w:beforeLines="50" w:after="157" w:afterLines="50" w:line="440" w:lineRule="exact"/>
        <w:ind w:firstLine="643" w:firstLineChars="200"/>
        <w:rPr>
          <w:rFonts w:hint="eastAsia" w:ascii="Times New Roman" w:hAnsi="Times New Roman" w:eastAsia="楷体_GB2312" w:cs="仿宋_GB2312"/>
          <w:b/>
          <w:bCs/>
          <w:color w:val="000000" w:themeColor="text1"/>
          <w:sz w:val="32"/>
          <w:szCs w:val="32"/>
          <w:highlight w:val="none"/>
          <w14:textFill>
            <w14:solidFill>
              <w14:schemeClr w14:val="tx1"/>
            </w14:solidFill>
          </w14:textFill>
        </w:rPr>
      </w:pPr>
      <w:bookmarkStart w:id="7430" w:name="_Toc20635"/>
      <w:bookmarkStart w:id="7431" w:name="_Toc12642"/>
      <w:r>
        <w:rPr>
          <w:rFonts w:hint="eastAsia" w:ascii="Times New Roman" w:hAnsi="Times New Roman" w:eastAsia="楷体_GB2312" w:cs="仿宋_GB2312"/>
          <w:b/>
          <w:bCs/>
          <w:color w:val="000000" w:themeColor="text1"/>
          <w:sz w:val="32"/>
          <w:szCs w:val="32"/>
          <w:highlight w:val="none"/>
          <w14:textFill>
            <w14:solidFill>
              <w14:schemeClr w14:val="tx1"/>
            </w14:solidFill>
          </w14:textFill>
        </w:rPr>
        <w:t>（二）《中华人民共和国职业病防治法》</w:t>
      </w:r>
      <w:bookmarkEnd w:id="7430"/>
      <w:bookmarkEnd w:id="7431"/>
    </w:p>
    <w:p w14:paraId="64E7FDE2">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432" w:name="_Toc6291"/>
      <w:bookmarkStart w:id="7433" w:name="_Toc20441"/>
      <w:bookmarkStart w:id="7434" w:name="_Toc4457"/>
      <w:bookmarkStart w:id="7435" w:name="_Toc12912"/>
      <w:bookmarkStart w:id="7436" w:name="_Toc9061"/>
      <w:bookmarkStart w:id="7437" w:name="_Toc580"/>
      <w:bookmarkStart w:id="7438" w:name="_Toc15646"/>
      <w:bookmarkStart w:id="7439" w:name="_Toc17363"/>
      <w:bookmarkStart w:id="7440" w:name="_Toc9306"/>
      <w:bookmarkStart w:id="7441" w:name="_Toc29738"/>
      <w:bookmarkStart w:id="7442" w:name="_Toc27656"/>
      <w:r>
        <w:rPr>
          <w:rFonts w:hint="eastAsia" w:ascii="Times New Roman" w:hAnsi="Times New Roman" w:cs="仿宋_GB2312"/>
          <w:bCs/>
          <w:color w:val="000000" w:themeColor="text1"/>
          <w:kern w:val="0"/>
          <w14:textFill>
            <w14:solidFill>
              <w14:schemeClr w14:val="tx1"/>
            </w14:solidFill>
          </w14:textFill>
        </w:rPr>
        <w:t>第六百零一</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未按规定对可能产生放射性职业病危害的建设项目进行职业病危害预评价或者放射性职业病危害预评价报告未经卫生行政部门审核同意即开工建设的</w:t>
      </w:r>
      <w:bookmarkEnd w:id="7432"/>
      <w:bookmarkEnd w:id="7433"/>
      <w:bookmarkEnd w:id="7434"/>
      <w:bookmarkEnd w:id="7435"/>
      <w:bookmarkEnd w:id="7436"/>
      <w:bookmarkEnd w:id="7437"/>
      <w:bookmarkEnd w:id="7438"/>
      <w:bookmarkEnd w:id="7439"/>
      <w:bookmarkEnd w:id="7440"/>
      <w:bookmarkEnd w:id="7441"/>
      <w:bookmarkEnd w:id="7442"/>
    </w:p>
    <w:p w14:paraId="47186EB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FCA5394">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1.《中华人民共和国职业病防治法》第六十九条第（一）、（二）项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7F3CF2D0">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 xml:space="preserve">（一）未按照规定进行职业病危害预评价的。 </w:t>
      </w:r>
    </w:p>
    <w:p w14:paraId="2D64DE97">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（二）医疗机构可能产生放射性职业病危害的建设项目未按照规定提交放射性职业病危害预评价报告，或者放射性职业病危害预评价报告未经卫生行政部门审核同意，开工建设的；</w:t>
      </w:r>
      <w:r>
        <w:rPr>
          <w:rFonts w:hint="eastAsia" w:ascii="Times New Roman" w:hAnsi="Times New Roman" w:eastAsia="宋体" w:cs="Times New Roman"/>
          <w:color w:val="000000" w:themeColor="text1"/>
          <w:sz w:val="28"/>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 xml:space="preserve"> </w:t>
      </w:r>
    </w:p>
    <w:p w14:paraId="1AF22BFB">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2.《中华人民共和国职业病防治法》第八十七条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对医疗机构放射性职业病危害控制的监督管理，由卫生行政部门依照本法的规定实施。</w:t>
      </w:r>
    </w:p>
    <w:p w14:paraId="0332AF39">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3.《放射诊疗管理规定》第四十条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医疗机构违反建设项目卫生审查、竣工验收有关规定的，按照《中华人民共和国职业病防治法》的规定进行处罚。</w:t>
      </w:r>
    </w:p>
    <w:p w14:paraId="6AA63B03">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4.《放射诊疗管理规定》第十二条第一款</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新建、扩建、改建放射诊疗建设项目，医疗机构应当在建设项目施工前向相应的卫生行政部门提交职业病危害放射防护预评价报告，申请进行建设项目卫生审查。立体定向放射治疗、质子治疗、重离子治疗、带回旋加速器的正电子发射断层扫描诊断等放射诊疗建设项目，还应当提交卫生部指定的放射卫生技术机构出具的预评价报告技术审查意见。</w:t>
      </w:r>
    </w:p>
    <w:p w14:paraId="231D5B9E">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32AB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1D715BF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45D993C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3034267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3A6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shd w:val="clear" w:color="auto" w:fill="auto"/>
            <w:vAlign w:val="center"/>
          </w:tcPr>
          <w:p w14:paraId="0649943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576" w:type="dxa"/>
            <w:shd w:val="clear" w:color="auto" w:fill="auto"/>
            <w:vAlign w:val="center"/>
          </w:tcPr>
          <w:p w14:paraId="00F74B7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未按规定对放射性职业病危害建设项目职业病危害预评价或放射性职业病危害预评价报告未经卫生行政部门审核同意即开工建设的。</w:t>
            </w:r>
          </w:p>
        </w:tc>
        <w:tc>
          <w:tcPr>
            <w:tcW w:w="4620" w:type="dxa"/>
            <w:shd w:val="clear" w:color="auto" w:fill="auto"/>
            <w:vAlign w:val="center"/>
          </w:tcPr>
          <w:p w14:paraId="099DA0B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w:t>
            </w:r>
          </w:p>
        </w:tc>
      </w:tr>
      <w:tr w14:paraId="48DD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4273929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1DB2A4F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未按规定对放射性职业病危害一般的建设项目（不含CT、DSA）进行职业病危害预评价或放射性职业病危害预评价报告未经卫生行政部门审核同意即开工建设，经警告，逾期不改正的。</w:t>
            </w:r>
          </w:p>
        </w:tc>
        <w:tc>
          <w:tcPr>
            <w:tcW w:w="4620" w:type="dxa"/>
            <w:vAlign w:val="center"/>
          </w:tcPr>
          <w:p w14:paraId="4B7A3FC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处十万元以上十五万元以下的罚款。</w:t>
            </w:r>
          </w:p>
        </w:tc>
      </w:tr>
      <w:tr w14:paraId="3790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12B1750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2161D6B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未按规定对CT 或DSA 建设项目进行职业病危害预评价或预评价报告未经卫生行政部门审核同意即开工建设的，经警告，逾期不改正的。</w:t>
            </w:r>
          </w:p>
        </w:tc>
        <w:tc>
          <w:tcPr>
            <w:tcW w:w="4620" w:type="dxa"/>
            <w:vAlign w:val="center"/>
          </w:tcPr>
          <w:p w14:paraId="25003AC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处十五万元以上二十万元以下的罚款。</w:t>
            </w:r>
          </w:p>
        </w:tc>
      </w:tr>
      <w:tr w14:paraId="0083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0ADF15B2">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0FE62EF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未按规定对放射性职业病危害严重的建设项目进行职业病危害预评价或预评价报告未经卫生行政部门审核同意即开工建设，建设项目数目为1-2 项，经警告，逾期不改正的。</w:t>
            </w:r>
          </w:p>
        </w:tc>
        <w:tc>
          <w:tcPr>
            <w:tcW w:w="4620" w:type="dxa"/>
            <w:vAlign w:val="center"/>
          </w:tcPr>
          <w:p w14:paraId="0FEE4EF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处二十万元以上五十万元以下的罚款。</w:t>
            </w:r>
          </w:p>
        </w:tc>
      </w:tr>
      <w:tr w14:paraId="778B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74CEA61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特别严重</w:t>
            </w:r>
          </w:p>
        </w:tc>
        <w:tc>
          <w:tcPr>
            <w:tcW w:w="7576" w:type="dxa"/>
            <w:vAlign w:val="center"/>
          </w:tcPr>
          <w:p w14:paraId="5B135F0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w:t>
            </w:r>
          </w:p>
          <w:p w14:paraId="1B43D34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A.未按规定对放射性职业病危害严重的建设项目进行职业病危害预评</w:t>
            </w:r>
          </w:p>
          <w:p w14:paraId="7224089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价或预评价报告未经卫生行政部门审核同意即开工建设的，建设项目数目为3 项及以上，经警告，逾期不改正的；</w:t>
            </w:r>
          </w:p>
          <w:p w14:paraId="08F5832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B.未按规定对可能产生放射性职业病危害的建设项目进行职业病危害</w:t>
            </w:r>
          </w:p>
          <w:p w14:paraId="001D7DD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预评价或预评价报告未经卫生行政部门审核同意即开工建设，经警告，逾期不改正的，造成严重后果的。</w:t>
            </w:r>
          </w:p>
        </w:tc>
        <w:tc>
          <w:tcPr>
            <w:tcW w:w="4620" w:type="dxa"/>
            <w:vAlign w:val="center"/>
          </w:tcPr>
          <w:p w14:paraId="45B6A01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处五十万元的罚款，责令停止产生职业病危害的作业或者提请有关人民政府按照国务院规定的权限责令停建、关闭。</w:t>
            </w:r>
          </w:p>
        </w:tc>
      </w:tr>
    </w:tbl>
    <w:p w14:paraId="5A7CBD14">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443" w:name="_Toc20954"/>
      <w:bookmarkStart w:id="7444" w:name="_Toc20727"/>
      <w:bookmarkStart w:id="7445" w:name="_Toc31559"/>
      <w:bookmarkStart w:id="7446" w:name="_Toc14712"/>
      <w:bookmarkStart w:id="7447" w:name="_Toc19057"/>
      <w:bookmarkStart w:id="7448" w:name="_Toc81"/>
      <w:bookmarkStart w:id="7449" w:name="_Toc22190"/>
      <w:bookmarkStart w:id="7450" w:name="_Toc24771"/>
      <w:bookmarkStart w:id="7451" w:name="_Toc26390"/>
      <w:bookmarkStart w:id="7452" w:name="_Toc28094"/>
      <w:bookmarkStart w:id="7453" w:name="_Toc20439"/>
      <w:r>
        <w:rPr>
          <w:rFonts w:hint="eastAsia" w:ascii="Times New Roman" w:hAnsi="Times New Roman" w:cs="仿宋_GB2312"/>
          <w:bCs/>
          <w:color w:val="000000" w:themeColor="text1"/>
          <w:kern w:val="0"/>
          <w14:textFill>
            <w14:solidFill>
              <w14:schemeClr w14:val="tx1"/>
            </w14:solidFill>
          </w14:textFill>
        </w:rPr>
        <w:t>第六百零二</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按照规定对放射性职业病防护设施进行职业病危害控制效果评价的</w:t>
      </w:r>
      <w:bookmarkEnd w:id="7443"/>
      <w:bookmarkEnd w:id="7444"/>
      <w:bookmarkEnd w:id="7445"/>
      <w:bookmarkEnd w:id="7446"/>
      <w:bookmarkEnd w:id="7447"/>
      <w:bookmarkEnd w:id="7448"/>
      <w:bookmarkEnd w:id="7449"/>
      <w:bookmarkEnd w:id="7450"/>
      <w:bookmarkEnd w:id="7451"/>
      <w:bookmarkEnd w:id="7452"/>
      <w:bookmarkEnd w:id="7453"/>
    </w:p>
    <w:p w14:paraId="6D0E3AB2">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87A0034">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1.《中华人民共和国职业病防治法》第六十九条第（五）项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5A91F9E8">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（五）未按照规定对职业病防护设施进行职业病危害控制效果评价的。</w:t>
      </w:r>
    </w:p>
    <w:p w14:paraId="0FDF0D71">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2.《中华人民共和国职业病防治法》第八十七条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对医疗机构放射性职业病危害控制的监督管理，由卫生行政部门依照本法的规定实施。</w:t>
      </w:r>
    </w:p>
    <w:p w14:paraId="69FABFA4">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3.《放射诊疗管理规定》第四十条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医疗机构违反建设项目卫生审查、竣工验收有关规定的，按照《中华人民共和国职业病防治法》的规定进行处罚。</w:t>
      </w:r>
    </w:p>
    <w:p w14:paraId="6B0DFCDC">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4.《放射诊疗管理规定》第十三条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医疗机构在放射诊疗建设项目竣工验收前，应当进行职业病危害控制效果评价；并向相应的卫生行政部门提交下列资料，申请进行卫生验收：</w:t>
      </w:r>
      <w:r>
        <w:rPr>
          <w:rFonts w:ascii="Times New Roman" w:hAnsi="Times New Roman" w:eastAsia="仿宋_GB2312" w:cs="仿宋_GB2312"/>
          <w:color w:val="000000" w:themeColor="text1"/>
          <w:sz w:val="32"/>
          <w:szCs w:val="32"/>
          <w14:textFill>
            <w14:solidFill>
              <w14:schemeClr w14:val="tx1"/>
            </w14:solidFill>
          </w14:textFill>
        </w:rPr>
        <w:t xml:space="preserve"> </w:t>
      </w:r>
    </w:p>
    <w:p w14:paraId="67B2FDE8">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（一）建设项目竣工卫生验收申请；</w:t>
      </w:r>
    </w:p>
    <w:p w14:paraId="446F1AD6">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（二）建设项目卫生审查资料；</w:t>
      </w:r>
    </w:p>
    <w:p w14:paraId="4A51918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（三）职业病危害控制效果放射防护评价报告；</w:t>
      </w:r>
    </w:p>
    <w:p w14:paraId="4BD66187">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放射诊疗建设项目验收报告。立体定向放射治疗、质子治疗、重离子治疗、带回旋加速器的正电子发射断层扫描诊断等放射诊疗建设项目，应当提交卫生部指定的放射卫生技术机构出具的职业病危害控制效果评价报告技术审查意见和设备性能检测报告。</w:t>
      </w:r>
    </w:p>
    <w:p w14:paraId="3244CA12">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268"/>
        <w:gridCol w:w="4928"/>
      </w:tblGrid>
      <w:tr w14:paraId="5AEF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175D12C1">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268" w:type="dxa"/>
            <w:vAlign w:val="center"/>
          </w:tcPr>
          <w:p w14:paraId="588ECDD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928" w:type="dxa"/>
            <w:vAlign w:val="center"/>
          </w:tcPr>
          <w:p w14:paraId="0A3CCF5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2BE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4" w:type="dxa"/>
            <w:shd w:val="clear" w:color="auto" w:fill="auto"/>
            <w:vAlign w:val="center"/>
          </w:tcPr>
          <w:p w14:paraId="52550C05">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268" w:type="dxa"/>
            <w:shd w:val="clear" w:color="auto" w:fill="auto"/>
            <w:vAlign w:val="center"/>
          </w:tcPr>
          <w:p w14:paraId="60BC8387">
            <w:pPr>
              <w:widowControl w:val="0"/>
              <w:adjustRightInd/>
              <w:snapToGrid/>
              <w:spacing w:after="0" w:line="320" w:lineRule="exact"/>
              <w:jc w:val="both"/>
              <w:rPr>
                <w:rFonts w:hint="eastAsia" w:ascii="Times New Roman" w:hAnsi="Times New Roman" w:eastAsia="仿宋_GB2312" w:cs="Times New Roman"/>
                <w:bCs w:val="0"/>
                <w:color w:val="000000" w:themeColor="text1"/>
                <w:spacing w:val="-6"/>
                <w:sz w:val="24"/>
                <w:lang w:bidi="ar"/>
                <w14:textFill>
                  <w14:solidFill>
                    <w14:schemeClr w14:val="tx1"/>
                  </w14:solidFill>
                </w14:textFill>
              </w:rPr>
            </w:pPr>
            <w:r>
              <w:rPr>
                <w:rFonts w:hint="eastAsia" w:ascii="Times New Roman" w:hAnsi="Times New Roman" w:eastAsia="仿宋_GB2312" w:cs="Times New Roman"/>
                <w:bCs w:val="0"/>
                <w:color w:val="000000" w:themeColor="text1"/>
                <w:spacing w:val="-6"/>
                <w:sz w:val="24"/>
                <w:lang w:bidi="ar"/>
                <w14:textFill>
                  <w14:solidFill>
                    <w14:schemeClr w14:val="tx1"/>
                  </w14:solidFill>
                </w14:textFill>
              </w:rPr>
              <w:t>未按规定对放射性职业病危害建设项目职业病危害控制效果评价的。</w:t>
            </w:r>
          </w:p>
        </w:tc>
        <w:tc>
          <w:tcPr>
            <w:tcW w:w="4928" w:type="dxa"/>
            <w:shd w:val="clear" w:color="auto" w:fill="auto"/>
            <w:vAlign w:val="center"/>
          </w:tcPr>
          <w:p w14:paraId="5D7E0B4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w:t>
            </w:r>
          </w:p>
        </w:tc>
      </w:tr>
      <w:tr w14:paraId="284C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712BE88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268" w:type="dxa"/>
            <w:vAlign w:val="center"/>
          </w:tcPr>
          <w:p w14:paraId="7FB9690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未按规定对放射性职业病危害一般的建设项目（不含CT、DSA）进行职业病危害控制效果评价，经警告，逾期不改正的。</w:t>
            </w:r>
          </w:p>
        </w:tc>
        <w:tc>
          <w:tcPr>
            <w:tcW w:w="4928" w:type="dxa"/>
            <w:vAlign w:val="center"/>
          </w:tcPr>
          <w:p w14:paraId="3823E06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处十万元以上十五万元以下的罚款。</w:t>
            </w:r>
          </w:p>
        </w:tc>
      </w:tr>
      <w:tr w14:paraId="73CE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0B40564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268" w:type="dxa"/>
            <w:vAlign w:val="center"/>
          </w:tcPr>
          <w:p w14:paraId="3459386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未按规定对CT 或DSA 建设项目进行职业病危害控制效果评价的。</w:t>
            </w:r>
          </w:p>
        </w:tc>
        <w:tc>
          <w:tcPr>
            <w:tcW w:w="4928" w:type="dxa"/>
            <w:vAlign w:val="center"/>
          </w:tcPr>
          <w:p w14:paraId="55694BC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 xml:space="preserve"> 处十五万元以上二十万元以下的罚款。</w:t>
            </w:r>
          </w:p>
        </w:tc>
      </w:tr>
      <w:tr w14:paraId="42A4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355391D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268" w:type="dxa"/>
            <w:vAlign w:val="center"/>
          </w:tcPr>
          <w:p w14:paraId="713ED03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未按规定对放射性职业病危害严重的建设项目进行职业病危害控制效果评价，建设项目数目为1-2 项，经警告，逾期不改正的。</w:t>
            </w:r>
          </w:p>
        </w:tc>
        <w:tc>
          <w:tcPr>
            <w:tcW w:w="4928" w:type="dxa"/>
            <w:vAlign w:val="center"/>
          </w:tcPr>
          <w:p w14:paraId="1F7011D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处二十万元以上五十万元以下的罚款。</w:t>
            </w:r>
          </w:p>
        </w:tc>
      </w:tr>
      <w:tr w14:paraId="59BA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46111854">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特别严重</w:t>
            </w:r>
          </w:p>
        </w:tc>
        <w:tc>
          <w:tcPr>
            <w:tcW w:w="7268" w:type="dxa"/>
            <w:vAlign w:val="center"/>
          </w:tcPr>
          <w:p w14:paraId="577B10B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w:t>
            </w:r>
          </w:p>
          <w:p w14:paraId="13FF196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A.未按规定未按照规定对放射性职业病危害严重的建设项目进行职业病危害控制效果评价，建设项目数目为3 项及以上，经警告，逾期不改正的；</w:t>
            </w:r>
          </w:p>
          <w:p w14:paraId="0648436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B.未按规定对可能产生放射性职业病危害的建设项目进行职业病危害控制效果评价，经警告，逾期不改正的，造成严重后果的。</w:t>
            </w:r>
          </w:p>
        </w:tc>
        <w:tc>
          <w:tcPr>
            <w:tcW w:w="4928" w:type="dxa"/>
            <w:vAlign w:val="center"/>
          </w:tcPr>
          <w:p w14:paraId="3F16726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处五十万元的罚款，责令停止产生职业病危害的作业或者提请有关人民政府按照国务院规定的权限责令停建、关闭。</w:t>
            </w:r>
          </w:p>
        </w:tc>
      </w:tr>
    </w:tbl>
    <w:p w14:paraId="73107E17">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454" w:name="_Toc24932"/>
      <w:bookmarkStart w:id="7455" w:name="_Toc17287"/>
      <w:bookmarkStart w:id="7456" w:name="_Toc19803"/>
      <w:bookmarkStart w:id="7457" w:name="_Toc14695"/>
      <w:bookmarkStart w:id="7458" w:name="_Toc5237"/>
      <w:bookmarkStart w:id="7459" w:name="_Toc29747"/>
      <w:bookmarkStart w:id="7460" w:name="_Toc11336"/>
      <w:bookmarkStart w:id="7461" w:name="_Toc7569"/>
      <w:bookmarkStart w:id="7462" w:name="_Toc26481"/>
      <w:bookmarkStart w:id="7463" w:name="_Toc29857"/>
      <w:bookmarkStart w:id="7464" w:name="_Toc29541"/>
      <w:r>
        <w:rPr>
          <w:rFonts w:hint="eastAsia" w:ascii="Times New Roman" w:hAnsi="Times New Roman" w:cs="仿宋_GB2312"/>
          <w:bCs/>
          <w:color w:val="000000" w:themeColor="text1"/>
          <w:kern w:val="0"/>
          <w14:textFill>
            <w14:solidFill>
              <w14:schemeClr w14:val="tx1"/>
            </w14:solidFill>
          </w14:textFill>
        </w:rPr>
        <w:t>第六百零三</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可能产生放射性职业病危害的建设项目竣工投入生产和使用前，职业病防护设施未按照规定验收合格的</w:t>
      </w:r>
      <w:bookmarkEnd w:id="7454"/>
      <w:bookmarkEnd w:id="7455"/>
      <w:bookmarkEnd w:id="7456"/>
      <w:bookmarkEnd w:id="7457"/>
      <w:bookmarkEnd w:id="7458"/>
      <w:bookmarkEnd w:id="7459"/>
      <w:bookmarkEnd w:id="7460"/>
      <w:bookmarkEnd w:id="7461"/>
      <w:bookmarkEnd w:id="7462"/>
      <w:bookmarkEnd w:id="7463"/>
      <w:bookmarkEnd w:id="7464"/>
    </w:p>
    <w:p w14:paraId="14614BFD">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1ED4EADB">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1.《中华人民共和国职业病防治法》第六十九条第（六）项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7EA368A8">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（六）建设项目竣工投入生产和使用前，职业病防护设施未按照规定验收合格的。</w:t>
      </w:r>
    </w:p>
    <w:p w14:paraId="3D5CB217">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2.《中华人民共和国职业病防治法》第八十七条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对医疗机构放射性职业病危害控制的监督管理，由卫生行政部门依照本法的规定实施。</w:t>
      </w:r>
    </w:p>
    <w:p w14:paraId="540B1149">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3.《放射诊疗管理规定》第四十条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医疗机构违反建设项目卫生审查、竣工验收有关规定的，按照《中华人民共和国职业病防治法》的规定进行处罚。</w:t>
      </w:r>
    </w:p>
    <w:p w14:paraId="37F7AA2C">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4.《放射诊疗管理规定》第十三条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医疗机构在放射诊疗建设项目竣工验收前，应当进行职业病危害控制效果评价；并向相应的卫生行政部门提交下列资料，申请进行卫生验收：</w:t>
      </w:r>
      <w:r>
        <w:rPr>
          <w:rFonts w:ascii="Times New Roman" w:hAnsi="Times New Roman" w:eastAsia="仿宋_GB2312" w:cs="仿宋_GB2312"/>
          <w:color w:val="000000" w:themeColor="text1"/>
          <w:sz w:val="32"/>
          <w:szCs w:val="32"/>
          <w14:textFill>
            <w14:solidFill>
              <w14:schemeClr w14:val="tx1"/>
            </w14:solidFill>
          </w14:textFill>
        </w:rPr>
        <w:t xml:space="preserve"> </w:t>
      </w:r>
    </w:p>
    <w:p w14:paraId="34A465F0">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（一）建设项目竣工卫生验收申请；</w:t>
      </w:r>
    </w:p>
    <w:p w14:paraId="04290566">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（二）建设项目卫生审查资料；</w:t>
      </w:r>
    </w:p>
    <w:p w14:paraId="770E7344">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（三）职业病危害控制效果放射防护评价报告；</w:t>
      </w:r>
    </w:p>
    <w:p w14:paraId="1908F15F">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放射诊疗建设项目验收报告。立体定向放射治疗、质子治疗、重离子治疗、带回旋加速器的正电子发射断层扫描诊断等放射诊疗建设项目，应当提交卫生部指定的放射卫生技术机构出具的职业病危害控制效果评价报告技术审查意见和设备性能检测报告。</w:t>
      </w:r>
    </w:p>
    <w:p w14:paraId="37EDD86C">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7E64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804" w:type="dxa"/>
            <w:vAlign w:val="center"/>
          </w:tcPr>
          <w:p w14:paraId="0EF0E73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135F024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1081CDD4">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251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804" w:type="dxa"/>
            <w:shd w:val="clear" w:color="auto" w:fill="auto"/>
            <w:vAlign w:val="center"/>
          </w:tcPr>
          <w:p w14:paraId="6E521FF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576" w:type="dxa"/>
            <w:shd w:val="clear" w:color="auto" w:fill="auto"/>
            <w:vAlign w:val="center"/>
          </w:tcPr>
          <w:p w14:paraId="3092A689">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放射性职业病危害建设项目竣工投入生产和使用前，职业病防护设施未按照规定验收合格的。</w:t>
            </w:r>
          </w:p>
        </w:tc>
        <w:tc>
          <w:tcPr>
            <w:tcW w:w="4620" w:type="dxa"/>
            <w:shd w:val="clear" w:color="auto" w:fill="auto"/>
            <w:vAlign w:val="center"/>
          </w:tcPr>
          <w:p w14:paraId="2C88067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w:t>
            </w:r>
          </w:p>
        </w:tc>
      </w:tr>
      <w:tr w14:paraId="570D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425D43A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20337DA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放射性职业病危害一般的建设项目（不含CT、DSA）竣工投入生产和使用前，职业病防护设施未按照规定验收合格，经警告，逾期不改正的。</w:t>
            </w:r>
          </w:p>
        </w:tc>
        <w:tc>
          <w:tcPr>
            <w:tcW w:w="4620" w:type="dxa"/>
            <w:vAlign w:val="center"/>
          </w:tcPr>
          <w:p w14:paraId="4FD7961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处十万元以上十五万元以下的罚款。</w:t>
            </w:r>
          </w:p>
        </w:tc>
      </w:tr>
      <w:tr w14:paraId="6781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0826659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34B01A7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CT 或DSA 建设项目竣工投入生产和使用前，职业病防护设施未按规定验收合格，经警告，逾期不改正的。</w:t>
            </w:r>
          </w:p>
        </w:tc>
        <w:tc>
          <w:tcPr>
            <w:tcW w:w="4620" w:type="dxa"/>
            <w:vAlign w:val="center"/>
          </w:tcPr>
          <w:p w14:paraId="6328E39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处十五万元以上二十万元以下的罚款。</w:t>
            </w:r>
          </w:p>
        </w:tc>
      </w:tr>
      <w:tr w14:paraId="1BB2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64B2D6E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1CFB5D5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放射性职业病危害严重的建设项目竣工投入生产和使用前，职业病防护设施未按照规定验收合格，建设项目数目为1-2 项，经警告，逾期不改正的。</w:t>
            </w:r>
          </w:p>
        </w:tc>
        <w:tc>
          <w:tcPr>
            <w:tcW w:w="4620" w:type="dxa"/>
            <w:vAlign w:val="center"/>
          </w:tcPr>
          <w:p w14:paraId="3253028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处二十万元以上五十万元以下的罚款。</w:t>
            </w:r>
          </w:p>
        </w:tc>
      </w:tr>
      <w:tr w14:paraId="659B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804" w:type="dxa"/>
            <w:vAlign w:val="center"/>
          </w:tcPr>
          <w:p w14:paraId="4B832BA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特别严重</w:t>
            </w:r>
          </w:p>
        </w:tc>
        <w:tc>
          <w:tcPr>
            <w:tcW w:w="7576" w:type="dxa"/>
            <w:vAlign w:val="center"/>
          </w:tcPr>
          <w:p w14:paraId="1B18E4E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w:t>
            </w:r>
          </w:p>
          <w:p w14:paraId="5CB8541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A.放射性职业病危害严重的建设项目竣工投入生产和使用前，职业病防护设施未按照规定验收合格，建设项目数目为3 项及以上，经警告，逾期不改正的；</w:t>
            </w:r>
          </w:p>
          <w:p w14:paraId="407B67C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B.可能产生放射性职业病危害的建设项目竣工投入生产和使用前，职业病防护设施未按照规定验收合格，经警告，逾期不改正的，造成严重后果的。</w:t>
            </w:r>
          </w:p>
        </w:tc>
        <w:tc>
          <w:tcPr>
            <w:tcW w:w="4620" w:type="dxa"/>
            <w:vAlign w:val="center"/>
          </w:tcPr>
          <w:p w14:paraId="4103113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处五十万元的罚款，责令停止产生职业病危害的作业或者提请有关人民政府按照国务院规定的权限责令停建、关闭。</w:t>
            </w:r>
          </w:p>
        </w:tc>
      </w:tr>
    </w:tbl>
    <w:p w14:paraId="2F0F9CF9">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465" w:name="_Toc4901"/>
      <w:bookmarkStart w:id="7466" w:name="_Toc14127"/>
      <w:bookmarkStart w:id="7467" w:name="_Toc1988"/>
      <w:bookmarkStart w:id="7468" w:name="_Toc18283"/>
      <w:bookmarkStart w:id="7469" w:name="_Toc19395"/>
      <w:bookmarkStart w:id="7470" w:name="_Toc19438"/>
      <w:bookmarkStart w:id="7471" w:name="_Toc32748"/>
      <w:bookmarkStart w:id="7472" w:name="_Toc2247"/>
      <w:bookmarkStart w:id="7473" w:name="_Toc15190"/>
      <w:bookmarkStart w:id="7474" w:name="_Toc12486"/>
      <w:bookmarkStart w:id="7475" w:name="_Toc5618"/>
      <w:r>
        <w:rPr>
          <w:rFonts w:hint="eastAsia" w:ascii="Times New Roman" w:hAnsi="Times New Roman" w:cs="仿宋_GB2312"/>
          <w:bCs/>
          <w:color w:val="000000" w:themeColor="text1"/>
          <w:kern w:val="0"/>
          <w14:textFill>
            <w14:solidFill>
              <w14:schemeClr w14:val="tx1"/>
            </w14:solidFill>
          </w14:textFill>
        </w:rPr>
        <w:t>第六百零四</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医疗机构未按照规定公布有关放射性职业病防治的规章制度、操作规程、放射事件应急救援措施的</w:t>
      </w:r>
      <w:bookmarkEnd w:id="7465"/>
      <w:bookmarkEnd w:id="7466"/>
      <w:bookmarkEnd w:id="7467"/>
      <w:bookmarkEnd w:id="7468"/>
      <w:bookmarkEnd w:id="7469"/>
      <w:bookmarkEnd w:id="7470"/>
      <w:bookmarkEnd w:id="7471"/>
      <w:bookmarkEnd w:id="7472"/>
      <w:bookmarkEnd w:id="7473"/>
      <w:bookmarkEnd w:id="7474"/>
      <w:bookmarkEnd w:id="7475"/>
    </w:p>
    <w:p w14:paraId="5E767E25">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34696870">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1.《中华人民共和国职业病防治法》第七十条第（三）项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违反本法规定，有下列行为之一的，由卫生行政部门给予警告，责令限期改正；逾期不改正的，处十万元以下的罚款：</w:t>
      </w:r>
    </w:p>
    <w:p w14:paraId="4E3E8B6C">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（三）未按照规定公布有关职业病防治的规章制度、操作规程、职业病危害事故应急救援措施的。</w:t>
      </w:r>
    </w:p>
    <w:p w14:paraId="007D22EC">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2.《中华人民共和国职业病防治法》第八十七条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对医疗机构放射性职业病危害控制的监督管理，由卫生行政部门依照本法的规定实施。</w:t>
      </w:r>
    </w:p>
    <w:p w14:paraId="29053B91">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2A38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371FB56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675E2EF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19415D3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155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shd w:val="clear" w:color="auto" w:fill="auto"/>
            <w:vAlign w:val="center"/>
          </w:tcPr>
          <w:p w14:paraId="0DD1668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shd w:val="clear" w:color="auto" w:fill="auto"/>
            <w:vAlign w:val="center"/>
          </w:tcPr>
          <w:p w14:paraId="6B2894D0">
            <w:pPr>
              <w:widowControl/>
              <w:adjustRightInd w:val="0"/>
              <w:snapToGrid w:val="0"/>
              <w:spacing w:after="0" w:line="320" w:lineRule="exact"/>
              <w:ind w:firstLine="0" w:firstLineChars="0"/>
              <w:jc w:val="both"/>
              <w:rPr>
                <w:rFonts w:hint="eastAsia" w:ascii="Times New Roman" w:hAnsi="Times New Roman" w:eastAsia="仿宋_GB2312" w:cs="Times New Roman"/>
                <w:bCs w:val="0"/>
                <w:color w:val="000000" w:themeColor="text1"/>
                <w:sz w:val="24"/>
                <w:szCs w:val="22"/>
                <w:lang w:bidi="ar"/>
                <w14:textFill>
                  <w14:solidFill>
                    <w14:schemeClr w14:val="tx1"/>
                  </w14:solidFill>
                </w14:textFill>
              </w:rPr>
            </w:pPr>
            <w:r>
              <w:rPr>
                <w:rFonts w:hint="eastAsia" w:ascii="Times New Roman" w:hAnsi="Times New Roman" w:eastAsia="仿宋_GB2312" w:cs="Times New Roman"/>
                <w:b w:val="0"/>
                <w:bCs w:val="0"/>
                <w:color w:val="000000" w:themeColor="text1"/>
                <w:sz w:val="24"/>
                <w:szCs w:val="22"/>
                <w:lang w:bidi="ar"/>
                <w14:textFill>
                  <w14:solidFill>
                    <w14:schemeClr w14:val="tx1"/>
                  </w14:solidFill>
                </w14:textFill>
              </w:rPr>
              <w:t>医疗机构未按照规定公布有关放射性职业病防治的规章制度、操作规程、放射事件应急救援措施的。</w:t>
            </w:r>
          </w:p>
        </w:tc>
        <w:tc>
          <w:tcPr>
            <w:tcW w:w="4620" w:type="dxa"/>
            <w:shd w:val="clear" w:color="auto" w:fill="auto"/>
            <w:vAlign w:val="center"/>
          </w:tcPr>
          <w:p w14:paraId="45C6B52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w:t>
            </w:r>
          </w:p>
        </w:tc>
      </w:tr>
      <w:tr w14:paraId="4707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1F14B4A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3AFBA7E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医疗机构开展X 射线影像诊断工作未按照规定公布有关职业病防治的规章制度、操作规程、职业病危害事故应急救援措施，经警告，逾期不改正的。</w:t>
            </w:r>
          </w:p>
        </w:tc>
        <w:tc>
          <w:tcPr>
            <w:tcW w:w="4620" w:type="dxa"/>
            <w:vAlign w:val="center"/>
          </w:tcPr>
          <w:p w14:paraId="5C00E86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处三万元以下的罚款。</w:t>
            </w:r>
          </w:p>
        </w:tc>
      </w:tr>
      <w:tr w14:paraId="0B07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44E66576">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131ADDA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医疗机构开展介入放射学工作未按照规定公布有关职业病防治的规章制度、操作规程、职业病危害事故应急救援措施，经警告，逾期不改正的。</w:t>
            </w:r>
          </w:p>
        </w:tc>
        <w:tc>
          <w:tcPr>
            <w:tcW w:w="4620" w:type="dxa"/>
            <w:vAlign w:val="center"/>
          </w:tcPr>
          <w:p w14:paraId="42B7F41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处三万元以上七万元以下的罚款。</w:t>
            </w:r>
          </w:p>
        </w:tc>
      </w:tr>
      <w:tr w14:paraId="2BF4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089164A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5958180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医疗机构开展核医学或放射治疗工作未按照规定公布有关职业病防治的规章制度、操作规程、职业病危害事故应急救援措施，经警告，逾期不改正的。</w:t>
            </w:r>
          </w:p>
        </w:tc>
        <w:tc>
          <w:tcPr>
            <w:tcW w:w="4620" w:type="dxa"/>
            <w:vAlign w:val="center"/>
          </w:tcPr>
          <w:p w14:paraId="0A4A653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处七万元以上十万元以下的罚款。</w:t>
            </w:r>
          </w:p>
        </w:tc>
      </w:tr>
      <w:tr w14:paraId="1422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7D31151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特别严重</w:t>
            </w:r>
          </w:p>
        </w:tc>
        <w:tc>
          <w:tcPr>
            <w:tcW w:w="7576" w:type="dxa"/>
            <w:vAlign w:val="center"/>
          </w:tcPr>
          <w:p w14:paraId="1115492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医疗机构未按照规定公布有关职业病防治的规章制度、操作规程、职业病危害事故应急救援措施，经警告，逾期不改正的，造成严重后果。</w:t>
            </w:r>
          </w:p>
        </w:tc>
        <w:tc>
          <w:tcPr>
            <w:tcW w:w="4620" w:type="dxa"/>
            <w:vAlign w:val="center"/>
          </w:tcPr>
          <w:p w14:paraId="192A3B6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val="en"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处十万元的罚款</w:t>
            </w:r>
            <w:r>
              <w:rPr>
                <w:rFonts w:hint="eastAsia" w:ascii="Times New Roman" w:hAnsi="Times New Roman" w:eastAsia="仿宋_GB2312" w:cs="Times New Roman"/>
                <w:bCs w:val="0"/>
                <w:color w:val="000000" w:themeColor="text1"/>
                <w:sz w:val="24"/>
                <w:lang w:val="en" w:bidi="ar"/>
                <w14:textFill>
                  <w14:solidFill>
                    <w14:schemeClr w14:val="tx1"/>
                  </w14:solidFill>
                </w14:textFill>
              </w:rPr>
              <w:t>。</w:t>
            </w:r>
          </w:p>
        </w:tc>
      </w:tr>
    </w:tbl>
    <w:p w14:paraId="3A31FA67">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476" w:name="_Toc21817"/>
      <w:bookmarkStart w:id="7477" w:name="_Toc1366"/>
      <w:bookmarkStart w:id="7478" w:name="_Toc32358"/>
      <w:bookmarkStart w:id="7479" w:name="_Toc14392"/>
      <w:bookmarkStart w:id="7480" w:name="_Toc23396"/>
      <w:bookmarkStart w:id="7481" w:name="_Toc31607"/>
      <w:bookmarkStart w:id="7482" w:name="_Toc15718"/>
      <w:bookmarkStart w:id="7483" w:name="_Toc8510"/>
      <w:bookmarkStart w:id="7484" w:name="_Toc2813"/>
      <w:bookmarkStart w:id="7485" w:name="_Toc7953"/>
      <w:bookmarkStart w:id="7486" w:name="_Toc10049"/>
      <w:r>
        <w:rPr>
          <w:rFonts w:hint="eastAsia" w:ascii="Times New Roman" w:hAnsi="Times New Roman" w:cs="仿宋_GB2312"/>
          <w:bCs/>
          <w:color w:val="000000" w:themeColor="text1"/>
          <w:kern w:val="0"/>
          <w14:textFill>
            <w14:solidFill>
              <w14:schemeClr w14:val="tx1"/>
            </w14:solidFill>
          </w14:textFill>
        </w:rPr>
        <w:t>第六百零五</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医疗机构未按照规定组织放射工作人员进行职业卫生培训的</w:t>
      </w:r>
      <w:bookmarkEnd w:id="7476"/>
      <w:bookmarkEnd w:id="7477"/>
      <w:bookmarkEnd w:id="7478"/>
      <w:bookmarkEnd w:id="7479"/>
      <w:bookmarkEnd w:id="7480"/>
      <w:bookmarkEnd w:id="7481"/>
      <w:bookmarkEnd w:id="7482"/>
      <w:bookmarkEnd w:id="7483"/>
      <w:bookmarkEnd w:id="7484"/>
      <w:bookmarkEnd w:id="7485"/>
      <w:bookmarkEnd w:id="7486"/>
    </w:p>
    <w:p w14:paraId="1EF26F8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2C92DEB1">
      <w:pPr>
        <w:widowControl w:val="0"/>
        <w:numPr>
          <w:ilvl w:val="0"/>
          <w:numId w:val="12"/>
        </w:numPr>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《中华人民共和国职业病防治法》第七十条第（四）项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违反本法规定，有下列行为之一的，由卫生行政部门给予警告，责令限期改正；逾期不改正的，处十万元以下的罚款：</w:t>
      </w:r>
    </w:p>
    <w:p w14:paraId="5D3BA88B">
      <w:pPr>
        <w:widowControl w:val="0"/>
        <w:spacing w:after="0" w:line="440" w:lineRule="exact"/>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（四）未按照规定组织劳动者进行职业卫生培训，或者未对劳动者个人职业病防护采取指导、督促措施的。</w:t>
      </w:r>
    </w:p>
    <w:p w14:paraId="3F867EDE">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2.《中华人民共和国职业病防治法》第八十七条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对医疗机构放射性职业病危害控制的监督管理，由卫生行政部门依照本法的规定实施。</w:t>
      </w:r>
    </w:p>
    <w:p w14:paraId="057380B1">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01D0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3503678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17FC990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56A30B0F">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50C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shd w:val="clear" w:color="auto" w:fill="auto"/>
            <w:vAlign w:val="center"/>
          </w:tcPr>
          <w:p w14:paraId="66FB093B">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shd w:val="clear" w:color="auto" w:fill="auto"/>
            <w:vAlign w:val="center"/>
          </w:tcPr>
          <w:p w14:paraId="27E1236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医疗机构未对放射工作人员进行职业卫生培训的。</w:t>
            </w:r>
          </w:p>
        </w:tc>
        <w:tc>
          <w:tcPr>
            <w:tcW w:w="4620" w:type="dxa"/>
            <w:shd w:val="clear" w:color="auto" w:fill="auto"/>
            <w:vAlign w:val="center"/>
          </w:tcPr>
          <w:p w14:paraId="07B9C4E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给予警告，责令限期改正。</w:t>
            </w:r>
          </w:p>
        </w:tc>
      </w:tr>
      <w:tr w14:paraId="7D8C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689FAE17">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11994E9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医疗机构未对放射工作人员进行在岗期间的定期职业卫生培训，经警告，逾期不改正的。</w:t>
            </w:r>
          </w:p>
        </w:tc>
        <w:tc>
          <w:tcPr>
            <w:tcW w:w="4620" w:type="dxa"/>
            <w:vAlign w:val="center"/>
          </w:tcPr>
          <w:p w14:paraId="49FADEF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处三万元以下的罚款。</w:t>
            </w:r>
          </w:p>
        </w:tc>
      </w:tr>
      <w:tr w14:paraId="0B40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159539FE">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0B99FA3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医疗机构未对放射工作人员进行上岗前的职业卫生培训，经警告，逾期不改正的。</w:t>
            </w:r>
          </w:p>
        </w:tc>
        <w:tc>
          <w:tcPr>
            <w:tcW w:w="4620" w:type="dxa"/>
            <w:vAlign w:val="center"/>
          </w:tcPr>
          <w:p w14:paraId="6DE85AA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处三万元以上七万元以下的罚款。</w:t>
            </w:r>
          </w:p>
        </w:tc>
      </w:tr>
      <w:tr w14:paraId="6160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415F4BC9">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16ECD29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医疗机构未对放射工作人员进行上岗前的职业卫生培训，且未进行在</w:t>
            </w:r>
          </w:p>
          <w:p w14:paraId="7B3979D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岗期间的定期职业卫生培训，经警告，逾期不改正的。</w:t>
            </w:r>
          </w:p>
        </w:tc>
        <w:tc>
          <w:tcPr>
            <w:tcW w:w="4620" w:type="dxa"/>
            <w:vAlign w:val="center"/>
          </w:tcPr>
          <w:p w14:paraId="618D17D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处七万元以上十万元以下的罚款。</w:t>
            </w:r>
          </w:p>
        </w:tc>
      </w:tr>
      <w:tr w14:paraId="6324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2296196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特别严重</w:t>
            </w:r>
          </w:p>
        </w:tc>
        <w:tc>
          <w:tcPr>
            <w:tcW w:w="7576" w:type="dxa"/>
            <w:vAlign w:val="center"/>
          </w:tcPr>
          <w:p w14:paraId="21A0DA8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医疗机构未按照规定组织放射工作人员进行职业卫生培训，经警告，逾期不改正，造成严重后果的。</w:t>
            </w:r>
          </w:p>
        </w:tc>
        <w:tc>
          <w:tcPr>
            <w:tcW w:w="4620" w:type="dxa"/>
            <w:vAlign w:val="center"/>
          </w:tcPr>
          <w:p w14:paraId="238A3C8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处十万元的罚款。</w:t>
            </w:r>
          </w:p>
        </w:tc>
      </w:tr>
    </w:tbl>
    <w:p w14:paraId="3B1A63AC">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487" w:name="_Toc13123"/>
      <w:bookmarkStart w:id="7488" w:name="_Toc19434"/>
      <w:bookmarkStart w:id="7489" w:name="_Toc20648"/>
      <w:bookmarkStart w:id="7490" w:name="_Toc13822"/>
      <w:bookmarkStart w:id="7491" w:name="_Toc18576"/>
      <w:bookmarkStart w:id="7492" w:name="_Toc21535"/>
      <w:bookmarkStart w:id="7493" w:name="_Toc23004"/>
      <w:bookmarkStart w:id="7494" w:name="_Toc6152"/>
      <w:bookmarkStart w:id="7495" w:name="_Toc795"/>
      <w:bookmarkStart w:id="7496" w:name="_Toc3993"/>
      <w:bookmarkStart w:id="7497" w:name="_Toc15214"/>
      <w:r>
        <w:rPr>
          <w:rFonts w:hint="eastAsia" w:ascii="Times New Roman" w:hAnsi="Times New Roman" w:cs="仿宋_GB2312"/>
          <w:bCs/>
          <w:color w:val="000000" w:themeColor="text1"/>
          <w:kern w:val="0"/>
          <w14:textFill>
            <w14:solidFill>
              <w14:schemeClr w14:val="tx1"/>
            </w14:solidFill>
          </w14:textFill>
        </w:rPr>
        <w:t>第六百零六</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医疗机构未按照规定组织职业健康检查、建立职业健康监护档案或者未将检查结果书面告知劳动者的</w:t>
      </w:r>
      <w:bookmarkEnd w:id="7487"/>
      <w:bookmarkEnd w:id="7488"/>
      <w:bookmarkEnd w:id="7489"/>
      <w:bookmarkEnd w:id="7490"/>
      <w:bookmarkEnd w:id="7491"/>
      <w:bookmarkEnd w:id="7492"/>
      <w:bookmarkEnd w:id="7493"/>
      <w:bookmarkEnd w:id="7494"/>
      <w:bookmarkEnd w:id="7495"/>
      <w:bookmarkEnd w:id="7496"/>
      <w:bookmarkEnd w:id="7497"/>
    </w:p>
    <w:p w14:paraId="71629FE2">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5E06E1D8">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1.《中华人民共和国职业病防治法》第七十一条第（四）项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用人单位违反本法规定，有下列行为之一的，由卫生行政部门责令限期改正，给予警告，可以并处五万元以上十万元以下的罚款：</w:t>
      </w:r>
    </w:p>
    <w:p w14:paraId="111F3062">
      <w:pPr>
        <w:widowControl w:val="0"/>
        <w:spacing w:after="0" w:line="44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（四）未按照规定组织职业健康检查、建立职业健康监护档案或者未将检查结果书面告知劳动者的。</w:t>
      </w:r>
    </w:p>
    <w:p w14:paraId="73001FF1">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2.《中华人民共和国职业病防治法》第八十七条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对医疗机构放射性职业病危害控制的监督管理，由卫生行政部门依照本法的规定实施。</w:t>
      </w:r>
    </w:p>
    <w:p w14:paraId="310249FC">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43B9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1B47008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6F13C5E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442E0FD5">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496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45FF81E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23B6FCB8">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医疗机构未按照规定建立职业健康监护档案的。</w:t>
            </w:r>
          </w:p>
        </w:tc>
        <w:tc>
          <w:tcPr>
            <w:tcW w:w="4620" w:type="dxa"/>
            <w:vAlign w:val="center"/>
          </w:tcPr>
          <w:p w14:paraId="1C11D8CB">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责令限期改正，给予警告，可以并处五万元以上六万元以下的罚款。</w:t>
            </w:r>
          </w:p>
        </w:tc>
      </w:tr>
      <w:tr w14:paraId="738E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45F1952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582C5317">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医疗机构未将职业健康检查结果书面告知放射工作人员。</w:t>
            </w:r>
          </w:p>
        </w:tc>
        <w:tc>
          <w:tcPr>
            <w:tcW w:w="4620" w:type="dxa"/>
            <w:vAlign w:val="center"/>
          </w:tcPr>
          <w:p w14:paraId="0A5C6DB4">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责令限期改正，给予警告，可以并处六万元以上七万元以下的罚款。</w:t>
            </w:r>
          </w:p>
        </w:tc>
      </w:tr>
      <w:tr w14:paraId="40E9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3682F1F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0688CEA5">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医疗机构对于职业健康检查结果异常的放射工作人员未按照规定组织复检的。</w:t>
            </w:r>
          </w:p>
        </w:tc>
        <w:tc>
          <w:tcPr>
            <w:tcW w:w="4620" w:type="dxa"/>
            <w:vAlign w:val="center"/>
          </w:tcPr>
          <w:p w14:paraId="793734EA">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责令限期改正，给予警告，可以并处七万元以上八万元以下的罚款。</w:t>
            </w:r>
          </w:p>
        </w:tc>
      </w:tr>
      <w:tr w14:paraId="30D6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052496F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3D762906">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医疗机构未按照规定组织放射工作人员进行上岗前、在岗期间或离岗时的职业健康检查。</w:t>
            </w:r>
          </w:p>
        </w:tc>
        <w:tc>
          <w:tcPr>
            <w:tcW w:w="4620" w:type="dxa"/>
            <w:vAlign w:val="center"/>
          </w:tcPr>
          <w:p w14:paraId="6F6952E3">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责令限期改正，给予警告，并处八万元以上十万元以下的罚款。</w:t>
            </w:r>
          </w:p>
        </w:tc>
      </w:tr>
      <w:tr w14:paraId="56B0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63357AD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特别严重</w:t>
            </w:r>
          </w:p>
        </w:tc>
        <w:tc>
          <w:tcPr>
            <w:tcW w:w="7576" w:type="dxa"/>
            <w:vAlign w:val="center"/>
          </w:tcPr>
          <w:p w14:paraId="2501EF18">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医疗机构未按照规定组织职业健康检查、建立职业健康监护档案或者未将检查结果书面告知劳动者，经警告，逾期不改正或造成严重后果的。</w:t>
            </w:r>
          </w:p>
        </w:tc>
        <w:tc>
          <w:tcPr>
            <w:tcW w:w="4620" w:type="dxa"/>
            <w:vAlign w:val="center"/>
          </w:tcPr>
          <w:p w14:paraId="422553DF">
            <w:pPr>
              <w:widowControl w:val="0"/>
              <w:adjustRightInd/>
              <w:snapToGrid/>
              <w:spacing w:after="0" w:line="30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处十万元的罚款。</w:t>
            </w:r>
          </w:p>
        </w:tc>
      </w:tr>
    </w:tbl>
    <w:p w14:paraId="40FFC8A9">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498" w:name="_Toc21065"/>
      <w:bookmarkStart w:id="7499" w:name="_Toc1867"/>
      <w:bookmarkStart w:id="7500" w:name="_Toc2835"/>
      <w:bookmarkStart w:id="7501" w:name="_Toc32416"/>
      <w:bookmarkStart w:id="7502" w:name="_Toc28425"/>
      <w:bookmarkStart w:id="7503" w:name="_Toc10727"/>
      <w:bookmarkStart w:id="7504" w:name="_Toc4840"/>
      <w:bookmarkStart w:id="7505" w:name="_Toc31666"/>
      <w:bookmarkStart w:id="7506" w:name="_Toc27900"/>
      <w:bookmarkStart w:id="7507" w:name="_Toc29993"/>
      <w:bookmarkStart w:id="7508" w:name="_Toc18212"/>
      <w:r>
        <w:rPr>
          <w:rFonts w:hint="eastAsia" w:ascii="Times New Roman" w:hAnsi="Times New Roman" w:cs="仿宋_GB2312"/>
          <w:bCs/>
          <w:color w:val="000000" w:themeColor="text1"/>
          <w:kern w:val="0"/>
          <w14:textFill>
            <w14:solidFill>
              <w14:schemeClr w14:val="tx1"/>
            </w14:solidFill>
          </w14:textFill>
        </w:rPr>
        <w:t>第六百零七</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未取得放射卫生技术服务资质认可擅自从事放射卫生技术服务的</w:t>
      </w:r>
      <w:bookmarkEnd w:id="7498"/>
      <w:bookmarkEnd w:id="7499"/>
      <w:bookmarkEnd w:id="7500"/>
      <w:bookmarkEnd w:id="7501"/>
      <w:bookmarkEnd w:id="7502"/>
      <w:bookmarkEnd w:id="7503"/>
      <w:bookmarkEnd w:id="7504"/>
      <w:bookmarkEnd w:id="7505"/>
      <w:bookmarkEnd w:id="7506"/>
      <w:bookmarkEnd w:id="7507"/>
      <w:bookmarkEnd w:id="7508"/>
    </w:p>
    <w:p w14:paraId="3D11F6CB">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6444ADA7">
      <w:pPr>
        <w:widowControl w:val="0"/>
        <w:spacing w:after="0" w:line="440" w:lineRule="exact"/>
        <w:ind w:firstLine="63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《中华人民共和国职业病防治法》第七十九条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14:paraId="3190A2F8">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0B70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4517671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7624A89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0F143AE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5085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2CE42E0A">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30D36D0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未取得放射卫生技术服务机构资质认可擅自从事放射卫生技术服务，没有违法所得的。</w:t>
            </w:r>
          </w:p>
        </w:tc>
        <w:tc>
          <w:tcPr>
            <w:tcW w:w="4620" w:type="dxa"/>
            <w:vAlign w:val="center"/>
          </w:tcPr>
          <w:p w14:paraId="45A8F50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责令立即停止违法行为，处五千元以上二万元以下罚款。</w:t>
            </w:r>
          </w:p>
        </w:tc>
      </w:tr>
      <w:tr w14:paraId="0A04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18B4488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29258C18">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未取得放射卫生技术服务机构资质认可擅自从事放射卫生技术服务，违法所得不足五千元的。</w:t>
            </w:r>
          </w:p>
        </w:tc>
        <w:tc>
          <w:tcPr>
            <w:tcW w:w="4620" w:type="dxa"/>
            <w:vAlign w:val="center"/>
          </w:tcPr>
          <w:p w14:paraId="51365A7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责令立即停止违法行为，没收违法所得，并处二万元以上五万元以下的罚款。</w:t>
            </w:r>
          </w:p>
        </w:tc>
      </w:tr>
      <w:tr w14:paraId="2251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6C52EF52">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0B08406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未取得放射卫生技术服务机构资质认可擅自从事放射卫生技术服务，违法所得五千元以上五万元以下的。</w:t>
            </w:r>
          </w:p>
        </w:tc>
        <w:tc>
          <w:tcPr>
            <w:tcW w:w="4620" w:type="dxa"/>
            <w:vAlign w:val="center"/>
          </w:tcPr>
          <w:p w14:paraId="7E0A846C">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责令立即停止违法行为，没收违法所得，并处违法所得二倍以上五倍以下的罚款。</w:t>
            </w:r>
          </w:p>
        </w:tc>
      </w:tr>
      <w:tr w14:paraId="3433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64147013">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7B66B46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未取得放射卫生技术服务机构资质认可擅自从事放射卫生技术服务，违法所得超过五万元的。</w:t>
            </w:r>
          </w:p>
        </w:tc>
        <w:tc>
          <w:tcPr>
            <w:tcW w:w="4620" w:type="dxa"/>
            <w:vAlign w:val="center"/>
          </w:tcPr>
          <w:p w14:paraId="4EA4172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责令立即停止违法行为，没收违法所得，并处违法所得五倍以上十倍以下的罚款。</w:t>
            </w:r>
          </w:p>
        </w:tc>
      </w:tr>
    </w:tbl>
    <w:p w14:paraId="6A393A47">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509" w:name="_Toc29622"/>
      <w:bookmarkStart w:id="7510" w:name="_Toc23114"/>
      <w:bookmarkStart w:id="7511" w:name="_Toc17077"/>
      <w:bookmarkStart w:id="7512" w:name="_Toc18914"/>
      <w:bookmarkStart w:id="7513" w:name="_Toc22769"/>
      <w:bookmarkStart w:id="7514" w:name="_Toc15341"/>
      <w:bookmarkStart w:id="7515" w:name="_Toc4874"/>
      <w:bookmarkStart w:id="7516" w:name="_Toc27113"/>
      <w:bookmarkStart w:id="7517" w:name="_Toc27339"/>
      <w:bookmarkStart w:id="7518" w:name="_Toc5693"/>
      <w:bookmarkStart w:id="7519" w:name="_Toc25878"/>
      <w:r>
        <w:rPr>
          <w:rFonts w:hint="eastAsia" w:ascii="Times New Roman" w:hAnsi="Times New Roman" w:cs="仿宋_GB2312"/>
          <w:bCs/>
          <w:color w:val="000000" w:themeColor="text1"/>
          <w:kern w:val="0"/>
          <w14:textFill>
            <w14:solidFill>
              <w14:schemeClr w14:val="tx1"/>
            </w14:solidFill>
          </w14:textFill>
        </w:rPr>
        <w:t>第六百零八</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从事放射卫生技术服务的机构超出资质认可或者批准范围从事放射卫生技术服务的</w:t>
      </w:r>
      <w:bookmarkEnd w:id="7509"/>
      <w:bookmarkEnd w:id="7510"/>
      <w:bookmarkEnd w:id="7511"/>
      <w:bookmarkEnd w:id="7512"/>
      <w:bookmarkEnd w:id="7513"/>
      <w:bookmarkEnd w:id="7514"/>
      <w:bookmarkEnd w:id="7515"/>
      <w:bookmarkEnd w:id="7516"/>
      <w:bookmarkEnd w:id="7517"/>
      <w:bookmarkEnd w:id="7518"/>
      <w:bookmarkEnd w:id="7519"/>
    </w:p>
    <w:p w14:paraId="028B8C1C">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4FE49EEA">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《中华人民共和国职业病防治法》第八十条第（一）项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从事职业卫生技术服务的机构和承担职业病诊断的医疗卫生机构违反本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14:paraId="73E024DA">
      <w:pPr>
        <w:widowControl w:val="0"/>
        <w:spacing w:after="0"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（一）超出资质认可或者批准范围从事职业卫生技术服务或者职业健康检查、职业病诊断的。</w:t>
      </w:r>
    </w:p>
    <w:p w14:paraId="6D72BE2E">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576"/>
        <w:gridCol w:w="4620"/>
      </w:tblGrid>
      <w:tr w14:paraId="1BF5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4" w:type="dxa"/>
            <w:vAlign w:val="center"/>
          </w:tcPr>
          <w:p w14:paraId="6D46207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576" w:type="dxa"/>
            <w:vAlign w:val="center"/>
          </w:tcPr>
          <w:p w14:paraId="0083535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620" w:type="dxa"/>
            <w:vAlign w:val="center"/>
          </w:tcPr>
          <w:p w14:paraId="3EE4CE0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AF5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219AFBDF">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576" w:type="dxa"/>
            <w:vAlign w:val="center"/>
          </w:tcPr>
          <w:p w14:paraId="0618D124">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从事放射卫生技术服务的机构超出资质认可或者批准范围从事放射卫生技术服务，没有违法所得的。</w:t>
            </w:r>
          </w:p>
        </w:tc>
        <w:tc>
          <w:tcPr>
            <w:tcW w:w="4620" w:type="dxa"/>
            <w:vAlign w:val="center"/>
          </w:tcPr>
          <w:p w14:paraId="7F70307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责令立即停止违法行为，警告，并处五千元以上一万元以下罚款。</w:t>
            </w:r>
          </w:p>
        </w:tc>
      </w:tr>
      <w:tr w14:paraId="62D1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3FEFB85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576" w:type="dxa"/>
            <w:vAlign w:val="center"/>
          </w:tcPr>
          <w:p w14:paraId="39140A73">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从事放射卫生技术服务的机构超出资质认可或者批准范围从事放射卫生技术服务，违法所得不足五千元的。</w:t>
            </w:r>
          </w:p>
        </w:tc>
        <w:tc>
          <w:tcPr>
            <w:tcW w:w="4620" w:type="dxa"/>
            <w:vAlign w:val="center"/>
          </w:tcPr>
          <w:p w14:paraId="3606090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责令立即停止违法行为，警告，没收违法所得，并处一万元以上二万元以下的罚款。</w:t>
            </w:r>
          </w:p>
        </w:tc>
      </w:tr>
      <w:tr w14:paraId="00DC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74B31D6D">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576" w:type="dxa"/>
            <w:vAlign w:val="center"/>
          </w:tcPr>
          <w:p w14:paraId="28E6534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从事放射卫生技术服务的机构超出资质认可或者批准范围从事放射卫生技术服务，违法所得五千元以上五万元以下的。</w:t>
            </w:r>
          </w:p>
        </w:tc>
        <w:tc>
          <w:tcPr>
            <w:tcW w:w="4620" w:type="dxa"/>
            <w:vAlign w:val="center"/>
          </w:tcPr>
          <w:p w14:paraId="500AC4D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责令立即停止违法行为，警告，没收违法所得，并处违法所得二倍以上四倍以下的罚款。</w:t>
            </w:r>
          </w:p>
        </w:tc>
      </w:tr>
      <w:tr w14:paraId="70B1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04" w:type="dxa"/>
            <w:vAlign w:val="center"/>
          </w:tcPr>
          <w:p w14:paraId="2AE185F1">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576" w:type="dxa"/>
            <w:vAlign w:val="center"/>
          </w:tcPr>
          <w:p w14:paraId="5D27517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从事放射卫生技术服务的机构超出资质认可或者批准范围从事放射卫生技术服务，违法所得五万元以上十万元以下的。</w:t>
            </w:r>
          </w:p>
        </w:tc>
        <w:tc>
          <w:tcPr>
            <w:tcW w:w="4620" w:type="dxa"/>
            <w:vAlign w:val="center"/>
          </w:tcPr>
          <w:p w14:paraId="41B77D8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责令立即停止违法行为，警告，没收违法所得，并处违法所得四倍以上五倍以下的罚款。</w:t>
            </w:r>
          </w:p>
        </w:tc>
      </w:tr>
      <w:tr w14:paraId="2BCA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4FB4656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特别严重</w:t>
            </w:r>
          </w:p>
        </w:tc>
        <w:tc>
          <w:tcPr>
            <w:tcW w:w="7576" w:type="dxa"/>
            <w:vAlign w:val="center"/>
          </w:tcPr>
          <w:p w14:paraId="5FE07AE0">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有下列情形之一的：</w:t>
            </w:r>
          </w:p>
          <w:p w14:paraId="26B1AF9D">
            <w:pPr>
              <w:widowControl w:val="0"/>
              <w:numPr>
                <w:ilvl w:val="-1"/>
                <w:numId w:val="0"/>
              </w:numPr>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从事放射卫生技术服务的机构超出资质认可或者批准范围从事放射卫生技术服务，违法所得十万元以上的；</w:t>
            </w:r>
          </w:p>
          <w:p w14:paraId="3F65B5C1">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B.从事放射卫生技术服务的机构超出资质认可或者批准范围从事放射卫生技术服务，造成严重危害的。</w:t>
            </w:r>
          </w:p>
        </w:tc>
        <w:tc>
          <w:tcPr>
            <w:tcW w:w="4620" w:type="dxa"/>
            <w:vAlign w:val="center"/>
          </w:tcPr>
          <w:p w14:paraId="394CA49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责令立即停止违法行为，警告，没收违法所得，并处违法所得五倍的罚款；没有违法所得或者违法所得不足五千元的，并处二万元罚款；由原认可或者登记机关取消其相应的资格。</w:t>
            </w:r>
          </w:p>
        </w:tc>
      </w:tr>
    </w:tbl>
    <w:p w14:paraId="1F5B46E5">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520" w:name="_Toc7207"/>
      <w:bookmarkStart w:id="7521" w:name="_Toc21699"/>
      <w:bookmarkStart w:id="7522" w:name="_Toc10703"/>
      <w:bookmarkStart w:id="7523" w:name="_Toc5241"/>
      <w:bookmarkStart w:id="7524" w:name="_Toc83"/>
      <w:bookmarkStart w:id="7525" w:name="_Toc25160"/>
      <w:bookmarkStart w:id="7526" w:name="_Toc20031"/>
      <w:bookmarkStart w:id="7527" w:name="_Toc4971"/>
      <w:bookmarkStart w:id="7528" w:name="_Toc15156"/>
      <w:bookmarkStart w:id="7529" w:name="_Toc21"/>
      <w:bookmarkStart w:id="7530" w:name="_Toc13920"/>
      <w:r>
        <w:rPr>
          <w:rFonts w:hint="eastAsia" w:ascii="Times New Roman" w:hAnsi="Times New Roman" w:cs="仿宋_GB2312"/>
          <w:bCs/>
          <w:color w:val="000000" w:themeColor="text1"/>
          <w:kern w:val="0"/>
          <w14:textFill>
            <w14:solidFill>
              <w14:schemeClr w14:val="tx1"/>
            </w14:solidFill>
          </w14:textFill>
        </w:rPr>
        <w:t>第六百零九</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从事放射卫生技术服务的机构出具虚假证明文件的</w:t>
      </w:r>
      <w:bookmarkEnd w:id="7520"/>
      <w:bookmarkEnd w:id="7521"/>
      <w:bookmarkEnd w:id="7522"/>
      <w:bookmarkEnd w:id="7523"/>
      <w:bookmarkEnd w:id="7524"/>
      <w:bookmarkEnd w:id="7525"/>
      <w:bookmarkEnd w:id="7526"/>
      <w:bookmarkEnd w:id="7527"/>
      <w:bookmarkEnd w:id="7528"/>
      <w:bookmarkEnd w:id="7529"/>
      <w:bookmarkEnd w:id="7530"/>
    </w:p>
    <w:p w14:paraId="05E8A90D">
      <w:pPr>
        <w:widowControl w:val="0"/>
        <w:spacing w:after="0" w:line="440" w:lineRule="exact"/>
        <w:ind w:firstLine="641"/>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法律依据：</w:t>
      </w:r>
    </w:p>
    <w:p w14:paraId="04C15434">
      <w:pPr>
        <w:widowControl w:val="0"/>
        <w:spacing w:after="0" w:line="440" w:lineRule="exact"/>
        <w:ind w:firstLine="641"/>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《中华人民共和国职业病防治法》第八十条第（三）项</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从事职业卫生技术服务的机构和承担职业病诊断的医疗卫生机构违反本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14:paraId="5ACAFE0D">
      <w:pPr>
        <w:widowControl w:val="0"/>
        <w:spacing w:line="440" w:lineRule="exact"/>
        <w:ind w:firstLine="64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（三）出具虚假证明文件的。</w:t>
      </w:r>
    </w:p>
    <w:p w14:paraId="2AB381EA">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7268"/>
        <w:gridCol w:w="4928"/>
      </w:tblGrid>
      <w:tr w14:paraId="23DC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vAlign w:val="center"/>
          </w:tcPr>
          <w:p w14:paraId="6B7BC55A">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268" w:type="dxa"/>
            <w:vAlign w:val="center"/>
          </w:tcPr>
          <w:p w14:paraId="04356D4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928" w:type="dxa"/>
            <w:vAlign w:val="center"/>
          </w:tcPr>
          <w:p w14:paraId="50F59C49">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318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50157D05">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轻微</w:t>
            </w:r>
          </w:p>
        </w:tc>
        <w:tc>
          <w:tcPr>
            <w:tcW w:w="7268" w:type="dxa"/>
            <w:vAlign w:val="center"/>
          </w:tcPr>
          <w:p w14:paraId="7BD701E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从事放射卫生技术服务的机构出具虚假证明文件，没有违法所得的。</w:t>
            </w:r>
          </w:p>
        </w:tc>
        <w:tc>
          <w:tcPr>
            <w:tcW w:w="4928" w:type="dxa"/>
            <w:vAlign w:val="center"/>
          </w:tcPr>
          <w:p w14:paraId="4E92C50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责令立即停止违法行为，警告，并处五千元以上一万元以下罚款。</w:t>
            </w:r>
          </w:p>
        </w:tc>
      </w:tr>
      <w:tr w14:paraId="11BB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04" w:type="dxa"/>
            <w:vAlign w:val="center"/>
          </w:tcPr>
          <w:p w14:paraId="2F27336C">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268" w:type="dxa"/>
            <w:vAlign w:val="center"/>
          </w:tcPr>
          <w:p w14:paraId="784690FB">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从事放射卫生技术服务的机构出具虚假证明文件，违法所得不足五千元的。</w:t>
            </w:r>
          </w:p>
        </w:tc>
        <w:tc>
          <w:tcPr>
            <w:tcW w:w="4928" w:type="dxa"/>
            <w:vAlign w:val="center"/>
          </w:tcPr>
          <w:p w14:paraId="0CFD64BF">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责令立即停止违法行为，警告，没收违法所得，并处一万元以上二万元以下的罚款。</w:t>
            </w:r>
          </w:p>
        </w:tc>
      </w:tr>
      <w:tr w14:paraId="3592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04" w:type="dxa"/>
            <w:vAlign w:val="center"/>
          </w:tcPr>
          <w:p w14:paraId="6C486BD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268" w:type="dxa"/>
            <w:vAlign w:val="center"/>
          </w:tcPr>
          <w:p w14:paraId="17F2FD5A">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从事放射卫生技术服务的机构出具虚假证明文件，违法所得五千元以上一万元以下的。</w:t>
            </w:r>
          </w:p>
        </w:tc>
        <w:tc>
          <w:tcPr>
            <w:tcW w:w="4928" w:type="dxa"/>
            <w:vAlign w:val="center"/>
          </w:tcPr>
          <w:p w14:paraId="045F6B3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责令立即停止违法行为，警告，没收违法所得，并处违法所得二倍以上四倍以下的罚款。</w:t>
            </w:r>
          </w:p>
        </w:tc>
      </w:tr>
      <w:tr w14:paraId="6B5E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6BA79378">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268" w:type="dxa"/>
            <w:vAlign w:val="center"/>
          </w:tcPr>
          <w:p w14:paraId="2C3072C6">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从事放射卫生技术服务的机构出具虚假证明文件，违法所得一万元以上五万元以下的。</w:t>
            </w:r>
          </w:p>
        </w:tc>
        <w:tc>
          <w:tcPr>
            <w:tcW w:w="4928" w:type="dxa"/>
            <w:vAlign w:val="center"/>
          </w:tcPr>
          <w:p w14:paraId="04C9D65E">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责令立即停止违法行为，警告，没收违法所得，并处违法所得四倍以上五倍以下的罚款。</w:t>
            </w:r>
          </w:p>
        </w:tc>
      </w:tr>
      <w:tr w14:paraId="58DF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804" w:type="dxa"/>
            <w:vAlign w:val="center"/>
          </w:tcPr>
          <w:p w14:paraId="3EFDD440">
            <w:pPr>
              <w:widowControl w:val="0"/>
              <w:adjustRightInd/>
              <w:snapToGrid/>
              <w:spacing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特别严重</w:t>
            </w:r>
          </w:p>
        </w:tc>
        <w:tc>
          <w:tcPr>
            <w:tcW w:w="7268" w:type="dxa"/>
            <w:vAlign w:val="center"/>
          </w:tcPr>
          <w:p w14:paraId="539B1102">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有下列情形之一的：</w:t>
            </w:r>
          </w:p>
          <w:p w14:paraId="635466E7">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A.从事放射卫生技术服务的机构出具虚假证明文件，违法所得五万元以上的；</w:t>
            </w:r>
          </w:p>
          <w:p w14:paraId="169B18DD">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B.</w:t>
            </w:r>
            <w:r>
              <w:rPr>
                <w:rFonts w:hint="eastAsia" w:ascii="Times New Roman" w:hAnsi="Times New Roman" w:eastAsia="仿宋_GB2312" w:cs="Times New Roman"/>
                <w:bCs w:val="0"/>
                <w:color w:val="000000" w:themeColor="text1"/>
                <w:spacing w:val="-6"/>
                <w:sz w:val="24"/>
                <w:lang w:bidi="ar"/>
                <w14:textFill>
                  <w14:solidFill>
                    <w14:schemeClr w14:val="tx1"/>
                  </w14:solidFill>
                </w14:textFill>
              </w:rPr>
              <w:t>从事放射卫生技术服务的机构出具虚假证明文件，造成严重危害的</w:t>
            </w:r>
            <w:r>
              <w:rPr>
                <w:rFonts w:hint="eastAsia" w:ascii="Times New Roman" w:hAnsi="Times New Roman" w:eastAsia="仿宋_GB2312" w:cs="Times New Roman"/>
                <w:bCs w:val="0"/>
                <w:color w:val="000000" w:themeColor="text1"/>
                <w:sz w:val="24"/>
                <w:lang w:bidi="ar"/>
                <w14:textFill>
                  <w14:solidFill>
                    <w14:schemeClr w14:val="tx1"/>
                  </w14:solidFill>
                </w14:textFill>
              </w:rPr>
              <w:t>。</w:t>
            </w:r>
          </w:p>
        </w:tc>
        <w:tc>
          <w:tcPr>
            <w:tcW w:w="4928" w:type="dxa"/>
            <w:vAlign w:val="center"/>
          </w:tcPr>
          <w:p w14:paraId="2687C405">
            <w:pPr>
              <w:widowControl w:val="0"/>
              <w:adjustRightInd/>
              <w:snapToGrid/>
              <w:spacing w:after="0" w:line="320" w:lineRule="exact"/>
              <w:jc w:val="both"/>
              <w:rPr>
                <w:rFonts w:hint="eastAsia" w:ascii="Times New Roman" w:hAnsi="Times New Roman" w:eastAsia="仿宋_GB2312" w:cs="Times New Roman"/>
                <w:bCs w:val="0"/>
                <w:color w:val="000000" w:themeColor="text1"/>
                <w:sz w:val="24"/>
                <w:lang w:bidi="ar"/>
                <w14:textFill>
                  <w14:solidFill>
                    <w14:schemeClr w14:val="tx1"/>
                  </w14:solidFill>
                </w14:textFill>
              </w:rPr>
            </w:pPr>
            <w:r>
              <w:rPr>
                <w:rFonts w:hint="eastAsia" w:ascii="Times New Roman" w:hAnsi="Times New Roman" w:eastAsia="仿宋_GB2312" w:cs="Times New Roman"/>
                <w:bCs w:val="0"/>
                <w:color w:val="000000" w:themeColor="text1"/>
                <w:sz w:val="24"/>
                <w:lang w:bidi="ar"/>
                <w14:textFill>
                  <w14:solidFill>
                    <w14:schemeClr w14:val="tx1"/>
                  </w14:solidFill>
                </w14:textFill>
              </w:rPr>
              <w:t>责令立即停止违法行为，警告，没收违法所得，并处违法所得五倍的罚款；没有违法所得或者违法所得不足五千元的，并处二万元罚款；由原认可或者登记机关取消其相应的资格。</w:t>
            </w:r>
          </w:p>
        </w:tc>
      </w:tr>
    </w:tbl>
    <w:p w14:paraId="35F6EAFB">
      <w:pPr>
        <w:widowControl w:val="0"/>
        <w:numPr>
          <w:ilvl w:val="255"/>
          <w:numId w:val="0"/>
        </w:numPr>
        <w:adjustRightInd/>
        <w:snapToGrid/>
        <w:spacing w:before="157" w:beforeLines="50" w:after="157" w:afterLines="50" w:line="440" w:lineRule="exact"/>
        <w:ind w:firstLine="643" w:firstLineChars="200"/>
        <w:rPr>
          <w:rFonts w:hint="eastAsia" w:ascii="Times New Roman" w:hAnsi="Times New Roman" w:eastAsia="楷体_GB2312" w:cs="仿宋_GB2312"/>
          <w:b/>
          <w:bCs/>
          <w:color w:val="000000" w:themeColor="text1"/>
          <w:sz w:val="32"/>
          <w:szCs w:val="32"/>
          <w:highlight w:val="none"/>
          <w14:textFill>
            <w14:solidFill>
              <w14:schemeClr w14:val="tx1"/>
            </w14:solidFill>
          </w14:textFill>
        </w:rPr>
      </w:pPr>
      <w:bookmarkStart w:id="7531" w:name="_Toc11712"/>
      <w:bookmarkStart w:id="7532" w:name="_Toc9094"/>
      <w:r>
        <w:rPr>
          <w:rFonts w:hint="eastAsia" w:ascii="Times New Roman" w:hAnsi="Times New Roman" w:eastAsia="楷体_GB2312" w:cs="仿宋_GB2312"/>
          <w:b/>
          <w:bCs/>
          <w:color w:val="000000" w:themeColor="text1"/>
          <w:sz w:val="32"/>
          <w:szCs w:val="32"/>
          <w:highlight w:val="none"/>
          <w14:textFill>
            <w14:solidFill>
              <w14:schemeClr w14:val="tx1"/>
            </w14:solidFill>
          </w14:textFill>
        </w:rPr>
        <w:t>（三）《放射工作人员职业健康管理办法》</w:t>
      </w:r>
      <w:bookmarkEnd w:id="7531"/>
      <w:bookmarkEnd w:id="7532"/>
    </w:p>
    <w:p w14:paraId="67FA7C21">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533" w:name="_Toc14470"/>
      <w:bookmarkStart w:id="7534" w:name="_Toc11168"/>
      <w:bookmarkStart w:id="7535" w:name="_Toc4591"/>
      <w:bookmarkStart w:id="7536" w:name="_Toc1003"/>
      <w:bookmarkStart w:id="7537" w:name="_Toc13860"/>
      <w:bookmarkStart w:id="7538" w:name="_Toc28253"/>
      <w:bookmarkStart w:id="7539" w:name="_Toc23332"/>
      <w:bookmarkStart w:id="7540" w:name="_Toc20141"/>
      <w:bookmarkStart w:id="7541" w:name="_Toc10693"/>
      <w:bookmarkStart w:id="7542" w:name="_Toc30978"/>
      <w:bookmarkStart w:id="7543" w:name="_Toc22966"/>
      <w:r>
        <w:rPr>
          <w:rFonts w:hint="eastAsia" w:ascii="Times New Roman" w:hAnsi="Times New Roman" w:cs="仿宋_GB2312"/>
          <w:bCs/>
          <w:color w:val="000000" w:themeColor="text1"/>
          <w:kern w:val="0"/>
          <w14:textFill>
            <w14:solidFill>
              <w14:schemeClr w14:val="tx1"/>
            </w14:solidFill>
          </w14:textFill>
        </w:rPr>
        <w:t>第六百一十</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放射工作单位未给从事放射工作的人员办理《放射工作人员证》的</w:t>
      </w:r>
      <w:bookmarkEnd w:id="7533"/>
      <w:bookmarkEnd w:id="7534"/>
      <w:bookmarkEnd w:id="7535"/>
      <w:bookmarkEnd w:id="7536"/>
      <w:bookmarkEnd w:id="7537"/>
      <w:bookmarkEnd w:id="7538"/>
      <w:bookmarkEnd w:id="7539"/>
      <w:bookmarkEnd w:id="7540"/>
      <w:bookmarkEnd w:id="7541"/>
      <w:bookmarkEnd w:id="7542"/>
      <w:bookmarkEnd w:id="7543"/>
    </w:p>
    <w:p w14:paraId="4B0185C0">
      <w:pPr>
        <w:widowControl w:val="0"/>
        <w:adjustRightInd/>
        <w:snapToGrid/>
        <w:spacing w:after="0" w:line="440" w:lineRule="exact"/>
        <w:ind w:firstLine="640" w:firstLineChars="200"/>
        <w:jc w:val="both"/>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 xml:space="preserve">法律依据： </w:t>
      </w:r>
    </w:p>
    <w:p w14:paraId="5F1CB6F6">
      <w:pPr>
        <w:widowControl w:val="0"/>
        <w:adjustRightInd/>
        <w:snapToGrid/>
        <w:spacing w:after="0" w:line="440" w:lineRule="exact"/>
        <w:ind w:firstLine="640" w:firstLineChars="200"/>
        <w:jc w:val="both"/>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《放射工作人员职业健康管理办法》第三十九条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放射工作单位违反本办法，未给从事放射工作的人员办理《放射工作人员证》的，由卫生行政部门责令限期改正，给予警告，并可处3万元以下的罚款。</w:t>
      </w:r>
    </w:p>
    <w:p w14:paraId="75FB8836">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4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7780"/>
        <w:gridCol w:w="4875"/>
      </w:tblGrid>
      <w:tr w14:paraId="3643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94" w:type="dxa"/>
            <w:vAlign w:val="center"/>
          </w:tcPr>
          <w:p w14:paraId="223882C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780" w:type="dxa"/>
            <w:vAlign w:val="center"/>
          </w:tcPr>
          <w:p w14:paraId="7567756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875" w:type="dxa"/>
            <w:vAlign w:val="center"/>
          </w:tcPr>
          <w:p w14:paraId="22BA437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7B80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94" w:type="dxa"/>
            <w:vAlign w:val="center"/>
          </w:tcPr>
          <w:p w14:paraId="7807A065">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较轻</w:t>
            </w:r>
          </w:p>
        </w:tc>
        <w:tc>
          <w:tcPr>
            <w:tcW w:w="7780" w:type="dxa"/>
            <w:vAlign w:val="center"/>
          </w:tcPr>
          <w:p w14:paraId="3D7564FC">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对医疗机构未给从事放射工作的人员办理《放射工作人员证》的行为，同时具备下列条件的：</w:t>
            </w:r>
            <w:r>
              <w:rPr>
                <w:rFonts w:hint="eastAsia" w:ascii="Times New Roman" w:hAnsi="Times New Roman" w:eastAsia="仿宋_GB2312" w:cs="Times New Roman"/>
                <w:color w:val="000000" w:themeColor="text1"/>
                <w:sz w:val="24"/>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lang w:bidi="ar"/>
                <w14:textFill>
                  <w14:solidFill>
                    <w14:schemeClr w14:val="tx1"/>
                  </w14:solidFill>
                </w14:textFill>
              </w:rPr>
              <w:t>1.放射工作人员已进行上岗前职业健康检查、个人剂量监测、开展放射防护有关法律知识培训，首次发现仅未办理《放射工作人员证》；</w:t>
            </w:r>
            <w:r>
              <w:rPr>
                <w:rFonts w:hint="eastAsia" w:ascii="Times New Roman" w:hAnsi="Times New Roman" w:eastAsia="仿宋_GB2312" w:cs="Times New Roman"/>
                <w:color w:val="000000" w:themeColor="text1"/>
                <w:sz w:val="24"/>
                <w:lang w:bidi="ar"/>
                <w14:textFill>
                  <w14:solidFill>
                    <w14:schemeClr w14:val="tx1"/>
                  </w14:solidFill>
                </w14:textFill>
              </w:rPr>
              <w:br w:type="textWrapping"/>
            </w:r>
            <w:r>
              <w:rPr>
                <w:rFonts w:hint="eastAsia" w:ascii="Times New Roman" w:hAnsi="Times New Roman" w:eastAsia="仿宋_GB2312" w:cs="Times New Roman"/>
                <w:color w:val="000000" w:themeColor="text1"/>
                <w:sz w:val="24"/>
                <w:lang w:bidi="ar"/>
                <w14:textFill>
                  <w14:solidFill>
                    <w14:schemeClr w14:val="tx1"/>
                  </w14:solidFill>
                </w14:textFill>
              </w:rPr>
              <w:t>2.在责令改正期限内改正，没有造成危害后果。</w:t>
            </w:r>
          </w:p>
        </w:tc>
        <w:tc>
          <w:tcPr>
            <w:tcW w:w="4875" w:type="dxa"/>
            <w:vAlign w:val="center"/>
          </w:tcPr>
          <w:p w14:paraId="75921D7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不予处罚。</w:t>
            </w:r>
          </w:p>
        </w:tc>
      </w:tr>
      <w:tr w14:paraId="61B8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4" w:type="dxa"/>
            <w:vAlign w:val="center"/>
          </w:tcPr>
          <w:p w14:paraId="30D644D9">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一般</w:t>
            </w:r>
          </w:p>
        </w:tc>
        <w:tc>
          <w:tcPr>
            <w:tcW w:w="7780" w:type="dxa"/>
            <w:vAlign w:val="center"/>
          </w:tcPr>
          <w:p w14:paraId="1AF31F71">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未给从事放射工作的人员办理《放射工作人员证》4人及以下的。</w:t>
            </w:r>
          </w:p>
        </w:tc>
        <w:tc>
          <w:tcPr>
            <w:tcW w:w="4875" w:type="dxa"/>
            <w:vAlign w:val="center"/>
          </w:tcPr>
          <w:p w14:paraId="67EFEE68">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警告，并可罚款1万元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4EBF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4" w:type="dxa"/>
            <w:vAlign w:val="center"/>
          </w:tcPr>
          <w:p w14:paraId="14CB4F54">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较重</w:t>
            </w:r>
          </w:p>
        </w:tc>
        <w:tc>
          <w:tcPr>
            <w:tcW w:w="7780" w:type="dxa"/>
            <w:vAlign w:val="center"/>
          </w:tcPr>
          <w:p w14:paraId="2F1BAAA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未给从事放射工作的人员办理《放射工作人员证》5至9人的。</w:t>
            </w:r>
          </w:p>
        </w:tc>
        <w:tc>
          <w:tcPr>
            <w:tcW w:w="4875" w:type="dxa"/>
            <w:vAlign w:val="center"/>
          </w:tcPr>
          <w:p w14:paraId="2C4161F3">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警告，并可罚款1万元以上2.5万元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r w14:paraId="4364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94" w:type="dxa"/>
            <w:vAlign w:val="center"/>
          </w:tcPr>
          <w:p w14:paraId="771F7BDC">
            <w:pPr>
              <w:widowControl w:val="0"/>
              <w:adjustRightInd/>
              <w:snapToGrid/>
              <w:spacing w:before="0" w:beforeLines="-2147483648" w:after="0" w:line="320" w:lineRule="exact"/>
              <w:jc w:val="center"/>
              <w:rPr>
                <w:rFonts w:hint="eastAsia" w:ascii="Times New Roman" w:hAnsi="Times New Roman" w:eastAsia="仿宋_GB2312" w:cs="仿宋_GB2312"/>
                <w:b/>
                <w:bCs/>
                <w:color w:val="000000" w:themeColor="text1"/>
                <w:sz w:val="24"/>
                <w14:textFill>
                  <w14:solidFill>
                    <w14:schemeClr w14:val="tx1"/>
                  </w14:solidFill>
                </w14:textFill>
              </w:rPr>
            </w:pPr>
            <w:r>
              <w:rPr>
                <w:rFonts w:hint="eastAsia" w:ascii="Times New Roman" w:hAnsi="Times New Roman" w:eastAsia="仿宋_GB2312" w:cs="仿宋_GB2312"/>
                <w:b/>
                <w:bCs/>
                <w:color w:val="000000" w:themeColor="text1"/>
                <w:sz w:val="24"/>
                <w14:textFill>
                  <w14:solidFill>
                    <w14:schemeClr w14:val="tx1"/>
                  </w14:solidFill>
                </w14:textFill>
              </w:rPr>
              <w:t>严重</w:t>
            </w:r>
          </w:p>
        </w:tc>
        <w:tc>
          <w:tcPr>
            <w:tcW w:w="7780" w:type="dxa"/>
            <w:vAlign w:val="center"/>
          </w:tcPr>
          <w:p w14:paraId="3E8460FB">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未给从事放射工作的人员办理《放射工作人员证》的行为，有下列情形之一的：</w:t>
            </w:r>
          </w:p>
          <w:p w14:paraId="467074D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1.10人以上的；</w:t>
            </w:r>
          </w:p>
          <w:p w14:paraId="6ACF5A94">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2.造成严重后果的；</w:t>
            </w:r>
          </w:p>
          <w:p w14:paraId="3F9A7E15">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3.拒不改正的。</w:t>
            </w:r>
          </w:p>
        </w:tc>
        <w:tc>
          <w:tcPr>
            <w:tcW w:w="4875" w:type="dxa"/>
            <w:vAlign w:val="center"/>
          </w:tcPr>
          <w:p w14:paraId="14703DAF">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警告，并罚款2.5万元以上3万元</w:t>
            </w:r>
            <w:r>
              <w:rPr>
                <w:rFonts w:hint="eastAsia" w:ascii="Times New Roman" w:hAnsi="Times New Roman" w:eastAsia="仿宋_GB2312" w:cs="Times New Roman"/>
                <w:bCs w:val="0"/>
                <w:color w:val="000000" w:themeColor="text1"/>
                <w:sz w:val="24"/>
                <w:lang w:bidi="ar"/>
                <w14:textFill>
                  <w14:solidFill>
                    <w14:schemeClr w14:val="tx1"/>
                  </w14:solidFill>
                </w14:textFill>
              </w:rPr>
              <w:t>以下。</w:t>
            </w:r>
          </w:p>
        </w:tc>
      </w:tr>
    </w:tbl>
    <w:p w14:paraId="2E5FF98A">
      <w:pPr>
        <w:widowControl w:val="0"/>
        <w:spacing w:after="0" w:line="279" w:lineRule="auto"/>
        <w:rPr>
          <w:rFonts w:hint="eastAsia"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24"/>
          <w14:textFill>
            <w14:solidFill>
              <w14:schemeClr w14:val="tx1"/>
            </w14:solidFill>
          </w14:textFill>
        </w:rPr>
        <w:t>注：不予行政处罚需符合《新疆维吾尔自治区卫生健康委不予行政处罚事项清单》（2024年版）</w:t>
      </w:r>
    </w:p>
    <w:p w14:paraId="1C9C54C8">
      <w:pPr>
        <w:widowControl w:val="0"/>
        <w:numPr>
          <w:ilvl w:val="255"/>
          <w:numId w:val="0"/>
        </w:numPr>
        <w:adjustRightInd/>
        <w:snapToGrid/>
        <w:spacing w:before="157" w:beforeLines="50" w:after="157" w:afterLines="50" w:line="440" w:lineRule="exact"/>
        <w:ind w:firstLine="643" w:firstLineChars="200"/>
        <w:rPr>
          <w:rFonts w:hint="eastAsia" w:ascii="Times New Roman" w:hAnsi="Times New Roman" w:eastAsia="楷体_GB2312" w:cs="仿宋_GB2312"/>
          <w:b/>
          <w:bCs/>
          <w:color w:val="000000" w:themeColor="text1"/>
          <w:sz w:val="32"/>
          <w:szCs w:val="32"/>
          <w:highlight w:val="none"/>
          <w14:textFill>
            <w14:solidFill>
              <w14:schemeClr w14:val="tx1"/>
            </w14:solidFill>
          </w14:textFill>
        </w:rPr>
      </w:pPr>
      <w:bookmarkStart w:id="7544" w:name="_Toc26993"/>
      <w:bookmarkStart w:id="7545" w:name="_Toc23703"/>
      <w:r>
        <w:rPr>
          <w:rFonts w:hint="eastAsia" w:ascii="Times New Roman" w:hAnsi="Times New Roman" w:eastAsia="楷体_GB2312" w:cs="仿宋_GB2312"/>
          <w:b/>
          <w:bCs/>
          <w:color w:val="000000" w:themeColor="text1"/>
          <w:sz w:val="32"/>
          <w:szCs w:val="32"/>
          <w:highlight w:val="none"/>
          <w14:textFill>
            <w14:solidFill>
              <w14:schemeClr w14:val="tx1"/>
            </w14:solidFill>
          </w14:textFill>
        </w:rPr>
        <w:t>（四）《医疗器械监督管理条例》</w:t>
      </w:r>
      <w:bookmarkEnd w:id="7544"/>
      <w:bookmarkEnd w:id="7545"/>
    </w:p>
    <w:p w14:paraId="4E2FB920">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546" w:name="_Toc23603"/>
      <w:bookmarkStart w:id="7547" w:name="_Toc15490"/>
      <w:bookmarkStart w:id="7548" w:name="_Toc27859"/>
      <w:bookmarkStart w:id="7549" w:name="_Toc2635"/>
      <w:bookmarkStart w:id="7550" w:name="_Toc20252"/>
      <w:bookmarkStart w:id="7551" w:name="_Toc21915"/>
      <w:bookmarkStart w:id="7552" w:name="_Toc29129"/>
      <w:bookmarkStart w:id="7553" w:name="_Toc13440"/>
      <w:bookmarkStart w:id="7554" w:name="_Toc8833"/>
      <w:bookmarkStart w:id="7555" w:name="_Toc4786"/>
      <w:bookmarkStart w:id="7556" w:name="_Toc21553"/>
      <w:r>
        <w:rPr>
          <w:rFonts w:hint="eastAsia" w:ascii="Times New Roman" w:hAnsi="Times New Roman" w:cs="仿宋_GB2312"/>
          <w:bCs/>
          <w:color w:val="000000" w:themeColor="text1"/>
          <w:kern w:val="0"/>
          <w14:textFill>
            <w14:solidFill>
              <w14:schemeClr w14:val="tx1"/>
            </w14:solidFill>
          </w14:textFill>
        </w:rPr>
        <w:t>第六百一十一</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未经许可擅自配置使用大型医用设备的</w:t>
      </w:r>
      <w:bookmarkEnd w:id="7546"/>
      <w:bookmarkEnd w:id="7547"/>
      <w:bookmarkEnd w:id="7548"/>
      <w:bookmarkEnd w:id="7549"/>
      <w:bookmarkEnd w:id="7550"/>
      <w:bookmarkEnd w:id="7551"/>
      <w:bookmarkEnd w:id="7552"/>
      <w:bookmarkEnd w:id="7553"/>
      <w:bookmarkEnd w:id="7554"/>
      <w:bookmarkEnd w:id="7555"/>
      <w:bookmarkEnd w:id="7556"/>
    </w:p>
    <w:p w14:paraId="7C99D0CA">
      <w:pPr>
        <w:widowControl w:val="0"/>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62F4A587">
      <w:pPr>
        <w:widowControl w:val="0"/>
        <w:shd w:val="clear" w:color="auto" w:fill="FFFFFF"/>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ascii="Times New Roman" w:hAnsi="Times New Roman" w:eastAsia="仿宋_GB2312" w:cs="仿宋"/>
          <w:color w:val="000000" w:themeColor="text1"/>
          <w:sz w:val="32"/>
          <w:szCs w:val="32"/>
          <w14:textFill>
            <w14:solidFill>
              <w14:schemeClr w14:val="tx1"/>
            </w14:solidFill>
          </w14:textFill>
        </w:rPr>
        <w:t>《医疗器械监督管理条例》第八十二条　未经许可擅自配置使用大型医用设备的，由县级以上人民政府卫生主管部门责令停止使用，给予警告，没收违法所得；违法所得不足1万元的，并处5万元以上10万元以下罚款；违法所得1万元以上的，并处违法所得10倍以上30倍以下罚款；情节严重的，5年内不受理相关责任人以及单位提出的大型医用设备配置许可申请，对违法单位的法定代表人、主要负责人、直接负责的主管人员和其他责任人员，没收违法行为发生期间自本单位所获收入，并处所获收入30%以上3倍以下罚款，依法给予处分。</w:t>
      </w:r>
    </w:p>
    <w:p w14:paraId="34281194">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5191"/>
        <w:gridCol w:w="7139"/>
      </w:tblGrid>
      <w:tr w14:paraId="3AAD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628" w:type="dxa"/>
            <w:vAlign w:val="center"/>
          </w:tcPr>
          <w:p w14:paraId="5221DB13">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5191" w:type="dxa"/>
            <w:vAlign w:val="center"/>
          </w:tcPr>
          <w:p w14:paraId="454178FA">
            <w:pPr>
              <w:widowControl/>
              <w:adjustRightInd/>
              <w:snapToGrid/>
              <w:spacing w:after="0" w:line="240" w:lineRule="auto"/>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7139" w:type="dxa"/>
            <w:vAlign w:val="center"/>
          </w:tcPr>
          <w:p w14:paraId="3BAD00F7">
            <w:pPr>
              <w:widowControl/>
              <w:adjustRightInd/>
              <w:snapToGrid/>
              <w:spacing w:after="0" w:line="240" w:lineRule="auto"/>
              <w:ind w:firstLine="0" w:firstLineChars="0"/>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6CC6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28" w:type="dxa"/>
            <w:vAlign w:val="center"/>
          </w:tcPr>
          <w:p w14:paraId="40EDD64C">
            <w:pPr>
              <w:widowControl w:val="0"/>
              <w:adjustRightInd/>
              <w:snapToGrid/>
              <w:spacing w:after="0" w:line="320" w:lineRule="exact"/>
              <w:jc w:val="center"/>
              <w:rPr>
                <w:rFonts w:hint="eastAsia" w:ascii="Times New Roman" w:hAnsi="Times New Roman" w:eastAsia="仿宋_GB2312" w:cs="仿宋_GB2312"/>
                <w:b/>
                <w:bCs/>
                <w:i w:val="0"/>
                <w:iCs w:val="0"/>
                <w:color w:val="000000" w:themeColor="text1"/>
                <w:sz w:val="24"/>
                <w:szCs w:val="22"/>
                <w:u w:val="none"/>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5191" w:type="dxa"/>
            <w:vAlign w:val="center"/>
          </w:tcPr>
          <w:p w14:paraId="642D9D6C">
            <w:pPr>
              <w:widowControl w:val="0"/>
              <w:adjustRightInd/>
              <w:snapToGrid/>
              <w:spacing w:after="0" w:line="320" w:lineRule="exact"/>
              <w:jc w:val="both"/>
              <w:rPr>
                <w:rFonts w:hint="eastAsia" w:ascii="Times New Roman" w:hAnsi="Times New Roman" w:eastAsia="仿宋_GB2312" w:cs="Times New Roman"/>
                <w:i w:val="0"/>
                <w:iCs w:val="0"/>
                <w:color w:val="000000" w:themeColor="text1"/>
                <w:sz w:val="24"/>
                <w:szCs w:val="22"/>
                <w:u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未经许可擅自配置使用大型医用设备的，违法所得1 万元以下的。</w:t>
            </w:r>
          </w:p>
        </w:tc>
        <w:tc>
          <w:tcPr>
            <w:tcW w:w="7139" w:type="dxa"/>
            <w:vAlign w:val="center"/>
          </w:tcPr>
          <w:p w14:paraId="1812A7EB">
            <w:pPr>
              <w:widowControl w:val="0"/>
              <w:adjustRightInd/>
              <w:snapToGrid/>
              <w:spacing w:after="0" w:line="320" w:lineRule="exact"/>
              <w:jc w:val="both"/>
              <w:rPr>
                <w:rFonts w:hint="eastAsia" w:ascii="Times New Roman" w:hAnsi="Times New Roman" w:eastAsia="仿宋_GB2312" w:cs="Times New Roman"/>
                <w:i w:val="0"/>
                <w:iCs w:val="0"/>
                <w:color w:val="000000" w:themeColor="text1"/>
                <w:sz w:val="24"/>
                <w:szCs w:val="22"/>
                <w:u w:val="none"/>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责令停止使用，给予警告，没收违法所得；违法所得不足1万元的，并处5万元以上10万元以下罚款。</w:t>
            </w:r>
          </w:p>
        </w:tc>
      </w:tr>
      <w:tr w14:paraId="68D3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28" w:type="dxa"/>
            <w:vAlign w:val="center"/>
          </w:tcPr>
          <w:p w14:paraId="59F0B0E3">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5191" w:type="dxa"/>
            <w:vAlign w:val="center"/>
          </w:tcPr>
          <w:p w14:paraId="003759C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未经许可擅自配置使用大型医用设备的，违法所得1 万元以上的。</w:t>
            </w:r>
          </w:p>
        </w:tc>
        <w:tc>
          <w:tcPr>
            <w:tcW w:w="7139" w:type="dxa"/>
            <w:vAlign w:val="center"/>
          </w:tcPr>
          <w:p w14:paraId="719AD19E">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责令停止使用，给予警告，没收违法所得；并处违法所得10 倍以上30倍以下罚款。</w:t>
            </w:r>
          </w:p>
        </w:tc>
      </w:tr>
      <w:tr w14:paraId="05A4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628" w:type="dxa"/>
            <w:vAlign w:val="center"/>
          </w:tcPr>
          <w:p w14:paraId="689E81F8">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5191" w:type="dxa"/>
            <w:vAlign w:val="center"/>
          </w:tcPr>
          <w:p w14:paraId="02DCBA9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未经许可擅自配置使用大型医用设备的，造成严重后果的。</w:t>
            </w:r>
          </w:p>
        </w:tc>
        <w:tc>
          <w:tcPr>
            <w:tcW w:w="7139" w:type="dxa"/>
            <w:vAlign w:val="center"/>
          </w:tcPr>
          <w:p w14:paraId="6DE8163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5年内不受理相关责任人以及单位提出的大型医用设备配置许可申请，对违法单位的法定代表人、主要负责人、直接负责的主管人员和其他责任人员，没收违法行为发生期间自本单位所获收入，并处所获收入30%以上3倍以下罚款，依法给予处分。</w:t>
            </w:r>
          </w:p>
        </w:tc>
      </w:tr>
    </w:tbl>
    <w:p w14:paraId="33DFF40D">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557" w:name="_Toc4138"/>
      <w:bookmarkStart w:id="7558" w:name="_Toc17444"/>
      <w:bookmarkStart w:id="7559" w:name="_Toc11824"/>
      <w:bookmarkStart w:id="7560" w:name="_Toc17092"/>
      <w:bookmarkStart w:id="7561" w:name="_Toc16230"/>
      <w:bookmarkStart w:id="7562" w:name="_Toc9010"/>
      <w:bookmarkStart w:id="7563" w:name="_Toc32034"/>
      <w:bookmarkStart w:id="7564" w:name="_Toc23549"/>
      <w:bookmarkStart w:id="7565" w:name="_Toc6116"/>
      <w:bookmarkStart w:id="7566" w:name="_Toc11232"/>
      <w:bookmarkStart w:id="7567" w:name="_Toc27663"/>
      <w:r>
        <w:rPr>
          <w:rFonts w:hint="eastAsia" w:ascii="Times New Roman" w:hAnsi="Times New Roman" w:cs="仿宋_GB2312"/>
          <w:bCs/>
          <w:color w:val="000000" w:themeColor="text1"/>
          <w:kern w:val="0"/>
          <w14:textFill>
            <w14:solidFill>
              <w14:schemeClr w14:val="tx1"/>
            </w14:solidFill>
          </w14:textFill>
        </w:rPr>
        <w:t>第六百一十二</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提供虚假资料或者采取其他欺骗手段取得大型医用设备配置许可证的</w:t>
      </w:r>
      <w:bookmarkEnd w:id="7557"/>
      <w:bookmarkEnd w:id="7558"/>
      <w:bookmarkEnd w:id="7559"/>
      <w:bookmarkEnd w:id="7560"/>
      <w:bookmarkEnd w:id="7561"/>
      <w:bookmarkEnd w:id="7562"/>
      <w:bookmarkEnd w:id="7563"/>
      <w:bookmarkEnd w:id="7564"/>
      <w:bookmarkEnd w:id="7565"/>
      <w:bookmarkEnd w:id="7566"/>
      <w:bookmarkEnd w:id="7567"/>
    </w:p>
    <w:p w14:paraId="4FBCD97A">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72B15DFA">
      <w:pPr>
        <w:widowControl w:val="0"/>
        <w:shd w:val="clear" w:color="auto" w:fill="FFFFFF"/>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ascii="Times New Roman" w:hAnsi="Times New Roman" w:eastAsia="仿宋_GB2312" w:cs="仿宋"/>
          <w:color w:val="000000" w:themeColor="text1"/>
          <w:sz w:val="32"/>
          <w:szCs w:val="32"/>
          <w14:textFill>
            <w14:solidFill>
              <w14:schemeClr w14:val="tx1"/>
            </w14:solidFill>
          </w14:textFill>
        </w:rPr>
        <w:t>《医疗器械监督管理条例》第八十三条第一款　在申请医疗器械行政许可时提供虚假资料或者采取其他欺骗手段的，不予行政许可，已经取得行政许可的，由作出行政许可决定的部门撤销行政许可，没收违法所得、违法生产经营使用的医疗器械，10年内不受理相关责任人以及单位提出的医疗器械许可申请；违法生产经营使用的医疗器械货值金额不足1万元的，并处5万元以上15万元以下罚款；货值金额1万元以上的，并处货值金额15倍以上30倍以下罚款；情节严重的，责令停产停业，对违法单位的法定代表人、主要负责人、直接负责的主管人员和其他责任人员，没收违法行为发生期间自本单位所获收入，并处所获收入30%以上3倍以下罚款，终身禁止其从事医疗器械生产经营活动。</w:t>
      </w:r>
    </w:p>
    <w:p w14:paraId="700CFFAC">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9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7087"/>
        <w:gridCol w:w="5479"/>
      </w:tblGrid>
      <w:tr w14:paraId="553F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1418" w:type="dxa"/>
            <w:tcMar>
              <w:top w:w="0" w:type="dxa"/>
              <w:left w:w="108" w:type="dxa"/>
              <w:bottom w:w="0" w:type="dxa"/>
              <w:right w:w="108" w:type="dxa"/>
            </w:tcMar>
            <w:vAlign w:val="center"/>
          </w:tcPr>
          <w:p w14:paraId="7C43376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087" w:type="dxa"/>
            <w:tcMar>
              <w:top w:w="0" w:type="dxa"/>
              <w:left w:w="108" w:type="dxa"/>
              <w:bottom w:w="0" w:type="dxa"/>
              <w:right w:w="108" w:type="dxa"/>
            </w:tcMar>
            <w:vAlign w:val="center"/>
          </w:tcPr>
          <w:p w14:paraId="0CA32382">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5479" w:type="dxa"/>
            <w:tcMar>
              <w:top w:w="0" w:type="dxa"/>
              <w:left w:w="108" w:type="dxa"/>
              <w:bottom w:w="0" w:type="dxa"/>
              <w:right w:w="108" w:type="dxa"/>
            </w:tcMar>
            <w:vAlign w:val="center"/>
          </w:tcPr>
          <w:p w14:paraId="44C0B4C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1E8A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1418" w:type="dxa"/>
            <w:tcMar>
              <w:top w:w="0" w:type="dxa"/>
              <w:left w:w="108" w:type="dxa"/>
              <w:bottom w:w="0" w:type="dxa"/>
              <w:right w:w="108" w:type="dxa"/>
            </w:tcMar>
            <w:vAlign w:val="center"/>
          </w:tcPr>
          <w:p w14:paraId="6F6AAE96">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7087" w:type="dxa"/>
            <w:tcMar>
              <w:top w:w="0" w:type="dxa"/>
              <w:left w:w="108" w:type="dxa"/>
              <w:bottom w:w="0" w:type="dxa"/>
              <w:right w:w="108" w:type="dxa"/>
            </w:tcMar>
            <w:vAlign w:val="center"/>
          </w:tcPr>
          <w:p w14:paraId="417BFA6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提供虚假资料或者采取其他欺骗手段取得大型医用设备配置许可证的，违法生产经营使用的医疗器械货值金额不足1万元的。</w:t>
            </w:r>
          </w:p>
        </w:tc>
        <w:tc>
          <w:tcPr>
            <w:tcW w:w="5479" w:type="dxa"/>
            <w:tcMar>
              <w:top w:w="0" w:type="dxa"/>
              <w:left w:w="108" w:type="dxa"/>
              <w:bottom w:w="0" w:type="dxa"/>
              <w:right w:w="108" w:type="dxa"/>
            </w:tcMar>
            <w:vAlign w:val="center"/>
          </w:tcPr>
          <w:p w14:paraId="6FF85CA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由作出行政许可决定的部门撤销行政许可，没收违法所得、违法生产经营使用的医疗器械，10年内不受理相关责任人以及单位提出的医疗器械许可申请，并处5万元以上15万元以下罚款。</w:t>
            </w:r>
          </w:p>
        </w:tc>
      </w:tr>
      <w:tr w14:paraId="6348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1418" w:type="dxa"/>
            <w:tcMar>
              <w:top w:w="0" w:type="dxa"/>
              <w:left w:w="108" w:type="dxa"/>
              <w:bottom w:w="0" w:type="dxa"/>
              <w:right w:w="108" w:type="dxa"/>
            </w:tcMar>
            <w:vAlign w:val="center"/>
          </w:tcPr>
          <w:p w14:paraId="3AB30381">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7087" w:type="dxa"/>
            <w:tcMar>
              <w:top w:w="0" w:type="dxa"/>
              <w:left w:w="108" w:type="dxa"/>
              <w:bottom w:w="0" w:type="dxa"/>
              <w:right w:w="108" w:type="dxa"/>
            </w:tcMar>
            <w:vAlign w:val="center"/>
          </w:tcPr>
          <w:p w14:paraId="3654624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提供虚假资料或者采取其他欺骗手段取得大型医用设备配置许可证的，货值金额1万元以上的。</w:t>
            </w:r>
          </w:p>
        </w:tc>
        <w:tc>
          <w:tcPr>
            <w:tcW w:w="5479" w:type="dxa"/>
            <w:tcMar>
              <w:top w:w="0" w:type="dxa"/>
              <w:left w:w="108" w:type="dxa"/>
              <w:bottom w:w="0" w:type="dxa"/>
              <w:right w:w="108" w:type="dxa"/>
            </w:tcMar>
            <w:vAlign w:val="center"/>
          </w:tcPr>
          <w:p w14:paraId="4CD2CF2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由作出行政许可决定的部门撤销行政许可，没收违法所得、违法生产经营使用的医疗器械，10年内不受理相关责任人以及单位提出的医疗器械许可申请，并处货值金额15倍以上30倍以下罚款。</w:t>
            </w:r>
          </w:p>
        </w:tc>
      </w:tr>
      <w:tr w14:paraId="673C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1418" w:type="dxa"/>
            <w:tcMar>
              <w:top w:w="0" w:type="dxa"/>
              <w:left w:w="108" w:type="dxa"/>
              <w:bottom w:w="0" w:type="dxa"/>
              <w:right w:w="108" w:type="dxa"/>
            </w:tcMar>
            <w:vAlign w:val="center"/>
          </w:tcPr>
          <w:p w14:paraId="32B513BC">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7087" w:type="dxa"/>
            <w:tcMar>
              <w:top w:w="0" w:type="dxa"/>
              <w:left w:w="108" w:type="dxa"/>
              <w:bottom w:w="0" w:type="dxa"/>
              <w:right w:w="108" w:type="dxa"/>
            </w:tcMar>
            <w:vAlign w:val="center"/>
          </w:tcPr>
          <w:p w14:paraId="10ACBFD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提供虚假资料或者采取其他欺骗手段取得大型医用设备配置许可证的，造成严重后果的。</w:t>
            </w:r>
          </w:p>
        </w:tc>
        <w:tc>
          <w:tcPr>
            <w:tcW w:w="5479" w:type="dxa"/>
            <w:tcMar>
              <w:top w:w="0" w:type="dxa"/>
              <w:left w:w="108" w:type="dxa"/>
              <w:bottom w:w="0" w:type="dxa"/>
              <w:right w:w="108" w:type="dxa"/>
            </w:tcMar>
            <w:vAlign w:val="center"/>
          </w:tcPr>
          <w:p w14:paraId="0E00564F">
            <w:pPr>
              <w:widowControl w:val="0"/>
              <w:shd w:val="clear" w:color="auto" w:fill="auto"/>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停产停业，对违法单位的法定代表人、主要负责人、直接负责的主管人员和其他责任人员，没收违法行为发生期间自本单位所获收入，并处所获收入30%以上3倍以下罚款，终身禁止其从事医疗器械生产经营活动。</w:t>
            </w:r>
          </w:p>
        </w:tc>
      </w:tr>
    </w:tbl>
    <w:p w14:paraId="10E20F19">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568" w:name="_Toc26188"/>
      <w:bookmarkStart w:id="7569" w:name="_Toc28176"/>
      <w:bookmarkStart w:id="7570" w:name="_Toc4402"/>
      <w:bookmarkStart w:id="7571" w:name="_Toc11961"/>
      <w:bookmarkStart w:id="7572" w:name="_Toc10581"/>
      <w:bookmarkStart w:id="7573" w:name="_Toc5635"/>
      <w:bookmarkStart w:id="7574" w:name="_Toc28178"/>
      <w:bookmarkStart w:id="7575" w:name="_Toc14010"/>
      <w:bookmarkStart w:id="7576" w:name="_Toc25641"/>
      <w:bookmarkStart w:id="7577" w:name="_Toc28514"/>
      <w:bookmarkStart w:id="7578" w:name="_Toc13474"/>
      <w:r>
        <w:rPr>
          <w:rFonts w:hint="eastAsia" w:ascii="Times New Roman" w:hAnsi="Times New Roman" w:cs="仿宋_GB2312"/>
          <w:bCs/>
          <w:color w:val="000000" w:themeColor="text1"/>
          <w:kern w:val="0"/>
          <w14:textFill>
            <w14:solidFill>
              <w14:schemeClr w14:val="tx1"/>
            </w14:solidFill>
          </w14:textFill>
        </w:rPr>
        <w:t>第六百一十三</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医疗器械使用单位发现使用的医疗器械存在安全隐患未立即停止使用、通知检修，或者继续使用经检修仍不能达到使用安全标准的医疗器械的</w:t>
      </w:r>
      <w:bookmarkEnd w:id="7568"/>
      <w:bookmarkEnd w:id="7569"/>
      <w:bookmarkEnd w:id="7570"/>
      <w:bookmarkEnd w:id="7571"/>
      <w:bookmarkEnd w:id="7572"/>
      <w:bookmarkEnd w:id="7573"/>
      <w:bookmarkEnd w:id="7574"/>
      <w:bookmarkEnd w:id="7575"/>
      <w:bookmarkEnd w:id="7576"/>
      <w:bookmarkEnd w:id="7577"/>
      <w:bookmarkEnd w:id="7578"/>
    </w:p>
    <w:p w14:paraId="1FDF8B0B">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6B4EFCBE">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《医疗器械监督管理条例》</w:t>
      </w:r>
      <w:r>
        <w:rPr>
          <w:rFonts w:hint="eastAsia" w:ascii="Times New Roman" w:hAnsi="Times New Roman" w:eastAsia="仿宋_GB2312" w:cs="仿宋"/>
          <w:bCs/>
          <w:color w:val="000000" w:themeColor="text1"/>
          <w:sz w:val="32"/>
          <w:szCs w:val="32"/>
          <w14:textFill>
            <w14:solidFill>
              <w14:schemeClr w14:val="tx1"/>
            </w14:solidFill>
          </w14:textFill>
        </w:rPr>
        <w:t>第九十条</w:t>
      </w:r>
      <w:r>
        <w:rPr>
          <w:rFonts w:hint="eastAsia" w:ascii="Times New Roman" w:hAnsi="Times New Roman" w:eastAsia="仿宋_GB2312" w:cs="仿宋"/>
          <w:color w:val="000000" w:themeColor="text1"/>
          <w:sz w:val="32"/>
          <w:szCs w:val="32"/>
          <w14:textFill>
            <w14:solidFill>
              <w14:schemeClr w14:val="tx1"/>
            </w14:solidFill>
          </w14:textFill>
        </w:rPr>
        <w:t>第（四）项　 有下列情形之一的，由县级以上人民政府卫生主管部门责令改正，给予警告；拒不改正的，处5万元以上10万元以下罚款；情节严重的，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依法给予处分：</w:t>
      </w:r>
    </w:p>
    <w:p w14:paraId="2FAED196">
      <w:pPr>
        <w:widowControl w:val="0"/>
        <w:shd w:val="clear" w:color="auto" w:fill="FFFFFF"/>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ascii="Times New Roman" w:hAnsi="Times New Roman" w:eastAsia="仿宋_GB2312" w:cs="仿宋"/>
          <w:color w:val="000000" w:themeColor="text1"/>
          <w:sz w:val="32"/>
          <w:szCs w:val="32"/>
          <w:shd w:val="clear" w:color="auto" w:fill="FFFFFF"/>
          <w14:textFill>
            <w14:solidFill>
              <w14:schemeClr w14:val="tx1"/>
            </w14:solidFill>
          </w14:textFill>
        </w:rPr>
        <w:t>（四）</w:t>
      </w:r>
      <w:r>
        <w:rPr>
          <w:rFonts w:ascii="Times New Roman" w:hAnsi="Times New Roman" w:eastAsia="仿宋_GB2312" w:cs="仿宋"/>
          <w:color w:val="000000" w:themeColor="text1"/>
          <w:sz w:val="32"/>
          <w:szCs w:val="32"/>
          <w14:textFill>
            <w14:solidFill>
              <w14:schemeClr w14:val="tx1"/>
            </w14:solidFill>
          </w14:textFill>
        </w:rPr>
        <w:t>医疗器械使用单位发现使用的医疗器械存在安全隐患未立即停止使用、通知检修，或者继续使用经检修仍不能达到使用安全标准的医疗器械。</w:t>
      </w:r>
    </w:p>
    <w:p w14:paraId="5FE39047">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8221"/>
        <w:gridCol w:w="4253"/>
      </w:tblGrid>
      <w:tr w14:paraId="64CD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18" w:type="dxa"/>
            <w:tcMar>
              <w:top w:w="0" w:type="dxa"/>
              <w:left w:w="108" w:type="dxa"/>
              <w:bottom w:w="0" w:type="dxa"/>
              <w:right w:w="108" w:type="dxa"/>
            </w:tcMar>
            <w:vAlign w:val="center"/>
          </w:tcPr>
          <w:p w14:paraId="3844AF48">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8221" w:type="dxa"/>
            <w:tcMar>
              <w:top w:w="0" w:type="dxa"/>
              <w:left w:w="108" w:type="dxa"/>
              <w:bottom w:w="0" w:type="dxa"/>
              <w:right w:w="108" w:type="dxa"/>
            </w:tcMar>
            <w:vAlign w:val="center"/>
          </w:tcPr>
          <w:p w14:paraId="5D619F7B">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253" w:type="dxa"/>
            <w:tcMar>
              <w:top w:w="0" w:type="dxa"/>
              <w:left w:w="108" w:type="dxa"/>
              <w:bottom w:w="0" w:type="dxa"/>
              <w:right w:w="108" w:type="dxa"/>
            </w:tcMar>
            <w:vAlign w:val="center"/>
          </w:tcPr>
          <w:p w14:paraId="1DF7EAE6">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4D5D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18" w:type="dxa"/>
            <w:tcMar>
              <w:top w:w="0" w:type="dxa"/>
              <w:left w:w="108" w:type="dxa"/>
              <w:bottom w:w="0" w:type="dxa"/>
              <w:right w:w="108" w:type="dxa"/>
            </w:tcMar>
            <w:vAlign w:val="center"/>
          </w:tcPr>
          <w:p w14:paraId="4AFF842A">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8221" w:type="dxa"/>
            <w:tcMar>
              <w:top w:w="0" w:type="dxa"/>
              <w:left w:w="108" w:type="dxa"/>
              <w:bottom w:w="0" w:type="dxa"/>
              <w:right w:w="108" w:type="dxa"/>
            </w:tcMar>
            <w:vAlign w:val="center"/>
          </w:tcPr>
          <w:p w14:paraId="738BE96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发现使用的大型医用设备存在安全隐患未立即停止使用、通知检修，或者继续使用经检修仍不能达到使用安全标准。</w:t>
            </w:r>
          </w:p>
        </w:tc>
        <w:tc>
          <w:tcPr>
            <w:tcW w:w="4253" w:type="dxa"/>
            <w:tcMar>
              <w:top w:w="0" w:type="dxa"/>
              <w:left w:w="108" w:type="dxa"/>
              <w:bottom w:w="0" w:type="dxa"/>
              <w:right w:w="108" w:type="dxa"/>
            </w:tcMar>
            <w:vAlign w:val="center"/>
          </w:tcPr>
          <w:p w14:paraId="5BC59B4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责令改正，给予警告。</w:t>
            </w:r>
          </w:p>
        </w:tc>
      </w:tr>
      <w:tr w14:paraId="602F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rPr>
        <w:tc>
          <w:tcPr>
            <w:tcW w:w="1418" w:type="dxa"/>
            <w:tcMar>
              <w:top w:w="0" w:type="dxa"/>
              <w:left w:w="108" w:type="dxa"/>
              <w:bottom w:w="0" w:type="dxa"/>
              <w:right w:w="108" w:type="dxa"/>
            </w:tcMar>
            <w:vAlign w:val="center"/>
          </w:tcPr>
          <w:p w14:paraId="00B18D23">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8221" w:type="dxa"/>
            <w:tcMar>
              <w:top w:w="0" w:type="dxa"/>
              <w:left w:w="108" w:type="dxa"/>
              <w:bottom w:w="0" w:type="dxa"/>
              <w:right w:w="108" w:type="dxa"/>
            </w:tcMar>
            <w:vAlign w:val="center"/>
          </w:tcPr>
          <w:p w14:paraId="0EEA8557">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发现使用的乙类</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大型医用设备</w:t>
            </w:r>
            <w:r>
              <w:rPr>
                <w:rFonts w:hint="eastAsia" w:ascii="Times New Roman" w:hAnsi="Times New Roman" w:eastAsia="仿宋_GB2312" w:cs="Times New Roman"/>
                <w:color w:val="000000" w:themeColor="text1"/>
                <w:sz w:val="24"/>
                <w:szCs w:val="22"/>
                <w:lang w:bidi="ar"/>
                <w14:textFill>
                  <w14:solidFill>
                    <w14:schemeClr w14:val="tx1"/>
                  </w14:solidFill>
                </w14:textFill>
              </w:rPr>
              <w:t>存在安全隐患未立即停止使用、通知检修，或者继续使用经检修仍不能达到使用安全标准，经责令改正，拒不改正的。</w:t>
            </w:r>
          </w:p>
        </w:tc>
        <w:tc>
          <w:tcPr>
            <w:tcW w:w="4253" w:type="dxa"/>
            <w:tcMar>
              <w:top w:w="0" w:type="dxa"/>
              <w:left w:w="108" w:type="dxa"/>
              <w:bottom w:w="0" w:type="dxa"/>
              <w:right w:w="108" w:type="dxa"/>
            </w:tcMar>
            <w:vAlign w:val="center"/>
          </w:tcPr>
          <w:p w14:paraId="3D25096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罚款5万元以上8万元以下。</w:t>
            </w:r>
          </w:p>
        </w:tc>
      </w:tr>
      <w:tr w14:paraId="0D6C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trPr>
        <w:tc>
          <w:tcPr>
            <w:tcW w:w="1418" w:type="dxa"/>
            <w:tcMar>
              <w:top w:w="0" w:type="dxa"/>
              <w:left w:w="108" w:type="dxa"/>
              <w:bottom w:w="0" w:type="dxa"/>
              <w:right w:w="108" w:type="dxa"/>
            </w:tcMar>
            <w:vAlign w:val="center"/>
          </w:tcPr>
          <w:p w14:paraId="7A33FE85">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8221" w:type="dxa"/>
            <w:tcMar>
              <w:top w:w="0" w:type="dxa"/>
              <w:left w:w="108" w:type="dxa"/>
              <w:bottom w:w="0" w:type="dxa"/>
              <w:right w:w="108" w:type="dxa"/>
            </w:tcMar>
            <w:vAlign w:val="center"/>
          </w:tcPr>
          <w:p w14:paraId="29A3B06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发现使用的甲类</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大型医用设备</w:t>
            </w:r>
            <w:r>
              <w:rPr>
                <w:rFonts w:hint="eastAsia" w:ascii="Times New Roman" w:hAnsi="Times New Roman" w:eastAsia="仿宋_GB2312" w:cs="Times New Roman"/>
                <w:color w:val="000000" w:themeColor="text1"/>
                <w:sz w:val="24"/>
                <w:szCs w:val="22"/>
                <w:lang w:bidi="ar"/>
                <w14:textFill>
                  <w14:solidFill>
                    <w14:schemeClr w14:val="tx1"/>
                  </w14:solidFill>
                </w14:textFill>
              </w:rPr>
              <w:t>存在安全隐患未立即停止使用、通知检修，或者继续使用经检修仍不能达到使用安全标准，经责令改正，拒不改正的。</w:t>
            </w:r>
          </w:p>
        </w:tc>
        <w:tc>
          <w:tcPr>
            <w:tcW w:w="4253" w:type="dxa"/>
            <w:tcMar>
              <w:top w:w="0" w:type="dxa"/>
              <w:left w:w="108" w:type="dxa"/>
              <w:bottom w:w="0" w:type="dxa"/>
              <w:right w:w="108" w:type="dxa"/>
            </w:tcMar>
            <w:vAlign w:val="center"/>
          </w:tcPr>
          <w:p w14:paraId="2FD9934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罚款8万元以上10万元以下。</w:t>
            </w:r>
          </w:p>
        </w:tc>
      </w:tr>
      <w:tr w14:paraId="4582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1418" w:type="dxa"/>
            <w:tcMar>
              <w:top w:w="0" w:type="dxa"/>
              <w:left w:w="108" w:type="dxa"/>
              <w:bottom w:w="0" w:type="dxa"/>
              <w:right w:w="108" w:type="dxa"/>
            </w:tcMar>
            <w:vAlign w:val="center"/>
          </w:tcPr>
          <w:p w14:paraId="2AE240FB">
            <w:pPr>
              <w:widowControl w:val="0"/>
              <w:adjustRightInd/>
              <w:snapToGrid/>
              <w:spacing w:after="0" w:line="320" w:lineRule="exact"/>
              <w:jc w:val="center"/>
              <w:rPr>
                <w:rFonts w:hint="eastAsia" w:ascii="Times New Roman" w:hAnsi="Times New Roman" w:eastAsia="仿宋" w:cs="仿宋"/>
                <w:b/>
                <w:bCs/>
                <w:color w:val="000000" w:themeColor="text1"/>
                <w:sz w:val="24"/>
                <w:szCs w:val="24"/>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8221" w:type="dxa"/>
            <w:tcMar>
              <w:top w:w="0" w:type="dxa"/>
              <w:left w:w="108" w:type="dxa"/>
              <w:bottom w:w="0" w:type="dxa"/>
              <w:right w:w="108" w:type="dxa"/>
            </w:tcMar>
            <w:vAlign w:val="center"/>
          </w:tcPr>
          <w:p w14:paraId="55FE66D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发现使用的</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大型医用设备</w:t>
            </w:r>
            <w:r>
              <w:rPr>
                <w:rFonts w:hint="eastAsia" w:ascii="Times New Roman" w:hAnsi="Times New Roman" w:eastAsia="仿宋_GB2312" w:cs="Times New Roman"/>
                <w:color w:val="000000" w:themeColor="text1"/>
                <w:sz w:val="24"/>
                <w:szCs w:val="22"/>
                <w:lang w:bidi="ar"/>
                <w14:textFill>
                  <w14:solidFill>
                    <w14:schemeClr w14:val="tx1"/>
                  </w14:solidFill>
                </w14:textFill>
              </w:rPr>
              <w:t>存在安全隐患未立即停止使用、通知检修，或者继续使用经检修仍不能达到使用安全标准，对患者造成伤害或者造成其他严重危害后果的。</w:t>
            </w:r>
          </w:p>
        </w:tc>
        <w:tc>
          <w:tcPr>
            <w:tcW w:w="4253" w:type="dxa"/>
            <w:tcMar>
              <w:top w:w="0" w:type="dxa"/>
              <w:left w:w="108" w:type="dxa"/>
              <w:bottom w:w="0" w:type="dxa"/>
              <w:right w:w="108" w:type="dxa"/>
            </w:tcMar>
            <w:vAlign w:val="center"/>
          </w:tcPr>
          <w:p w14:paraId="61A52D1D">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依法给予处分。</w:t>
            </w:r>
          </w:p>
        </w:tc>
      </w:tr>
    </w:tbl>
    <w:p w14:paraId="124575D5">
      <w:pPr>
        <w:pStyle w:val="4"/>
        <w:widowControl w:val="0"/>
        <w:ind w:firstLine="640"/>
        <w:jc w:val="both"/>
        <w:rPr>
          <w:rFonts w:hint="eastAsia" w:ascii="Times New Roman" w:hAnsi="Times New Roman" w:cs="仿宋_GB2312"/>
          <w:b/>
          <w:bCs/>
          <w:color w:val="000000" w:themeColor="text1"/>
          <w14:textFill>
            <w14:solidFill>
              <w14:schemeClr w14:val="tx1"/>
            </w14:solidFill>
          </w14:textFill>
        </w:rPr>
      </w:pPr>
      <w:bookmarkStart w:id="7579" w:name="_Toc28635"/>
      <w:bookmarkStart w:id="7580" w:name="_Toc18540"/>
      <w:bookmarkStart w:id="7581" w:name="_Toc8305"/>
      <w:bookmarkStart w:id="7582" w:name="_Toc16740"/>
      <w:bookmarkStart w:id="7583" w:name="_Toc26350"/>
      <w:bookmarkStart w:id="7584" w:name="_Toc26328"/>
      <w:bookmarkStart w:id="7585" w:name="_Toc6974"/>
      <w:bookmarkStart w:id="7586" w:name="_Toc2362"/>
      <w:bookmarkStart w:id="7587" w:name="_Toc17150"/>
      <w:bookmarkStart w:id="7588" w:name="_Toc22950"/>
      <w:bookmarkStart w:id="7589" w:name="_Toc31658"/>
      <w:r>
        <w:rPr>
          <w:rFonts w:hint="eastAsia" w:ascii="Times New Roman" w:hAnsi="Times New Roman" w:cs="仿宋_GB2312"/>
          <w:bCs/>
          <w:color w:val="000000" w:themeColor="text1"/>
          <w:kern w:val="0"/>
          <w14:textFill>
            <w14:solidFill>
              <w14:schemeClr w14:val="tx1"/>
            </w14:solidFill>
          </w14:textFill>
        </w:rPr>
        <w:t>第六百一十四</w:t>
      </w:r>
      <w:r>
        <w:rPr>
          <w:rFonts w:hint="eastAsia" w:ascii="Times New Roman" w:hAnsi="Times New Roman" w:cs="仿宋_GB2312"/>
          <w:bCs/>
          <w:color w:val="000000" w:themeColor="text1"/>
          <w:kern w:val="0"/>
          <w:szCs w:val="32"/>
          <w14:textFill>
            <w14:solidFill>
              <w14:schemeClr w14:val="tx1"/>
            </w14:solidFill>
          </w14:textFill>
        </w:rPr>
        <w:t>条</w:t>
      </w:r>
      <w:r>
        <w:rPr>
          <w:rFonts w:hint="eastAsia" w:ascii="Times New Roman" w:hAnsi="Times New Roman" w:cs="仿宋_GB2312"/>
          <w:bCs/>
          <w:color w:val="000000" w:themeColor="text1"/>
          <w14:textFill>
            <w14:solidFill>
              <w14:schemeClr w14:val="tx1"/>
            </w14:solidFill>
          </w14:textFill>
        </w:rPr>
        <w:t xml:space="preserve"> 医疗器械使用单位违规使用大型医用设备，不能保障医疗质量安全的</w:t>
      </w:r>
      <w:bookmarkEnd w:id="7579"/>
      <w:bookmarkEnd w:id="7580"/>
      <w:bookmarkEnd w:id="7581"/>
      <w:bookmarkEnd w:id="7582"/>
      <w:bookmarkEnd w:id="7583"/>
      <w:bookmarkEnd w:id="7584"/>
      <w:bookmarkEnd w:id="7585"/>
      <w:bookmarkEnd w:id="7586"/>
      <w:bookmarkEnd w:id="7587"/>
      <w:bookmarkEnd w:id="7588"/>
      <w:bookmarkEnd w:id="7589"/>
    </w:p>
    <w:p w14:paraId="5DF69C2C">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法律依据：</w:t>
      </w:r>
    </w:p>
    <w:p w14:paraId="1D312BB4">
      <w:pPr>
        <w:widowControl w:val="0"/>
        <w:adjustRightInd/>
        <w:snapToGrid/>
        <w:spacing w:after="0" w:line="440" w:lineRule="exact"/>
        <w:ind w:firstLine="640" w:firstLineChars="200"/>
        <w:rPr>
          <w:rFonts w:hint="eastAsia" w:ascii="Times New Roman" w:hAnsi="Times New Roman" w:eastAsia="仿宋_GB2312" w:cs="仿宋"/>
          <w:color w:val="000000" w:themeColor="text1"/>
          <w:sz w:val="32"/>
          <w:szCs w:val="32"/>
          <w14:textFill>
            <w14:solidFill>
              <w14:schemeClr w14:val="tx1"/>
            </w14:solidFill>
          </w14:textFill>
        </w:rPr>
      </w:pPr>
      <w:r>
        <w:rPr>
          <w:rFonts w:hint="eastAsia" w:ascii="Times New Roman" w:hAnsi="Times New Roman" w:eastAsia="仿宋_GB2312" w:cs="仿宋"/>
          <w:color w:val="000000" w:themeColor="text1"/>
          <w:sz w:val="32"/>
          <w:szCs w:val="32"/>
          <w14:textFill>
            <w14:solidFill>
              <w14:schemeClr w14:val="tx1"/>
            </w14:solidFill>
          </w14:textFill>
        </w:rPr>
        <w:t>《医疗器械监督管理条例》</w:t>
      </w:r>
      <w:r>
        <w:rPr>
          <w:rFonts w:hint="eastAsia" w:ascii="Times New Roman" w:hAnsi="Times New Roman" w:eastAsia="仿宋_GB2312" w:cs="仿宋"/>
          <w:bCs/>
          <w:color w:val="000000" w:themeColor="text1"/>
          <w:sz w:val="32"/>
          <w:szCs w:val="32"/>
          <w14:textFill>
            <w14:solidFill>
              <w14:schemeClr w14:val="tx1"/>
            </w14:solidFill>
          </w14:textFill>
        </w:rPr>
        <w:t>第九十条</w:t>
      </w:r>
      <w:r>
        <w:rPr>
          <w:rFonts w:hint="eastAsia" w:ascii="Times New Roman" w:hAnsi="Times New Roman" w:eastAsia="仿宋_GB2312" w:cs="仿宋"/>
          <w:color w:val="000000" w:themeColor="text1"/>
          <w:sz w:val="32"/>
          <w:szCs w:val="32"/>
          <w14:textFill>
            <w14:solidFill>
              <w14:schemeClr w14:val="tx1"/>
            </w14:solidFill>
          </w14:textFill>
        </w:rPr>
        <w:t>第（五）项　有下列情形之一的，由县级以上人民政府卫生主管部门责令改正，给予警告；拒不改正的，处5万元以上10万元以下罚款；情节严重的，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依法给予处分：</w:t>
      </w:r>
    </w:p>
    <w:p w14:paraId="3CCD3F78">
      <w:pPr>
        <w:widowControl w:val="0"/>
        <w:shd w:val="clear" w:color="auto" w:fill="FFFFFF"/>
        <w:adjustRightInd/>
        <w:snapToGrid/>
        <w:spacing w:after="0" w:line="440" w:lineRule="exact"/>
        <w:ind w:firstLine="640" w:firstLineChars="200"/>
        <w:jc w:val="both"/>
        <w:rPr>
          <w:rFonts w:hint="eastAsia" w:ascii="Times New Roman" w:hAnsi="Times New Roman" w:eastAsia="仿宋_GB2312" w:cs="仿宋"/>
          <w:color w:val="000000" w:themeColor="text1"/>
          <w:sz w:val="32"/>
          <w:szCs w:val="32"/>
          <w14:textFill>
            <w14:solidFill>
              <w14:schemeClr w14:val="tx1"/>
            </w14:solidFill>
          </w14:textFill>
        </w:rPr>
      </w:pPr>
      <w:r>
        <w:rPr>
          <w:rFonts w:ascii="Times New Roman" w:hAnsi="Times New Roman" w:eastAsia="仿宋_GB2312" w:cs="仿宋"/>
          <w:color w:val="000000" w:themeColor="text1"/>
          <w:sz w:val="32"/>
          <w:szCs w:val="32"/>
          <w:shd w:val="clear" w:color="auto" w:fill="FFFFFF"/>
          <w14:textFill>
            <w14:solidFill>
              <w14:schemeClr w14:val="tx1"/>
            </w14:solidFill>
          </w14:textFill>
        </w:rPr>
        <w:t>（五）</w:t>
      </w:r>
      <w:r>
        <w:rPr>
          <w:rFonts w:ascii="Times New Roman" w:hAnsi="Times New Roman" w:eastAsia="仿宋_GB2312" w:cs="仿宋"/>
          <w:color w:val="000000" w:themeColor="text1"/>
          <w:sz w:val="32"/>
          <w:szCs w:val="32"/>
          <w14:textFill>
            <w14:solidFill>
              <w14:schemeClr w14:val="tx1"/>
            </w14:solidFill>
          </w14:textFill>
        </w:rPr>
        <w:t>医疗器械使用单位违规使用大型医用设备，不能保障医疗质量安全。</w:t>
      </w:r>
    </w:p>
    <w:p w14:paraId="3623449A">
      <w:pPr>
        <w:widowControl w:val="0"/>
        <w:adjustRightInd/>
        <w:snapToGrid/>
        <w:spacing w:before="156" w:beforeLines="50" w:after="0" w:line="440" w:lineRule="exact"/>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裁量标准</w:t>
      </w:r>
    </w:p>
    <w:tbl>
      <w:tblPr>
        <w:tblStyle w:val="2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7938"/>
        <w:gridCol w:w="4536"/>
      </w:tblGrid>
      <w:tr w14:paraId="58BC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18" w:type="dxa"/>
            <w:tcMar>
              <w:top w:w="0" w:type="dxa"/>
              <w:left w:w="108" w:type="dxa"/>
              <w:bottom w:w="0" w:type="dxa"/>
              <w:right w:w="108" w:type="dxa"/>
            </w:tcMar>
            <w:vAlign w:val="center"/>
          </w:tcPr>
          <w:p w14:paraId="2BA5C8D7">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违法程度</w:t>
            </w:r>
          </w:p>
        </w:tc>
        <w:tc>
          <w:tcPr>
            <w:tcW w:w="7938" w:type="dxa"/>
            <w:tcMar>
              <w:top w:w="0" w:type="dxa"/>
              <w:left w:w="108" w:type="dxa"/>
              <w:bottom w:w="0" w:type="dxa"/>
              <w:right w:w="108" w:type="dxa"/>
            </w:tcMar>
            <w:vAlign w:val="center"/>
          </w:tcPr>
          <w:p w14:paraId="7AB2A54D">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情节后果</w:t>
            </w:r>
          </w:p>
        </w:tc>
        <w:tc>
          <w:tcPr>
            <w:tcW w:w="4536" w:type="dxa"/>
            <w:tcMar>
              <w:top w:w="0" w:type="dxa"/>
              <w:left w:w="108" w:type="dxa"/>
              <w:bottom w:w="0" w:type="dxa"/>
              <w:right w:w="108" w:type="dxa"/>
            </w:tcMar>
            <w:vAlign w:val="center"/>
          </w:tcPr>
          <w:p w14:paraId="3A79F83C">
            <w:pPr>
              <w:widowControl/>
              <w:adjustRightInd/>
              <w:snapToGrid/>
              <w:spacing w:after="0" w:line="240" w:lineRule="auto"/>
              <w:jc w:val="center"/>
              <w:rPr>
                <w:rFonts w:hint="eastAsia" w:ascii="Times New Roman" w:hAnsi="Times New Roman" w:cs="微软雅黑"/>
                <w:b/>
                <w:bCs/>
                <w:color w:val="000000" w:themeColor="text1"/>
                <w:sz w:val="28"/>
                <w:szCs w:val="28"/>
                <w:lang w:bidi="ar"/>
                <w14:textFill>
                  <w14:solidFill>
                    <w14:schemeClr w14:val="tx1"/>
                  </w14:solidFill>
                </w14:textFill>
              </w:rPr>
            </w:pPr>
            <w:r>
              <w:rPr>
                <w:rFonts w:hint="eastAsia" w:ascii="Times New Roman" w:hAnsi="Times New Roman" w:cs="微软雅黑"/>
                <w:b/>
                <w:bCs/>
                <w:color w:val="000000" w:themeColor="text1"/>
                <w:sz w:val="28"/>
                <w:szCs w:val="28"/>
                <w:lang w:bidi="ar"/>
                <w14:textFill>
                  <w14:solidFill>
                    <w14:schemeClr w14:val="tx1"/>
                  </w14:solidFill>
                </w14:textFill>
              </w:rPr>
              <w:t>裁量幅度</w:t>
            </w:r>
          </w:p>
        </w:tc>
      </w:tr>
      <w:tr w14:paraId="39E4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1418" w:type="dxa"/>
            <w:vMerge w:val="restart"/>
            <w:tcMar>
              <w:top w:w="0" w:type="dxa"/>
              <w:left w:w="108" w:type="dxa"/>
              <w:bottom w:w="0" w:type="dxa"/>
              <w:right w:w="108" w:type="dxa"/>
            </w:tcMar>
            <w:vAlign w:val="center"/>
          </w:tcPr>
          <w:p w14:paraId="2F60F112">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较轻</w:t>
            </w:r>
          </w:p>
        </w:tc>
        <w:tc>
          <w:tcPr>
            <w:tcW w:w="7938" w:type="dxa"/>
            <w:tcMar>
              <w:top w:w="0" w:type="dxa"/>
              <w:left w:w="108" w:type="dxa"/>
              <w:bottom w:w="0" w:type="dxa"/>
              <w:right w:w="108" w:type="dxa"/>
            </w:tcMar>
            <w:vAlign w:val="center"/>
          </w:tcPr>
          <w:p w14:paraId="4CB282C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未按照产品说明书、技术操作规范等要求使用乙类</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大型医用设备的。</w:t>
            </w:r>
          </w:p>
        </w:tc>
        <w:tc>
          <w:tcPr>
            <w:tcW w:w="4536" w:type="dxa"/>
            <w:vMerge w:val="restart"/>
            <w:tcMar>
              <w:top w:w="0" w:type="dxa"/>
              <w:left w:w="108" w:type="dxa"/>
              <w:bottom w:w="0" w:type="dxa"/>
              <w:right w:w="108" w:type="dxa"/>
            </w:tcMar>
            <w:vAlign w:val="center"/>
          </w:tcPr>
          <w:p w14:paraId="6AF2A2E9">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责令改正，给予警告。</w:t>
            </w:r>
          </w:p>
        </w:tc>
      </w:tr>
      <w:tr w14:paraId="79B7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1418" w:type="dxa"/>
            <w:vMerge w:val="continue"/>
            <w:tcMar>
              <w:top w:w="0" w:type="dxa"/>
              <w:left w:w="108" w:type="dxa"/>
              <w:bottom w:w="0" w:type="dxa"/>
              <w:right w:w="108" w:type="dxa"/>
            </w:tcMar>
            <w:vAlign w:val="center"/>
          </w:tcPr>
          <w:p w14:paraId="4A230742">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7938" w:type="dxa"/>
            <w:tcMar>
              <w:top w:w="0" w:type="dxa"/>
              <w:left w:w="108" w:type="dxa"/>
              <w:bottom w:w="0" w:type="dxa"/>
              <w:right w:w="108" w:type="dxa"/>
            </w:tcMar>
            <w:vAlign w:val="center"/>
          </w:tcPr>
          <w:p w14:paraId="2E4CFA7C">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未按照产品说明书、技术操作规范等要求使用乙类</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大型医用设备的。</w:t>
            </w:r>
          </w:p>
        </w:tc>
        <w:tc>
          <w:tcPr>
            <w:tcW w:w="4536" w:type="dxa"/>
            <w:vMerge w:val="continue"/>
            <w:tcMar>
              <w:top w:w="0" w:type="dxa"/>
              <w:left w:w="108" w:type="dxa"/>
              <w:bottom w:w="0" w:type="dxa"/>
              <w:right w:w="108" w:type="dxa"/>
            </w:tcMar>
            <w:vAlign w:val="center"/>
          </w:tcPr>
          <w:p w14:paraId="1D89588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2933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1418" w:type="dxa"/>
            <w:vMerge w:val="continue"/>
            <w:tcMar>
              <w:top w:w="0" w:type="dxa"/>
              <w:left w:w="108" w:type="dxa"/>
              <w:bottom w:w="0" w:type="dxa"/>
              <w:right w:w="108" w:type="dxa"/>
            </w:tcMar>
            <w:vAlign w:val="center"/>
          </w:tcPr>
          <w:p w14:paraId="3A2328AE">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7938" w:type="dxa"/>
            <w:tcMar>
              <w:top w:w="0" w:type="dxa"/>
              <w:left w:w="108" w:type="dxa"/>
              <w:bottom w:w="0" w:type="dxa"/>
              <w:right w:w="108" w:type="dxa"/>
            </w:tcMar>
            <w:vAlign w:val="center"/>
          </w:tcPr>
          <w:p w14:paraId="57C2ECA4">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聘用未经上岗技术培训的人员（包括医生、操作人员、工程技术人员等）操作、使用大型医用设备的。</w:t>
            </w:r>
          </w:p>
        </w:tc>
        <w:tc>
          <w:tcPr>
            <w:tcW w:w="4536" w:type="dxa"/>
            <w:vMerge w:val="continue"/>
            <w:tcMar>
              <w:top w:w="0" w:type="dxa"/>
              <w:left w:w="108" w:type="dxa"/>
              <w:bottom w:w="0" w:type="dxa"/>
              <w:right w:w="108" w:type="dxa"/>
            </w:tcMar>
            <w:vAlign w:val="center"/>
          </w:tcPr>
          <w:p w14:paraId="62C096FF">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7410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1418" w:type="dxa"/>
            <w:vMerge w:val="restart"/>
            <w:tcMar>
              <w:top w:w="0" w:type="dxa"/>
              <w:left w:w="108" w:type="dxa"/>
              <w:bottom w:w="0" w:type="dxa"/>
              <w:right w:w="108" w:type="dxa"/>
            </w:tcMar>
            <w:vAlign w:val="center"/>
          </w:tcPr>
          <w:p w14:paraId="33EFB631">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一般</w:t>
            </w:r>
          </w:p>
        </w:tc>
        <w:tc>
          <w:tcPr>
            <w:tcW w:w="7938" w:type="dxa"/>
            <w:tcMar>
              <w:top w:w="0" w:type="dxa"/>
              <w:left w:w="108" w:type="dxa"/>
              <w:bottom w:w="0" w:type="dxa"/>
              <w:right w:w="108" w:type="dxa"/>
            </w:tcMar>
            <w:vAlign w:val="center"/>
          </w:tcPr>
          <w:p w14:paraId="2D7ACCDA">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未按照产品说明书、技术操作规范等要求使用乙类</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大型医用设备，</w:t>
            </w:r>
            <w:r>
              <w:rPr>
                <w:rFonts w:hint="eastAsia" w:ascii="Times New Roman" w:hAnsi="Times New Roman" w:eastAsia="仿宋_GB2312" w:cs="Times New Roman"/>
                <w:color w:val="000000" w:themeColor="text1"/>
                <w:sz w:val="24"/>
                <w:szCs w:val="22"/>
                <w:lang w:bidi="ar"/>
                <w14:textFill>
                  <w14:solidFill>
                    <w14:schemeClr w14:val="tx1"/>
                  </w14:solidFill>
                </w14:textFill>
              </w:rPr>
              <w:t>经责令改正，拒不改正的。</w:t>
            </w:r>
          </w:p>
        </w:tc>
        <w:tc>
          <w:tcPr>
            <w:tcW w:w="4536" w:type="dxa"/>
            <w:vMerge w:val="restart"/>
            <w:tcMar>
              <w:top w:w="0" w:type="dxa"/>
              <w:left w:w="108" w:type="dxa"/>
              <w:bottom w:w="0" w:type="dxa"/>
              <w:right w:w="108" w:type="dxa"/>
            </w:tcMar>
            <w:vAlign w:val="center"/>
          </w:tcPr>
          <w:p w14:paraId="600A9E53">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罚款5万元以上8万元以下。</w:t>
            </w:r>
          </w:p>
        </w:tc>
      </w:tr>
      <w:tr w14:paraId="324A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1418" w:type="dxa"/>
            <w:vMerge w:val="continue"/>
            <w:tcMar>
              <w:top w:w="0" w:type="dxa"/>
              <w:left w:w="108" w:type="dxa"/>
              <w:bottom w:w="0" w:type="dxa"/>
              <w:right w:w="108" w:type="dxa"/>
            </w:tcMar>
            <w:vAlign w:val="center"/>
          </w:tcPr>
          <w:p w14:paraId="75229845">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7938" w:type="dxa"/>
            <w:tcMar>
              <w:top w:w="0" w:type="dxa"/>
              <w:left w:w="108" w:type="dxa"/>
              <w:bottom w:w="0" w:type="dxa"/>
              <w:right w:w="108" w:type="dxa"/>
            </w:tcMar>
            <w:vAlign w:val="center"/>
          </w:tcPr>
          <w:p w14:paraId="030EB94E">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未按照产品说明书、技术操作规范等要求使用甲类</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大型医用设备，</w:t>
            </w:r>
            <w:r>
              <w:rPr>
                <w:rFonts w:hint="eastAsia" w:ascii="Times New Roman" w:hAnsi="Times New Roman" w:eastAsia="仿宋_GB2312" w:cs="Times New Roman"/>
                <w:color w:val="000000" w:themeColor="text1"/>
                <w:sz w:val="24"/>
                <w:szCs w:val="22"/>
                <w:lang w:bidi="ar"/>
                <w14:textFill>
                  <w14:solidFill>
                    <w14:schemeClr w14:val="tx1"/>
                  </w14:solidFill>
                </w14:textFill>
              </w:rPr>
              <w:t>经责令改正，拒不改正的。</w:t>
            </w:r>
          </w:p>
        </w:tc>
        <w:tc>
          <w:tcPr>
            <w:tcW w:w="4536" w:type="dxa"/>
            <w:vMerge w:val="continue"/>
            <w:tcMar>
              <w:top w:w="0" w:type="dxa"/>
              <w:left w:w="108" w:type="dxa"/>
              <w:bottom w:w="0" w:type="dxa"/>
              <w:right w:w="108" w:type="dxa"/>
            </w:tcMar>
            <w:vAlign w:val="center"/>
          </w:tcPr>
          <w:p w14:paraId="79ED9D31">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742D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1418" w:type="dxa"/>
            <w:vMerge w:val="continue"/>
            <w:tcMar>
              <w:top w:w="0" w:type="dxa"/>
              <w:left w:w="108" w:type="dxa"/>
              <w:bottom w:w="0" w:type="dxa"/>
              <w:right w:w="108" w:type="dxa"/>
            </w:tcMar>
            <w:vAlign w:val="center"/>
          </w:tcPr>
          <w:p w14:paraId="5B823125">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p>
        </w:tc>
        <w:tc>
          <w:tcPr>
            <w:tcW w:w="7938" w:type="dxa"/>
            <w:tcMar>
              <w:top w:w="0" w:type="dxa"/>
              <w:left w:w="108" w:type="dxa"/>
              <w:bottom w:w="0" w:type="dxa"/>
              <w:right w:w="108" w:type="dxa"/>
            </w:tcMar>
            <w:vAlign w:val="center"/>
          </w:tcPr>
          <w:p w14:paraId="6964FF67">
            <w:pPr>
              <w:widowControl w:val="0"/>
              <w:adjustRightInd/>
              <w:snapToGrid/>
              <w:spacing w:after="0" w:line="320" w:lineRule="exact"/>
              <w:jc w:val="both"/>
              <w:rPr>
                <w:rFonts w:hint="eastAsia" w:ascii="Times New Roman" w:hAnsi="Times New Roman" w:eastAsia="仿宋_GB2312" w:cs="Times New Roman"/>
                <w:color w:val="000000" w:themeColor="text1"/>
                <w:sz w:val="24"/>
                <w:lang w:bidi="ar"/>
                <w14:textFill>
                  <w14:solidFill>
                    <w14:schemeClr w14:val="tx1"/>
                  </w14:solidFill>
                </w14:textFill>
              </w:rPr>
            </w:pPr>
            <w:r>
              <w:rPr>
                <w:rFonts w:hint="eastAsia" w:ascii="Times New Roman" w:hAnsi="Times New Roman" w:eastAsia="仿宋_GB2312" w:cs="Times New Roman"/>
                <w:color w:val="000000" w:themeColor="text1"/>
                <w:sz w:val="24"/>
                <w:lang w:bidi="ar"/>
                <w14:textFill>
                  <w14:solidFill>
                    <w14:schemeClr w14:val="tx1"/>
                  </w14:solidFill>
                </w14:textFill>
              </w:rPr>
              <w:t>聘用未经上岗技术培训的人员（包括医生、操作人员、工程技术人员等）操作、使用大型医用设备</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w:t>
            </w:r>
            <w:r>
              <w:rPr>
                <w:rFonts w:hint="eastAsia" w:ascii="Times New Roman" w:hAnsi="Times New Roman" w:eastAsia="仿宋_GB2312" w:cs="Times New Roman"/>
                <w:color w:val="000000" w:themeColor="text1"/>
                <w:sz w:val="24"/>
                <w:szCs w:val="22"/>
                <w:lang w:bidi="ar"/>
                <w14:textFill>
                  <w14:solidFill>
                    <w14:schemeClr w14:val="tx1"/>
                  </w14:solidFill>
                </w14:textFill>
              </w:rPr>
              <w:t>经责令改正，拒不改正的。</w:t>
            </w:r>
          </w:p>
        </w:tc>
        <w:tc>
          <w:tcPr>
            <w:tcW w:w="4536" w:type="dxa"/>
            <w:vMerge w:val="continue"/>
            <w:tcMar>
              <w:top w:w="0" w:type="dxa"/>
              <w:left w:w="108" w:type="dxa"/>
              <w:bottom w:w="0" w:type="dxa"/>
              <w:right w:w="108" w:type="dxa"/>
            </w:tcMar>
            <w:vAlign w:val="center"/>
          </w:tcPr>
          <w:p w14:paraId="31FE0C76">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p>
        </w:tc>
      </w:tr>
      <w:tr w14:paraId="0C54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1418" w:type="dxa"/>
            <w:tcMar>
              <w:top w:w="0" w:type="dxa"/>
              <w:left w:w="108" w:type="dxa"/>
              <w:bottom w:w="0" w:type="dxa"/>
              <w:right w:w="108" w:type="dxa"/>
            </w:tcMar>
            <w:vAlign w:val="center"/>
          </w:tcPr>
          <w:p w14:paraId="69CCBA3D">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较重</w:t>
            </w:r>
          </w:p>
        </w:tc>
        <w:tc>
          <w:tcPr>
            <w:tcW w:w="7938" w:type="dxa"/>
            <w:tcMar>
              <w:top w:w="0" w:type="dxa"/>
              <w:left w:w="108" w:type="dxa"/>
              <w:bottom w:w="0" w:type="dxa"/>
              <w:right w:w="108" w:type="dxa"/>
            </w:tcMar>
            <w:vAlign w:val="center"/>
          </w:tcPr>
          <w:p w14:paraId="11E3F990">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使用进口二手大型医用设备或国家已公布淘汰机型的</w:t>
            </w:r>
            <w:r>
              <w:rPr>
                <w:rFonts w:hint="eastAsia" w:ascii="Times New Roman" w:hAnsi="Times New Roman" w:eastAsia="仿宋_GB2312" w:cs="Times New Roman"/>
                <w:color w:val="000000" w:themeColor="text1"/>
                <w:sz w:val="24"/>
                <w:szCs w:val="22"/>
                <w:shd w:val="clear" w:color="auto" w:fill="auto"/>
                <w:lang w:bidi="ar"/>
                <w14:textFill>
                  <w14:solidFill>
                    <w14:schemeClr w14:val="tx1"/>
                  </w14:solidFill>
                </w14:textFill>
              </w:rPr>
              <w:t>大型医用设备</w:t>
            </w:r>
            <w:r>
              <w:rPr>
                <w:rFonts w:hint="eastAsia" w:ascii="Times New Roman" w:hAnsi="Times New Roman" w:eastAsia="仿宋_GB2312" w:cs="Times New Roman"/>
                <w:color w:val="000000" w:themeColor="text1"/>
                <w:sz w:val="24"/>
                <w:szCs w:val="22"/>
                <w:lang w:bidi="ar"/>
                <w14:textFill>
                  <w14:solidFill>
                    <w14:schemeClr w14:val="tx1"/>
                  </w14:solidFill>
                </w14:textFill>
              </w:rPr>
              <w:t>，经责令限期改正，逾期不改正的。</w:t>
            </w:r>
          </w:p>
        </w:tc>
        <w:tc>
          <w:tcPr>
            <w:tcW w:w="4536" w:type="dxa"/>
            <w:tcMar>
              <w:top w:w="0" w:type="dxa"/>
              <w:left w:w="108" w:type="dxa"/>
              <w:bottom w:w="0" w:type="dxa"/>
              <w:right w:w="108" w:type="dxa"/>
            </w:tcMar>
            <w:vAlign w:val="center"/>
          </w:tcPr>
          <w:p w14:paraId="413ECA74">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罚款8万元以上10万元以下。</w:t>
            </w:r>
          </w:p>
        </w:tc>
      </w:tr>
      <w:tr w14:paraId="35FF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1418" w:type="dxa"/>
            <w:tcMar>
              <w:top w:w="0" w:type="dxa"/>
              <w:left w:w="108" w:type="dxa"/>
              <w:bottom w:w="0" w:type="dxa"/>
              <w:right w:w="108" w:type="dxa"/>
            </w:tcMar>
            <w:vAlign w:val="center"/>
          </w:tcPr>
          <w:p w14:paraId="3B9CD783">
            <w:pPr>
              <w:widowControl w:val="0"/>
              <w:adjustRightInd/>
              <w:snapToGrid/>
              <w:spacing w:after="0" w:line="320" w:lineRule="exact"/>
              <w:jc w:val="center"/>
              <w:rPr>
                <w:rFonts w:hint="eastAsia" w:ascii="Times New Roman" w:hAnsi="Times New Roman" w:eastAsia="仿宋_GB2312" w:cs="仿宋_GB2312"/>
                <w:b/>
                <w:bCs/>
                <w:color w:val="000000" w:themeColor="text1"/>
                <w:sz w:val="24"/>
                <w:szCs w:val="22"/>
                <w14:textFill>
                  <w14:solidFill>
                    <w14:schemeClr w14:val="tx1"/>
                  </w14:solidFill>
                </w14:textFill>
              </w:rPr>
            </w:pPr>
            <w:r>
              <w:rPr>
                <w:rFonts w:hint="eastAsia" w:ascii="Times New Roman" w:hAnsi="Times New Roman" w:eastAsia="仿宋_GB2312" w:cs="仿宋_GB2312"/>
                <w:b/>
                <w:bCs/>
                <w:color w:val="000000" w:themeColor="text1"/>
                <w:sz w:val="24"/>
                <w:szCs w:val="22"/>
                <w14:textFill>
                  <w14:solidFill>
                    <w14:schemeClr w14:val="tx1"/>
                  </w14:solidFill>
                </w14:textFill>
              </w:rPr>
              <w:t>严重</w:t>
            </w:r>
          </w:p>
        </w:tc>
        <w:tc>
          <w:tcPr>
            <w:tcW w:w="7938" w:type="dxa"/>
            <w:tcMar>
              <w:top w:w="0" w:type="dxa"/>
              <w:left w:w="108" w:type="dxa"/>
              <w:bottom w:w="0" w:type="dxa"/>
              <w:right w:w="108" w:type="dxa"/>
            </w:tcMar>
            <w:vAlign w:val="center"/>
          </w:tcPr>
          <w:p w14:paraId="3D650C28">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医疗器械使用单位违规使用大型医用设备，不能保障医疗质量安全的，对患者造成伤害或者造成其他严重危害后果的。</w:t>
            </w:r>
          </w:p>
        </w:tc>
        <w:tc>
          <w:tcPr>
            <w:tcW w:w="4536" w:type="dxa"/>
            <w:tcMar>
              <w:top w:w="0" w:type="dxa"/>
              <w:left w:w="108" w:type="dxa"/>
              <w:bottom w:w="0" w:type="dxa"/>
              <w:right w:w="108" w:type="dxa"/>
            </w:tcMar>
            <w:vAlign w:val="center"/>
          </w:tcPr>
          <w:p w14:paraId="0736A095">
            <w:pPr>
              <w:widowControl w:val="0"/>
              <w:adjustRightInd/>
              <w:snapToGrid/>
              <w:spacing w:after="0" w:line="320" w:lineRule="exact"/>
              <w:jc w:val="both"/>
              <w:rPr>
                <w:rFonts w:hint="eastAsia" w:ascii="Times New Roman" w:hAnsi="Times New Roman" w:eastAsia="仿宋_GB2312" w:cs="Times New Roman"/>
                <w:color w:val="000000" w:themeColor="text1"/>
                <w:sz w:val="24"/>
                <w:szCs w:val="22"/>
                <w:lang w:bidi="ar"/>
                <w14:textFill>
                  <w14:solidFill>
                    <w14:schemeClr w14:val="tx1"/>
                  </w14:solidFill>
                </w14:textFill>
              </w:rPr>
            </w:pPr>
            <w:r>
              <w:rPr>
                <w:rFonts w:hint="eastAsia" w:ascii="Times New Roman" w:hAnsi="Times New Roman" w:eastAsia="仿宋_GB2312" w:cs="Times New Roman"/>
                <w:color w:val="000000" w:themeColor="text1"/>
                <w:sz w:val="24"/>
                <w:szCs w:val="22"/>
                <w:lang w:bidi="ar"/>
                <w14:textFill>
                  <w14:solidFill>
                    <w14:schemeClr w14:val="tx1"/>
                  </w14:solidFill>
                </w14:textFill>
              </w:rPr>
              <w:t>处10万元以上30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30%以上3倍以下罚款，依法给予处分。</w:t>
            </w:r>
          </w:p>
        </w:tc>
      </w:tr>
      <w:bookmarkEnd w:id="5592"/>
    </w:tbl>
    <w:p w14:paraId="1F46509D">
      <w:pPr>
        <w:widowControl w:val="0"/>
        <w:rPr>
          <w:rFonts w:ascii="Times New Roman" w:hAnsi="Times New Roman"/>
          <w:color w:val="000000" w:themeColor="text1"/>
          <w14:textFill>
            <w14:solidFill>
              <w14:schemeClr w14:val="tx1"/>
            </w14:solidFill>
          </w14:textFill>
        </w:rPr>
      </w:pPr>
    </w:p>
    <w:sectPr>
      <w:footerReference r:id="rId6" w:type="default"/>
      <w:pgSz w:w="16838" w:h="11906" w:orient="landscape"/>
      <w:pgMar w:top="1800" w:right="1440" w:bottom="1800" w:left="1440" w:header="720" w:footer="720"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E072258-83BA-4B85-87B9-289A57C1E8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2" w:fontKey="{3D54C340-933F-4119-80A1-8FF49507E75D}"/>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73728E2B-DE6A-416A-AC50-AC670C7EEB00}"/>
  </w:font>
  <w:font w:name="仿宋">
    <w:panose1 w:val="02010609060101010101"/>
    <w:charset w:val="86"/>
    <w:family w:val="modern"/>
    <w:pitch w:val="default"/>
    <w:sig w:usb0="800002BF" w:usb1="38CF7CFA" w:usb2="00000016" w:usb3="00000000" w:csb0="00040001" w:csb1="00000000"/>
    <w:embedRegular r:id="rId4" w:fontKey="{8A2FAE2E-E14A-49EC-8A39-8BB3EA8F06BA}"/>
  </w:font>
  <w:font w:name="方正仿宋_GBK">
    <w:panose1 w:val="02000000000000000000"/>
    <w:charset w:val="86"/>
    <w:family w:val="auto"/>
    <w:pitch w:val="default"/>
    <w:sig w:usb0="A00002BF" w:usb1="38CF7CFA" w:usb2="00082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5" w:fontKey="{22C9A364-50C6-41A7-A80F-B522F08D51CB}"/>
  </w:font>
  <w:font w:name="楷体">
    <w:panose1 w:val="02010609060101010101"/>
    <w:charset w:val="86"/>
    <w:family w:val="modern"/>
    <w:pitch w:val="default"/>
    <w:sig w:usb0="800002BF" w:usb1="38CF7CFA" w:usb2="00000016" w:usb3="00000000" w:csb0="00040001" w:csb1="00000000"/>
    <w:embedRegular r:id="rId6" w:fontKey="{CEEED4ED-600F-46E5-B7C7-D14C54A48AEB}"/>
  </w:font>
  <w:font w:name="楷体_GB2312">
    <w:panose1 w:val="02010609030101010101"/>
    <w:charset w:val="86"/>
    <w:family w:val="modern"/>
    <w:pitch w:val="default"/>
    <w:sig w:usb0="00000001" w:usb1="080E0000" w:usb2="00000000" w:usb3="00000000" w:csb0="00040000" w:csb1="00000000"/>
    <w:embedRegular r:id="rId7" w:fontKey="{6A95DF29-D1E4-450F-9481-565954D6F776}"/>
  </w:font>
  <w:font w:name="方正仿宋_GB2312">
    <w:panose1 w:val="02000000000000000000"/>
    <w:charset w:val="86"/>
    <w:family w:val="auto"/>
    <w:pitch w:val="default"/>
    <w:sig w:usb0="A00002BF" w:usb1="184F6CFA" w:usb2="00000012" w:usb3="00000000" w:csb0="00040001" w:csb1="00000000"/>
    <w:embedRegular r:id="rId8" w:fontKey="{B80B67C8-4D91-4343-9324-D5AF6844C729}"/>
  </w:font>
  <w:font w:name="等线">
    <w:panose1 w:val="02010600030101010101"/>
    <w:charset w:val="86"/>
    <w:family w:val="auto"/>
    <w:pitch w:val="default"/>
    <w:sig w:usb0="A00002BF" w:usb1="38CF7CFA" w:usb2="00000016" w:usb3="00000000" w:csb0="0004000F" w:csb1="00000000"/>
    <w:embedRegular r:id="rId9" w:fontKey="{23A348BE-EA27-41CF-97C5-DE8EE2590B36}"/>
  </w:font>
  <w:font w:name="浠垮畫_GB2312">
    <w:altName w:val="宋体"/>
    <w:panose1 w:val="00000000000000000000"/>
    <w:charset w:val="86"/>
    <w:family w:val="auto"/>
    <w:pitch w:val="default"/>
    <w:sig w:usb0="00000000" w:usb1="00000000" w:usb2="00000000" w:usb3="00000000" w:csb0="00040000" w:csb1="00000000"/>
    <w:embedRegular r:id="rId10" w:fontKey="{F650C4CF-9371-4C34-8F11-E7EDCAA780B5}"/>
  </w:font>
  <w:font w:name="汉仪仿宋S">
    <w:altName w:val="仿宋"/>
    <w:panose1 w:val="00020600040101000101"/>
    <w:charset w:val="86"/>
    <w:family w:val="auto"/>
    <w:pitch w:val="default"/>
    <w:sig w:usb0="00000000" w:usb1="00000000" w:usb2="00000016" w:usb3="00000000" w:csb0="0004009F" w:csb1="00000000"/>
  </w:font>
  <w:font w:name="华文中宋">
    <w:panose1 w:val="02010600040101010101"/>
    <w:charset w:val="86"/>
    <w:family w:val="auto"/>
    <w:pitch w:val="default"/>
    <w:sig w:usb0="00000287" w:usb1="080F0000" w:usb2="00000000" w:usb3="00000000" w:csb0="0004009F" w:csb1="DFD70000"/>
    <w:embedRegular r:id="rId11" w:fontKey="{C06BACF1-E044-4DC0-9D5A-89A66BD98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3F517">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A3247">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37041"/>
    <w:multiLevelType w:val="singleLevel"/>
    <w:tmpl w:val="8C337041"/>
    <w:lvl w:ilvl="0" w:tentative="0">
      <w:start w:val="1"/>
      <w:numFmt w:val="decimal"/>
      <w:suff w:val="nothing"/>
      <w:lvlText w:val="%1、"/>
      <w:lvlJc w:val="left"/>
    </w:lvl>
  </w:abstractNum>
  <w:abstractNum w:abstractNumId="1">
    <w:nsid w:val="8CBBEAD4"/>
    <w:multiLevelType w:val="singleLevel"/>
    <w:tmpl w:val="8CBBEAD4"/>
    <w:lvl w:ilvl="0" w:tentative="0">
      <w:start w:val="1"/>
      <w:numFmt w:val="decimal"/>
      <w:lvlText w:val="%1."/>
      <w:lvlJc w:val="left"/>
      <w:pPr>
        <w:tabs>
          <w:tab w:val="left" w:pos="312"/>
        </w:tabs>
      </w:pPr>
    </w:lvl>
  </w:abstractNum>
  <w:abstractNum w:abstractNumId="2">
    <w:nsid w:val="B3C5D7CD"/>
    <w:multiLevelType w:val="singleLevel"/>
    <w:tmpl w:val="B3C5D7CD"/>
    <w:lvl w:ilvl="0" w:tentative="0">
      <w:start w:val="1"/>
      <w:numFmt w:val="chineseCounting"/>
      <w:lvlText w:val="(%1)"/>
      <w:lvlJc w:val="left"/>
      <w:pPr>
        <w:tabs>
          <w:tab w:val="left" w:pos="312"/>
        </w:tabs>
      </w:pPr>
      <w:rPr>
        <w:rFonts w:hint="eastAsia"/>
      </w:rPr>
    </w:lvl>
  </w:abstractNum>
  <w:abstractNum w:abstractNumId="3">
    <w:nsid w:val="C50B6345"/>
    <w:multiLevelType w:val="singleLevel"/>
    <w:tmpl w:val="C50B6345"/>
    <w:lvl w:ilvl="0" w:tentative="0">
      <w:start w:val="1"/>
      <w:numFmt w:val="chineseCounting"/>
      <w:suff w:val="nothing"/>
      <w:lvlText w:val="（%1）"/>
      <w:lvlJc w:val="left"/>
      <w:rPr>
        <w:rFonts w:hint="eastAsia"/>
      </w:rPr>
    </w:lvl>
  </w:abstractNum>
  <w:abstractNum w:abstractNumId="4">
    <w:nsid w:val="DC4E128A"/>
    <w:multiLevelType w:val="singleLevel"/>
    <w:tmpl w:val="DC4E128A"/>
    <w:lvl w:ilvl="0" w:tentative="0">
      <w:start w:val="1"/>
      <w:numFmt w:val="chineseCounting"/>
      <w:suff w:val="nothing"/>
      <w:lvlText w:val="（%1）"/>
      <w:lvlJc w:val="left"/>
      <w:rPr>
        <w:rFonts w:hint="eastAsia"/>
      </w:rPr>
    </w:lvl>
  </w:abstractNum>
  <w:abstractNum w:abstractNumId="5">
    <w:nsid w:val="F6EA53C5"/>
    <w:multiLevelType w:val="singleLevel"/>
    <w:tmpl w:val="F6EA53C5"/>
    <w:lvl w:ilvl="0" w:tentative="0">
      <w:start w:val="1"/>
      <w:numFmt w:val="chineseCounting"/>
      <w:suff w:val="nothing"/>
      <w:lvlText w:val="（%1）"/>
      <w:lvlJc w:val="left"/>
      <w:rPr>
        <w:rFonts w:hint="eastAsia"/>
      </w:rPr>
    </w:lvl>
  </w:abstractNum>
  <w:abstractNum w:abstractNumId="6">
    <w:nsid w:val="FFED3E95"/>
    <w:multiLevelType w:val="singleLevel"/>
    <w:tmpl w:val="FFED3E95"/>
    <w:lvl w:ilvl="0" w:tentative="0">
      <w:start w:val="3"/>
      <w:numFmt w:val="chineseCounting"/>
      <w:suff w:val="nothing"/>
      <w:lvlText w:val="%1、"/>
      <w:lvlJc w:val="left"/>
      <w:rPr>
        <w:rFonts w:hint="eastAsia"/>
      </w:rPr>
    </w:lvl>
  </w:abstractNum>
  <w:abstractNum w:abstractNumId="7">
    <w:nsid w:val="3CAD408E"/>
    <w:multiLevelType w:val="singleLevel"/>
    <w:tmpl w:val="3CAD408E"/>
    <w:lvl w:ilvl="0" w:tentative="0">
      <w:start w:val="1"/>
      <w:numFmt w:val="chineseCounting"/>
      <w:suff w:val="nothing"/>
      <w:lvlText w:val="（%1）"/>
      <w:lvlJc w:val="left"/>
      <w:rPr>
        <w:rFonts w:hint="eastAsia"/>
      </w:rPr>
    </w:lvl>
  </w:abstractNum>
  <w:abstractNum w:abstractNumId="8">
    <w:nsid w:val="4E540493"/>
    <w:multiLevelType w:val="singleLevel"/>
    <w:tmpl w:val="4E540493"/>
    <w:lvl w:ilvl="0" w:tentative="0">
      <w:start w:val="1"/>
      <w:numFmt w:val="chineseCounting"/>
      <w:suff w:val="nothing"/>
      <w:lvlText w:val="（%1）"/>
      <w:lvlJc w:val="left"/>
      <w:rPr>
        <w:rFonts w:hint="eastAsia"/>
      </w:rPr>
    </w:lvl>
  </w:abstractNum>
  <w:abstractNum w:abstractNumId="9">
    <w:nsid w:val="628C51C3"/>
    <w:multiLevelType w:val="singleLevel"/>
    <w:tmpl w:val="628C51C3"/>
    <w:lvl w:ilvl="0" w:tentative="0">
      <w:start w:val="1"/>
      <w:numFmt w:val="decimal"/>
      <w:suff w:val="nothing"/>
      <w:lvlText w:val="%1、"/>
      <w:lvlJc w:val="left"/>
    </w:lvl>
  </w:abstractNum>
  <w:abstractNum w:abstractNumId="10">
    <w:nsid w:val="7865EE21"/>
    <w:multiLevelType w:val="singleLevel"/>
    <w:tmpl w:val="7865EE21"/>
    <w:lvl w:ilvl="0" w:tentative="0">
      <w:start w:val="1"/>
      <w:numFmt w:val="chineseCounting"/>
      <w:suff w:val="nothing"/>
      <w:lvlText w:val="（%1）"/>
      <w:lvlJc w:val="left"/>
      <w:rPr>
        <w:rFonts w:hint="eastAsia"/>
      </w:rPr>
    </w:lvl>
  </w:abstractNum>
  <w:abstractNum w:abstractNumId="11">
    <w:nsid w:val="7EDB083C"/>
    <w:multiLevelType w:val="singleLevel"/>
    <w:tmpl w:val="7EDB083C"/>
    <w:lvl w:ilvl="0" w:tentative="0">
      <w:start w:val="3"/>
      <w:numFmt w:val="chineseCounting"/>
      <w:suff w:val="nothing"/>
      <w:lvlText w:val="（%1）"/>
      <w:lvlJc w:val="left"/>
      <w:rPr>
        <w:rFonts w:hint="eastAsia"/>
      </w:rPr>
    </w:lvl>
  </w:abstractNum>
  <w:num w:numId="1">
    <w:abstractNumId w:val="11"/>
  </w:num>
  <w:num w:numId="2">
    <w:abstractNumId w:val="7"/>
  </w:num>
  <w:num w:numId="3">
    <w:abstractNumId w:val="5"/>
  </w:num>
  <w:num w:numId="4">
    <w:abstractNumId w:val="8"/>
  </w:num>
  <w:num w:numId="5">
    <w:abstractNumId w:val="2"/>
  </w:num>
  <w:num w:numId="6">
    <w:abstractNumId w:val="4"/>
  </w:num>
  <w:num w:numId="7">
    <w:abstractNumId w:val="3"/>
  </w:num>
  <w:num w:numId="8">
    <w:abstractNumId w:val="10"/>
  </w:num>
  <w:num w:numId="9">
    <w:abstractNumId w:val="1"/>
  </w:num>
  <w:num w:numId="10">
    <w:abstractNumId w:val="6"/>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TrueTypeFonts/>
  <w:saveSubsetFonts/>
  <w:bordersDoNotSurroundHeader w:val="1"/>
  <w:bordersDoNotSurroundFooter w:val="1"/>
  <w:documentProtection w:enforcement="0"/>
  <w:defaultTabStop w:val="420"/>
  <w:drawingGridHorizontalSpacing w:val="11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wYTkzMTI5NTFlYTgxNGRkNjlmMmZkNjI4NTA4ZjgifQ=="/>
  </w:docVars>
  <w:rsids>
    <w:rsidRoot w:val="00172A27"/>
    <w:rsid w:val="00001914"/>
    <w:rsid w:val="000045CF"/>
    <w:rsid w:val="0001725E"/>
    <w:rsid w:val="000277A4"/>
    <w:rsid w:val="00031432"/>
    <w:rsid w:val="000408D7"/>
    <w:rsid w:val="00043EB5"/>
    <w:rsid w:val="00045567"/>
    <w:rsid w:val="00050A04"/>
    <w:rsid w:val="00055BEA"/>
    <w:rsid w:val="00062BD0"/>
    <w:rsid w:val="00077A6D"/>
    <w:rsid w:val="00080364"/>
    <w:rsid w:val="00090F7D"/>
    <w:rsid w:val="0009368C"/>
    <w:rsid w:val="000B2961"/>
    <w:rsid w:val="000B3661"/>
    <w:rsid w:val="000B42C4"/>
    <w:rsid w:val="000B76D9"/>
    <w:rsid w:val="000C0167"/>
    <w:rsid w:val="000D104E"/>
    <w:rsid w:val="000D449E"/>
    <w:rsid w:val="000E0306"/>
    <w:rsid w:val="000F13BA"/>
    <w:rsid w:val="00103E07"/>
    <w:rsid w:val="00105F4B"/>
    <w:rsid w:val="00114D08"/>
    <w:rsid w:val="00115344"/>
    <w:rsid w:val="00130816"/>
    <w:rsid w:val="001358B4"/>
    <w:rsid w:val="00144D2A"/>
    <w:rsid w:val="0016066A"/>
    <w:rsid w:val="00172A27"/>
    <w:rsid w:val="001802F4"/>
    <w:rsid w:val="001A3AC2"/>
    <w:rsid w:val="001A4DD4"/>
    <w:rsid w:val="001B157C"/>
    <w:rsid w:val="001B2F5E"/>
    <w:rsid w:val="001B7402"/>
    <w:rsid w:val="001D0BFD"/>
    <w:rsid w:val="001D0FC4"/>
    <w:rsid w:val="001D3E8F"/>
    <w:rsid w:val="00200508"/>
    <w:rsid w:val="002027B7"/>
    <w:rsid w:val="00203B9A"/>
    <w:rsid w:val="002062CB"/>
    <w:rsid w:val="00242C2D"/>
    <w:rsid w:val="00246517"/>
    <w:rsid w:val="00254110"/>
    <w:rsid w:val="002651A1"/>
    <w:rsid w:val="00270DC8"/>
    <w:rsid w:val="00274786"/>
    <w:rsid w:val="0027720A"/>
    <w:rsid w:val="00285E3D"/>
    <w:rsid w:val="00292B1B"/>
    <w:rsid w:val="002953C0"/>
    <w:rsid w:val="002A0B84"/>
    <w:rsid w:val="002A6B3A"/>
    <w:rsid w:val="002B1BBF"/>
    <w:rsid w:val="002E716E"/>
    <w:rsid w:val="002F701D"/>
    <w:rsid w:val="00316281"/>
    <w:rsid w:val="0032630B"/>
    <w:rsid w:val="00332960"/>
    <w:rsid w:val="00336F1A"/>
    <w:rsid w:val="0033772D"/>
    <w:rsid w:val="00344E5E"/>
    <w:rsid w:val="00354335"/>
    <w:rsid w:val="0036085F"/>
    <w:rsid w:val="00362357"/>
    <w:rsid w:val="00363C1E"/>
    <w:rsid w:val="00364571"/>
    <w:rsid w:val="00387028"/>
    <w:rsid w:val="0039275D"/>
    <w:rsid w:val="0039476A"/>
    <w:rsid w:val="003952FF"/>
    <w:rsid w:val="003A711B"/>
    <w:rsid w:val="003B71E4"/>
    <w:rsid w:val="003C43CB"/>
    <w:rsid w:val="003D2164"/>
    <w:rsid w:val="003E35A6"/>
    <w:rsid w:val="003E77B2"/>
    <w:rsid w:val="0040091F"/>
    <w:rsid w:val="0040666B"/>
    <w:rsid w:val="0041073D"/>
    <w:rsid w:val="0042405A"/>
    <w:rsid w:val="0042697A"/>
    <w:rsid w:val="0042710A"/>
    <w:rsid w:val="00433A92"/>
    <w:rsid w:val="0044045C"/>
    <w:rsid w:val="0044394D"/>
    <w:rsid w:val="00444C05"/>
    <w:rsid w:val="00445711"/>
    <w:rsid w:val="004573CB"/>
    <w:rsid w:val="00461821"/>
    <w:rsid w:val="00465F6E"/>
    <w:rsid w:val="00470531"/>
    <w:rsid w:val="00475150"/>
    <w:rsid w:val="00483EEE"/>
    <w:rsid w:val="004C2262"/>
    <w:rsid w:val="004E2A50"/>
    <w:rsid w:val="004E7BFB"/>
    <w:rsid w:val="004F10F8"/>
    <w:rsid w:val="004F2E90"/>
    <w:rsid w:val="004F5D46"/>
    <w:rsid w:val="00510918"/>
    <w:rsid w:val="00542668"/>
    <w:rsid w:val="00545D20"/>
    <w:rsid w:val="00554ADA"/>
    <w:rsid w:val="00556222"/>
    <w:rsid w:val="00562D9A"/>
    <w:rsid w:val="0057130D"/>
    <w:rsid w:val="00576690"/>
    <w:rsid w:val="00592DFB"/>
    <w:rsid w:val="005B5CE3"/>
    <w:rsid w:val="005C2EC7"/>
    <w:rsid w:val="005D18EC"/>
    <w:rsid w:val="005D2CE2"/>
    <w:rsid w:val="005E0442"/>
    <w:rsid w:val="005F0554"/>
    <w:rsid w:val="005F606C"/>
    <w:rsid w:val="005F78BA"/>
    <w:rsid w:val="00620397"/>
    <w:rsid w:val="00620DDB"/>
    <w:rsid w:val="00621AB5"/>
    <w:rsid w:val="00627945"/>
    <w:rsid w:val="0063014B"/>
    <w:rsid w:val="006340F8"/>
    <w:rsid w:val="006368B0"/>
    <w:rsid w:val="0064199E"/>
    <w:rsid w:val="00646E7D"/>
    <w:rsid w:val="006631F8"/>
    <w:rsid w:val="00673D12"/>
    <w:rsid w:val="006838E6"/>
    <w:rsid w:val="00684BA7"/>
    <w:rsid w:val="00690F20"/>
    <w:rsid w:val="006A4D46"/>
    <w:rsid w:val="006C5F8C"/>
    <w:rsid w:val="006D2132"/>
    <w:rsid w:val="006D38C5"/>
    <w:rsid w:val="006D7097"/>
    <w:rsid w:val="006E7285"/>
    <w:rsid w:val="006F0EA4"/>
    <w:rsid w:val="006F1F66"/>
    <w:rsid w:val="006F3838"/>
    <w:rsid w:val="00714C8D"/>
    <w:rsid w:val="007421AF"/>
    <w:rsid w:val="0074273E"/>
    <w:rsid w:val="00754E90"/>
    <w:rsid w:val="007622B4"/>
    <w:rsid w:val="00775E8D"/>
    <w:rsid w:val="00783D2B"/>
    <w:rsid w:val="00790D6C"/>
    <w:rsid w:val="007A3C66"/>
    <w:rsid w:val="007B0A5B"/>
    <w:rsid w:val="007E338B"/>
    <w:rsid w:val="007E5403"/>
    <w:rsid w:val="007E7DF5"/>
    <w:rsid w:val="007F650A"/>
    <w:rsid w:val="0080538D"/>
    <w:rsid w:val="008119ED"/>
    <w:rsid w:val="00820A93"/>
    <w:rsid w:val="00823295"/>
    <w:rsid w:val="0082378F"/>
    <w:rsid w:val="0086212E"/>
    <w:rsid w:val="00872F5E"/>
    <w:rsid w:val="008826C3"/>
    <w:rsid w:val="008919FE"/>
    <w:rsid w:val="0089758B"/>
    <w:rsid w:val="008B01C3"/>
    <w:rsid w:val="008B1D37"/>
    <w:rsid w:val="008C3C08"/>
    <w:rsid w:val="008D4A27"/>
    <w:rsid w:val="008D4E02"/>
    <w:rsid w:val="008D7DD2"/>
    <w:rsid w:val="008E3BC7"/>
    <w:rsid w:val="008E62BC"/>
    <w:rsid w:val="008E7BEA"/>
    <w:rsid w:val="008F239D"/>
    <w:rsid w:val="009008A0"/>
    <w:rsid w:val="0090105E"/>
    <w:rsid w:val="00906ECB"/>
    <w:rsid w:val="00923245"/>
    <w:rsid w:val="00925B9B"/>
    <w:rsid w:val="0094330B"/>
    <w:rsid w:val="00955CDC"/>
    <w:rsid w:val="00957F04"/>
    <w:rsid w:val="00966902"/>
    <w:rsid w:val="00990601"/>
    <w:rsid w:val="00990872"/>
    <w:rsid w:val="009A16B9"/>
    <w:rsid w:val="009A418A"/>
    <w:rsid w:val="009A7B0F"/>
    <w:rsid w:val="009A7B88"/>
    <w:rsid w:val="009B115F"/>
    <w:rsid w:val="009B2CD8"/>
    <w:rsid w:val="009B39CC"/>
    <w:rsid w:val="009B5A51"/>
    <w:rsid w:val="009B602A"/>
    <w:rsid w:val="009C0799"/>
    <w:rsid w:val="009C4B3E"/>
    <w:rsid w:val="009F7C87"/>
    <w:rsid w:val="00A03B3B"/>
    <w:rsid w:val="00A10A7F"/>
    <w:rsid w:val="00A1700B"/>
    <w:rsid w:val="00A21E71"/>
    <w:rsid w:val="00A30626"/>
    <w:rsid w:val="00A334B6"/>
    <w:rsid w:val="00A41B94"/>
    <w:rsid w:val="00A6436F"/>
    <w:rsid w:val="00AA0723"/>
    <w:rsid w:val="00AB0DC5"/>
    <w:rsid w:val="00AC1E98"/>
    <w:rsid w:val="00AC64A1"/>
    <w:rsid w:val="00AD62F1"/>
    <w:rsid w:val="00AD7315"/>
    <w:rsid w:val="00AE035B"/>
    <w:rsid w:val="00AE4DE4"/>
    <w:rsid w:val="00AF2235"/>
    <w:rsid w:val="00AF49DC"/>
    <w:rsid w:val="00B02053"/>
    <w:rsid w:val="00B0264E"/>
    <w:rsid w:val="00B153EC"/>
    <w:rsid w:val="00B178C2"/>
    <w:rsid w:val="00B27793"/>
    <w:rsid w:val="00B379A7"/>
    <w:rsid w:val="00B5014E"/>
    <w:rsid w:val="00B57E21"/>
    <w:rsid w:val="00B63FA0"/>
    <w:rsid w:val="00B772FF"/>
    <w:rsid w:val="00B77BB5"/>
    <w:rsid w:val="00B82673"/>
    <w:rsid w:val="00B90950"/>
    <w:rsid w:val="00B92427"/>
    <w:rsid w:val="00B97B77"/>
    <w:rsid w:val="00BA3A24"/>
    <w:rsid w:val="00BA3D3A"/>
    <w:rsid w:val="00BB444B"/>
    <w:rsid w:val="00BC1DA2"/>
    <w:rsid w:val="00BC694A"/>
    <w:rsid w:val="00BE1A36"/>
    <w:rsid w:val="00BE2701"/>
    <w:rsid w:val="00BE43D5"/>
    <w:rsid w:val="00BE5024"/>
    <w:rsid w:val="00BE7898"/>
    <w:rsid w:val="00C01545"/>
    <w:rsid w:val="00C02152"/>
    <w:rsid w:val="00C22639"/>
    <w:rsid w:val="00C234F7"/>
    <w:rsid w:val="00C50B26"/>
    <w:rsid w:val="00C56BAA"/>
    <w:rsid w:val="00C76FFC"/>
    <w:rsid w:val="00CC5B24"/>
    <w:rsid w:val="00CD14BD"/>
    <w:rsid w:val="00CE04C0"/>
    <w:rsid w:val="00CE095B"/>
    <w:rsid w:val="00CE3085"/>
    <w:rsid w:val="00CE32BC"/>
    <w:rsid w:val="00CE3445"/>
    <w:rsid w:val="00CE5A5F"/>
    <w:rsid w:val="00CF05F6"/>
    <w:rsid w:val="00D015B9"/>
    <w:rsid w:val="00D020A1"/>
    <w:rsid w:val="00D056F7"/>
    <w:rsid w:val="00D05C5D"/>
    <w:rsid w:val="00D06B80"/>
    <w:rsid w:val="00D074AF"/>
    <w:rsid w:val="00D11D98"/>
    <w:rsid w:val="00D130D2"/>
    <w:rsid w:val="00D218F1"/>
    <w:rsid w:val="00D231E2"/>
    <w:rsid w:val="00D339DD"/>
    <w:rsid w:val="00D77B58"/>
    <w:rsid w:val="00D83DFE"/>
    <w:rsid w:val="00D8490C"/>
    <w:rsid w:val="00DA1DC5"/>
    <w:rsid w:val="00DA3AB8"/>
    <w:rsid w:val="00DA44CF"/>
    <w:rsid w:val="00DB0FFB"/>
    <w:rsid w:val="00DF6831"/>
    <w:rsid w:val="00E009A2"/>
    <w:rsid w:val="00E01302"/>
    <w:rsid w:val="00E215EB"/>
    <w:rsid w:val="00E21879"/>
    <w:rsid w:val="00E21EF7"/>
    <w:rsid w:val="00E23D21"/>
    <w:rsid w:val="00E25DF1"/>
    <w:rsid w:val="00E330C0"/>
    <w:rsid w:val="00E42C87"/>
    <w:rsid w:val="00E444D6"/>
    <w:rsid w:val="00E46B76"/>
    <w:rsid w:val="00E46FA9"/>
    <w:rsid w:val="00E476F6"/>
    <w:rsid w:val="00E541BC"/>
    <w:rsid w:val="00E55A09"/>
    <w:rsid w:val="00E6422B"/>
    <w:rsid w:val="00E80C21"/>
    <w:rsid w:val="00E81E4A"/>
    <w:rsid w:val="00E8608D"/>
    <w:rsid w:val="00E87CDC"/>
    <w:rsid w:val="00EA245F"/>
    <w:rsid w:val="00ED5DC6"/>
    <w:rsid w:val="00ED7001"/>
    <w:rsid w:val="00EE197F"/>
    <w:rsid w:val="00F0754F"/>
    <w:rsid w:val="00F0796A"/>
    <w:rsid w:val="00F107A2"/>
    <w:rsid w:val="00F15EDB"/>
    <w:rsid w:val="00F17EF1"/>
    <w:rsid w:val="00F415F2"/>
    <w:rsid w:val="00F525F0"/>
    <w:rsid w:val="00F62AD6"/>
    <w:rsid w:val="00F63373"/>
    <w:rsid w:val="00F639AF"/>
    <w:rsid w:val="00F71301"/>
    <w:rsid w:val="00F73AD6"/>
    <w:rsid w:val="00F76EC9"/>
    <w:rsid w:val="00F82EC3"/>
    <w:rsid w:val="00F85DD7"/>
    <w:rsid w:val="00F86091"/>
    <w:rsid w:val="00F93428"/>
    <w:rsid w:val="00F964D8"/>
    <w:rsid w:val="00F977CE"/>
    <w:rsid w:val="00F97AE4"/>
    <w:rsid w:val="00FA0A0D"/>
    <w:rsid w:val="00FA1914"/>
    <w:rsid w:val="00FB0278"/>
    <w:rsid w:val="00FC0AA1"/>
    <w:rsid w:val="00FC1457"/>
    <w:rsid w:val="00FD4006"/>
    <w:rsid w:val="00FF6F78"/>
    <w:rsid w:val="019D4DF2"/>
    <w:rsid w:val="02181BD5"/>
    <w:rsid w:val="023A3CB4"/>
    <w:rsid w:val="024C5E48"/>
    <w:rsid w:val="032F7B7F"/>
    <w:rsid w:val="03C356AC"/>
    <w:rsid w:val="044218C7"/>
    <w:rsid w:val="04802E1D"/>
    <w:rsid w:val="04BC5968"/>
    <w:rsid w:val="0526310D"/>
    <w:rsid w:val="053E7AF5"/>
    <w:rsid w:val="056C55A2"/>
    <w:rsid w:val="063B7C89"/>
    <w:rsid w:val="065A1D10"/>
    <w:rsid w:val="06DD1E44"/>
    <w:rsid w:val="075170D1"/>
    <w:rsid w:val="075F314D"/>
    <w:rsid w:val="07AF08B9"/>
    <w:rsid w:val="082A35D7"/>
    <w:rsid w:val="085327A7"/>
    <w:rsid w:val="08B576D2"/>
    <w:rsid w:val="08CA47FF"/>
    <w:rsid w:val="09092DE7"/>
    <w:rsid w:val="09810F23"/>
    <w:rsid w:val="09B21C6E"/>
    <w:rsid w:val="09E2719C"/>
    <w:rsid w:val="0A062E62"/>
    <w:rsid w:val="0A191BE5"/>
    <w:rsid w:val="0A620AA0"/>
    <w:rsid w:val="0AA42DFC"/>
    <w:rsid w:val="0B3B2664"/>
    <w:rsid w:val="0C040028"/>
    <w:rsid w:val="0C0901F9"/>
    <w:rsid w:val="0C8F5DA2"/>
    <w:rsid w:val="0D1D6BF3"/>
    <w:rsid w:val="0DC45C7F"/>
    <w:rsid w:val="0E1924B1"/>
    <w:rsid w:val="0E9E29B6"/>
    <w:rsid w:val="0F102959"/>
    <w:rsid w:val="0F830971"/>
    <w:rsid w:val="0FB23999"/>
    <w:rsid w:val="0FBEC9B1"/>
    <w:rsid w:val="0FD73403"/>
    <w:rsid w:val="0FD906CA"/>
    <w:rsid w:val="10CA7855"/>
    <w:rsid w:val="10EC7A09"/>
    <w:rsid w:val="110E6B82"/>
    <w:rsid w:val="114315F9"/>
    <w:rsid w:val="11CC0D8F"/>
    <w:rsid w:val="12413D84"/>
    <w:rsid w:val="128E088B"/>
    <w:rsid w:val="12CA3D79"/>
    <w:rsid w:val="136CF802"/>
    <w:rsid w:val="137B3B22"/>
    <w:rsid w:val="138949B2"/>
    <w:rsid w:val="13CB1AFA"/>
    <w:rsid w:val="13D10A4B"/>
    <w:rsid w:val="13DD188A"/>
    <w:rsid w:val="141B77E6"/>
    <w:rsid w:val="14494DF1"/>
    <w:rsid w:val="14572532"/>
    <w:rsid w:val="149C1746"/>
    <w:rsid w:val="15397D21"/>
    <w:rsid w:val="15B96848"/>
    <w:rsid w:val="15D42543"/>
    <w:rsid w:val="16485332"/>
    <w:rsid w:val="16A6074B"/>
    <w:rsid w:val="175011B4"/>
    <w:rsid w:val="18627CDB"/>
    <w:rsid w:val="18D26B25"/>
    <w:rsid w:val="18D63808"/>
    <w:rsid w:val="18E910C9"/>
    <w:rsid w:val="18FA2EDF"/>
    <w:rsid w:val="19066D08"/>
    <w:rsid w:val="191D4881"/>
    <w:rsid w:val="19820FE9"/>
    <w:rsid w:val="19A8687F"/>
    <w:rsid w:val="19F6CE28"/>
    <w:rsid w:val="1A6E5932"/>
    <w:rsid w:val="1AD259FF"/>
    <w:rsid w:val="1B167C36"/>
    <w:rsid w:val="1B5946A7"/>
    <w:rsid w:val="1B76B4F7"/>
    <w:rsid w:val="1B8156BA"/>
    <w:rsid w:val="1BDF3609"/>
    <w:rsid w:val="1C19369E"/>
    <w:rsid w:val="1C7B3DDC"/>
    <w:rsid w:val="1CBA04E3"/>
    <w:rsid w:val="1CC66047"/>
    <w:rsid w:val="1CD93524"/>
    <w:rsid w:val="1CFB5595"/>
    <w:rsid w:val="1DBC0C53"/>
    <w:rsid w:val="1DCF77C8"/>
    <w:rsid w:val="1E13282D"/>
    <w:rsid w:val="1E175658"/>
    <w:rsid w:val="1E30674D"/>
    <w:rsid w:val="1E440952"/>
    <w:rsid w:val="1E641ACC"/>
    <w:rsid w:val="1E6EF24A"/>
    <w:rsid w:val="1E967565"/>
    <w:rsid w:val="1F736657"/>
    <w:rsid w:val="1F7742B3"/>
    <w:rsid w:val="1F84F494"/>
    <w:rsid w:val="1F884200"/>
    <w:rsid w:val="1F9C22E2"/>
    <w:rsid w:val="20CC67DB"/>
    <w:rsid w:val="20DE5C1C"/>
    <w:rsid w:val="20E71F9A"/>
    <w:rsid w:val="20F051EA"/>
    <w:rsid w:val="21837F15"/>
    <w:rsid w:val="21D02A2F"/>
    <w:rsid w:val="21FDDABF"/>
    <w:rsid w:val="221B3C6D"/>
    <w:rsid w:val="222A6631"/>
    <w:rsid w:val="2243203B"/>
    <w:rsid w:val="22844F86"/>
    <w:rsid w:val="2296771B"/>
    <w:rsid w:val="2300349A"/>
    <w:rsid w:val="234F4ED7"/>
    <w:rsid w:val="23CA1CD3"/>
    <w:rsid w:val="23E23043"/>
    <w:rsid w:val="249F7E9E"/>
    <w:rsid w:val="24FF758D"/>
    <w:rsid w:val="252127F9"/>
    <w:rsid w:val="25331410"/>
    <w:rsid w:val="255126CD"/>
    <w:rsid w:val="25541EB2"/>
    <w:rsid w:val="25571E68"/>
    <w:rsid w:val="25F62C69"/>
    <w:rsid w:val="25FBF422"/>
    <w:rsid w:val="26F96886"/>
    <w:rsid w:val="275500DE"/>
    <w:rsid w:val="276523B0"/>
    <w:rsid w:val="277F13CF"/>
    <w:rsid w:val="278535CF"/>
    <w:rsid w:val="278E2C4A"/>
    <w:rsid w:val="285F2D5E"/>
    <w:rsid w:val="291C1789"/>
    <w:rsid w:val="291E2766"/>
    <w:rsid w:val="29257B04"/>
    <w:rsid w:val="292B65D1"/>
    <w:rsid w:val="29620457"/>
    <w:rsid w:val="29812541"/>
    <w:rsid w:val="29DA0223"/>
    <w:rsid w:val="2A1A7826"/>
    <w:rsid w:val="2A1C4EB3"/>
    <w:rsid w:val="2A4C458D"/>
    <w:rsid w:val="2AC010B1"/>
    <w:rsid w:val="2B0D6167"/>
    <w:rsid w:val="2B5D5EB4"/>
    <w:rsid w:val="2B69022B"/>
    <w:rsid w:val="2C0D0C51"/>
    <w:rsid w:val="2C5524AE"/>
    <w:rsid w:val="2CB81F9F"/>
    <w:rsid w:val="2CFA8F01"/>
    <w:rsid w:val="2D555A56"/>
    <w:rsid w:val="2DF87595"/>
    <w:rsid w:val="2E261C16"/>
    <w:rsid w:val="2E382087"/>
    <w:rsid w:val="2E441DBC"/>
    <w:rsid w:val="2EED67F8"/>
    <w:rsid w:val="2F73613E"/>
    <w:rsid w:val="2F9C7A6E"/>
    <w:rsid w:val="2FBF2802"/>
    <w:rsid w:val="2FF8F38E"/>
    <w:rsid w:val="30120F5C"/>
    <w:rsid w:val="30A15A78"/>
    <w:rsid w:val="31ED03A3"/>
    <w:rsid w:val="31FF3E97"/>
    <w:rsid w:val="324C146A"/>
    <w:rsid w:val="33313B6A"/>
    <w:rsid w:val="34D553A2"/>
    <w:rsid w:val="352E1AEE"/>
    <w:rsid w:val="35616B89"/>
    <w:rsid w:val="35645353"/>
    <w:rsid w:val="35AA3A33"/>
    <w:rsid w:val="35AB2344"/>
    <w:rsid w:val="35EA4102"/>
    <w:rsid w:val="36033AE1"/>
    <w:rsid w:val="361B0154"/>
    <w:rsid w:val="3657B302"/>
    <w:rsid w:val="368E92C1"/>
    <w:rsid w:val="36C4444B"/>
    <w:rsid w:val="36DF8FF4"/>
    <w:rsid w:val="37682375"/>
    <w:rsid w:val="378E2C57"/>
    <w:rsid w:val="37A427F7"/>
    <w:rsid w:val="37F3CFE5"/>
    <w:rsid w:val="383B4C4E"/>
    <w:rsid w:val="38BE509F"/>
    <w:rsid w:val="38CE2768"/>
    <w:rsid w:val="38F17A02"/>
    <w:rsid w:val="39620852"/>
    <w:rsid w:val="397321C6"/>
    <w:rsid w:val="39814BC5"/>
    <w:rsid w:val="3994161B"/>
    <w:rsid w:val="39B0306D"/>
    <w:rsid w:val="39BA1BA2"/>
    <w:rsid w:val="39BC1DBE"/>
    <w:rsid w:val="39C8398C"/>
    <w:rsid w:val="3A1B67E7"/>
    <w:rsid w:val="3A56D487"/>
    <w:rsid w:val="3A7C4ECC"/>
    <w:rsid w:val="3AC21333"/>
    <w:rsid w:val="3AF35977"/>
    <w:rsid w:val="3AFC530B"/>
    <w:rsid w:val="3B41785D"/>
    <w:rsid w:val="3B6798F3"/>
    <w:rsid w:val="3BD684CC"/>
    <w:rsid w:val="3BDC5CCB"/>
    <w:rsid w:val="3BE37C37"/>
    <w:rsid w:val="3BF375EE"/>
    <w:rsid w:val="3BFFA36B"/>
    <w:rsid w:val="3C553190"/>
    <w:rsid w:val="3CBB733B"/>
    <w:rsid w:val="3CE622E1"/>
    <w:rsid w:val="3CFA4012"/>
    <w:rsid w:val="3CFF5D93"/>
    <w:rsid w:val="3D204412"/>
    <w:rsid w:val="3D8A5D30"/>
    <w:rsid w:val="3D9245F7"/>
    <w:rsid w:val="3DD7B7C7"/>
    <w:rsid w:val="3DE73CF9"/>
    <w:rsid w:val="3DF567E5"/>
    <w:rsid w:val="3E0D34FC"/>
    <w:rsid w:val="3E5EE20E"/>
    <w:rsid w:val="3E892689"/>
    <w:rsid w:val="3EC87CFE"/>
    <w:rsid w:val="3EFF52F2"/>
    <w:rsid w:val="3EFFE7C2"/>
    <w:rsid w:val="3F4F5228"/>
    <w:rsid w:val="3F7EAEDF"/>
    <w:rsid w:val="3F7FBEF5"/>
    <w:rsid w:val="3F879CD3"/>
    <w:rsid w:val="3FACF1CA"/>
    <w:rsid w:val="3FB25023"/>
    <w:rsid w:val="3FD7BD86"/>
    <w:rsid w:val="3FDED2C2"/>
    <w:rsid w:val="3FEB6F46"/>
    <w:rsid w:val="3FEFE3D5"/>
    <w:rsid w:val="3FFB05E6"/>
    <w:rsid w:val="3FFEFD94"/>
    <w:rsid w:val="3FFFA951"/>
    <w:rsid w:val="4034366D"/>
    <w:rsid w:val="403E43FE"/>
    <w:rsid w:val="40554F88"/>
    <w:rsid w:val="406D0F6C"/>
    <w:rsid w:val="4074573B"/>
    <w:rsid w:val="408D4EEE"/>
    <w:rsid w:val="40AF2427"/>
    <w:rsid w:val="411E1A52"/>
    <w:rsid w:val="418A5AB5"/>
    <w:rsid w:val="41CC24A6"/>
    <w:rsid w:val="421504E0"/>
    <w:rsid w:val="427C248F"/>
    <w:rsid w:val="433C6E21"/>
    <w:rsid w:val="43FF88FB"/>
    <w:rsid w:val="448B31AB"/>
    <w:rsid w:val="44EF13B3"/>
    <w:rsid w:val="452827B7"/>
    <w:rsid w:val="457E261E"/>
    <w:rsid w:val="459F2450"/>
    <w:rsid w:val="45A60403"/>
    <w:rsid w:val="4605302B"/>
    <w:rsid w:val="47094C3D"/>
    <w:rsid w:val="47356E70"/>
    <w:rsid w:val="47BF347F"/>
    <w:rsid w:val="47D43948"/>
    <w:rsid w:val="47D75F05"/>
    <w:rsid w:val="47D7FDFE"/>
    <w:rsid w:val="47FE4788"/>
    <w:rsid w:val="494D6EBA"/>
    <w:rsid w:val="49E2286F"/>
    <w:rsid w:val="4AF7E5EB"/>
    <w:rsid w:val="4B370700"/>
    <w:rsid w:val="4BB74194"/>
    <w:rsid w:val="4BDE2D25"/>
    <w:rsid w:val="4BE11211"/>
    <w:rsid w:val="4BF676B7"/>
    <w:rsid w:val="4C293FCF"/>
    <w:rsid w:val="4C7B4735"/>
    <w:rsid w:val="4CB86415"/>
    <w:rsid w:val="4D604615"/>
    <w:rsid w:val="4D71733E"/>
    <w:rsid w:val="4D901140"/>
    <w:rsid w:val="4DA9256D"/>
    <w:rsid w:val="4DEF19C0"/>
    <w:rsid w:val="4E3D1F81"/>
    <w:rsid w:val="4E5E6A83"/>
    <w:rsid w:val="4E950FD4"/>
    <w:rsid w:val="4FBBDC6F"/>
    <w:rsid w:val="4FDC066D"/>
    <w:rsid w:val="4FEAFFE3"/>
    <w:rsid w:val="4FFB27CF"/>
    <w:rsid w:val="50103A18"/>
    <w:rsid w:val="50296799"/>
    <w:rsid w:val="50CC1B48"/>
    <w:rsid w:val="510936E3"/>
    <w:rsid w:val="510B1E2B"/>
    <w:rsid w:val="51187D13"/>
    <w:rsid w:val="51380137"/>
    <w:rsid w:val="514F4448"/>
    <w:rsid w:val="519C6611"/>
    <w:rsid w:val="51A917B7"/>
    <w:rsid w:val="51BB7F2A"/>
    <w:rsid w:val="51D01157"/>
    <w:rsid w:val="51D63C65"/>
    <w:rsid w:val="51E133BD"/>
    <w:rsid w:val="51EB4B97"/>
    <w:rsid w:val="51F5B358"/>
    <w:rsid w:val="523692BB"/>
    <w:rsid w:val="52553923"/>
    <w:rsid w:val="53513D1E"/>
    <w:rsid w:val="537F7B8D"/>
    <w:rsid w:val="54627269"/>
    <w:rsid w:val="548337AD"/>
    <w:rsid w:val="54A656ED"/>
    <w:rsid w:val="54B75204"/>
    <w:rsid w:val="54F965D5"/>
    <w:rsid w:val="5500197E"/>
    <w:rsid w:val="55172147"/>
    <w:rsid w:val="551D59AF"/>
    <w:rsid w:val="552F2771"/>
    <w:rsid w:val="55A22596"/>
    <w:rsid w:val="55FD133D"/>
    <w:rsid w:val="569E48CE"/>
    <w:rsid w:val="56A241DD"/>
    <w:rsid w:val="56EC3073"/>
    <w:rsid w:val="56F75D8C"/>
    <w:rsid w:val="573A5A2F"/>
    <w:rsid w:val="579D2736"/>
    <w:rsid w:val="57B438FC"/>
    <w:rsid w:val="57B63E99"/>
    <w:rsid w:val="57B73411"/>
    <w:rsid w:val="57DF0B68"/>
    <w:rsid w:val="57E7158D"/>
    <w:rsid w:val="58044C05"/>
    <w:rsid w:val="589810A3"/>
    <w:rsid w:val="58BA2D51"/>
    <w:rsid w:val="58F157AA"/>
    <w:rsid w:val="59254A87"/>
    <w:rsid w:val="593861B9"/>
    <w:rsid w:val="59786A21"/>
    <w:rsid w:val="59806EC7"/>
    <w:rsid w:val="59B461B6"/>
    <w:rsid w:val="59B85996"/>
    <w:rsid w:val="59DB2F1D"/>
    <w:rsid w:val="59E06A6F"/>
    <w:rsid w:val="59EE0C28"/>
    <w:rsid w:val="5A4412E8"/>
    <w:rsid w:val="5A6127D5"/>
    <w:rsid w:val="5AB3C220"/>
    <w:rsid w:val="5B0E7B48"/>
    <w:rsid w:val="5B6E24ED"/>
    <w:rsid w:val="5B9F0927"/>
    <w:rsid w:val="5BBE8483"/>
    <w:rsid w:val="5BD94F16"/>
    <w:rsid w:val="5BE63AD9"/>
    <w:rsid w:val="5BEEC407"/>
    <w:rsid w:val="5BF78D4D"/>
    <w:rsid w:val="5C1755EF"/>
    <w:rsid w:val="5C8874CD"/>
    <w:rsid w:val="5CE752DC"/>
    <w:rsid w:val="5D370744"/>
    <w:rsid w:val="5D407AD5"/>
    <w:rsid w:val="5D557CB0"/>
    <w:rsid w:val="5D8F0196"/>
    <w:rsid w:val="5DC60F11"/>
    <w:rsid w:val="5E749F71"/>
    <w:rsid w:val="5E7B9B78"/>
    <w:rsid w:val="5EE15E68"/>
    <w:rsid w:val="5EF6B336"/>
    <w:rsid w:val="5EFB6231"/>
    <w:rsid w:val="5EFD7EB5"/>
    <w:rsid w:val="5EFF1919"/>
    <w:rsid w:val="5F213211"/>
    <w:rsid w:val="5F4E6765"/>
    <w:rsid w:val="5F57386C"/>
    <w:rsid w:val="5F64317F"/>
    <w:rsid w:val="5F7F2FFE"/>
    <w:rsid w:val="5F8247F6"/>
    <w:rsid w:val="5F9B1347"/>
    <w:rsid w:val="5FAA0EAA"/>
    <w:rsid w:val="5FAFF68C"/>
    <w:rsid w:val="5FBD9F9C"/>
    <w:rsid w:val="5FBF47F5"/>
    <w:rsid w:val="5FBF5D52"/>
    <w:rsid w:val="5FC113D3"/>
    <w:rsid w:val="5FCD5D4F"/>
    <w:rsid w:val="5FD70961"/>
    <w:rsid w:val="5FE63F9F"/>
    <w:rsid w:val="5FED3A48"/>
    <w:rsid w:val="5FEF295A"/>
    <w:rsid w:val="5FFE3805"/>
    <w:rsid w:val="5FFF0F4A"/>
    <w:rsid w:val="60F46D24"/>
    <w:rsid w:val="610619ED"/>
    <w:rsid w:val="61C91230"/>
    <w:rsid w:val="61FC6D54"/>
    <w:rsid w:val="61FEFBF4"/>
    <w:rsid w:val="627806C9"/>
    <w:rsid w:val="629673D7"/>
    <w:rsid w:val="62C307D4"/>
    <w:rsid w:val="63CD1DAC"/>
    <w:rsid w:val="63F7BA34"/>
    <w:rsid w:val="647B8E08"/>
    <w:rsid w:val="65BF2909"/>
    <w:rsid w:val="65D87EA7"/>
    <w:rsid w:val="667B4F09"/>
    <w:rsid w:val="667F75AD"/>
    <w:rsid w:val="66962BB5"/>
    <w:rsid w:val="673D1CC7"/>
    <w:rsid w:val="675F5882"/>
    <w:rsid w:val="67BCC0E4"/>
    <w:rsid w:val="67CE11D5"/>
    <w:rsid w:val="67D26805"/>
    <w:rsid w:val="67FB37CC"/>
    <w:rsid w:val="683328D2"/>
    <w:rsid w:val="683E4888"/>
    <w:rsid w:val="69272093"/>
    <w:rsid w:val="69BAAFBF"/>
    <w:rsid w:val="69EB79D2"/>
    <w:rsid w:val="6A3B19C7"/>
    <w:rsid w:val="6A9C2ECA"/>
    <w:rsid w:val="6AA92C8E"/>
    <w:rsid w:val="6AD40467"/>
    <w:rsid w:val="6AEA5EDC"/>
    <w:rsid w:val="6AEB4FEE"/>
    <w:rsid w:val="6AFB4BCD"/>
    <w:rsid w:val="6B2B3DFF"/>
    <w:rsid w:val="6B5E5F82"/>
    <w:rsid w:val="6B7B70C7"/>
    <w:rsid w:val="6B7CF618"/>
    <w:rsid w:val="6B92571A"/>
    <w:rsid w:val="6BF762BF"/>
    <w:rsid w:val="6C0B610A"/>
    <w:rsid w:val="6C3C02AE"/>
    <w:rsid w:val="6C6B730B"/>
    <w:rsid w:val="6CCC4204"/>
    <w:rsid w:val="6CFA0372"/>
    <w:rsid w:val="6CFDAF96"/>
    <w:rsid w:val="6D394DAA"/>
    <w:rsid w:val="6D672E1F"/>
    <w:rsid w:val="6D7B7AA7"/>
    <w:rsid w:val="6E3735DF"/>
    <w:rsid w:val="6E576376"/>
    <w:rsid w:val="6E7956BE"/>
    <w:rsid w:val="6EFF9B68"/>
    <w:rsid w:val="6F435BBB"/>
    <w:rsid w:val="6F6930DC"/>
    <w:rsid w:val="6F6FA06F"/>
    <w:rsid w:val="6F7C35E4"/>
    <w:rsid w:val="6F827833"/>
    <w:rsid w:val="6F834209"/>
    <w:rsid w:val="6FAA2D12"/>
    <w:rsid w:val="6FBB90D7"/>
    <w:rsid w:val="6FE82168"/>
    <w:rsid w:val="6FEFBC6D"/>
    <w:rsid w:val="6FFDDDAD"/>
    <w:rsid w:val="6FFDE1B2"/>
    <w:rsid w:val="6FFF9640"/>
    <w:rsid w:val="707517D6"/>
    <w:rsid w:val="70A77432"/>
    <w:rsid w:val="70C429FC"/>
    <w:rsid w:val="70D46CA1"/>
    <w:rsid w:val="70E302EE"/>
    <w:rsid w:val="70EE1B56"/>
    <w:rsid w:val="70F84060"/>
    <w:rsid w:val="710515DE"/>
    <w:rsid w:val="71202341"/>
    <w:rsid w:val="71810F15"/>
    <w:rsid w:val="71B17D86"/>
    <w:rsid w:val="71DD6246"/>
    <w:rsid w:val="720273FF"/>
    <w:rsid w:val="722B416B"/>
    <w:rsid w:val="72524B16"/>
    <w:rsid w:val="72D74F5B"/>
    <w:rsid w:val="732F153A"/>
    <w:rsid w:val="739A4DFF"/>
    <w:rsid w:val="73F27AC7"/>
    <w:rsid w:val="74106EF2"/>
    <w:rsid w:val="7472484C"/>
    <w:rsid w:val="747FC73B"/>
    <w:rsid w:val="748D487A"/>
    <w:rsid w:val="74A13CE4"/>
    <w:rsid w:val="74D61EEE"/>
    <w:rsid w:val="74E4399C"/>
    <w:rsid w:val="75205536"/>
    <w:rsid w:val="75457920"/>
    <w:rsid w:val="755F8F2C"/>
    <w:rsid w:val="75947170"/>
    <w:rsid w:val="75AF0D38"/>
    <w:rsid w:val="75BB1AF9"/>
    <w:rsid w:val="75BEE05C"/>
    <w:rsid w:val="75BFA3DA"/>
    <w:rsid w:val="75D63E20"/>
    <w:rsid w:val="76362084"/>
    <w:rsid w:val="765B7319"/>
    <w:rsid w:val="766F6991"/>
    <w:rsid w:val="76AF6C28"/>
    <w:rsid w:val="76CB2162"/>
    <w:rsid w:val="76DDE769"/>
    <w:rsid w:val="76FB321F"/>
    <w:rsid w:val="772D0203"/>
    <w:rsid w:val="773B4040"/>
    <w:rsid w:val="77574FDD"/>
    <w:rsid w:val="776DB72C"/>
    <w:rsid w:val="7776EFFE"/>
    <w:rsid w:val="7777100D"/>
    <w:rsid w:val="777F5EFB"/>
    <w:rsid w:val="7790064A"/>
    <w:rsid w:val="77A130A0"/>
    <w:rsid w:val="77C3B61E"/>
    <w:rsid w:val="77C6C31F"/>
    <w:rsid w:val="77DBFA98"/>
    <w:rsid w:val="77FF0980"/>
    <w:rsid w:val="786B77A9"/>
    <w:rsid w:val="78865C7B"/>
    <w:rsid w:val="78A2146F"/>
    <w:rsid w:val="78E06EC6"/>
    <w:rsid w:val="78EEABAC"/>
    <w:rsid w:val="794E582D"/>
    <w:rsid w:val="79977D12"/>
    <w:rsid w:val="79FF2E57"/>
    <w:rsid w:val="7A1E1D3D"/>
    <w:rsid w:val="7A304F8E"/>
    <w:rsid w:val="7A684A24"/>
    <w:rsid w:val="7A862E00"/>
    <w:rsid w:val="7A8D4131"/>
    <w:rsid w:val="7AD70025"/>
    <w:rsid w:val="7AFDA65D"/>
    <w:rsid w:val="7B051AAD"/>
    <w:rsid w:val="7B134FB9"/>
    <w:rsid w:val="7B377AE0"/>
    <w:rsid w:val="7B780783"/>
    <w:rsid w:val="7BB1EE7E"/>
    <w:rsid w:val="7BB4551B"/>
    <w:rsid w:val="7BDFEF48"/>
    <w:rsid w:val="7BEE453A"/>
    <w:rsid w:val="7BF42D23"/>
    <w:rsid w:val="7BF7BA54"/>
    <w:rsid w:val="7BFD6878"/>
    <w:rsid w:val="7BFDC416"/>
    <w:rsid w:val="7BFEF31D"/>
    <w:rsid w:val="7BFF1A69"/>
    <w:rsid w:val="7CD3FE30"/>
    <w:rsid w:val="7CF15786"/>
    <w:rsid w:val="7CFFC366"/>
    <w:rsid w:val="7D1B3960"/>
    <w:rsid w:val="7D221505"/>
    <w:rsid w:val="7D3FE06B"/>
    <w:rsid w:val="7D5D3D66"/>
    <w:rsid w:val="7D7EBF2F"/>
    <w:rsid w:val="7D97B692"/>
    <w:rsid w:val="7DAEB963"/>
    <w:rsid w:val="7DAF0AC7"/>
    <w:rsid w:val="7DAF2E73"/>
    <w:rsid w:val="7DB701B8"/>
    <w:rsid w:val="7DBA6254"/>
    <w:rsid w:val="7DBD2FDC"/>
    <w:rsid w:val="7DBF25C9"/>
    <w:rsid w:val="7DCD2BCB"/>
    <w:rsid w:val="7DE6A4BB"/>
    <w:rsid w:val="7DFBC0D3"/>
    <w:rsid w:val="7DFEBE0D"/>
    <w:rsid w:val="7E412192"/>
    <w:rsid w:val="7E592140"/>
    <w:rsid w:val="7E6C3A4B"/>
    <w:rsid w:val="7E9FE68C"/>
    <w:rsid w:val="7EBFDF7A"/>
    <w:rsid w:val="7EDFC8C6"/>
    <w:rsid w:val="7EEFFFB4"/>
    <w:rsid w:val="7EF74CDC"/>
    <w:rsid w:val="7EFDD66F"/>
    <w:rsid w:val="7F011B77"/>
    <w:rsid w:val="7F3C265C"/>
    <w:rsid w:val="7F7A5207"/>
    <w:rsid w:val="7F7E50BA"/>
    <w:rsid w:val="7F7F147A"/>
    <w:rsid w:val="7F7F7E8A"/>
    <w:rsid w:val="7F7F8FCC"/>
    <w:rsid w:val="7FBE661F"/>
    <w:rsid w:val="7FBEBF9F"/>
    <w:rsid w:val="7FBF4811"/>
    <w:rsid w:val="7FBF5EAB"/>
    <w:rsid w:val="7FC7FED1"/>
    <w:rsid w:val="7FDF0ACE"/>
    <w:rsid w:val="7FDF43B4"/>
    <w:rsid w:val="7FDF5B49"/>
    <w:rsid w:val="7FDFB8E7"/>
    <w:rsid w:val="7FDFBC93"/>
    <w:rsid w:val="7FE1C691"/>
    <w:rsid w:val="7FE641BD"/>
    <w:rsid w:val="7FE72E94"/>
    <w:rsid w:val="7FE7372A"/>
    <w:rsid w:val="7FE7CB55"/>
    <w:rsid w:val="7FEB5E32"/>
    <w:rsid w:val="7FED338B"/>
    <w:rsid w:val="7FF340A8"/>
    <w:rsid w:val="7FF676E9"/>
    <w:rsid w:val="7FF6E42B"/>
    <w:rsid w:val="7FF79B7B"/>
    <w:rsid w:val="7FF934B5"/>
    <w:rsid w:val="7FFB2AD9"/>
    <w:rsid w:val="7FFB9976"/>
    <w:rsid w:val="7FFD180D"/>
    <w:rsid w:val="7FFE368B"/>
    <w:rsid w:val="7FFEAB5F"/>
    <w:rsid w:val="7FFF3FC7"/>
    <w:rsid w:val="7FFF6BCF"/>
    <w:rsid w:val="7FFF73A5"/>
    <w:rsid w:val="7FFF9436"/>
    <w:rsid w:val="7FFFC1CF"/>
    <w:rsid w:val="8FDA1B30"/>
    <w:rsid w:val="8FEDB844"/>
    <w:rsid w:val="8FFFDCB7"/>
    <w:rsid w:val="967708F3"/>
    <w:rsid w:val="96DFC665"/>
    <w:rsid w:val="9797FCB3"/>
    <w:rsid w:val="97EB80BE"/>
    <w:rsid w:val="9DF2E07E"/>
    <w:rsid w:val="9DFF1541"/>
    <w:rsid w:val="9F7B37E6"/>
    <w:rsid w:val="9F7C8B26"/>
    <w:rsid w:val="9FD62873"/>
    <w:rsid w:val="9FDB2352"/>
    <w:rsid w:val="9FF8A41B"/>
    <w:rsid w:val="9FFB0FEE"/>
    <w:rsid w:val="A9FF4D6E"/>
    <w:rsid w:val="AB77F613"/>
    <w:rsid w:val="ABBEB278"/>
    <w:rsid w:val="ABDF770E"/>
    <w:rsid w:val="ABF7F616"/>
    <w:rsid w:val="ADB0AB94"/>
    <w:rsid w:val="ADFEE02F"/>
    <w:rsid w:val="AEED1E15"/>
    <w:rsid w:val="AF8783FE"/>
    <w:rsid w:val="AFBF4180"/>
    <w:rsid w:val="AFD327D5"/>
    <w:rsid w:val="AFED8EEC"/>
    <w:rsid w:val="B3EEA028"/>
    <w:rsid w:val="B3EF9C0D"/>
    <w:rsid w:val="B5AE5384"/>
    <w:rsid w:val="B65B7ED5"/>
    <w:rsid w:val="B6FCDB71"/>
    <w:rsid w:val="B7E7830D"/>
    <w:rsid w:val="B7FB4A3F"/>
    <w:rsid w:val="B7FDFCF8"/>
    <w:rsid w:val="B9FF8C78"/>
    <w:rsid w:val="BB7F2EC1"/>
    <w:rsid w:val="BB8FD81A"/>
    <w:rsid w:val="BBCEE338"/>
    <w:rsid w:val="BD0FE4E6"/>
    <w:rsid w:val="BDB8BAA0"/>
    <w:rsid w:val="BDBEA1A7"/>
    <w:rsid w:val="BDFF5B22"/>
    <w:rsid w:val="BE5FD7AD"/>
    <w:rsid w:val="BE8F3AD7"/>
    <w:rsid w:val="BF235A94"/>
    <w:rsid w:val="BF79095D"/>
    <w:rsid w:val="BF7F73D5"/>
    <w:rsid w:val="BF874A66"/>
    <w:rsid w:val="BFBFC471"/>
    <w:rsid w:val="BFCFA168"/>
    <w:rsid w:val="BFDFDF16"/>
    <w:rsid w:val="BFE6DE25"/>
    <w:rsid w:val="BFF7CA22"/>
    <w:rsid w:val="BFFB89F1"/>
    <w:rsid w:val="BFFD2C90"/>
    <w:rsid w:val="BFFD2CF8"/>
    <w:rsid w:val="C6EFABF5"/>
    <w:rsid w:val="C6FDD593"/>
    <w:rsid w:val="C7BF674C"/>
    <w:rsid w:val="CAC180F6"/>
    <w:rsid w:val="CBD1BFE6"/>
    <w:rsid w:val="CBD39E97"/>
    <w:rsid w:val="CBE72245"/>
    <w:rsid w:val="CBEEDDD1"/>
    <w:rsid w:val="CBFB66EA"/>
    <w:rsid w:val="CDDA2216"/>
    <w:rsid w:val="CECFD894"/>
    <w:rsid w:val="CFF68B83"/>
    <w:rsid w:val="CFFFA243"/>
    <w:rsid w:val="D1F75487"/>
    <w:rsid w:val="D37D3D1A"/>
    <w:rsid w:val="D5DF49AF"/>
    <w:rsid w:val="D6DF2B73"/>
    <w:rsid w:val="D6FB40A8"/>
    <w:rsid w:val="D7EB462B"/>
    <w:rsid w:val="DADC0D70"/>
    <w:rsid w:val="DB7971DF"/>
    <w:rsid w:val="DB979A70"/>
    <w:rsid w:val="DCCEC145"/>
    <w:rsid w:val="DD9F8D32"/>
    <w:rsid w:val="DDF770A4"/>
    <w:rsid w:val="DDFD552D"/>
    <w:rsid w:val="DEBD14C0"/>
    <w:rsid w:val="DED7B710"/>
    <w:rsid w:val="DF3BF3DD"/>
    <w:rsid w:val="DF69C7C0"/>
    <w:rsid w:val="DF6FC23D"/>
    <w:rsid w:val="DF7881F0"/>
    <w:rsid w:val="DF7F2375"/>
    <w:rsid w:val="DFCA4AAF"/>
    <w:rsid w:val="DFD3EF59"/>
    <w:rsid w:val="DFD6688F"/>
    <w:rsid w:val="DFF15A36"/>
    <w:rsid w:val="DFF97E1C"/>
    <w:rsid w:val="DFFE132D"/>
    <w:rsid w:val="DFFF075A"/>
    <w:rsid w:val="E4D18DCF"/>
    <w:rsid w:val="E5F9B2FD"/>
    <w:rsid w:val="E6BD34AE"/>
    <w:rsid w:val="E9B52D16"/>
    <w:rsid w:val="E9FD0E43"/>
    <w:rsid w:val="EB67860C"/>
    <w:rsid w:val="EBBE47DE"/>
    <w:rsid w:val="EBEB0A47"/>
    <w:rsid w:val="EBFF0006"/>
    <w:rsid w:val="EC5DF9D7"/>
    <w:rsid w:val="ECFD4C31"/>
    <w:rsid w:val="EE53CF2D"/>
    <w:rsid w:val="EEC52799"/>
    <w:rsid w:val="EEC797C4"/>
    <w:rsid w:val="EEDF4E01"/>
    <w:rsid w:val="EEFB7744"/>
    <w:rsid w:val="EEFF874B"/>
    <w:rsid w:val="EEFF8DF5"/>
    <w:rsid w:val="EEFFC1DB"/>
    <w:rsid w:val="EF2ADE51"/>
    <w:rsid w:val="EF60EEDD"/>
    <w:rsid w:val="EF7DC258"/>
    <w:rsid w:val="EF7F4785"/>
    <w:rsid w:val="EFB7CE10"/>
    <w:rsid w:val="EFBE8D0A"/>
    <w:rsid w:val="EFBE9D23"/>
    <w:rsid w:val="EFC7FD96"/>
    <w:rsid w:val="EFFE5509"/>
    <w:rsid w:val="EFFE7921"/>
    <w:rsid w:val="F0F75D52"/>
    <w:rsid w:val="F0F7AFC3"/>
    <w:rsid w:val="F0FD4F94"/>
    <w:rsid w:val="F2AF1A6A"/>
    <w:rsid w:val="F36688B8"/>
    <w:rsid w:val="F45597EB"/>
    <w:rsid w:val="F4763EF0"/>
    <w:rsid w:val="F55DCF6E"/>
    <w:rsid w:val="F5E57669"/>
    <w:rsid w:val="F5FFB90B"/>
    <w:rsid w:val="F6FFFE45"/>
    <w:rsid w:val="F7BB990A"/>
    <w:rsid w:val="F7BF1B67"/>
    <w:rsid w:val="F7DEB17D"/>
    <w:rsid w:val="F7E3EDB3"/>
    <w:rsid w:val="F7FA772C"/>
    <w:rsid w:val="F7FDB758"/>
    <w:rsid w:val="F89F9DBE"/>
    <w:rsid w:val="F8BDDB93"/>
    <w:rsid w:val="F9C70B1D"/>
    <w:rsid w:val="F9DF45AD"/>
    <w:rsid w:val="F9F6729B"/>
    <w:rsid w:val="F9F787EC"/>
    <w:rsid w:val="F9FE813B"/>
    <w:rsid w:val="FB3F0C1F"/>
    <w:rsid w:val="FB46836F"/>
    <w:rsid w:val="FB7633E0"/>
    <w:rsid w:val="FB7F1C89"/>
    <w:rsid w:val="FB9B831B"/>
    <w:rsid w:val="FBA52264"/>
    <w:rsid w:val="FBBDBE8C"/>
    <w:rsid w:val="FBE7CC7A"/>
    <w:rsid w:val="FBF397DA"/>
    <w:rsid w:val="FBFBAD20"/>
    <w:rsid w:val="FBFDC879"/>
    <w:rsid w:val="FC2BF848"/>
    <w:rsid w:val="FCBEC0CA"/>
    <w:rsid w:val="FCD2D86F"/>
    <w:rsid w:val="FCFE8EB1"/>
    <w:rsid w:val="FD3BB6EF"/>
    <w:rsid w:val="FD5E5A85"/>
    <w:rsid w:val="FD6F5D1C"/>
    <w:rsid w:val="FDAF8EF6"/>
    <w:rsid w:val="FDB5A0FF"/>
    <w:rsid w:val="FDDF0D9D"/>
    <w:rsid w:val="FDDF160B"/>
    <w:rsid w:val="FDDF9B4B"/>
    <w:rsid w:val="FDEBC9A1"/>
    <w:rsid w:val="FDF7C138"/>
    <w:rsid w:val="FDFFC39F"/>
    <w:rsid w:val="FDFFDBD4"/>
    <w:rsid w:val="FE2F3FE5"/>
    <w:rsid w:val="FE6EAEF3"/>
    <w:rsid w:val="FE9ECC24"/>
    <w:rsid w:val="FED77583"/>
    <w:rsid w:val="FEE58682"/>
    <w:rsid w:val="FEE5CD2C"/>
    <w:rsid w:val="FEE7F61E"/>
    <w:rsid w:val="FEEBC8BD"/>
    <w:rsid w:val="FF1FB2B7"/>
    <w:rsid w:val="FF39E694"/>
    <w:rsid w:val="FF5D4F0B"/>
    <w:rsid w:val="FF5E28DD"/>
    <w:rsid w:val="FF7A2A49"/>
    <w:rsid w:val="FF9DC665"/>
    <w:rsid w:val="FF9F8EEB"/>
    <w:rsid w:val="FFBA0324"/>
    <w:rsid w:val="FFCD6F0B"/>
    <w:rsid w:val="FFD6F7A6"/>
    <w:rsid w:val="FFDB420E"/>
    <w:rsid w:val="FFDD14C9"/>
    <w:rsid w:val="FFEB7307"/>
    <w:rsid w:val="FFEC83A7"/>
    <w:rsid w:val="FFEF1F00"/>
    <w:rsid w:val="FFF5A1B4"/>
    <w:rsid w:val="FFF7018C"/>
    <w:rsid w:val="FFF7F6D1"/>
    <w:rsid w:val="FFFBB012"/>
    <w:rsid w:val="FFFBC602"/>
    <w:rsid w:val="FFFC1A54"/>
    <w:rsid w:val="FFFF05B4"/>
    <w:rsid w:val="FFFFD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78" w:lineRule="auto"/>
    </w:pPr>
    <w:rPr>
      <w:rFonts w:ascii="Tahoma" w:hAnsi="Tahoma" w:eastAsia="微软雅黑" w:cstheme="minorBidi"/>
      <w:sz w:val="22"/>
      <w:szCs w:val="22"/>
      <w:lang w:val="en-US" w:eastAsia="zh-CN" w:bidi="ar-SA"/>
    </w:rPr>
  </w:style>
  <w:style w:type="paragraph" w:styleId="2">
    <w:name w:val="heading 1"/>
    <w:basedOn w:val="1"/>
    <w:next w:val="1"/>
    <w:link w:val="31"/>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32"/>
    <w:unhideWhenUsed/>
    <w:qFormat/>
    <w:uiPriority w:val="0"/>
    <w:pPr>
      <w:keepNext/>
      <w:keepLines/>
      <w:spacing w:before="260" w:after="260" w:line="415"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0"/>
    <w:pPr>
      <w:spacing w:after="0" w:line="440" w:lineRule="exact"/>
      <w:ind w:firstLine="643" w:firstLineChars="200"/>
      <w:outlineLvl w:val="2"/>
    </w:pPr>
    <w:rPr>
      <w:rFonts w:ascii="Times New Roman" w:hAnsi="Times New Roman" w:eastAsia="仿宋_GB2312" w:cs="Times New Roman"/>
      <w:b/>
      <w:sz w:val="32"/>
      <w:szCs w:val="32"/>
    </w:rPr>
  </w:style>
  <w:style w:type="paragraph" w:styleId="5">
    <w:name w:val="heading 4"/>
    <w:basedOn w:val="1"/>
    <w:next w:val="1"/>
    <w:link w:val="62"/>
    <w:semiHidden/>
    <w:unhideWhenUsed/>
    <w:qFormat/>
    <w:uiPriority w:val="9"/>
    <w:pPr>
      <w:keepNext/>
      <w:keepLines/>
      <w:spacing w:before="280" w:after="290" w:line="372" w:lineRule="auto"/>
      <w:outlineLvl w:val="3"/>
    </w:pPr>
    <w:rPr>
      <w:rFonts w:ascii="Arial" w:hAnsi="Arial" w:eastAsia="黑体"/>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widowControl w:val="0"/>
      <w:adjustRightInd/>
      <w:snapToGrid/>
      <w:spacing w:after="0"/>
      <w:ind w:left="2520" w:leftChars="1200"/>
      <w:jc w:val="both"/>
    </w:pPr>
    <w:rPr>
      <w:rFonts w:asciiTheme="minorHAnsi" w:hAnsiTheme="minorHAnsi" w:eastAsiaTheme="minorEastAsia"/>
      <w:kern w:val="2"/>
      <w:sz w:val="21"/>
    </w:rPr>
  </w:style>
  <w:style w:type="paragraph" w:styleId="7">
    <w:name w:val="annotation text"/>
    <w:basedOn w:val="1"/>
    <w:link w:val="51"/>
    <w:unhideWhenUsed/>
    <w:qFormat/>
    <w:uiPriority w:val="99"/>
  </w:style>
  <w:style w:type="paragraph" w:styleId="8">
    <w:name w:val="Body Text"/>
    <w:basedOn w:val="1"/>
    <w:link w:val="36"/>
    <w:unhideWhenUsed/>
    <w:qFormat/>
    <w:uiPriority w:val="1"/>
    <w:pPr>
      <w:widowControl w:val="0"/>
      <w:adjustRightInd/>
      <w:snapToGrid/>
      <w:spacing w:after="0"/>
      <w:ind w:left="568"/>
      <w:jc w:val="both"/>
    </w:pPr>
    <w:rPr>
      <w:rFonts w:ascii="宋体" w:hAnsi="宋体" w:eastAsia="宋体" w:cs="宋体"/>
      <w:kern w:val="2"/>
      <w:sz w:val="21"/>
      <w:szCs w:val="21"/>
    </w:rPr>
  </w:style>
  <w:style w:type="paragraph" w:styleId="9">
    <w:name w:val="Body Text Indent"/>
    <w:basedOn w:val="1"/>
    <w:link w:val="37"/>
    <w:unhideWhenUsed/>
    <w:qFormat/>
    <w:uiPriority w:val="0"/>
    <w:pPr>
      <w:widowControl w:val="0"/>
      <w:adjustRightInd/>
      <w:snapToGrid/>
      <w:spacing w:after="0" w:line="480" w:lineRule="exact"/>
      <w:ind w:firstLine="422" w:firstLineChars="200"/>
      <w:jc w:val="both"/>
    </w:pPr>
    <w:rPr>
      <w:rFonts w:ascii="Times New Roman" w:hAnsi="Times New Roman" w:eastAsia="宋体" w:cs="Times New Roman"/>
      <w:b/>
      <w:bCs/>
      <w:kern w:val="2"/>
      <w:sz w:val="21"/>
      <w:szCs w:val="24"/>
    </w:rPr>
  </w:style>
  <w:style w:type="paragraph" w:styleId="10">
    <w:name w:val="toc 5"/>
    <w:basedOn w:val="1"/>
    <w:next w:val="1"/>
    <w:unhideWhenUsed/>
    <w:qFormat/>
    <w:uiPriority w:val="39"/>
    <w:pPr>
      <w:widowControl w:val="0"/>
      <w:adjustRightInd/>
      <w:snapToGrid/>
      <w:spacing w:after="0"/>
      <w:ind w:left="1680" w:leftChars="800"/>
      <w:jc w:val="both"/>
    </w:pPr>
    <w:rPr>
      <w:rFonts w:asciiTheme="minorHAnsi" w:hAnsiTheme="minorHAnsi" w:eastAsiaTheme="minorEastAsia"/>
      <w:kern w:val="2"/>
      <w:sz w:val="21"/>
    </w:rPr>
  </w:style>
  <w:style w:type="paragraph" w:styleId="11">
    <w:name w:val="toc 3"/>
    <w:basedOn w:val="1"/>
    <w:next w:val="1"/>
    <w:unhideWhenUsed/>
    <w:qFormat/>
    <w:uiPriority w:val="39"/>
    <w:pPr>
      <w:tabs>
        <w:tab w:val="right" w:pos="13948"/>
      </w:tabs>
      <w:adjustRightInd/>
      <w:snapToGrid/>
      <w:ind w:left="879"/>
    </w:pPr>
  </w:style>
  <w:style w:type="paragraph" w:styleId="12">
    <w:name w:val="Plain Text"/>
    <w:basedOn w:val="1"/>
    <w:link w:val="48"/>
    <w:unhideWhenUsed/>
    <w:qFormat/>
    <w:uiPriority w:val="0"/>
    <w:pPr>
      <w:widowControl w:val="0"/>
      <w:adjustRightInd/>
      <w:snapToGrid/>
      <w:spacing w:after="0"/>
      <w:jc w:val="both"/>
    </w:pPr>
    <w:rPr>
      <w:rFonts w:ascii="宋体" w:hAnsi="Courier New" w:eastAsiaTheme="minorEastAsia"/>
      <w:kern w:val="2"/>
      <w:sz w:val="21"/>
      <w:szCs w:val="20"/>
    </w:rPr>
  </w:style>
  <w:style w:type="paragraph" w:styleId="13">
    <w:name w:val="toc 8"/>
    <w:basedOn w:val="1"/>
    <w:next w:val="1"/>
    <w:unhideWhenUsed/>
    <w:qFormat/>
    <w:uiPriority w:val="39"/>
    <w:pPr>
      <w:widowControl w:val="0"/>
      <w:adjustRightInd/>
      <w:snapToGrid/>
      <w:spacing w:after="0"/>
      <w:ind w:left="2940" w:leftChars="1400"/>
      <w:jc w:val="both"/>
    </w:pPr>
    <w:rPr>
      <w:rFonts w:asciiTheme="minorHAnsi" w:hAnsiTheme="minorHAnsi" w:eastAsiaTheme="minorEastAsia"/>
      <w:kern w:val="2"/>
      <w:sz w:val="21"/>
    </w:rPr>
  </w:style>
  <w:style w:type="paragraph" w:styleId="14">
    <w:name w:val="Body Text Indent 2"/>
    <w:basedOn w:val="1"/>
    <w:link w:val="38"/>
    <w:unhideWhenUsed/>
    <w:qFormat/>
    <w:uiPriority w:val="0"/>
    <w:pPr>
      <w:widowControl w:val="0"/>
      <w:adjustRightInd/>
      <w:snapToGrid/>
      <w:spacing w:after="0" w:line="480" w:lineRule="exact"/>
      <w:ind w:firstLine="435"/>
      <w:jc w:val="both"/>
    </w:pPr>
    <w:rPr>
      <w:rFonts w:ascii="Times New Roman" w:hAnsi="Times New Roman" w:eastAsia="宋体" w:cs="Times New Roman"/>
      <w:b/>
      <w:bCs/>
      <w:kern w:val="2"/>
      <w:sz w:val="21"/>
      <w:szCs w:val="24"/>
    </w:rPr>
  </w:style>
  <w:style w:type="paragraph" w:styleId="15">
    <w:name w:val="Balloon Text"/>
    <w:basedOn w:val="1"/>
    <w:link w:val="39"/>
    <w:unhideWhenUsed/>
    <w:qFormat/>
    <w:uiPriority w:val="99"/>
    <w:pPr>
      <w:spacing w:after="0"/>
    </w:pPr>
    <w:rPr>
      <w:sz w:val="18"/>
      <w:szCs w:val="18"/>
    </w:rPr>
  </w:style>
  <w:style w:type="paragraph" w:styleId="16">
    <w:name w:val="footer"/>
    <w:basedOn w:val="1"/>
    <w:link w:val="35"/>
    <w:unhideWhenUsed/>
    <w:qFormat/>
    <w:uiPriority w:val="99"/>
    <w:pPr>
      <w:widowControl w:val="0"/>
      <w:tabs>
        <w:tab w:val="center" w:pos="4153"/>
        <w:tab w:val="right" w:pos="8306"/>
      </w:tabs>
      <w:adjustRightInd/>
      <w:spacing w:after="0"/>
    </w:pPr>
    <w:rPr>
      <w:rFonts w:ascii="Times New Roman" w:hAnsi="Times New Roman" w:eastAsia="宋体" w:cs="Times New Roman"/>
      <w:kern w:val="2"/>
      <w:sz w:val="18"/>
      <w:szCs w:val="18"/>
    </w:rPr>
  </w:style>
  <w:style w:type="paragraph" w:styleId="17">
    <w:name w:val="header"/>
    <w:basedOn w:val="1"/>
    <w:link w:val="34"/>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pPr>
      <w:widowControl w:val="0"/>
      <w:adjustRightInd/>
      <w:snapToGrid/>
      <w:spacing w:before="120" w:after="120"/>
    </w:pPr>
    <w:rPr>
      <w:rFonts w:ascii="Times New Roman" w:hAnsi="Times New Roman" w:eastAsia="宋体" w:cs="Times New Roman"/>
      <w:b/>
      <w:bCs/>
      <w:caps/>
      <w:kern w:val="2"/>
      <w:sz w:val="20"/>
      <w:szCs w:val="20"/>
    </w:rPr>
  </w:style>
  <w:style w:type="paragraph" w:styleId="19">
    <w:name w:val="toc 4"/>
    <w:basedOn w:val="1"/>
    <w:next w:val="1"/>
    <w:unhideWhenUsed/>
    <w:qFormat/>
    <w:uiPriority w:val="39"/>
    <w:pPr>
      <w:widowControl w:val="0"/>
      <w:adjustRightInd/>
      <w:snapToGrid/>
      <w:spacing w:after="0"/>
      <w:ind w:left="1260" w:leftChars="600"/>
      <w:jc w:val="both"/>
    </w:pPr>
    <w:rPr>
      <w:rFonts w:asciiTheme="minorHAnsi" w:hAnsiTheme="minorHAnsi" w:eastAsiaTheme="minorEastAsia"/>
      <w:kern w:val="2"/>
      <w:sz w:val="21"/>
    </w:rPr>
  </w:style>
  <w:style w:type="paragraph" w:styleId="20">
    <w:name w:val="toc 6"/>
    <w:basedOn w:val="1"/>
    <w:next w:val="1"/>
    <w:unhideWhenUsed/>
    <w:qFormat/>
    <w:uiPriority w:val="39"/>
    <w:pPr>
      <w:widowControl w:val="0"/>
      <w:adjustRightInd/>
      <w:snapToGrid/>
      <w:spacing w:after="0"/>
      <w:ind w:left="2100" w:leftChars="1000"/>
      <w:jc w:val="both"/>
    </w:pPr>
    <w:rPr>
      <w:rFonts w:asciiTheme="minorHAnsi" w:hAnsiTheme="minorHAnsi" w:eastAsiaTheme="minorEastAsia"/>
      <w:kern w:val="2"/>
      <w:sz w:val="21"/>
    </w:r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widowControl w:val="0"/>
      <w:adjustRightInd/>
      <w:snapToGrid/>
      <w:spacing w:after="0"/>
      <w:ind w:left="3360" w:leftChars="1600"/>
      <w:jc w:val="both"/>
    </w:pPr>
    <w:rPr>
      <w:rFonts w:asciiTheme="minorHAnsi" w:hAnsiTheme="minorHAnsi" w:eastAsiaTheme="minorEastAsia"/>
      <w:kern w:val="2"/>
      <w:sz w:val="21"/>
    </w:rPr>
  </w:style>
  <w:style w:type="paragraph" w:styleId="23">
    <w:name w:val="Normal (Web)"/>
    <w:basedOn w:val="1"/>
    <w:unhideWhenUsed/>
    <w:qFormat/>
    <w:uiPriority w:val="0"/>
    <w:pPr>
      <w:widowControl w:val="0"/>
      <w:adjustRightInd/>
      <w:snapToGrid/>
      <w:spacing w:before="100" w:beforeAutospacing="1" w:after="100" w:afterAutospacing="1"/>
    </w:pPr>
    <w:rPr>
      <w:rFonts w:cs="Times New Roman" w:asciiTheme="minorHAnsi" w:hAnsiTheme="minorHAnsi" w:eastAsiaTheme="minorEastAsia"/>
      <w:sz w:val="24"/>
      <w:szCs w:val="24"/>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basedOn w:val="26"/>
    <w:unhideWhenUsed/>
    <w:qFormat/>
    <w:uiPriority w:val="99"/>
    <w:rPr>
      <w:color w:val="000000"/>
      <w:u w:val="none"/>
    </w:rPr>
  </w:style>
  <w:style w:type="character" w:styleId="29">
    <w:name w:val="annotation reference"/>
    <w:basedOn w:val="26"/>
    <w:unhideWhenUsed/>
    <w:qFormat/>
    <w:uiPriority w:val="99"/>
    <w:rPr>
      <w:sz w:val="21"/>
      <w:szCs w:val="21"/>
    </w:rPr>
  </w:style>
  <w:style w:type="character" w:styleId="30">
    <w:name w:val="HTML Cite"/>
    <w:unhideWhenUsed/>
    <w:qFormat/>
    <w:uiPriority w:val="0"/>
  </w:style>
  <w:style w:type="character" w:customStyle="1" w:styleId="31">
    <w:name w:val="标题 1 字符"/>
    <w:basedOn w:val="26"/>
    <w:link w:val="2"/>
    <w:qFormat/>
    <w:uiPriority w:val="0"/>
    <w:rPr>
      <w:rFonts w:ascii="Tahoma" w:hAnsi="Tahoma" w:eastAsia="微软雅黑"/>
      <w:b/>
      <w:bCs/>
      <w:kern w:val="44"/>
      <w:sz w:val="44"/>
      <w:szCs w:val="44"/>
    </w:rPr>
  </w:style>
  <w:style w:type="character" w:customStyle="1" w:styleId="32">
    <w:name w:val="标题 2 字符"/>
    <w:basedOn w:val="26"/>
    <w:link w:val="3"/>
    <w:qFormat/>
    <w:uiPriority w:val="0"/>
    <w:rPr>
      <w:rFonts w:asciiTheme="majorHAnsi" w:hAnsiTheme="majorHAnsi" w:eastAsiaTheme="majorEastAsia" w:cstheme="majorBidi"/>
      <w:b/>
      <w:bCs/>
      <w:kern w:val="0"/>
      <w:sz w:val="32"/>
      <w:szCs w:val="32"/>
    </w:rPr>
  </w:style>
  <w:style w:type="character" w:customStyle="1" w:styleId="33">
    <w:name w:val="标题 3 字符"/>
    <w:basedOn w:val="26"/>
    <w:link w:val="4"/>
    <w:qFormat/>
    <w:uiPriority w:val="0"/>
    <w:rPr>
      <w:rFonts w:ascii="Times New Roman" w:hAnsi="Times New Roman" w:eastAsia="仿宋_GB2312" w:cs="Times New Roman"/>
      <w:b/>
      <w:kern w:val="0"/>
      <w:sz w:val="32"/>
      <w:szCs w:val="32"/>
    </w:rPr>
  </w:style>
  <w:style w:type="character" w:customStyle="1" w:styleId="34">
    <w:name w:val="页眉 字符"/>
    <w:basedOn w:val="26"/>
    <w:link w:val="17"/>
    <w:qFormat/>
    <w:uiPriority w:val="99"/>
    <w:rPr>
      <w:rFonts w:ascii="Tahoma" w:hAnsi="Tahoma" w:eastAsia="微软雅黑"/>
      <w:kern w:val="0"/>
      <w:sz w:val="18"/>
      <w:szCs w:val="18"/>
    </w:rPr>
  </w:style>
  <w:style w:type="character" w:customStyle="1" w:styleId="35">
    <w:name w:val="页脚 字符"/>
    <w:basedOn w:val="26"/>
    <w:link w:val="16"/>
    <w:qFormat/>
    <w:uiPriority w:val="99"/>
    <w:rPr>
      <w:rFonts w:ascii="Times New Roman" w:hAnsi="Times New Roman" w:eastAsia="宋体" w:cs="Times New Roman"/>
      <w:sz w:val="18"/>
      <w:szCs w:val="18"/>
    </w:rPr>
  </w:style>
  <w:style w:type="character" w:customStyle="1" w:styleId="36">
    <w:name w:val="正文文本 字符"/>
    <w:basedOn w:val="26"/>
    <w:link w:val="8"/>
    <w:semiHidden/>
    <w:qFormat/>
    <w:uiPriority w:val="1"/>
    <w:rPr>
      <w:rFonts w:ascii="宋体" w:hAnsi="宋体" w:eastAsia="宋体" w:cs="宋体"/>
      <w:szCs w:val="21"/>
    </w:rPr>
  </w:style>
  <w:style w:type="character" w:customStyle="1" w:styleId="37">
    <w:name w:val="正文文本缩进 字符"/>
    <w:basedOn w:val="26"/>
    <w:link w:val="9"/>
    <w:semiHidden/>
    <w:qFormat/>
    <w:uiPriority w:val="0"/>
    <w:rPr>
      <w:rFonts w:ascii="Times New Roman" w:hAnsi="Times New Roman" w:eastAsia="宋体" w:cs="Times New Roman"/>
      <w:b/>
      <w:bCs/>
      <w:szCs w:val="24"/>
    </w:rPr>
  </w:style>
  <w:style w:type="character" w:customStyle="1" w:styleId="38">
    <w:name w:val="正文文本缩进 2 字符"/>
    <w:basedOn w:val="26"/>
    <w:link w:val="14"/>
    <w:qFormat/>
    <w:uiPriority w:val="0"/>
    <w:rPr>
      <w:rFonts w:ascii="Times New Roman" w:hAnsi="Times New Roman" w:eastAsia="宋体" w:cs="Times New Roman"/>
      <w:b/>
      <w:bCs/>
      <w:szCs w:val="24"/>
    </w:rPr>
  </w:style>
  <w:style w:type="character" w:customStyle="1" w:styleId="39">
    <w:name w:val="批注框文本 字符"/>
    <w:basedOn w:val="26"/>
    <w:link w:val="15"/>
    <w:semiHidden/>
    <w:qFormat/>
    <w:uiPriority w:val="99"/>
    <w:rPr>
      <w:rFonts w:ascii="Tahoma" w:hAnsi="Tahoma" w:eastAsia="微软雅黑"/>
      <w:kern w:val="0"/>
      <w:sz w:val="18"/>
      <w:szCs w:val="18"/>
    </w:rPr>
  </w:style>
  <w:style w:type="paragraph" w:customStyle="1" w:styleId="40">
    <w:name w:val="列出段落1"/>
    <w:basedOn w:val="1"/>
    <w:qFormat/>
    <w:uiPriority w:val="99"/>
    <w:pPr>
      <w:ind w:firstLine="420" w:firstLineChars="200"/>
    </w:pPr>
  </w:style>
  <w:style w:type="paragraph" w:customStyle="1" w:styleId="41">
    <w:name w:val="TOC 标题1"/>
    <w:basedOn w:val="2"/>
    <w:next w:val="1"/>
    <w:unhideWhenUsed/>
    <w:qFormat/>
    <w:uiPriority w:val="39"/>
    <w:pPr>
      <w:adjustRightInd/>
      <w:snapToGrid/>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42">
    <w:name w:val="列出段落11"/>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customStyle="1" w:styleId="43">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44">
    <w:name w:val="列出段落2"/>
    <w:basedOn w:val="1"/>
    <w:qFormat/>
    <w:uiPriority w:val="34"/>
    <w:pPr>
      <w:ind w:firstLine="420" w:firstLineChars="200"/>
    </w:pPr>
  </w:style>
  <w:style w:type="character" w:customStyle="1" w:styleId="45">
    <w:name w:val="fontstyle11"/>
    <w:basedOn w:val="26"/>
    <w:qFormat/>
    <w:uiPriority w:val="0"/>
    <w:rPr>
      <w:rFonts w:hint="eastAsia" w:ascii="仿宋_GB2312" w:eastAsia="仿宋_GB2312" w:cs="仿宋_GB2312"/>
      <w:color w:val="000000"/>
      <w:sz w:val="28"/>
      <w:szCs w:val="28"/>
    </w:rPr>
  </w:style>
  <w:style w:type="character" w:customStyle="1" w:styleId="46">
    <w:name w:val="fontstyle01"/>
    <w:basedOn w:val="26"/>
    <w:qFormat/>
    <w:uiPriority w:val="0"/>
    <w:rPr>
      <w:rFonts w:hint="eastAsia" w:ascii="仿宋_GB2312" w:eastAsia="仿宋_GB2312" w:cs="仿宋_GB2312"/>
      <w:color w:val="000000"/>
      <w:sz w:val="28"/>
      <w:szCs w:val="28"/>
    </w:rPr>
  </w:style>
  <w:style w:type="character" w:customStyle="1" w:styleId="47">
    <w:name w:val="fontstyle31"/>
    <w:basedOn w:val="26"/>
    <w:qFormat/>
    <w:uiPriority w:val="0"/>
    <w:rPr>
      <w:rFonts w:hint="eastAsia" w:ascii="仿宋_GB2312" w:eastAsia="仿宋_GB2312" w:cs="仿宋_GB2312"/>
      <w:color w:val="000000"/>
      <w:sz w:val="28"/>
      <w:szCs w:val="28"/>
    </w:rPr>
  </w:style>
  <w:style w:type="character" w:customStyle="1" w:styleId="48">
    <w:name w:val="纯文本 字符"/>
    <w:basedOn w:val="26"/>
    <w:link w:val="12"/>
    <w:semiHidden/>
    <w:qFormat/>
    <w:uiPriority w:val="0"/>
    <w:rPr>
      <w:rFonts w:ascii="宋体" w:hAnsi="Courier New"/>
      <w:szCs w:val="20"/>
    </w:rPr>
  </w:style>
  <w:style w:type="paragraph" w:styleId="49">
    <w:name w:val="List Paragraph"/>
    <w:basedOn w:val="1"/>
    <w:unhideWhenUsed/>
    <w:qFormat/>
    <w:uiPriority w:val="34"/>
    <w:pPr>
      <w:widowControl w:val="0"/>
      <w:adjustRightInd/>
      <w:snapToGrid/>
      <w:spacing w:after="0"/>
      <w:ind w:firstLine="420" w:firstLineChars="200"/>
      <w:jc w:val="both"/>
    </w:pPr>
    <w:rPr>
      <w:rFonts w:ascii="Calibri" w:hAnsi="Calibri" w:eastAsia="宋体"/>
      <w:kern w:val="2"/>
      <w:sz w:val="21"/>
      <w:szCs w:val="24"/>
    </w:rPr>
  </w:style>
  <w:style w:type="table" w:customStyle="1" w:styleId="50">
    <w:name w:val="网格型1"/>
    <w:basedOn w:val="24"/>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1">
    <w:name w:val="批注文字 字符"/>
    <w:basedOn w:val="26"/>
    <w:link w:val="7"/>
    <w:qFormat/>
    <w:uiPriority w:val="99"/>
    <w:rPr>
      <w:rFonts w:ascii="Tahoma" w:hAnsi="Tahoma" w:eastAsia="微软雅黑" w:cstheme="minorBidi"/>
      <w:sz w:val="22"/>
      <w:szCs w:val="22"/>
    </w:rPr>
  </w:style>
  <w:style w:type="paragraph" w:customStyle="1" w:styleId="52">
    <w:name w:val="TOC 标题2"/>
    <w:basedOn w:val="2"/>
    <w:next w:val="1"/>
    <w:unhideWhenUsed/>
    <w:qFormat/>
    <w:uiPriority w:val="39"/>
    <w:pPr>
      <w:adjustRightInd/>
      <w:snapToGrid/>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styleId="53">
    <w:name w:val="No Spacing"/>
    <w:link w:val="54"/>
    <w:qFormat/>
    <w:uiPriority w:val="1"/>
    <w:pPr>
      <w:spacing w:after="160" w:line="278" w:lineRule="auto"/>
    </w:pPr>
    <w:rPr>
      <w:rFonts w:asciiTheme="minorHAnsi" w:hAnsiTheme="minorHAnsi" w:eastAsiaTheme="minorEastAsia" w:cstheme="minorBidi"/>
      <w:sz w:val="22"/>
      <w:szCs w:val="22"/>
      <w:lang w:val="en-US" w:eastAsia="zh-CN" w:bidi="ar-SA"/>
    </w:rPr>
  </w:style>
  <w:style w:type="character" w:customStyle="1" w:styleId="54">
    <w:name w:val="无间隔 字符"/>
    <w:basedOn w:val="26"/>
    <w:link w:val="53"/>
    <w:qFormat/>
    <w:uiPriority w:val="1"/>
    <w:rPr>
      <w:rFonts w:asciiTheme="minorHAnsi" w:hAnsiTheme="minorHAnsi" w:eastAsiaTheme="minorEastAsia" w:cstheme="minorBidi"/>
      <w:sz w:val="22"/>
      <w:szCs w:val="22"/>
    </w:rPr>
  </w:style>
  <w:style w:type="character" w:customStyle="1" w:styleId="55">
    <w:name w:val="未处理的提及1"/>
    <w:basedOn w:val="26"/>
    <w:semiHidden/>
    <w:unhideWhenUsed/>
    <w:qFormat/>
    <w:uiPriority w:val="99"/>
    <w:rPr>
      <w:color w:val="605E5C"/>
      <w:shd w:val="clear" w:color="auto" w:fill="E1DFDD"/>
    </w:rPr>
  </w:style>
  <w:style w:type="character" w:customStyle="1" w:styleId="56">
    <w:name w:val="font21"/>
    <w:basedOn w:val="26"/>
    <w:qFormat/>
    <w:uiPriority w:val="0"/>
    <w:rPr>
      <w:rFonts w:hint="eastAsia" w:ascii="仿宋" w:hAnsi="仿宋" w:eastAsia="仿宋" w:cs="仿宋"/>
      <w:color w:val="000000"/>
      <w:sz w:val="24"/>
      <w:szCs w:val="24"/>
      <w:u w:val="none"/>
    </w:rPr>
  </w:style>
  <w:style w:type="character" w:customStyle="1" w:styleId="57">
    <w:name w:val="font31"/>
    <w:basedOn w:val="26"/>
    <w:qFormat/>
    <w:uiPriority w:val="0"/>
    <w:rPr>
      <w:rFonts w:ascii="仿宋_GB2312" w:hAnsi="仿宋_GB2312" w:eastAsia="仿宋_GB2312" w:cs="仿宋_GB2312"/>
      <w:color w:val="000000"/>
      <w:sz w:val="24"/>
      <w:szCs w:val="24"/>
      <w:u w:val="none"/>
    </w:rPr>
  </w:style>
  <w:style w:type="character" w:customStyle="1" w:styleId="58">
    <w:name w:val="font41"/>
    <w:basedOn w:val="26"/>
    <w:qFormat/>
    <w:uiPriority w:val="0"/>
    <w:rPr>
      <w:rFonts w:hint="default" w:ascii="方正仿宋_GBK" w:hAnsi="方正仿宋_GBK" w:eastAsia="方正仿宋_GBK" w:cs="方正仿宋_GBK"/>
      <w:b/>
      <w:bCs/>
      <w:color w:val="000000"/>
      <w:sz w:val="24"/>
      <w:szCs w:val="24"/>
      <w:u w:val="none"/>
    </w:rPr>
  </w:style>
  <w:style w:type="character" w:customStyle="1" w:styleId="59">
    <w:name w:val="font51"/>
    <w:basedOn w:val="26"/>
    <w:qFormat/>
    <w:uiPriority w:val="0"/>
    <w:rPr>
      <w:rFonts w:ascii="仿宋_GB2312" w:hAnsi="仿宋_GB2312" w:eastAsia="仿宋_GB2312" w:cs="仿宋_GB2312"/>
      <w:color w:val="000000"/>
      <w:sz w:val="21"/>
      <w:szCs w:val="21"/>
      <w:u w:val="none"/>
    </w:rPr>
  </w:style>
  <w:style w:type="character" w:customStyle="1" w:styleId="60">
    <w:name w:val="font01"/>
    <w:basedOn w:val="26"/>
    <w:qFormat/>
    <w:uiPriority w:val="0"/>
    <w:rPr>
      <w:rFonts w:hint="default" w:ascii="Times New Roman" w:hAnsi="Times New Roman" w:cs="Times New Roman"/>
      <w:color w:val="FF0000"/>
      <w:sz w:val="28"/>
      <w:szCs w:val="28"/>
      <w:u w:val="none"/>
    </w:rPr>
  </w:style>
  <w:style w:type="character" w:customStyle="1" w:styleId="61">
    <w:name w:val="font11"/>
    <w:basedOn w:val="26"/>
    <w:qFormat/>
    <w:uiPriority w:val="0"/>
    <w:rPr>
      <w:rFonts w:hint="eastAsia" w:ascii="仿宋_GB2312" w:eastAsia="仿宋_GB2312" w:cs="仿宋_GB2312"/>
      <w:color w:val="FF0000"/>
      <w:sz w:val="28"/>
      <w:szCs w:val="28"/>
      <w:u w:val="none"/>
    </w:rPr>
  </w:style>
  <w:style w:type="character" w:customStyle="1" w:styleId="62">
    <w:name w:val="标题 4 字符"/>
    <w:link w:val="5"/>
    <w:qFormat/>
    <w:uiPriority w:val="0"/>
    <w:rPr>
      <w:rFonts w:ascii="Arial" w:hAnsi="Arial" w:eastAsia="黑体"/>
      <w:b/>
      <w:sz w:val="28"/>
    </w:rPr>
  </w:style>
  <w:style w:type="paragraph" w:customStyle="1" w:styleId="63">
    <w:name w:val="div"/>
    <w:basedOn w:val="1"/>
    <w:qFormat/>
    <w:uiPriority w:val="0"/>
    <w:pPr>
      <w:textAlignment w:val="baseline"/>
    </w:pPr>
    <w:rPr>
      <w:sz w:val="24"/>
      <w:szCs w:val="24"/>
    </w:rPr>
  </w:style>
  <w:style w:type="character" w:customStyle="1" w:styleId="64">
    <w:name w:val="fulltext-wrap_navtiao"/>
    <w:basedOn w:val="26"/>
    <w:qFormat/>
    <w:uiPriority w:val="0"/>
    <w:rPr>
      <w:b/>
      <w:bCs/>
    </w:rPr>
  </w:style>
  <w:style w:type="character" w:customStyle="1" w:styleId="65">
    <w:name w:val="fulltext-wrap_fulltext_a"/>
    <w:basedOn w:val="26"/>
    <w:qFormat/>
    <w:uiPriority w:val="0"/>
    <w:rPr>
      <w:color w:val="218FC4"/>
    </w:rPr>
  </w:style>
  <w:style w:type="paragraph" w:customStyle="1" w:styleId="66">
    <w:name w:val="修订1"/>
    <w:hidden/>
    <w:unhideWhenUsed/>
    <w:qFormat/>
    <w:uiPriority w:val="99"/>
    <w:pPr>
      <w:spacing w:after="0" w:line="240" w:lineRule="auto"/>
    </w:pPr>
    <w:rPr>
      <w:rFonts w:ascii="Tahoma" w:hAnsi="Tahoma" w:eastAsia="微软雅黑" w:cstheme="minorBidi"/>
      <w:sz w:val="22"/>
      <w:szCs w:val="22"/>
      <w:lang w:val="en-US" w:eastAsia="zh-CN" w:bidi="ar-SA"/>
    </w:rPr>
  </w:style>
  <w:style w:type="paragraph" w:customStyle="1" w:styleId="67">
    <w:name w:val="Revision"/>
    <w:hidden/>
    <w:unhideWhenUsed/>
    <w:qFormat/>
    <w:uiPriority w:val="99"/>
    <w:pPr>
      <w:spacing w:after="0" w:line="240" w:lineRule="auto"/>
    </w:pPr>
    <w:rPr>
      <w:rFonts w:ascii="Tahoma" w:hAnsi="Tahoma" w:eastAsia="微软雅黑" w:cstheme="minorBidi"/>
      <w:sz w:val="22"/>
      <w:szCs w:val="22"/>
      <w:lang w:val="en-US" w:eastAsia="zh-CN" w:bidi="ar-SA"/>
    </w:rPr>
  </w:style>
  <w:style w:type="table" w:customStyle="1" w:styleId="68">
    <w:name w:val="网格型2"/>
    <w:basedOn w:val="24"/>
    <w:qFormat/>
    <w:uiPriority w:val="0"/>
    <w:pPr>
      <w:widowControl w:val="0"/>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
    <w:name w:val="网格型11"/>
    <w:basedOn w:val="24"/>
    <w:qFormat/>
    <w:uiPriority w:val="59"/>
    <w:pPr>
      <w:spacing w:after="0" w:line="240" w:lineRule="auto"/>
    </w:pPr>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655</Pages>
  <Words>28213</Words>
  <Characters>29572</Characters>
  <Lines>4421</Lines>
  <Paragraphs>1244</Paragraphs>
  <TotalTime>65</TotalTime>
  <ScaleCrop>false</ScaleCrop>
  <LinksUpToDate>false</LinksUpToDate>
  <CharactersWithSpaces>30885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2022-06-28T20:28:00Z</dcterms:created>
  <dc:creator>热伊拜</dc:creator>
  <cp:lastModifiedBy>微花冰雪</cp:lastModifiedBy>
  <cp:lastPrinted>2025-12-20T02:08:00Z</cp:lastPrinted>
  <dcterms:modified xsi:type="dcterms:W3CDTF">2026-03-02T04:18:52Z</dcterms:modified>
  <dc:subject>2022年12月</dc:subject>
  <dc:title>新疆维吾尔自治区卫生健康行政处罚 裁量基准</dc:title>
  <cp:revision>486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32EF4124DAEC404B80B29B3FBF9AD3B0_13</vt:lpwstr>
  </property>
  <property fmtid="{D5CDD505-2E9C-101B-9397-08002B2CF9AE}" pid="4" name="KSOTemplateDocerSaveRecord">
    <vt:lpwstr>eyJoZGlkIjoiYWY4M2JiYzVhMTI3NWQ5ZTVkOGIxZmZhOGM1MTg3ZjAiLCJ1c2VySWQiOiIxMTk3MTQ0NjkxIn0=</vt:lpwstr>
  </property>
</Properties>
</file>