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F546">
      <w:pPr>
        <w:spacing w:line="560" w:lineRule="exact"/>
        <w:rPr>
          <w:sz w:val="44"/>
          <w:szCs w:val="44"/>
        </w:rPr>
      </w:pPr>
    </w:p>
    <w:p w14:paraId="586D24E4">
      <w:pPr>
        <w:spacing w:line="560" w:lineRule="exact"/>
        <w:rPr>
          <w:sz w:val="44"/>
          <w:szCs w:val="44"/>
        </w:rPr>
      </w:pPr>
    </w:p>
    <w:p w14:paraId="3F9A177C">
      <w:pPr>
        <w:spacing w:line="560" w:lineRule="exact"/>
        <w:rPr>
          <w:sz w:val="44"/>
          <w:szCs w:val="44"/>
        </w:rPr>
      </w:pPr>
    </w:p>
    <w:p w14:paraId="4D3A3DCC">
      <w:pPr>
        <w:spacing w:line="560" w:lineRule="exact"/>
        <w:rPr>
          <w:sz w:val="44"/>
          <w:szCs w:val="44"/>
        </w:rPr>
      </w:pPr>
    </w:p>
    <w:p w14:paraId="7D7E7C8E">
      <w:pPr>
        <w:spacing w:line="560" w:lineRule="exact"/>
        <w:rPr>
          <w:sz w:val="72"/>
          <w:szCs w:val="72"/>
        </w:rPr>
      </w:pPr>
    </w:p>
    <w:p w14:paraId="6B3E45B7">
      <w:pPr>
        <w:spacing w:line="560" w:lineRule="exact"/>
        <w:rPr>
          <w:rFonts w:eastAsia="仿宋_GB2312"/>
          <w:sz w:val="32"/>
          <w:szCs w:val="32"/>
        </w:rPr>
      </w:pPr>
    </w:p>
    <w:p w14:paraId="33E5F118">
      <w:pPr>
        <w:spacing w:line="560" w:lineRule="exact"/>
        <w:rPr>
          <w:rFonts w:eastAsia="仿宋_GB2312"/>
          <w:sz w:val="32"/>
          <w:szCs w:val="32"/>
        </w:rPr>
      </w:pPr>
    </w:p>
    <w:p w14:paraId="2CF0C5EB">
      <w:pPr>
        <w:pStyle w:val="2"/>
      </w:pPr>
    </w:p>
    <w:p w14:paraId="426B8235">
      <w:pPr>
        <w:spacing w:line="560" w:lineRule="exact"/>
        <w:jc w:val="center"/>
        <w:rPr>
          <w:sz w:val="32"/>
          <w:szCs w:val="32"/>
        </w:rPr>
      </w:pPr>
      <w:r>
        <w:rPr>
          <w:rFonts w:eastAsia="方正仿宋_GB2312"/>
          <w:sz w:val="32"/>
          <w:szCs w:val="32"/>
        </w:rPr>
        <w:t>师市环审〔2025〕</w:t>
      </w:r>
      <w:r>
        <w:rPr>
          <w:rFonts w:hint="eastAsia" w:eastAsia="方正仿宋_GB2312"/>
          <w:sz w:val="32"/>
          <w:szCs w:val="32"/>
          <w:lang w:val="en-US" w:eastAsia="zh-CN"/>
        </w:rPr>
        <w:t>106</w:t>
      </w:r>
      <w:r>
        <w:rPr>
          <w:rFonts w:eastAsia="方正仿宋_GB2312"/>
          <w:sz w:val="32"/>
          <w:szCs w:val="32"/>
        </w:rPr>
        <w:t>号</w:t>
      </w:r>
    </w:p>
    <w:p w14:paraId="000CF942">
      <w:pPr>
        <w:spacing w:line="560" w:lineRule="exact"/>
        <w:rPr>
          <w:rFonts w:eastAsia="仿宋_GB2312"/>
          <w:szCs w:val="21"/>
        </w:rPr>
      </w:pPr>
    </w:p>
    <w:p w14:paraId="02B98AE5">
      <w:pPr>
        <w:widowControl/>
        <w:spacing w:line="560" w:lineRule="exact"/>
        <w:rPr>
          <w:rFonts w:eastAsia="方正小标宋简体"/>
          <w:bCs/>
          <w:sz w:val="44"/>
          <w:szCs w:val="44"/>
        </w:rPr>
      </w:pPr>
      <w:r>
        <w:rPr>
          <w:rFonts w:eastAsia="方正小标宋简体"/>
          <w:bCs/>
          <w:sz w:val="44"/>
          <w:szCs w:val="44"/>
        </w:rPr>
        <w:t>关于新疆生产建设兵团第一师</w:t>
      </w:r>
      <w:r>
        <w:rPr>
          <w:rFonts w:hint="eastAsia" w:eastAsia="方正小标宋简体"/>
          <w:bCs/>
          <w:sz w:val="44"/>
          <w:szCs w:val="44"/>
          <w:lang w:eastAsia="zh-CN"/>
        </w:rPr>
        <w:t>一团</w:t>
      </w:r>
      <w:r>
        <w:rPr>
          <w:rFonts w:eastAsia="方正小标宋简体"/>
          <w:bCs/>
          <w:sz w:val="44"/>
          <w:szCs w:val="44"/>
        </w:rPr>
        <w:t>医院建设</w:t>
      </w:r>
    </w:p>
    <w:p w14:paraId="0AF154EF">
      <w:pPr>
        <w:widowControl/>
        <w:spacing w:line="560" w:lineRule="exact"/>
        <w:jc w:val="center"/>
        <w:rPr>
          <w:rFonts w:eastAsia="方正小标宋简体"/>
          <w:bCs/>
          <w:sz w:val="44"/>
          <w:szCs w:val="44"/>
        </w:rPr>
      </w:pPr>
      <w:r>
        <w:rPr>
          <w:rFonts w:eastAsia="方正小标宋简体"/>
          <w:bCs/>
          <w:sz w:val="44"/>
          <w:szCs w:val="44"/>
        </w:rPr>
        <w:t>项目环境影响报告表的批复</w:t>
      </w:r>
    </w:p>
    <w:p w14:paraId="77141F30">
      <w:pPr>
        <w:widowControl/>
        <w:spacing w:line="560" w:lineRule="exact"/>
        <w:rPr>
          <w:rFonts w:eastAsia="方正小标宋简体"/>
          <w:bCs/>
          <w:color w:val="0000FF"/>
          <w:sz w:val="44"/>
          <w:szCs w:val="44"/>
        </w:rPr>
      </w:pPr>
    </w:p>
    <w:p w14:paraId="6265DED4">
      <w:pPr>
        <w:widowControl/>
        <w:spacing w:line="560" w:lineRule="exact"/>
        <w:ind w:left="640" w:hanging="640" w:hangingChars="200"/>
        <w:rPr>
          <w:rFonts w:eastAsia="方正仿宋简体"/>
          <w:kern w:val="0"/>
          <w:sz w:val="32"/>
          <w:szCs w:val="32"/>
        </w:rPr>
      </w:pPr>
      <w:r>
        <w:rPr>
          <w:rFonts w:eastAsia="方正仿宋简体"/>
          <w:kern w:val="0"/>
          <w:sz w:val="32"/>
          <w:szCs w:val="32"/>
        </w:rPr>
        <w:t>第一师</w:t>
      </w:r>
      <w:r>
        <w:rPr>
          <w:rFonts w:hint="eastAsia" w:eastAsia="方正仿宋简体"/>
          <w:kern w:val="0"/>
          <w:sz w:val="32"/>
          <w:szCs w:val="32"/>
          <w:lang w:eastAsia="zh-CN"/>
        </w:rPr>
        <w:t>一团</w:t>
      </w:r>
      <w:r>
        <w:rPr>
          <w:rFonts w:eastAsia="方正仿宋简体"/>
          <w:kern w:val="0"/>
          <w:sz w:val="32"/>
          <w:szCs w:val="32"/>
        </w:rPr>
        <w:t>医院：</w:t>
      </w:r>
    </w:p>
    <w:p w14:paraId="2CBFC6C7">
      <w:pPr>
        <w:widowControl/>
        <w:spacing w:line="560" w:lineRule="exact"/>
        <w:ind w:firstLine="640" w:firstLineChars="200"/>
        <w:rPr>
          <w:rFonts w:eastAsia="方正仿宋简体"/>
          <w:kern w:val="0"/>
          <w:sz w:val="32"/>
          <w:szCs w:val="32"/>
        </w:rPr>
      </w:pPr>
      <w:r>
        <w:rPr>
          <w:rFonts w:eastAsia="方正仿宋简体"/>
          <w:sz w:val="32"/>
          <w:szCs w:val="32"/>
        </w:rPr>
        <w:t>你单位报送的《关于送审</w:t>
      </w:r>
      <w:r>
        <w:rPr>
          <w:rFonts w:eastAsia="方正仿宋简体"/>
          <w:kern w:val="0"/>
          <w:sz w:val="32"/>
          <w:szCs w:val="32"/>
        </w:rPr>
        <w:t>新疆生产建设兵团第一师</w:t>
      </w:r>
      <w:r>
        <w:rPr>
          <w:rFonts w:hint="eastAsia" w:eastAsia="方正仿宋简体"/>
          <w:kern w:val="0"/>
          <w:sz w:val="32"/>
          <w:szCs w:val="32"/>
          <w:lang w:eastAsia="zh-CN"/>
        </w:rPr>
        <w:t>一团</w:t>
      </w:r>
      <w:r>
        <w:rPr>
          <w:rFonts w:eastAsia="方正仿宋简体"/>
          <w:kern w:val="0"/>
          <w:sz w:val="32"/>
          <w:szCs w:val="32"/>
        </w:rPr>
        <w:t>医院</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eastAsia="方正仿宋简体"/>
          <w:kern w:val="0"/>
          <w:sz w:val="32"/>
          <w:szCs w:val="32"/>
        </w:rPr>
        <w:t>新疆生产建设兵团第一师</w:t>
      </w:r>
      <w:r>
        <w:rPr>
          <w:rFonts w:hint="eastAsia" w:eastAsia="方正仿宋简体"/>
          <w:kern w:val="0"/>
          <w:sz w:val="32"/>
          <w:szCs w:val="32"/>
          <w:lang w:eastAsia="zh-CN"/>
        </w:rPr>
        <w:t>一团</w:t>
      </w:r>
      <w:r>
        <w:rPr>
          <w:rFonts w:eastAsia="方正仿宋简体"/>
          <w:kern w:val="0"/>
          <w:sz w:val="32"/>
          <w:szCs w:val="32"/>
        </w:rPr>
        <w:t>医院</w:t>
      </w:r>
      <w:r>
        <w:rPr>
          <w:rFonts w:eastAsia="方正仿宋简体"/>
          <w:sz w:val="32"/>
          <w:szCs w:val="32"/>
        </w:rPr>
        <w:t>环境影响报告表》（以下简称《报告表》）已收悉。经研究，现批复如下：</w:t>
      </w:r>
    </w:p>
    <w:p w14:paraId="4D213351">
      <w:pPr>
        <w:pStyle w:val="7"/>
        <w:spacing w:line="560" w:lineRule="exact"/>
        <w:ind w:firstLine="640" w:firstLineChars="200"/>
        <w:jc w:val="both"/>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lang w:val="en-US" w:eastAsia="zh-CN"/>
        </w:rPr>
        <w:t>一团金银川镇健康路</w:t>
      </w:r>
      <w:r>
        <w:rPr>
          <w:rFonts w:eastAsia="方正仿宋简体"/>
          <w:kern w:val="0"/>
          <w:sz w:val="32"/>
          <w:szCs w:val="32"/>
        </w:rPr>
        <w:t>，占地面积</w:t>
      </w:r>
      <w:r>
        <w:rPr>
          <w:rFonts w:hint="eastAsia" w:eastAsia="方正仿宋简体"/>
          <w:kern w:val="0"/>
          <w:sz w:val="32"/>
          <w:szCs w:val="32"/>
        </w:rPr>
        <w:t>12</w:t>
      </w:r>
      <w:r>
        <w:rPr>
          <w:rFonts w:hint="eastAsia" w:eastAsia="方正仿宋简体"/>
          <w:kern w:val="0"/>
          <w:sz w:val="32"/>
          <w:szCs w:val="32"/>
          <w:lang w:val="en-US" w:eastAsia="zh-CN"/>
        </w:rPr>
        <w:t>360</w:t>
      </w:r>
      <w:r>
        <w:rPr>
          <w:rFonts w:eastAsia="方正仿宋简体"/>
          <w:kern w:val="0"/>
          <w:sz w:val="32"/>
          <w:szCs w:val="32"/>
        </w:rPr>
        <w:t>平方米。项目北侧</w:t>
      </w:r>
      <w:r>
        <w:rPr>
          <w:rFonts w:hint="eastAsia" w:eastAsia="方正仿宋简体"/>
          <w:kern w:val="0"/>
          <w:sz w:val="32"/>
          <w:szCs w:val="32"/>
        </w:rPr>
        <w:t>为环城北路，</w:t>
      </w:r>
      <w:r>
        <w:rPr>
          <w:rFonts w:eastAsia="方正仿宋简体"/>
          <w:kern w:val="0"/>
          <w:sz w:val="32"/>
          <w:szCs w:val="32"/>
        </w:rPr>
        <w:t>东侧</w:t>
      </w:r>
      <w:r>
        <w:rPr>
          <w:rFonts w:hint="eastAsia" w:eastAsia="方正仿宋简体"/>
          <w:kern w:val="0"/>
          <w:sz w:val="32"/>
          <w:szCs w:val="32"/>
        </w:rPr>
        <w:t>为光明路，</w:t>
      </w:r>
      <w:r>
        <w:rPr>
          <w:rFonts w:eastAsia="方正仿宋简体"/>
          <w:kern w:val="0"/>
          <w:sz w:val="32"/>
          <w:szCs w:val="32"/>
        </w:rPr>
        <w:t>西侧</w:t>
      </w:r>
      <w:r>
        <w:rPr>
          <w:rFonts w:hint="eastAsia" w:eastAsia="方正仿宋简体"/>
          <w:kern w:val="0"/>
          <w:sz w:val="32"/>
          <w:szCs w:val="32"/>
        </w:rPr>
        <w:t>、</w:t>
      </w:r>
      <w:r>
        <w:rPr>
          <w:rFonts w:eastAsia="方正仿宋简体"/>
          <w:kern w:val="0"/>
          <w:sz w:val="32"/>
          <w:szCs w:val="32"/>
        </w:rPr>
        <w:t>南侧</w:t>
      </w:r>
      <w:r>
        <w:rPr>
          <w:rFonts w:hint="eastAsia" w:eastAsia="方正仿宋简体"/>
          <w:kern w:val="0"/>
          <w:sz w:val="32"/>
          <w:szCs w:val="32"/>
        </w:rPr>
        <w:t>均</w:t>
      </w:r>
      <w:r>
        <w:rPr>
          <w:rFonts w:eastAsia="方正仿宋简体"/>
          <w:kern w:val="0"/>
          <w:sz w:val="32"/>
          <w:szCs w:val="32"/>
        </w:rPr>
        <w:t>为</w:t>
      </w:r>
      <w:r>
        <w:rPr>
          <w:rFonts w:hint="eastAsia" w:eastAsia="方正仿宋简体"/>
          <w:kern w:val="0"/>
          <w:sz w:val="32"/>
          <w:szCs w:val="32"/>
        </w:rPr>
        <w:t>空地</w:t>
      </w:r>
      <w:r>
        <w:rPr>
          <w:rFonts w:eastAsia="方正仿宋简体"/>
          <w:kern w:val="0"/>
          <w:sz w:val="32"/>
          <w:szCs w:val="32"/>
        </w:rPr>
        <w:t>。项目地理坐标为东经</w:t>
      </w:r>
      <w:r>
        <w:rPr>
          <w:rFonts w:hint="eastAsia" w:eastAsia="方正仿宋简体"/>
          <w:kern w:val="0"/>
          <w:sz w:val="32"/>
          <w:szCs w:val="32"/>
          <w:lang w:val="en-US" w:eastAsia="zh-CN"/>
        </w:rPr>
        <w:t>79</w:t>
      </w:r>
      <w:r>
        <w:rPr>
          <w:rFonts w:hint="eastAsia" w:eastAsia="方正仿宋简体"/>
          <w:kern w:val="0"/>
          <w:sz w:val="32"/>
          <w:szCs w:val="32"/>
        </w:rPr>
        <w:t>°</w:t>
      </w:r>
      <w:r>
        <w:rPr>
          <w:rFonts w:hint="eastAsia" w:eastAsia="方正仿宋简体"/>
          <w:kern w:val="0"/>
          <w:sz w:val="32"/>
          <w:szCs w:val="32"/>
          <w:lang w:val="en-US" w:eastAsia="zh-CN"/>
        </w:rPr>
        <w:t>53</w:t>
      </w:r>
      <w:r>
        <w:rPr>
          <w:rFonts w:hint="eastAsia" w:eastAsia="方正仿宋简体"/>
          <w:kern w:val="0"/>
          <w:sz w:val="32"/>
          <w:szCs w:val="32"/>
        </w:rPr>
        <w:t>′4</w:t>
      </w:r>
      <w:r>
        <w:rPr>
          <w:rFonts w:hint="eastAsia" w:eastAsia="方正仿宋简体"/>
          <w:kern w:val="0"/>
          <w:sz w:val="32"/>
          <w:szCs w:val="32"/>
          <w:lang w:val="en-US" w:eastAsia="zh-CN"/>
        </w:rPr>
        <w:t>5</w:t>
      </w:r>
      <w:r>
        <w:rPr>
          <w:rFonts w:hint="eastAsia" w:eastAsia="方正仿宋简体"/>
          <w:kern w:val="0"/>
          <w:sz w:val="32"/>
          <w:szCs w:val="32"/>
        </w:rPr>
        <w:t>.</w:t>
      </w:r>
      <w:r>
        <w:rPr>
          <w:rFonts w:hint="eastAsia" w:eastAsia="方正仿宋简体"/>
          <w:kern w:val="0"/>
          <w:sz w:val="32"/>
          <w:szCs w:val="32"/>
          <w:lang w:val="en-US" w:eastAsia="zh-CN"/>
        </w:rPr>
        <w:t>321</w:t>
      </w:r>
      <w:r>
        <w:rPr>
          <w:rFonts w:hint="eastAsia" w:eastAsia="方正仿宋简体"/>
          <w:kern w:val="0"/>
          <w:sz w:val="32"/>
          <w:szCs w:val="32"/>
        </w:rPr>
        <w:t>″</w:t>
      </w:r>
      <w:r>
        <w:rPr>
          <w:rFonts w:eastAsia="方正仿宋简体"/>
          <w:kern w:val="0"/>
          <w:sz w:val="32"/>
          <w:szCs w:val="32"/>
        </w:rPr>
        <w:t>，</w:t>
      </w:r>
      <w:r>
        <w:rPr>
          <w:rFonts w:hint="eastAsia" w:eastAsia="方正仿宋简体"/>
          <w:kern w:val="0"/>
          <w:sz w:val="32"/>
          <w:szCs w:val="32"/>
        </w:rPr>
        <w:t>北纬</w:t>
      </w:r>
      <w:r>
        <w:rPr>
          <w:rFonts w:eastAsia="方正仿宋简体"/>
          <w:kern w:val="0"/>
          <w:sz w:val="32"/>
          <w:szCs w:val="32"/>
        </w:rPr>
        <w:t>40</w:t>
      </w:r>
      <w:r>
        <w:rPr>
          <w:rFonts w:hint="eastAsia" w:eastAsia="方正仿宋简体"/>
          <w:kern w:val="0"/>
          <w:sz w:val="32"/>
          <w:szCs w:val="32"/>
        </w:rPr>
        <w:t>°</w:t>
      </w:r>
      <w:r>
        <w:rPr>
          <w:rFonts w:hint="eastAsia" w:eastAsia="方正仿宋简体"/>
          <w:kern w:val="0"/>
          <w:sz w:val="32"/>
          <w:szCs w:val="32"/>
          <w:lang w:val="en-US" w:eastAsia="zh-CN"/>
        </w:rPr>
        <w:t>40</w:t>
      </w:r>
      <w:r>
        <w:rPr>
          <w:rFonts w:hint="eastAsia" w:eastAsia="方正仿宋简体"/>
          <w:kern w:val="0"/>
          <w:sz w:val="32"/>
          <w:szCs w:val="32"/>
        </w:rPr>
        <w:t>′</w:t>
      </w:r>
      <w:r>
        <w:rPr>
          <w:rFonts w:hint="eastAsia" w:eastAsia="方正仿宋简体"/>
          <w:kern w:val="0"/>
          <w:sz w:val="32"/>
          <w:szCs w:val="32"/>
          <w:lang w:val="en-US" w:eastAsia="zh-CN"/>
        </w:rPr>
        <w:t>4.495</w:t>
      </w:r>
      <w:r>
        <w:rPr>
          <w:rFonts w:hint="eastAsia" w:eastAsia="方正仿宋简体"/>
          <w:kern w:val="0"/>
          <w:sz w:val="32"/>
          <w:szCs w:val="32"/>
        </w:rPr>
        <w:t>″</w:t>
      </w:r>
      <w:r>
        <w:rPr>
          <w:rFonts w:eastAsia="方正仿宋简体"/>
          <w:kern w:val="0"/>
          <w:sz w:val="32"/>
          <w:szCs w:val="32"/>
        </w:rPr>
        <w:t>。该项目已于19</w:t>
      </w:r>
      <w:r>
        <w:rPr>
          <w:rFonts w:hint="eastAsia" w:eastAsia="方正仿宋简体"/>
          <w:kern w:val="0"/>
          <w:sz w:val="32"/>
          <w:szCs w:val="32"/>
        </w:rPr>
        <w:t>5</w:t>
      </w:r>
      <w:r>
        <w:rPr>
          <w:rFonts w:hint="eastAsia" w:eastAsia="方正仿宋简体"/>
          <w:kern w:val="0"/>
          <w:sz w:val="32"/>
          <w:szCs w:val="32"/>
          <w:lang w:val="en-US" w:eastAsia="zh-CN"/>
        </w:rPr>
        <w:t>3</w:t>
      </w:r>
      <w:r>
        <w:rPr>
          <w:rFonts w:eastAsia="方正仿宋简体"/>
          <w:kern w:val="0"/>
          <w:sz w:val="32"/>
          <w:szCs w:val="32"/>
        </w:rPr>
        <w:t>年运营至今，</w:t>
      </w:r>
      <w:r>
        <w:rPr>
          <w:rFonts w:hint="eastAsia" w:eastAsia="方正仿宋简体"/>
          <w:kern w:val="0"/>
          <w:sz w:val="32"/>
          <w:szCs w:val="32"/>
          <w:lang w:val="en-US" w:eastAsia="zh-CN"/>
        </w:rPr>
        <w:t>该</w:t>
      </w:r>
      <w:r>
        <w:rPr>
          <w:rFonts w:eastAsia="方正仿宋简体"/>
          <w:kern w:val="0"/>
          <w:sz w:val="32"/>
          <w:szCs w:val="32"/>
        </w:rPr>
        <w:t>项目已建设内容有</w:t>
      </w:r>
      <w:r>
        <w:rPr>
          <w:rFonts w:hint="eastAsia" w:eastAsia="方正仿宋简体"/>
          <w:kern w:val="0"/>
          <w:sz w:val="32"/>
          <w:szCs w:val="32"/>
          <w:lang w:val="en-US" w:eastAsia="zh-CN"/>
        </w:rPr>
        <w:t>计生</w:t>
      </w:r>
      <w:r>
        <w:rPr>
          <w:rFonts w:hint="eastAsia" w:eastAsia="方正仿宋简体"/>
          <w:kern w:val="0"/>
          <w:sz w:val="32"/>
          <w:szCs w:val="32"/>
        </w:rPr>
        <w:t>楼1栋、疾控楼1栋、</w:t>
      </w:r>
      <w:r>
        <w:rPr>
          <w:rFonts w:hint="eastAsia" w:eastAsia="方正仿宋简体"/>
          <w:kern w:val="0"/>
          <w:sz w:val="32"/>
          <w:szCs w:val="32"/>
          <w:lang w:eastAsia="zh-CN"/>
        </w:rPr>
        <w:t>门诊楼</w:t>
      </w:r>
      <w:r>
        <w:rPr>
          <w:rFonts w:hint="eastAsia" w:eastAsia="方正仿宋简体"/>
          <w:kern w:val="0"/>
          <w:sz w:val="32"/>
          <w:szCs w:val="32"/>
          <w:lang w:val="en-US" w:eastAsia="zh-CN"/>
        </w:rPr>
        <w:t>1栋、住院楼1栋、</w:t>
      </w:r>
      <w:r>
        <w:rPr>
          <w:rFonts w:hint="eastAsia" w:eastAsia="方正仿宋简体"/>
          <w:kern w:val="0"/>
          <w:sz w:val="32"/>
          <w:szCs w:val="32"/>
          <w:lang w:eastAsia="zh-CN"/>
        </w:rPr>
        <w:t>发热门诊楼1栋、预检分诊楼</w:t>
      </w:r>
      <w:r>
        <w:rPr>
          <w:rFonts w:hint="eastAsia" w:eastAsia="方正仿宋简体"/>
          <w:kern w:val="0"/>
          <w:sz w:val="32"/>
          <w:szCs w:val="32"/>
          <w:lang w:val="en-US" w:eastAsia="zh-CN"/>
        </w:rPr>
        <w:t>1栋、</w:t>
      </w:r>
      <w:r>
        <w:rPr>
          <w:rFonts w:hint="eastAsia" w:eastAsia="方正仿宋简体"/>
          <w:kern w:val="0"/>
          <w:sz w:val="32"/>
          <w:szCs w:val="32"/>
        </w:rPr>
        <w:t>污水处理站2座（普通门诊污水处理站和发热门诊污水处理站各1座）及其配套设施。</w:t>
      </w:r>
      <w:r>
        <w:rPr>
          <w:rFonts w:eastAsia="方正仿宋简体"/>
          <w:color w:val="000000"/>
          <w:kern w:val="0"/>
          <w:sz w:val="32"/>
          <w:szCs w:val="32"/>
        </w:rPr>
        <w:t>项目总投资</w:t>
      </w:r>
      <w:r>
        <w:rPr>
          <w:rFonts w:hint="eastAsia" w:eastAsia="方正仿宋简体"/>
          <w:color w:val="000000"/>
          <w:kern w:val="0"/>
          <w:sz w:val="32"/>
          <w:szCs w:val="32"/>
          <w:lang w:val="en-US" w:eastAsia="zh-CN"/>
        </w:rPr>
        <w:t>5100</w:t>
      </w:r>
      <w:r>
        <w:rPr>
          <w:rFonts w:eastAsia="方正仿宋简体"/>
          <w:color w:val="000000"/>
          <w:kern w:val="0"/>
          <w:sz w:val="32"/>
          <w:szCs w:val="32"/>
        </w:rPr>
        <w:t>万元，其中环保投资</w:t>
      </w:r>
      <w:r>
        <w:rPr>
          <w:rFonts w:hint="eastAsia" w:eastAsia="方正仿宋简体"/>
          <w:color w:val="000000"/>
          <w:kern w:val="0"/>
          <w:sz w:val="32"/>
          <w:szCs w:val="32"/>
          <w:lang w:val="en-US" w:eastAsia="zh-CN"/>
        </w:rPr>
        <w:t>510</w:t>
      </w:r>
      <w:r>
        <w:rPr>
          <w:rFonts w:eastAsia="方正仿宋简体"/>
          <w:color w:val="000000"/>
          <w:kern w:val="0"/>
          <w:sz w:val="32"/>
          <w:szCs w:val="32"/>
        </w:rPr>
        <w:t>万元，占总投资的</w:t>
      </w:r>
      <w:r>
        <w:rPr>
          <w:rFonts w:hint="eastAsia" w:eastAsia="方正仿宋简体"/>
          <w:color w:val="000000"/>
          <w:kern w:val="0"/>
          <w:sz w:val="32"/>
          <w:szCs w:val="32"/>
        </w:rPr>
        <w:t>10</w:t>
      </w:r>
      <w:r>
        <w:rPr>
          <w:rFonts w:eastAsia="方正仿宋简体"/>
          <w:color w:val="000000"/>
          <w:kern w:val="0"/>
          <w:sz w:val="32"/>
          <w:szCs w:val="32"/>
        </w:rPr>
        <w:t>%。</w:t>
      </w:r>
    </w:p>
    <w:p w14:paraId="6CE0C4BB">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、根据阿克苏律天环保工程有限公司编制的《报告表》评价结论</w:t>
      </w:r>
      <w:r>
        <w:rPr>
          <w:rFonts w:hint="eastAsia" w:eastAsia="方正仿宋简体"/>
          <w:color w:val="000000"/>
          <w:kern w:val="0"/>
          <w:sz w:val="32"/>
          <w:szCs w:val="32"/>
          <w:lang w:val="en-US" w:eastAsia="zh-CN"/>
        </w:rPr>
        <w:t>及专家意见</w:t>
      </w:r>
      <w:r>
        <w:rPr>
          <w:rFonts w:eastAsia="方正仿宋简体"/>
          <w:color w:val="000000"/>
          <w:kern w:val="0"/>
          <w:sz w:val="32"/>
          <w:szCs w:val="32"/>
        </w:rPr>
        <w:t>，该项目为医院建设项目，在符合产业政策、选址符合国土空间规划等相关规划的前提下，从环境保护的角度，我局原则同意《报告表》结论。</w:t>
      </w:r>
    </w:p>
    <w:p w14:paraId="0200018E">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33FD8264">
      <w:pPr>
        <w:pStyle w:val="16"/>
        <w:spacing w:after="0" w:line="560" w:lineRule="exact"/>
        <w:ind w:left="0" w:leftChars="0" w:firstLine="640"/>
        <w:rPr>
          <w:rFonts w:eastAsia="方正仿宋简体"/>
          <w:kern w:val="0"/>
          <w:sz w:val="32"/>
          <w:szCs w:val="32"/>
        </w:rPr>
      </w:pPr>
      <w:r>
        <w:rPr>
          <w:rFonts w:eastAsia="方正楷体简体"/>
          <w:kern w:val="0"/>
          <w:sz w:val="32"/>
          <w:szCs w:val="32"/>
        </w:rPr>
        <w:t>（一）严格落实大气污染防治措施。</w:t>
      </w:r>
      <w:r>
        <w:rPr>
          <w:rFonts w:eastAsia="方正仿宋简体"/>
          <w:kern w:val="0"/>
          <w:sz w:val="32"/>
          <w:szCs w:val="32"/>
        </w:rPr>
        <w:t>该项目运营期产生的废气主要为中药熬药废气、医院消毒气味、污水处理设施</w:t>
      </w:r>
      <w:r>
        <w:rPr>
          <w:rFonts w:hint="eastAsia" w:eastAsia="方正仿宋简体"/>
          <w:kern w:val="0"/>
          <w:sz w:val="32"/>
          <w:szCs w:val="32"/>
          <w:lang w:eastAsia="zh-CN"/>
        </w:rPr>
        <w:t>、</w:t>
      </w:r>
      <w:r>
        <w:rPr>
          <w:rFonts w:hint="eastAsia" w:eastAsia="方正仿宋简体"/>
          <w:kern w:val="0"/>
          <w:sz w:val="32"/>
          <w:szCs w:val="32"/>
          <w:lang w:val="en-US" w:eastAsia="zh-CN"/>
        </w:rPr>
        <w:t>生活垃圾暂存间及</w:t>
      </w:r>
      <w:r>
        <w:rPr>
          <w:rFonts w:eastAsia="方正仿宋简体"/>
          <w:kern w:val="0"/>
          <w:sz w:val="32"/>
          <w:szCs w:val="32"/>
        </w:rPr>
        <w:t>医疗废物暂存间恶臭气体。</w:t>
      </w:r>
      <w:r>
        <w:rPr>
          <w:rFonts w:hint="eastAsia" w:eastAsia="方正仿宋简体"/>
          <w:kern w:val="0"/>
          <w:sz w:val="32"/>
          <w:szCs w:val="32"/>
          <w:lang w:val="en-US" w:eastAsia="zh-CN"/>
        </w:rPr>
        <w:t>通过采取</w:t>
      </w:r>
      <w:r>
        <w:rPr>
          <w:rFonts w:eastAsia="方正仿宋简体"/>
          <w:kern w:val="0"/>
          <w:sz w:val="32"/>
          <w:szCs w:val="32"/>
        </w:rPr>
        <w:t>中药熬药废气经排风扇加强空气交换</w:t>
      </w:r>
      <w:r>
        <w:rPr>
          <w:rFonts w:eastAsia="方正仿宋简体"/>
          <w:color w:val="0000FF"/>
          <w:kern w:val="0"/>
          <w:sz w:val="32"/>
          <w:szCs w:val="32"/>
        </w:rPr>
        <w:t>，理疗室废气产生的艾灸烟雾经集气罩收集后由管道排出窗外</w:t>
      </w:r>
      <w:r>
        <w:rPr>
          <w:rFonts w:eastAsia="方正仿宋简体"/>
          <w:kern w:val="0"/>
          <w:sz w:val="32"/>
          <w:szCs w:val="32"/>
        </w:rPr>
        <w:t>；医疗废物暂存间</w:t>
      </w:r>
      <w:r>
        <w:rPr>
          <w:rFonts w:hint="eastAsia" w:eastAsia="方正仿宋简体"/>
          <w:kern w:val="0"/>
          <w:sz w:val="32"/>
          <w:szCs w:val="32"/>
          <w:lang w:val="en-US" w:eastAsia="zh-CN"/>
        </w:rPr>
        <w:t>及生活垃圾暂存间密</w:t>
      </w:r>
      <w:r>
        <w:rPr>
          <w:rFonts w:eastAsia="方正仿宋简体"/>
          <w:kern w:val="0"/>
          <w:sz w:val="32"/>
          <w:szCs w:val="32"/>
        </w:rPr>
        <w:t>闭，</w:t>
      </w:r>
      <w:r>
        <w:rPr>
          <w:rFonts w:hint="eastAsia" w:eastAsia="方正仿宋简体"/>
          <w:kern w:val="0"/>
          <w:sz w:val="32"/>
          <w:szCs w:val="32"/>
          <w:lang w:val="en-US" w:eastAsia="zh-CN"/>
        </w:rPr>
        <w:t>做好分类打包存放</w:t>
      </w:r>
      <w:r>
        <w:rPr>
          <w:rFonts w:eastAsia="方正仿宋简体"/>
          <w:kern w:val="0"/>
          <w:sz w:val="32"/>
          <w:szCs w:val="32"/>
        </w:rPr>
        <w:t>；加强污水处理站的运行操作管理，污泥及时外运，防止恶臭形成，污水处理站密闭，周边定期喷洒除臭剂，并在四周种植绿化带等措施，确保污水处理站周边氨、硫化氢、臭气浓度、甲烷、氯气</w:t>
      </w:r>
      <w:r>
        <w:rPr>
          <w:rFonts w:eastAsia="方正仿宋简体"/>
          <w:color w:val="auto"/>
          <w:kern w:val="0"/>
          <w:sz w:val="32"/>
          <w:szCs w:val="32"/>
        </w:rPr>
        <w:t>无组织排放满足《医疗机构水污染物排放标准》（GB18466-2005）表3中标准要求。</w:t>
      </w:r>
    </w:p>
    <w:p w14:paraId="1BE53770">
      <w:pPr>
        <w:spacing w:line="560" w:lineRule="exact"/>
        <w:ind w:firstLine="640"/>
        <w:rPr>
          <w:rFonts w:eastAsia="方正仿宋简体"/>
          <w:kern w:val="0"/>
          <w:sz w:val="32"/>
          <w:szCs w:val="32"/>
        </w:rPr>
      </w:pPr>
      <w:r>
        <w:rPr>
          <w:rFonts w:eastAsia="方正楷体简体"/>
          <w:kern w:val="0"/>
          <w:sz w:val="32"/>
          <w:szCs w:val="32"/>
        </w:rPr>
        <w:t>（二）严格落实水污染防治措施。</w:t>
      </w:r>
      <w:r>
        <w:rPr>
          <w:rFonts w:eastAsia="方正仿宋简体"/>
          <w:kern w:val="0"/>
          <w:sz w:val="32"/>
          <w:szCs w:val="32"/>
        </w:rPr>
        <w:t>该项目运营期产生的废水主要为门诊废水、病房废水、洗衣废水、清洁废水、职工生活废水。</w:t>
      </w:r>
      <w:r>
        <w:rPr>
          <w:rFonts w:hint="eastAsia" w:eastAsia="方正仿宋简体"/>
          <w:kern w:val="0"/>
          <w:sz w:val="32"/>
          <w:szCs w:val="32"/>
        </w:rPr>
        <w:t>医院综合医疗废水均</w:t>
      </w:r>
      <w:r>
        <w:rPr>
          <w:rFonts w:eastAsia="方正仿宋简体"/>
          <w:kern w:val="0"/>
          <w:sz w:val="32"/>
          <w:szCs w:val="32"/>
        </w:rPr>
        <w:t>排入普通门诊污水处理站（格栅井+调节池+A/O生物池+二沉池+清水消毒池）处理，确保出水水质满足《医疗机构水污染物排放标准》（GB18466-2005）表2综合医疗机构水污染物</w:t>
      </w:r>
      <w:r>
        <w:rPr>
          <w:rFonts w:hint="eastAsia" w:ascii="Cambria" w:hAnsi="Cambria" w:eastAsia="方正仿宋简体"/>
          <w:kern w:val="0"/>
          <w:sz w:val="32"/>
          <w:szCs w:val="32"/>
        </w:rPr>
        <w:t>间接</w:t>
      </w:r>
      <w:r>
        <w:rPr>
          <w:rFonts w:eastAsia="方正仿宋简体"/>
          <w:kern w:val="0"/>
          <w:sz w:val="32"/>
          <w:szCs w:val="32"/>
        </w:rPr>
        <w:t>排放限值要求，最终经市政排水管网排入</w:t>
      </w:r>
      <w:r>
        <w:rPr>
          <w:rFonts w:hint="eastAsia" w:eastAsia="方正仿宋简体"/>
          <w:kern w:val="0"/>
          <w:sz w:val="32"/>
          <w:szCs w:val="32"/>
          <w:lang w:eastAsia="zh-CN"/>
        </w:rPr>
        <w:t>一团</w:t>
      </w:r>
      <w:r>
        <w:rPr>
          <w:rFonts w:eastAsia="方正仿宋简体"/>
          <w:kern w:val="0"/>
          <w:sz w:val="32"/>
          <w:szCs w:val="32"/>
        </w:rPr>
        <w:t>污水处理厂。</w:t>
      </w:r>
    </w:p>
    <w:p w14:paraId="2661BF75">
      <w:pPr>
        <w:pStyle w:val="6"/>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（三）严格落实噪声污染防治措施。</w:t>
      </w:r>
      <w:r>
        <w:rPr>
          <w:rFonts w:hint="eastAsia" w:eastAsia="方正仿宋简体"/>
          <w:kern w:val="0"/>
          <w:sz w:val="32"/>
          <w:szCs w:val="32"/>
          <w:lang w:val="en-US" w:eastAsia="zh-CN"/>
        </w:rPr>
        <w:t>该</w:t>
      </w:r>
      <w:r>
        <w:rPr>
          <w:rFonts w:eastAsia="方正仿宋简体"/>
          <w:kern w:val="0"/>
          <w:sz w:val="32"/>
          <w:szCs w:val="32"/>
        </w:rPr>
        <w:t>项目</w:t>
      </w:r>
      <w:r>
        <w:rPr>
          <w:rFonts w:hint="eastAsia" w:eastAsia="方正仿宋简体"/>
          <w:kern w:val="0"/>
          <w:sz w:val="32"/>
          <w:szCs w:val="32"/>
          <w:lang w:val="en-US" w:eastAsia="zh-CN"/>
        </w:rPr>
        <w:t>运营期</w:t>
      </w:r>
      <w:r>
        <w:rPr>
          <w:rFonts w:eastAsia="方正仿宋简体"/>
          <w:kern w:val="0"/>
          <w:sz w:val="32"/>
          <w:szCs w:val="32"/>
        </w:rPr>
        <w:t>噪声主要来自通风设备、污水处理站运行等噪声。通过合理布局设备，将产生强噪声的设备与厂界保持足够距离；选择先进可靠的低噪声设备，对高噪声设备采取安装减振垫、用弹性连接代替设备与地面刚性连接，在噪声源强较大的设备处设置围护等措施；定期维护设备，确保设备运行状态良好；医院种植绿化隔离带等措施，确保厂界四周噪声排放满足《工业企业厂界环境噪声排放标准》（GB12348-2008）中1类标准要求。</w:t>
      </w:r>
    </w:p>
    <w:p w14:paraId="71D3E17E">
      <w:pPr>
        <w:pStyle w:val="6"/>
        <w:adjustRightInd w:val="0"/>
        <w:snapToGrid w:val="0"/>
        <w:spacing w:line="560" w:lineRule="exact"/>
        <w:ind w:firstLine="640" w:firstLineChars="200"/>
        <w:rPr>
          <w:rFonts w:eastAsia="方正仿宋简体"/>
          <w:kern w:val="0"/>
          <w:sz w:val="32"/>
          <w:szCs w:val="32"/>
        </w:rPr>
      </w:pPr>
      <w:r>
        <w:rPr>
          <w:rFonts w:eastAsia="方正楷体简体"/>
          <w:kern w:val="0"/>
          <w:sz w:val="32"/>
          <w:szCs w:val="32"/>
        </w:rPr>
        <w:t>（四）严格落实固体废物分类处置措施。</w:t>
      </w:r>
      <w:r>
        <w:rPr>
          <w:rFonts w:eastAsia="方正仿宋简体"/>
          <w:kern w:val="0"/>
          <w:sz w:val="32"/>
          <w:szCs w:val="32"/>
        </w:rPr>
        <w:t>该项目运营期产生的固废主要为医疗废物，</w:t>
      </w:r>
      <w:r>
        <w:rPr>
          <w:rFonts w:hint="eastAsia" w:eastAsia="方正仿宋简体"/>
          <w:kern w:val="0"/>
          <w:sz w:val="32"/>
          <w:szCs w:val="32"/>
          <w:lang w:val="en-US" w:eastAsia="zh-CN"/>
        </w:rPr>
        <w:t>废药物、药品，</w:t>
      </w:r>
      <w:r>
        <w:rPr>
          <w:rFonts w:eastAsia="方正仿宋简体"/>
          <w:kern w:val="0"/>
          <w:sz w:val="32"/>
          <w:szCs w:val="32"/>
        </w:rPr>
        <w:t>污水处理站污泥</w:t>
      </w:r>
      <w:r>
        <w:rPr>
          <w:rFonts w:hint="eastAsia" w:eastAsia="方正仿宋简体"/>
          <w:kern w:val="0"/>
          <w:sz w:val="32"/>
          <w:szCs w:val="32"/>
          <w:lang w:val="en-US" w:eastAsia="zh-CN"/>
        </w:rPr>
        <w:t>及</w:t>
      </w:r>
      <w:r>
        <w:rPr>
          <w:rFonts w:eastAsia="方正仿宋简体"/>
          <w:kern w:val="0"/>
          <w:sz w:val="32"/>
          <w:szCs w:val="32"/>
        </w:rPr>
        <w:t>废紫外线灯管等危险废物；废纸及纸箱、中药渣等一般固体废物和生活垃圾。医疗废物</w:t>
      </w:r>
      <w:r>
        <w:rPr>
          <w:rFonts w:eastAsia="方正仿宋简体"/>
          <w:kern w:val="0"/>
          <w:sz w:val="32"/>
          <w:szCs w:val="32"/>
          <w:lang w:val="zh-CN"/>
        </w:rPr>
        <w:t>密封分类分区、</w:t>
      </w:r>
      <w:r>
        <w:rPr>
          <w:rFonts w:hint="eastAsia" w:eastAsia="方正仿宋简体"/>
          <w:kern w:val="0"/>
          <w:sz w:val="32"/>
          <w:szCs w:val="32"/>
          <w:lang w:val="en-US" w:eastAsia="zh-CN"/>
        </w:rPr>
        <w:t>废药物、药品及</w:t>
      </w:r>
      <w:r>
        <w:rPr>
          <w:rFonts w:eastAsia="方正仿宋简体"/>
          <w:kern w:val="0"/>
          <w:sz w:val="32"/>
          <w:szCs w:val="32"/>
          <w:lang w:val="zh-CN"/>
        </w:rPr>
        <w:t>废紫外灯管暂存于危废暂存间内，定期委托有医疗废物处置资质的单位进行处置，</w:t>
      </w:r>
      <w:r>
        <w:rPr>
          <w:rFonts w:hint="eastAsia" w:eastAsia="方正仿宋简体" w:cs="方正仿宋简体"/>
          <w:sz w:val="32"/>
          <w:szCs w:val="32"/>
        </w:rPr>
        <w:t>按照《危险废物贮存污染控制标准》（GB 18597-20</w:t>
      </w:r>
      <w:bookmarkStart w:id="0" w:name="_GoBack"/>
      <w:bookmarkEnd w:id="0"/>
      <w:r>
        <w:rPr>
          <w:rFonts w:hint="eastAsia" w:eastAsia="方正仿宋简体" w:cs="方正仿宋简体"/>
          <w:sz w:val="32"/>
          <w:szCs w:val="32"/>
        </w:rPr>
        <w:t>23）建设和管理危险废物暂存间。</w:t>
      </w:r>
      <w:r>
        <w:rPr>
          <w:rFonts w:eastAsia="方正仿宋简体"/>
          <w:kern w:val="0"/>
          <w:sz w:val="32"/>
          <w:szCs w:val="32"/>
          <w:lang w:val="zh-CN"/>
        </w:rPr>
        <w:t>污水处理站污泥清掏前加入消毒剂消毒进行无害化处理、脱水处理，达到《医疗机构水污染物排放标准》</w:t>
      </w:r>
      <w:r>
        <w:rPr>
          <w:rFonts w:eastAsiaTheme="minorEastAsia"/>
          <w:kern w:val="0"/>
          <w:sz w:val="32"/>
          <w:szCs w:val="32"/>
          <w:lang w:val="zh-CN"/>
        </w:rPr>
        <w:t>（GB</w:t>
      </w:r>
      <w:r>
        <w:rPr>
          <w:rFonts w:eastAsiaTheme="minorEastAsia"/>
          <w:kern w:val="0"/>
          <w:sz w:val="32"/>
          <w:szCs w:val="32"/>
        </w:rPr>
        <w:t xml:space="preserve"> </w:t>
      </w:r>
      <w:r>
        <w:rPr>
          <w:rFonts w:eastAsiaTheme="minorEastAsia"/>
          <w:kern w:val="0"/>
          <w:sz w:val="32"/>
          <w:szCs w:val="32"/>
          <w:lang w:val="zh-CN"/>
        </w:rPr>
        <w:t>18466-2005）</w:t>
      </w:r>
      <w:r>
        <w:rPr>
          <w:rFonts w:eastAsia="方正仿宋简体"/>
          <w:kern w:val="0"/>
          <w:sz w:val="32"/>
          <w:szCs w:val="32"/>
          <w:lang w:val="zh-CN"/>
        </w:rPr>
        <w:t>中表</w:t>
      </w:r>
      <w:r>
        <w:rPr>
          <w:rFonts w:eastAsiaTheme="minorEastAsia"/>
          <w:kern w:val="0"/>
          <w:sz w:val="32"/>
          <w:szCs w:val="32"/>
          <w:lang w:val="zh-CN"/>
        </w:rPr>
        <w:t>4</w:t>
      </w:r>
      <w:r>
        <w:rPr>
          <w:rFonts w:eastAsia="方正仿宋简体"/>
          <w:kern w:val="0"/>
          <w:sz w:val="32"/>
          <w:szCs w:val="32"/>
          <w:lang w:val="zh-CN"/>
        </w:rPr>
        <w:t>医疗机构污泥控制标准后，最终由有相应资质的单位进行处置</w:t>
      </w:r>
      <w:r>
        <w:rPr>
          <w:rFonts w:eastAsia="方正仿宋简体"/>
          <w:kern w:val="0"/>
          <w:sz w:val="32"/>
          <w:szCs w:val="32"/>
        </w:rPr>
        <w:t>；废纸及纸箱经集中收集后消毒由环卫部门定期清运；中药渣由环卫部门定期清运，生活垃圾经垃圾桶分类集中收集后，由环卫部门统一清运。</w:t>
      </w:r>
    </w:p>
    <w:p w14:paraId="75E36BF3">
      <w:pPr>
        <w:pStyle w:val="6"/>
        <w:adjustRightInd w:val="0"/>
        <w:snapToGrid w:val="0"/>
        <w:spacing w:line="560" w:lineRule="exact"/>
        <w:ind w:firstLine="640" w:firstLineChars="200"/>
      </w:pPr>
      <w:r>
        <w:rPr>
          <w:rFonts w:eastAsia="方正楷体简体"/>
          <w:kern w:val="0"/>
          <w:sz w:val="32"/>
          <w:szCs w:val="32"/>
        </w:rPr>
        <w:t>（五）加强项目环境风险防范。</w:t>
      </w:r>
      <w:r>
        <w:rPr>
          <w:rFonts w:eastAsia="方正仿宋简体"/>
          <w:kern w:val="0"/>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777F6E77">
      <w:pPr>
        <w:spacing w:line="560" w:lineRule="exact"/>
        <w:ind w:firstLine="640" w:firstLineChars="200"/>
        <w:rPr>
          <w:rFonts w:eastAsia="方正仿宋简体"/>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eastAsia="方正仿宋简体"/>
          <w:bCs/>
          <w:color w:val="000000"/>
          <w:sz w:val="32"/>
          <w:szCs w:val="48"/>
          <w:lang w:val="zh-CN"/>
        </w:rPr>
        <w:t>重点防渗区主要包括</w:t>
      </w:r>
      <w:r>
        <w:rPr>
          <w:rFonts w:eastAsia="方正仿宋简体"/>
          <w:bCs/>
          <w:color w:val="000000"/>
          <w:sz w:val="32"/>
          <w:szCs w:val="48"/>
        </w:rPr>
        <w:t>设备间、污水处理站、医疗废物暂存间</w:t>
      </w:r>
      <w:r>
        <w:rPr>
          <w:rFonts w:eastAsia="方正仿宋简体"/>
          <w:bCs/>
          <w:color w:val="000000"/>
          <w:sz w:val="32"/>
          <w:szCs w:val="48"/>
          <w:lang w:val="zh-CN"/>
        </w:rPr>
        <w:t>，</w:t>
      </w:r>
      <w:r>
        <w:rPr>
          <w:rFonts w:eastAsia="方正仿宋简体"/>
          <w:bCs/>
          <w:color w:val="000000"/>
          <w:sz w:val="32"/>
          <w:szCs w:val="48"/>
        </w:rPr>
        <w:t>重点防渗区等效黏土防渗层Mb≥6米，渗透系数K≤1.0×10</w:t>
      </w:r>
      <w:r>
        <w:rPr>
          <w:rFonts w:eastAsia="方正仿宋简体"/>
          <w:bCs/>
          <w:color w:val="000000"/>
          <w:sz w:val="32"/>
          <w:szCs w:val="48"/>
          <w:vertAlign w:val="superscript"/>
        </w:rPr>
        <w:t>-7</w:t>
      </w:r>
      <w:r>
        <w:rPr>
          <w:rFonts w:eastAsia="方正仿宋简体"/>
          <w:bCs/>
          <w:color w:val="000000"/>
          <w:sz w:val="32"/>
          <w:szCs w:val="48"/>
        </w:rPr>
        <w:t>厘米/秒；</w:t>
      </w:r>
      <w:r>
        <w:rPr>
          <w:rFonts w:eastAsia="方正仿宋简体"/>
          <w:bCs/>
          <w:color w:val="000000"/>
          <w:sz w:val="32"/>
          <w:szCs w:val="48"/>
          <w:lang w:val="zh-CN"/>
        </w:rPr>
        <w:t>一般防渗区</w:t>
      </w:r>
      <w:r>
        <w:rPr>
          <w:rFonts w:eastAsia="方正仿宋简体"/>
          <w:bCs/>
          <w:color w:val="000000"/>
          <w:sz w:val="32"/>
          <w:szCs w:val="48"/>
        </w:rPr>
        <w:t>为一般固废暂存间</w:t>
      </w:r>
      <w:r>
        <w:rPr>
          <w:rFonts w:eastAsia="方正仿宋简体"/>
          <w:bCs/>
          <w:color w:val="000000"/>
          <w:sz w:val="32"/>
          <w:szCs w:val="48"/>
          <w:lang w:val="zh-CN"/>
        </w:rPr>
        <w:t>，</w:t>
      </w:r>
      <w:r>
        <w:rPr>
          <w:rFonts w:eastAsia="方正仿宋简体"/>
          <w:bCs/>
          <w:color w:val="000000"/>
          <w:sz w:val="32"/>
          <w:szCs w:val="48"/>
        </w:rPr>
        <w:t>等效黏土防渗层Mb≥1.5米，渗透系数K≤1×10</w:t>
      </w:r>
      <w:r>
        <w:rPr>
          <w:rFonts w:eastAsia="方正仿宋简体"/>
          <w:bCs/>
          <w:color w:val="000000"/>
          <w:sz w:val="32"/>
          <w:szCs w:val="48"/>
          <w:vertAlign w:val="superscript"/>
        </w:rPr>
        <w:t>-7</w:t>
      </w:r>
      <w:r>
        <w:rPr>
          <w:rFonts w:eastAsia="方正仿宋简体"/>
          <w:bCs/>
          <w:color w:val="000000"/>
          <w:sz w:val="32"/>
          <w:szCs w:val="48"/>
        </w:rPr>
        <w:t>厘米/秒</w:t>
      </w:r>
      <w:r>
        <w:rPr>
          <w:rFonts w:eastAsia="方正仿宋简体"/>
          <w:bCs/>
          <w:color w:val="000000"/>
          <w:sz w:val="32"/>
          <w:szCs w:val="48"/>
          <w:lang w:val="zh-CN"/>
        </w:rPr>
        <w:t>；简单防渗区</w:t>
      </w:r>
      <w:r>
        <w:rPr>
          <w:rFonts w:eastAsia="方正仿宋简体"/>
          <w:bCs/>
          <w:color w:val="000000"/>
          <w:sz w:val="32"/>
          <w:szCs w:val="48"/>
        </w:rPr>
        <w:t>主要为院内道路，</w:t>
      </w:r>
      <w:r>
        <w:rPr>
          <w:rFonts w:eastAsia="方正仿宋简体"/>
          <w:bCs/>
          <w:color w:val="000000"/>
          <w:sz w:val="32"/>
          <w:szCs w:val="48"/>
          <w:lang w:val="zh-CN"/>
        </w:rPr>
        <w:t>仅进行地面硬化。</w:t>
      </w:r>
    </w:p>
    <w:p w14:paraId="2C357A01">
      <w:pPr>
        <w:spacing w:line="560" w:lineRule="exact"/>
        <w:ind w:firstLine="640" w:firstLineChars="20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F81CDB4">
      <w:pPr>
        <w:pStyle w:val="16"/>
        <w:spacing w:after="0" w:line="560" w:lineRule="exact"/>
        <w:ind w:left="0" w:leftChars="0" w:firstLine="640"/>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、你单位须严格按照《排污许可管理条例》要求，做好排污许可有关工作。</w:t>
      </w:r>
    </w:p>
    <w:p w14:paraId="52488F93">
      <w:pPr>
        <w:pStyle w:val="16"/>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lang w:eastAsia="zh-CN"/>
        </w:rPr>
        <w:t>一团</w:t>
      </w:r>
      <w:r>
        <w:rPr>
          <w:rFonts w:hint="eastAsia" w:eastAsia="方正仿宋简体"/>
          <w:color w:val="000000"/>
          <w:kern w:val="0"/>
          <w:sz w:val="32"/>
          <w:szCs w:val="32"/>
          <w:lang w:val="en-US" w:eastAsia="zh-CN"/>
        </w:rPr>
        <w:t>金银川</w:t>
      </w:r>
      <w:r>
        <w:rPr>
          <w:rFonts w:eastAsia="方正仿宋简体"/>
          <w:color w:val="000000"/>
          <w:kern w:val="0"/>
          <w:sz w:val="32"/>
          <w:szCs w:val="32"/>
        </w:rPr>
        <w:t>镇积极发挥政府职能，做好该项目环境保护管理工作，师市</w:t>
      </w:r>
      <w:r>
        <w:rPr>
          <w:rFonts w:eastAsia="方正仿宋简体"/>
          <w:kern w:val="0"/>
          <w:sz w:val="32"/>
          <w:szCs w:val="32"/>
        </w:rPr>
        <w:t>生态环境保护综合行政执法支队做好该项目的抽查</w:t>
      </w:r>
      <w:r>
        <w:rPr>
          <w:rFonts w:hint="eastAsia" w:eastAsia="方正仿宋简体"/>
          <w:kern w:val="0"/>
          <w:sz w:val="32"/>
          <w:szCs w:val="32"/>
          <w:lang w:val="en-US" w:eastAsia="zh-CN"/>
        </w:rPr>
        <w:t>及</w:t>
      </w:r>
      <w:r>
        <w:rPr>
          <w:rFonts w:eastAsia="方正仿宋简体"/>
          <w:kern w:val="0"/>
          <w:sz w:val="32"/>
          <w:szCs w:val="32"/>
        </w:rPr>
        <w:t>日常监督管理工作。</w:t>
      </w:r>
    </w:p>
    <w:p w14:paraId="5EDC3893">
      <w:pPr>
        <w:pStyle w:val="16"/>
        <w:spacing w:after="0" w:line="560" w:lineRule="exact"/>
        <w:ind w:left="0" w:leftChars="0" w:firstLine="640"/>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F735446">
      <w:pPr>
        <w:pStyle w:val="3"/>
        <w:spacing w:before="0" w:after="0" w:line="560" w:lineRule="exact"/>
        <w:rPr>
          <w:rFonts w:ascii="Times New Roman" w:hAnsi="Times New Roman"/>
        </w:rPr>
      </w:pPr>
    </w:p>
    <w:p w14:paraId="1AC07D15">
      <w:pPr>
        <w:spacing w:line="560" w:lineRule="exact"/>
      </w:pPr>
    </w:p>
    <w:p w14:paraId="49C1A3FF">
      <w:pPr>
        <w:widowControl/>
        <w:spacing w:line="560" w:lineRule="exact"/>
        <w:ind w:firstLine="4800" w:firstLineChars="1500"/>
        <w:rPr>
          <w:rFonts w:eastAsia="方正仿宋简体"/>
          <w:kern w:val="0"/>
          <w:sz w:val="32"/>
          <w:szCs w:val="32"/>
        </w:rPr>
      </w:pPr>
      <w:r>
        <w:rPr>
          <w:rFonts w:eastAsia="方正仿宋简体"/>
          <w:kern w:val="0"/>
          <w:sz w:val="32"/>
          <w:szCs w:val="32"/>
        </w:rPr>
        <w:t>第一师阿拉尔市生态环境局</w:t>
      </w:r>
    </w:p>
    <w:p w14:paraId="07B7060F">
      <w:pPr>
        <w:widowControl/>
        <w:spacing w:line="560" w:lineRule="exact"/>
        <w:ind w:firstLine="5600" w:firstLineChars="1750"/>
        <w:rPr>
          <w:rFonts w:eastAsia="方正仿宋简体"/>
          <w:kern w:val="0"/>
          <w:sz w:val="32"/>
          <w:szCs w:val="32"/>
        </w:rPr>
      </w:pPr>
      <w:r>
        <w:rPr>
          <w:rFonts w:eastAsia="方正仿宋简体"/>
          <w:kern w:val="0"/>
          <w:sz w:val="32"/>
          <w:szCs w:val="32"/>
        </w:rPr>
        <w:t>2025年</w:t>
      </w:r>
      <w:r>
        <w:rPr>
          <w:rFonts w:hint="eastAsia" w:eastAsia="方正仿宋简体"/>
          <w:kern w:val="0"/>
          <w:sz w:val="32"/>
          <w:szCs w:val="32"/>
        </w:rPr>
        <w:t>1</w:t>
      </w:r>
      <w:r>
        <w:rPr>
          <w:rFonts w:hint="eastAsia" w:eastAsia="方正仿宋简体"/>
          <w:kern w:val="0"/>
          <w:sz w:val="32"/>
          <w:szCs w:val="32"/>
          <w:lang w:val="en-US" w:eastAsia="zh-CN"/>
        </w:rPr>
        <w:t>1</w:t>
      </w:r>
      <w:r>
        <w:rPr>
          <w:rFonts w:eastAsia="方正仿宋简体"/>
          <w:kern w:val="0"/>
          <w:sz w:val="32"/>
          <w:szCs w:val="32"/>
        </w:rPr>
        <w:t>月</w:t>
      </w:r>
      <w:r>
        <w:rPr>
          <w:rFonts w:hint="eastAsia" w:eastAsia="方正仿宋简体"/>
          <w:kern w:val="0"/>
          <w:sz w:val="32"/>
          <w:szCs w:val="32"/>
          <w:lang w:val="en-US" w:eastAsia="zh-CN"/>
        </w:rPr>
        <w:t>28</w:t>
      </w:r>
      <w:r>
        <w:rPr>
          <w:rFonts w:eastAsia="方正仿宋简体"/>
          <w:kern w:val="0"/>
          <w:sz w:val="32"/>
          <w:szCs w:val="32"/>
        </w:rPr>
        <w:t>日</w:t>
      </w:r>
    </w:p>
    <w:p w14:paraId="390DF864">
      <w:pPr>
        <w:pStyle w:val="3"/>
        <w:spacing w:before="0" w:after="0" w:line="560" w:lineRule="exact"/>
        <w:rPr>
          <w:rFonts w:ascii="Times New Roman" w:hAnsi="Times New Roman"/>
        </w:rPr>
      </w:pPr>
    </w:p>
    <w:p w14:paraId="0B7332F3">
      <w:pPr>
        <w:spacing w:line="560" w:lineRule="exact"/>
      </w:pPr>
    </w:p>
    <w:p w14:paraId="7D726DD1">
      <w:pPr>
        <w:spacing w:line="560" w:lineRule="exact"/>
      </w:pPr>
    </w:p>
    <w:p w14:paraId="3D00050A">
      <w:pPr>
        <w:spacing w:line="560" w:lineRule="exact"/>
      </w:pPr>
    </w:p>
    <w:p w14:paraId="40FE12FD">
      <w:pPr>
        <w:spacing w:line="560" w:lineRule="exact"/>
      </w:pPr>
    </w:p>
    <w:p w14:paraId="21C1F943">
      <w:pPr>
        <w:spacing w:line="560" w:lineRule="exact"/>
      </w:pPr>
    </w:p>
    <w:p w14:paraId="445D1D1A">
      <w:pPr>
        <w:spacing w:line="560" w:lineRule="exact"/>
      </w:pPr>
    </w:p>
    <w:p w14:paraId="62DBD587">
      <w:pPr>
        <w:spacing w:line="560" w:lineRule="exact"/>
      </w:pPr>
    </w:p>
    <w:p w14:paraId="45217A75">
      <w:pPr>
        <w:spacing w:line="560" w:lineRule="exact"/>
      </w:pPr>
    </w:p>
    <w:p w14:paraId="4DE00ABF">
      <w:pPr>
        <w:spacing w:line="560" w:lineRule="exact"/>
      </w:pPr>
    </w:p>
    <w:p w14:paraId="73564056">
      <w:pPr>
        <w:spacing w:line="560" w:lineRule="exact"/>
      </w:pPr>
    </w:p>
    <w:p w14:paraId="26B1B7D2">
      <w:pPr>
        <w:spacing w:line="560" w:lineRule="exact"/>
      </w:pPr>
    </w:p>
    <w:p w14:paraId="70365714">
      <w:pPr>
        <w:spacing w:line="560" w:lineRule="exact"/>
      </w:pPr>
    </w:p>
    <w:p w14:paraId="3712307D">
      <w:pPr>
        <w:spacing w:line="560" w:lineRule="exact"/>
      </w:pPr>
    </w:p>
    <w:p w14:paraId="0FF354D5">
      <w:pPr>
        <w:spacing w:line="560" w:lineRule="exact"/>
      </w:pPr>
    </w:p>
    <w:p w14:paraId="7D9EB036">
      <w:pPr>
        <w:spacing w:line="560" w:lineRule="exact"/>
      </w:pPr>
    </w:p>
    <w:p w14:paraId="0B0B65E9">
      <w:pPr>
        <w:spacing w:line="560" w:lineRule="exact"/>
      </w:pPr>
    </w:p>
    <w:p w14:paraId="08C86C6B">
      <w:pPr>
        <w:spacing w:line="560" w:lineRule="exact"/>
      </w:pPr>
    </w:p>
    <w:p w14:paraId="3A99F50E">
      <w:pPr>
        <w:spacing w:line="560" w:lineRule="exact"/>
      </w:pPr>
    </w:p>
    <w:p w14:paraId="4B5C9C4D">
      <w:pPr>
        <w:spacing w:line="560" w:lineRule="exact"/>
      </w:pPr>
    </w:p>
    <w:p w14:paraId="07983E1C">
      <w:pPr>
        <w:spacing w:line="560" w:lineRule="exact"/>
      </w:pPr>
    </w:p>
    <w:p w14:paraId="1390A63E">
      <w:pPr>
        <w:spacing w:line="560" w:lineRule="exact"/>
      </w:pPr>
    </w:p>
    <w:p w14:paraId="5E9EB6F5">
      <w:pPr>
        <w:spacing w:line="560" w:lineRule="exact"/>
      </w:pPr>
    </w:p>
    <w:p w14:paraId="568E2304">
      <w:pPr>
        <w:spacing w:line="560" w:lineRule="exact"/>
      </w:pPr>
    </w:p>
    <w:p w14:paraId="2D0A23B1">
      <w:pPr>
        <w:spacing w:line="560" w:lineRule="exact"/>
      </w:pPr>
    </w:p>
    <w:p w14:paraId="316683EF">
      <w:pPr>
        <w:pStyle w:val="19"/>
      </w:pPr>
    </w:p>
    <w:p w14:paraId="7C47509E">
      <w:pPr>
        <w:pStyle w:val="19"/>
      </w:pPr>
    </w:p>
    <w:p w14:paraId="16EAC909">
      <w:pPr>
        <w:pStyle w:val="19"/>
      </w:pPr>
    </w:p>
    <w:p w14:paraId="6939629A">
      <w:pPr>
        <w:pStyle w:val="19"/>
      </w:pPr>
    </w:p>
    <w:p w14:paraId="5B1D4F5A">
      <w:pPr>
        <w:pStyle w:val="19"/>
      </w:pPr>
    </w:p>
    <w:p w14:paraId="2CA7A438">
      <w:pPr>
        <w:pStyle w:val="19"/>
      </w:pPr>
    </w:p>
    <w:p w14:paraId="05812A73">
      <w:pPr>
        <w:pStyle w:val="19"/>
      </w:pPr>
    </w:p>
    <w:p w14:paraId="0EEB60D8">
      <w:pPr>
        <w:pStyle w:val="19"/>
      </w:pPr>
    </w:p>
    <w:p w14:paraId="49106888">
      <w:pPr>
        <w:spacing w:line="560" w:lineRule="exact"/>
      </w:pPr>
    </w:p>
    <w:p w14:paraId="61341CFD">
      <w:pPr>
        <w:pStyle w:val="19"/>
      </w:pPr>
    </w:p>
    <w:p w14:paraId="001785FE">
      <w:pPr>
        <w:pStyle w:val="19"/>
      </w:pPr>
    </w:p>
    <w:p w14:paraId="6E1D1694">
      <w:pPr>
        <w:pStyle w:val="19"/>
      </w:pPr>
    </w:p>
    <w:p w14:paraId="635F1DBA">
      <w:pPr>
        <w:pStyle w:val="19"/>
      </w:pPr>
    </w:p>
    <w:p w14:paraId="12486EC0">
      <w:pPr>
        <w:pStyle w:val="19"/>
      </w:pPr>
    </w:p>
    <w:p w14:paraId="44136FB3">
      <w:pPr>
        <w:pStyle w:val="19"/>
      </w:pPr>
    </w:p>
    <w:p w14:paraId="0FAA00C3">
      <w:pPr>
        <w:topLinePunct/>
        <w:adjustRightInd w:val="0"/>
        <w:snapToGrid w:val="0"/>
        <w:spacing w:line="560" w:lineRule="exact"/>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lang w:eastAsia="zh-CN"/>
        </w:rPr>
        <w:t>一团</w:t>
      </w:r>
      <w:r>
        <w:rPr>
          <w:rFonts w:hint="eastAsia" w:eastAsia="方正仿宋简体"/>
          <w:color w:val="000000"/>
          <w:spacing w:val="-28"/>
          <w:sz w:val="28"/>
          <w:szCs w:val="28"/>
          <w:lang w:val="en-US" w:eastAsia="zh-CN"/>
        </w:rPr>
        <w:t>金银川</w:t>
      </w:r>
      <w:r>
        <w:rPr>
          <w:rFonts w:eastAsia="方正仿宋简体"/>
          <w:color w:val="000000"/>
          <w:spacing w:val="-28"/>
          <w:sz w:val="28"/>
          <w:szCs w:val="28"/>
        </w:rPr>
        <w:t>镇，生态环境保护综合行政执法支队，阿克苏律天环保工程有限公司</w:t>
      </w:r>
    </w:p>
    <w:p w14:paraId="66A01797">
      <w:pPr>
        <w:spacing w:line="560" w:lineRule="exact"/>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2025年</w:t>
      </w:r>
      <w:r>
        <w:rPr>
          <w:rFonts w:hint="eastAsia" w:eastAsia="方正仿宋简体"/>
          <w:sz w:val="28"/>
          <w:szCs w:val="28"/>
        </w:rPr>
        <w:t>1</w:t>
      </w:r>
      <w:r>
        <w:rPr>
          <w:rFonts w:hint="eastAsia" w:eastAsia="方正仿宋简体"/>
          <w:sz w:val="28"/>
          <w:szCs w:val="28"/>
          <w:lang w:val="en-US" w:eastAsia="zh-CN"/>
        </w:rPr>
        <w:t>2</w:t>
      </w:r>
      <w:r>
        <w:rPr>
          <w:rFonts w:eastAsia="方正仿宋简体"/>
          <w:sz w:val="28"/>
          <w:szCs w:val="28"/>
        </w:rPr>
        <w:t>月</w:t>
      </w:r>
      <w:r>
        <w:rPr>
          <w:rFonts w:hint="eastAsia" w:eastAsia="方正仿宋简体"/>
          <w:sz w:val="28"/>
          <w:szCs w:val="28"/>
          <w:lang w:val="en-US" w:eastAsia="zh-CN"/>
        </w:rPr>
        <w:t>11</w:t>
      </w:r>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E2D8F971-BCDC-4184-B812-84AE39E12998}"/>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867FC8DB-0668-479B-8A57-769EB9E3572B}"/>
  </w:font>
  <w:font w:name="方正仿宋_GB2312">
    <w:panose1 w:val="02000000000000000000"/>
    <w:charset w:val="86"/>
    <w:family w:val="auto"/>
    <w:pitch w:val="default"/>
    <w:sig w:usb0="A00002BF" w:usb1="184F6CFA" w:usb2="00000012" w:usb3="00000000" w:csb0="00040001" w:csb1="00000000"/>
    <w:embedRegular r:id="rId3" w:fontKey="{B3DBF60E-781C-4874-AB22-E199602F77FD}"/>
  </w:font>
  <w:font w:name="方正小标宋简体">
    <w:panose1 w:val="03000509000000000000"/>
    <w:charset w:val="86"/>
    <w:family w:val="auto"/>
    <w:pitch w:val="default"/>
    <w:sig w:usb0="00000001" w:usb1="080E0000" w:usb2="00000000" w:usb3="00000000" w:csb0="00040000" w:csb1="00000000"/>
    <w:embedRegular r:id="rId4" w:fontKey="{F14F81E7-35D6-4AE0-B233-0A772483404A}"/>
  </w:font>
  <w:font w:name="方正仿宋简体">
    <w:panose1 w:val="02000000000000000000"/>
    <w:charset w:val="86"/>
    <w:family w:val="auto"/>
    <w:pitch w:val="default"/>
    <w:sig w:usb0="00000001" w:usb1="080E0000" w:usb2="00000000" w:usb3="00000000" w:csb0="00040000" w:csb1="00000000"/>
    <w:embedRegular r:id="rId5" w:fontKey="{25534417-2ACE-498F-8F77-F64221DDF5DD}"/>
  </w:font>
  <w:font w:name="方正黑体简体">
    <w:panose1 w:val="03000509000000000000"/>
    <w:charset w:val="86"/>
    <w:family w:val="auto"/>
    <w:pitch w:val="default"/>
    <w:sig w:usb0="00000001" w:usb1="080E0000" w:usb2="00000000" w:usb3="00000000" w:csb0="00040000" w:csb1="00000000"/>
    <w:embedRegular r:id="rId6" w:fontKey="{EABFEE46-930E-4526-89A9-6E518728AC54}"/>
  </w:font>
  <w:font w:name="方正楷体简体">
    <w:panose1 w:val="02000000000000000000"/>
    <w:charset w:val="86"/>
    <w:family w:val="auto"/>
    <w:pitch w:val="default"/>
    <w:sig w:usb0="00000001" w:usb1="080E0000" w:usb2="00000000" w:usb3="00000000" w:csb0="00040000" w:csb1="00000000"/>
    <w:embedRegular r:id="rId7" w:fontKey="{377A5626-E883-4D50-BD59-56249E43618F}"/>
  </w:font>
  <w:font w:name="Cambria">
    <w:panose1 w:val="02040503050406030204"/>
    <w:charset w:val="00"/>
    <w:family w:val="roman"/>
    <w:pitch w:val="default"/>
    <w:sig w:usb0="E00002FF" w:usb1="400004FF" w:usb2="00000000" w:usb3="00000000" w:csb0="2000019F" w:csb1="00000000"/>
    <w:embedRegular r:id="rId8" w:fontKey="{A9EECE48-8C0D-469A-9AE7-927F75FA9E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C0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BBF9">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638BBF9">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FB0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8A3AF5"/>
    <w:rsid w:val="008E01CB"/>
    <w:rsid w:val="00B96D33"/>
    <w:rsid w:val="00D6232A"/>
    <w:rsid w:val="01741EF4"/>
    <w:rsid w:val="044C1B0E"/>
    <w:rsid w:val="052A7359"/>
    <w:rsid w:val="05DD2209"/>
    <w:rsid w:val="0885646B"/>
    <w:rsid w:val="0A7C794A"/>
    <w:rsid w:val="0BB73761"/>
    <w:rsid w:val="0D1150F2"/>
    <w:rsid w:val="0D2C7836"/>
    <w:rsid w:val="0F187E56"/>
    <w:rsid w:val="0FF52AA9"/>
    <w:rsid w:val="10CE2621"/>
    <w:rsid w:val="1243537D"/>
    <w:rsid w:val="13BF1F8A"/>
    <w:rsid w:val="153F4CE5"/>
    <w:rsid w:val="15D4540B"/>
    <w:rsid w:val="160E5F32"/>
    <w:rsid w:val="17365E81"/>
    <w:rsid w:val="1B400CF1"/>
    <w:rsid w:val="22F86A81"/>
    <w:rsid w:val="257C1059"/>
    <w:rsid w:val="296B4E82"/>
    <w:rsid w:val="2BE41278"/>
    <w:rsid w:val="2F462582"/>
    <w:rsid w:val="2FA34E51"/>
    <w:rsid w:val="30DC3C7C"/>
    <w:rsid w:val="31A32F4C"/>
    <w:rsid w:val="34DF294B"/>
    <w:rsid w:val="36212FD7"/>
    <w:rsid w:val="37BC7885"/>
    <w:rsid w:val="394C16B1"/>
    <w:rsid w:val="39963C41"/>
    <w:rsid w:val="3C100794"/>
    <w:rsid w:val="3C9F0607"/>
    <w:rsid w:val="3D561E3B"/>
    <w:rsid w:val="423B3A9C"/>
    <w:rsid w:val="428138DE"/>
    <w:rsid w:val="42B513E5"/>
    <w:rsid w:val="42F3656A"/>
    <w:rsid w:val="435B574F"/>
    <w:rsid w:val="440C698A"/>
    <w:rsid w:val="44805202"/>
    <w:rsid w:val="45CC3389"/>
    <w:rsid w:val="46671304"/>
    <w:rsid w:val="487C4EE8"/>
    <w:rsid w:val="4AF13073"/>
    <w:rsid w:val="4CB27486"/>
    <w:rsid w:val="4EBA5FCC"/>
    <w:rsid w:val="509F53B9"/>
    <w:rsid w:val="51B353FD"/>
    <w:rsid w:val="54676AEB"/>
    <w:rsid w:val="57B67C8D"/>
    <w:rsid w:val="58B27195"/>
    <w:rsid w:val="5AB775E3"/>
    <w:rsid w:val="5CDD77D2"/>
    <w:rsid w:val="5E6D5D9C"/>
    <w:rsid w:val="5FDE16C9"/>
    <w:rsid w:val="62952F89"/>
    <w:rsid w:val="6592492C"/>
    <w:rsid w:val="683657FD"/>
    <w:rsid w:val="68BE34BE"/>
    <w:rsid w:val="699A0637"/>
    <w:rsid w:val="6AE17106"/>
    <w:rsid w:val="6C9577F7"/>
    <w:rsid w:val="6CDE0BF2"/>
    <w:rsid w:val="6DA576C9"/>
    <w:rsid w:val="6EC172C8"/>
    <w:rsid w:val="6F766674"/>
    <w:rsid w:val="70372735"/>
    <w:rsid w:val="719B7332"/>
    <w:rsid w:val="720C27E4"/>
    <w:rsid w:val="796C7172"/>
    <w:rsid w:val="7A770E0E"/>
    <w:rsid w:val="7C1F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4">
    <w:name w:val="heading 3"/>
    <w:basedOn w:val="1"/>
    <w:next w:val="5"/>
    <w:qFormat/>
    <w:uiPriority w:val="9"/>
    <w:pPr>
      <w:keepNext/>
      <w:keepLines/>
      <w:spacing w:before="260" w:after="260" w:line="416" w:lineRule="auto"/>
      <w:outlineLvl w:val="2"/>
    </w:pPr>
    <w:rPr>
      <w:b/>
      <w:bC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6">
    <w:name w:val="Normal Indent"/>
    <w:basedOn w:val="1"/>
    <w:next w:val="1"/>
    <w:qFormat/>
    <w:uiPriority w:val="0"/>
    <w:pPr>
      <w:spacing w:line="520" w:lineRule="exact"/>
      <w:ind w:firstLine="624"/>
    </w:pPr>
    <w:rPr>
      <w:sz w:val="28"/>
      <w:szCs w:val="20"/>
    </w:rPr>
  </w:style>
  <w:style w:type="paragraph" w:styleId="7">
    <w:name w:val="annotation text"/>
    <w:basedOn w:val="1"/>
    <w:qFormat/>
    <w:uiPriority w:val="0"/>
    <w:pPr>
      <w:jc w:val="left"/>
    </w:pPr>
  </w:style>
  <w:style w:type="paragraph" w:styleId="8">
    <w:name w:val="Salutation"/>
    <w:basedOn w:val="1"/>
    <w:next w:val="1"/>
    <w:qFormat/>
    <w:uiPriority w:val="0"/>
  </w:style>
  <w:style w:type="paragraph" w:styleId="9">
    <w:name w:val="Body Text"/>
    <w:basedOn w:val="1"/>
    <w:next w:val="8"/>
    <w:qFormat/>
    <w:uiPriority w:val="0"/>
    <w:pPr>
      <w:spacing w:after="120"/>
    </w:pPr>
    <w:rPr>
      <w:kern w:val="0"/>
      <w:sz w:val="20"/>
    </w:rPr>
  </w:style>
  <w:style w:type="paragraph" w:styleId="10">
    <w:name w:val="Body Text Indent"/>
    <w:basedOn w:val="1"/>
    <w:next w:val="1"/>
    <w:qFormat/>
    <w:uiPriority w:val="0"/>
    <w:pPr>
      <w:spacing w:after="120"/>
      <w:ind w:left="420" w:leftChars="200"/>
    </w:pPr>
  </w:style>
  <w:style w:type="paragraph" w:styleId="11">
    <w:name w:val="Plain Text"/>
    <w:basedOn w:val="1"/>
    <w:next w:val="12"/>
    <w:qFormat/>
    <w:uiPriority w:val="0"/>
    <w:pPr>
      <w:spacing w:line="500" w:lineRule="exact"/>
    </w:pPr>
    <w:rPr>
      <w:rFonts w:ascii="宋体" w:hAnsi="Courier New"/>
      <w:sz w:val="28"/>
      <w:szCs w:val="21"/>
    </w:rPr>
  </w:style>
  <w:style w:type="paragraph" w:styleId="12">
    <w:name w:val="List Number 5"/>
    <w:basedOn w:val="1"/>
    <w:qFormat/>
    <w:uiPriority w:val="0"/>
    <w:pPr>
      <w:numPr>
        <w:ilvl w:val="0"/>
        <w:numId w:val="1"/>
      </w:numPr>
    </w:pPr>
  </w:style>
  <w:style w:type="paragraph" w:styleId="13">
    <w:name w:val="footer"/>
    <w:basedOn w:val="1"/>
    <w:qFormat/>
    <w:uiPriority w:val="0"/>
    <w:pPr>
      <w:tabs>
        <w:tab w:val="center" w:pos="4153"/>
        <w:tab w:val="right" w:pos="8306"/>
      </w:tabs>
      <w:snapToGrid w:val="0"/>
      <w:jc w:val="left"/>
    </w:pPr>
    <w:rPr>
      <w:sz w:val="2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unhideWhenUsed/>
    <w:qFormat/>
    <w:uiPriority w:val="99"/>
    <w:pPr>
      <w:spacing w:after="120" w:line="480" w:lineRule="auto"/>
    </w:pPr>
  </w:style>
  <w:style w:type="paragraph" w:styleId="16">
    <w:name w:val="Body Text First Indent 2"/>
    <w:basedOn w:val="10"/>
    <w:next w:val="11"/>
    <w:qFormat/>
    <w:uiPriority w:val="0"/>
    <w:pPr>
      <w:ind w:firstLine="420" w:firstLineChars="200"/>
    </w:p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2113</Words>
  <Characters>2232</Characters>
  <Lines>16</Lines>
  <Paragraphs>4</Paragraphs>
  <TotalTime>42</TotalTime>
  <ScaleCrop>false</ScaleCrop>
  <LinksUpToDate>false</LinksUpToDate>
  <CharactersWithSpaces>2254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2025-10-27T05:51:00Z</cp:lastPrinted>
  <dcterms:modified xsi:type="dcterms:W3CDTF">2025-12-10T08:48:07Z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