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0CF8D3">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bookmarkStart w:id="0" w:name="_GoBack"/>
      <w:bookmarkEnd w:id="0"/>
    </w:p>
    <w:p w14:paraId="167A8C0F">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227D4811">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28D91EB4">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7D07C302">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72"/>
          <w:szCs w:val="72"/>
        </w:rPr>
      </w:pPr>
    </w:p>
    <w:p w14:paraId="0335D63C">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16B99FAA">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5F8A7D98">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eastAsia" w:ascii="Times New Roman" w:hAnsi="Times New Roman" w:eastAsia="方正仿宋简体" w:cs="方正仿宋简体"/>
          <w:sz w:val="32"/>
          <w:szCs w:val="32"/>
        </w:rPr>
      </w:pPr>
    </w:p>
    <w:p w14:paraId="76854FE4">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cs="方正仿宋简体"/>
          <w:sz w:val="32"/>
          <w:szCs w:val="32"/>
        </w:rPr>
      </w:pPr>
      <w:r>
        <w:rPr>
          <w:rFonts w:hint="eastAsia" w:ascii="Times New Roman" w:hAnsi="Times New Roman" w:eastAsia="方正仿宋简体" w:cs="方正仿宋简体"/>
          <w:sz w:val="32"/>
          <w:szCs w:val="32"/>
        </w:rPr>
        <w:t>师市环审〔2025〕</w:t>
      </w:r>
      <w:r>
        <w:rPr>
          <w:rFonts w:hint="eastAsia" w:eastAsia="方正仿宋简体" w:cs="方正仿宋简体"/>
          <w:sz w:val="32"/>
          <w:szCs w:val="32"/>
          <w:lang w:val="en-US" w:eastAsia="zh-CN"/>
        </w:rPr>
        <w:t>99</w:t>
      </w:r>
      <w:r>
        <w:rPr>
          <w:rFonts w:hint="eastAsia" w:ascii="Times New Roman" w:hAnsi="Times New Roman" w:eastAsia="方正仿宋简体" w:cs="方正仿宋简体"/>
          <w:sz w:val="32"/>
          <w:szCs w:val="32"/>
        </w:rPr>
        <w:t>号</w:t>
      </w:r>
    </w:p>
    <w:p w14:paraId="4FE10F0E">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Cs w:val="21"/>
        </w:rPr>
      </w:pPr>
    </w:p>
    <w:p w14:paraId="308EF074">
      <w:pPr>
        <w:pStyle w:val="6"/>
        <w:wordWrap w:val="0"/>
        <w:spacing w:line="540" w:lineRule="exact"/>
        <w:ind w:firstLine="0"/>
        <w:jc w:val="center"/>
        <w:rPr>
          <w:rFonts w:hint="eastAsia" w:eastAsia="方正小标宋简体"/>
          <w:bCs/>
          <w:sz w:val="44"/>
          <w:szCs w:val="44"/>
        </w:rPr>
      </w:pPr>
      <w:r>
        <w:rPr>
          <w:rFonts w:hint="eastAsia" w:ascii="Times New Roman" w:hAnsi="Times New Roman" w:eastAsia="方正小标宋简体" w:cs="方正小标宋简体"/>
          <w:bCs/>
          <w:color w:val="000000"/>
          <w:spacing w:val="-20"/>
          <w:sz w:val="44"/>
          <w:szCs w:val="44"/>
          <w:lang w:val="zh-CN"/>
        </w:rPr>
        <w:t>关于沙雅产业园沥青商混拌合站项目</w:t>
      </w:r>
      <w:r>
        <w:rPr>
          <w:rFonts w:hint="eastAsia" w:eastAsia="方正小标宋简体"/>
          <w:bCs/>
          <w:sz w:val="44"/>
          <w:szCs w:val="44"/>
        </w:rPr>
        <w:t>环境影响</w:t>
      </w:r>
    </w:p>
    <w:p w14:paraId="7E738F3B">
      <w:pPr>
        <w:pStyle w:val="6"/>
        <w:wordWrap w:val="0"/>
        <w:spacing w:line="540" w:lineRule="exact"/>
        <w:ind w:firstLine="0"/>
        <w:jc w:val="center"/>
        <w:rPr>
          <w:rFonts w:hint="eastAsia" w:ascii="Times New Roman" w:hAnsi="Times New Roman" w:eastAsia="方正小标宋简体" w:cs="方正小标宋简体"/>
          <w:bCs/>
          <w:color w:val="000000"/>
          <w:spacing w:val="-20"/>
          <w:sz w:val="44"/>
          <w:szCs w:val="44"/>
        </w:rPr>
      </w:pPr>
      <w:r>
        <w:rPr>
          <w:rFonts w:hint="eastAsia" w:eastAsia="方正小标宋简体"/>
          <w:bCs/>
          <w:sz w:val="44"/>
          <w:szCs w:val="44"/>
        </w:rPr>
        <w:t>报告表</w:t>
      </w:r>
      <w:r>
        <w:rPr>
          <w:rFonts w:hint="eastAsia" w:ascii="方正小标宋简体" w:hAnsi="方正小标宋简体" w:eastAsia="方正小标宋简体" w:cs="方正小标宋简体"/>
          <w:bCs/>
          <w:sz w:val="44"/>
          <w:szCs w:val="44"/>
        </w:rPr>
        <w:t>的批复</w:t>
      </w:r>
    </w:p>
    <w:p w14:paraId="01ACF988">
      <w:pPr>
        <w:widowControl/>
        <w:wordWrap w:val="0"/>
        <w:spacing w:line="540" w:lineRule="exact"/>
        <w:rPr>
          <w:rFonts w:hint="eastAsia" w:ascii="Times New Roman" w:hAnsi="Times New Roman" w:eastAsia="方正小标宋简体" w:cs="方正小标宋简体"/>
          <w:bCs/>
          <w:sz w:val="44"/>
          <w:szCs w:val="44"/>
        </w:rPr>
      </w:pPr>
    </w:p>
    <w:p w14:paraId="5E8A6F83">
      <w:pPr>
        <w:keepNext w:val="0"/>
        <w:keepLines w:val="0"/>
        <w:pageBreakBefore w:val="0"/>
        <w:widowControl/>
        <w:kinsoku/>
        <w:wordWrap/>
        <w:overflowPunct/>
        <w:topLinePunct w:val="0"/>
        <w:autoSpaceDE/>
        <w:autoSpaceDN/>
        <w:bidi w:val="0"/>
        <w:spacing w:line="560" w:lineRule="exact"/>
        <w:ind w:left="640" w:hanging="640" w:hangingChars="20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仿宋简体" w:cs="方正仿宋简体"/>
          <w:kern w:val="0"/>
          <w:sz w:val="32"/>
          <w:szCs w:val="32"/>
        </w:rPr>
        <w:t>阿拉尔市酉州沥青混凝土有限公司：</w:t>
      </w:r>
    </w:p>
    <w:p w14:paraId="665B95D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仿宋简体" w:cs="方正仿宋简体"/>
          <w:sz w:val="32"/>
          <w:szCs w:val="32"/>
        </w:rPr>
        <w:t>你单位报送的《关于送审</w:t>
      </w:r>
      <w:r>
        <w:rPr>
          <w:rFonts w:hint="eastAsia" w:ascii="Times New Roman" w:hAnsi="Times New Roman" w:eastAsia="方正仿宋简体" w:cs="方正仿宋简体"/>
          <w:sz w:val="32"/>
          <w:szCs w:val="32"/>
          <w:lang w:val="zh-CN"/>
        </w:rPr>
        <w:t>沙雅产业园沥青商混拌合站项目</w:t>
      </w:r>
      <w:r>
        <w:rPr>
          <w:rFonts w:hint="eastAsia" w:ascii="Times New Roman" w:hAnsi="Times New Roman" w:eastAsia="方正仿宋简体" w:cs="方正仿宋简体"/>
          <w:sz w:val="32"/>
          <w:szCs w:val="32"/>
        </w:rPr>
        <w:t>环境影响报告表</w:t>
      </w:r>
      <w:r>
        <w:rPr>
          <w:rFonts w:hint="eastAsia" w:ascii="Times New Roman" w:hAnsi="Times New Roman" w:eastAsia="方正仿宋简体" w:cs="方正仿宋简体"/>
          <w:kern w:val="0"/>
          <w:sz w:val="32"/>
          <w:szCs w:val="32"/>
        </w:rPr>
        <w:t>的请示</w:t>
      </w:r>
      <w:r>
        <w:rPr>
          <w:rFonts w:hint="eastAsia" w:ascii="Times New Roman" w:hAnsi="Times New Roman" w:eastAsia="方正仿宋简体" w:cs="方正仿宋简体"/>
          <w:sz w:val="32"/>
          <w:szCs w:val="32"/>
        </w:rPr>
        <w:t>》及《</w:t>
      </w:r>
      <w:r>
        <w:rPr>
          <w:rFonts w:hint="eastAsia" w:ascii="Times New Roman" w:hAnsi="Times New Roman" w:eastAsia="方正仿宋简体" w:cs="方正仿宋简体"/>
          <w:sz w:val="32"/>
          <w:szCs w:val="32"/>
          <w:lang w:val="zh-CN"/>
        </w:rPr>
        <w:t>沙雅产业园沥青商混拌合站</w:t>
      </w:r>
      <w:r>
        <w:rPr>
          <w:rFonts w:hint="eastAsia" w:ascii="Times New Roman" w:hAnsi="Times New Roman" w:eastAsia="方正仿宋简体" w:cs="方正仿宋简体"/>
          <w:sz w:val="32"/>
          <w:szCs w:val="32"/>
          <w:lang w:val="en-US" w:eastAsia="zh-CN"/>
        </w:rPr>
        <w:t>项目</w:t>
      </w:r>
      <w:r>
        <w:rPr>
          <w:rFonts w:hint="eastAsia" w:ascii="Times New Roman" w:hAnsi="Times New Roman" w:eastAsia="方正仿宋简体" w:cs="方正仿宋简体"/>
          <w:sz w:val="32"/>
          <w:szCs w:val="32"/>
        </w:rPr>
        <w:t>环境影响报告表》（以下简称《报告表》）已收悉。经研究，现批复如下：</w:t>
      </w:r>
    </w:p>
    <w:p w14:paraId="4864402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rPr>
        <w:t>一、</w:t>
      </w:r>
      <w:r>
        <w:rPr>
          <w:rFonts w:hint="eastAsia" w:ascii="Times New Roman" w:hAnsi="Times New Roman" w:eastAsia="方正仿宋简体" w:cs="方正仿宋简体"/>
          <w:sz w:val="32"/>
          <w:szCs w:val="32"/>
        </w:rPr>
        <w:t>该项目位于</w:t>
      </w:r>
      <w:r>
        <w:rPr>
          <w:rFonts w:hint="eastAsia" w:ascii="Times New Roman" w:hAnsi="Times New Roman" w:eastAsia="方正仿宋简体" w:cs="方正仿宋简体"/>
          <w:sz w:val="32"/>
          <w:szCs w:val="32"/>
          <w:lang w:val="en-US" w:eastAsia="zh-CN"/>
        </w:rPr>
        <w:t>兵地融合发展库沙新拜产业园</w:t>
      </w:r>
      <w:r>
        <w:rPr>
          <w:rFonts w:hint="eastAsia" w:ascii="Times New Roman" w:hAnsi="Times New Roman" w:eastAsia="方正仿宋简体" w:cs="方正仿宋简体"/>
          <w:sz w:val="32"/>
          <w:szCs w:val="32"/>
        </w:rPr>
        <w:t>沙雅产业园轻工业园区内，规划纬四路以北，经二路以西，占地面积</w:t>
      </w:r>
      <w:r>
        <w:rPr>
          <w:rFonts w:hint="eastAsia" w:ascii="Times New Roman" w:hAnsi="Times New Roman" w:eastAsia="方正仿宋简体" w:cs="方正仿宋简体"/>
          <w:sz w:val="32"/>
          <w:szCs w:val="32"/>
          <w:lang w:val="en-US" w:eastAsia="zh-CN"/>
        </w:rPr>
        <w:t>26667</w:t>
      </w:r>
      <w:r>
        <w:rPr>
          <w:rFonts w:hint="eastAsia" w:eastAsia="方正仿宋简体" w:cs="方正仿宋简体"/>
          <w:sz w:val="32"/>
          <w:szCs w:val="32"/>
          <w:lang w:val="en-US" w:eastAsia="zh-CN"/>
        </w:rPr>
        <w:t>平方米</w:t>
      </w:r>
      <w:r>
        <w:rPr>
          <w:rFonts w:hint="eastAsia" w:ascii="Times New Roman" w:hAnsi="Times New Roman" w:eastAsia="方正仿宋简体" w:cs="方正仿宋简体"/>
          <w:sz w:val="32"/>
          <w:szCs w:val="32"/>
        </w:rPr>
        <w:t>。</w:t>
      </w:r>
      <w:r>
        <w:rPr>
          <w:rFonts w:hint="default" w:ascii="Times New Roman" w:hAnsi="Times New Roman" w:eastAsia="方正仿宋简体" w:cs="方正仿宋简体"/>
          <w:sz w:val="32"/>
          <w:szCs w:val="32"/>
        </w:rPr>
        <w:t>项目</w:t>
      </w:r>
      <w:r>
        <w:rPr>
          <w:rFonts w:hint="default" w:ascii="Times New Roman" w:hAnsi="Times New Roman" w:eastAsia="方正仿宋简体" w:cs="方正仿宋简体"/>
          <w:sz w:val="32"/>
          <w:szCs w:val="32"/>
          <w:lang w:val="en-US" w:eastAsia="zh-CN"/>
        </w:rPr>
        <w:t>北</w:t>
      </w:r>
      <w:r>
        <w:rPr>
          <w:rFonts w:hint="default" w:ascii="Times New Roman" w:hAnsi="Times New Roman" w:eastAsia="方正仿宋简体" w:cs="方正仿宋简体"/>
          <w:sz w:val="32"/>
          <w:szCs w:val="32"/>
        </w:rPr>
        <w:t>侧</w:t>
      </w:r>
      <w:r>
        <w:rPr>
          <w:rFonts w:hint="default" w:ascii="Times New Roman" w:hAnsi="Times New Roman" w:eastAsia="方正仿宋简体" w:cs="方正仿宋简体"/>
          <w:sz w:val="32"/>
          <w:szCs w:val="32"/>
          <w:lang w:val="en-US" w:eastAsia="zh-CN"/>
        </w:rPr>
        <w:t>与西侧</w:t>
      </w:r>
      <w:r>
        <w:rPr>
          <w:rFonts w:hint="default" w:ascii="Times New Roman" w:hAnsi="Times New Roman" w:eastAsia="方正仿宋简体" w:cs="方正仿宋简体"/>
          <w:sz w:val="32"/>
          <w:szCs w:val="32"/>
        </w:rPr>
        <w:t>为</w:t>
      </w:r>
      <w:r>
        <w:rPr>
          <w:rFonts w:hint="default" w:ascii="Times New Roman" w:hAnsi="Times New Roman" w:eastAsia="方正仿宋简体" w:cs="方正仿宋简体"/>
          <w:sz w:val="32"/>
          <w:szCs w:val="32"/>
          <w:lang w:val="en-US" w:eastAsia="zh-CN"/>
        </w:rPr>
        <w:t>空地，东侧为规划的经二路及空地，南</w:t>
      </w:r>
      <w:r>
        <w:rPr>
          <w:rFonts w:hint="default" w:ascii="Times New Roman" w:hAnsi="Times New Roman" w:eastAsia="方正仿宋简体" w:cs="方正仿宋简体"/>
          <w:spacing w:val="-11"/>
          <w:sz w:val="32"/>
          <w:szCs w:val="32"/>
          <w:lang w:val="en-US" w:eastAsia="zh-CN"/>
        </w:rPr>
        <w:t>侧为规划的纬四路及空地</w:t>
      </w:r>
      <w:r>
        <w:rPr>
          <w:rFonts w:hint="eastAsia" w:ascii="Times New Roman" w:hAnsi="Times New Roman" w:eastAsia="方正仿宋简体" w:cs="方正仿宋简体"/>
          <w:spacing w:val="-11"/>
          <w:sz w:val="32"/>
          <w:szCs w:val="32"/>
          <w:lang w:val="en-US" w:eastAsia="zh-CN"/>
        </w:rPr>
        <w:t>，</w:t>
      </w:r>
      <w:r>
        <w:rPr>
          <w:rFonts w:hint="eastAsia" w:ascii="Times New Roman" w:hAnsi="Times New Roman" w:eastAsia="方正仿宋简体" w:cs="方正仿宋简体"/>
          <w:spacing w:val="-11"/>
          <w:sz w:val="32"/>
          <w:szCs w:val="32"/>
        </w:rPr>
        <w:t>中心地理位置坐标为东经82°33'27.330"</w:t>
      </w:r>
      <w:r>
        <w:rPr>
          <w:rFonts w:hint="eastAsia" w:ascii="Times New Roman" w:hAnsi="Times New Roman" w:eastAsia="方正仿宋简体" w:cs="方正仿宋简体"/>
          <w:spacing w:val="-11"/>
          <w:sz w:val="32"/>
          <w:szCs w:val="32"/>
          <w:lang w:eastAsia="zh-CN"/>
        </w:rPr>
        <w:t>，</w:t>
      </w:r>
      <w:r>
        <w:rPr>
          <w:rFonts w:hint="eastAsia" w:ascii="Times New Roman" w:hAnsi="Times New Roman" w:eastAsia="方正仿宋简体" w:cs="方正仿宋简体"/>
          <w:sz w:val="32"/>
          <w:szCs w:val="32"/>
        </w:rPr>
        <w:t>北纬</w:t>
      </w:r>
      <w:r>
        <w:rPr>
          <w:rFonts w:hint="eastAsia" w:ascii="Times New Roman" w:hAnsi="Times New Roman" w:eastAsia="方正仿宋简体" w:cs="方正仿宋简体"/>
          <w:sz w:val="32"/>
          <w:szCs w:val="32"/>
          <w:lang w:eastAsia="zh-CN"/>
        </w:rPr>
        <w:t>41°09'39.052"</w:t>
      </w:r>
      <w:r>
        <w:rPr>
          <w:rFonts w:hint="eastAsia" w:ascii="Times New Roman" w:hAnsi="Times New Roman" w:eastAsia="方正仿宋简体" w:cs="方正仿宋简体"/>
          <w:sz w:val="32"/>
          <w:szCs w:val="32"/>
        </w:rPr>
        <w:t>。项目建设内容为</w:t>
      </w:r>
      <w:r>
        <w:rPr>
          <w:rFonts w:hint="eastAsia" w:ascii="Times New Roman" w:hAnsi="Times New Roman" w:eastAsia="方正仿宋简体" w:cs="方正仿宋简体"/>
          <w:sz w:val="32"/>
          <w:szCs w:val="32"/>
          <w:lang w:val="en-US" w:eastAsia="zh-CN"/>
        </w:rPr>
        <w:t>商砼站、沥青站、</w:t>
      </w:r>
      <w:r>
        <w:rPr>
          <w:rFonts w:hint="eastAsia" w:eastAsia="方正仿宋简体" w:cs="方正仿宋简体"/>
          <w:sz w:val="32"/>
          <w:szCs w:val="32"/>
          <w:lang w:val="en-US" w:eastAsia="zh-CN"/>
        </w:rPr>
        <w:t>4t</w:t>
      </w:r>
      <w:r>
        <w:rPr>
          <w:rFonts w:hint="eastAsia" w:ascii="Times New Roman" w:hAnsi="Times New Roman" w:eastAsia="方正仿宋简体" w:cs="方正仿宋简体"/>
          <w:sz w:val="32"/>
          <w:szCs w:val="32"/>
          <w:lang w:val="en-US" w:eastAsia="zh-CN"/>
        </w:rPr>
        <w:t>的导热油炉（使用电能）</w:t>
      </w:r>
      <w:r>
        <w:rPr>
          <w:rFonts w:hint="eastAsia" w:eastAsia="方正仿宋简体" w:cs="方正仿宋简体"/>
          <w:sz w:val="32"/>
          <w:szCs w:val="32"/>
          <w:lang w:val="en-US" w:eastAsia="zh-CN"/>
        </w:rPr>
        <w:t>、燃烧器1台（使用柴油）、</w:t>
      </w:r>
      <w:r>
        <w:rPr>
          <w:rFonts w:hint="eastAsia" w:ascii="Times New Roman" w:hAnsi="Times New Roman" w:eastAsia="方正仿宋简体" w:cs="方正仿宋简体"/>
          <w:sz w:val="32"/>
          <w:szCs w:val="32"/>
          <w:lang w:val="en-US" w:eastAsia="zh-CN"/>
        </w:rPr>
        <w:t>堆料库、原料库、办公楼、实验室、门卫室及其他配套设施</w:t>
      </w:r>
      <w:r>
        <w:rPr>
          <w:rFonts w:hint="eastAsia" w:eastAsia="方正仿宋简体" w:cs="方正仿宋简体"/>
          <w:sz w:val="32"/>
          <w:szCs w:val="32"/>
          <w:lang w:val="en-US" w:eastAsia="zh-CN"/>
        </w:rPr>
        <w:t>。</w:t>
      </w:r>
      <w:r>
        <w:rPr>
          <w:rFonts w:hint="eastAsia" w:ascii="Times New Roman" w:hAnsi="Times New Roman" w:eastAsia="方正仿宋简体" w:cs="方正仿宋简体"/>
          <w:sz w:val="32"/>
          <w:szCs w:val="32"/>
          <w:highlight w:val="none"/>
        </w:rPr>
        <w:t>项目建成后年产</w:t>
      </w:r>
      <w:r>
        <w:rPr>
          <w:rFonts w:hint="eastAsia" w:ascii="Times New Roman" w:hAnsi="Times New Roman" w:eastAsia="方正仿宋简体" w:cs="方正仿宋简体"/>
          <w:sz w:val="32"/>
          <w:szCs w:val="32"/>
          <w:highlight w:val="none"/>
          <w:lang w:val="en-US" w:eastAsia="zh-CN"/>
        </w:rPr>
        <w:t>沥青混凝土10万吨、商品混凝土10万立方米</w:t>
      </w:r>
      <w:r>
        <w:rPr>
          <w:rFonts w:hint="eastAsia" w:ascii="Times New Roman" w:hAnsi="Times New Roman" w:eastAsia="方正仿宋简体" w:cs="方正仿宋简体"/>
          <w:sz w:val="32"/>
          <w:szCs w:val="32"/>
          <w:highlight w:val="none"/>
        </w:rPr>
        <w:t>。</w:t>
      </w:r>
      <w:r>
        <w:rPr>
          <w:rFonts w:hint="eastAsia" w:ascii="Times New Roman" w:hAnsi="Times New Roman" w:eastAsia="方正仿宋简体" w:cs="方正仿宋简体"/>
          <w:sz w:val="32"/>
          <w:szCs w:val="32"/>
        </w:rPr>
        <w:t>项目总投资</w:t>
      </w:r>
      <w:r>
        <w:rPr>
          <w:rFonts w:hint="eastAsia" w:ascii="Times New Roman" w:hAnsi="Times New Roman" w:eastAsia="方正仿宋简体" w:cs="方正仿宋简体"/>
          <w:sz w:val="32"/>
          <w:szCs w:val="32"/>
          <w:lang w:val="en-US" w:eastAsia="zh-CN"/>
        </w:rPr>
        <w:t>3500</w:t>
      </w:r>
      <w:r>
        <w:rPr>
          <w:rFonts w:hint="eastAsia" w:ascii="Times New Roman" w:hAnsi="Times New Roman" w:eastAsia="方正仿宋简体" w:cs="方正仿宋简体"/>
          <w:sz w:val="32"/>
          <w:szCs w:val="32"/>
        </w:rPr>
        <w:t>万元，其中环保投资</w:t>
      </w:r>
      <w:r>
        <w:rPr>
          <w:rFonts w:hint="eastAsia" w:ascii="Times New Roman" w:hAnsi="Times New Roman" w:eastAsia="方正仿宋简体" w:cs="方正仿宋简体"/>
          <w:sz w:val="32"/>
          <w:szCs w:val="32"/>
          <w:lang w:val="en-US" w:eastAsia="zh-CN"/>
        </w:rPr>
        <w:t>100</w:t>
      </w:r>
      <w:r>
        <w:rPr>
          <w:rFonts w:hint="eastAsia" w:ascii="Times New Roman" w:hAnsi="Times New Roman" w:eastAsia="方正仿宋简体" w:cs="方正仿宋简体"/>
          <w:sz w:val="32"/>
          <w:szCs w:val="32"/>
        </w:rPr>
        <w:t>万元，占总投资的</w:t>
      </w:r>
      <w:r>
        <w:rPr>
          <w:rFonts w:hint="eastAsia" w:ascii="Times New Roman" w:hAnsi="Times New Roman" w:eastAsia="方正仿宋简体" w:cs="方正仿宋简体"/>
          <w:sz w:val="32"/>
          <w:szCs w:val="32"/>
          <w:lang w:val="en-US" w:eastAsia="zh-CN"/>
        </w:rPr>
        <w:t>2.86</w:t>
      </w:r>
      <w:r>
        <w:rPr>
          <w:rFonts w:hint="eastAsia" w:ascii="Times New Roman" w:hAnsi="Times New Roman" w:eastAsia="方正仿宋简体" w:cs="方正仿宋简体"/>
          <w:sz w:val="32"/>
          <w:szCs w:val="32"/>
        </w:rPr>
        <w:t>%。</w:t>
      </w:r>
    </w:p>
    <w:p w14:paraId="0F99B12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sz w:val="32"/>
          <w:szCs w:val="32"/>
          <w:lang w:val="zh-CN"/>
        </w:rPr>
      </w:pPr>
      <w:r>
        <w:rPr>
          <w:rFonts w:hint="eastAsia" w:ascii="Times New Roman" w:hAnsi="Times New Roman" w:eastAsia="方正黑体简体" w:cs="方正黑体简体"/>
          <w:sz w:val="32"/>
          <w:szCs w:val="32"/>
          <w:lang w:val="zh-CN"/>
        </w:rPr>
        <w:t>二、</w:t>
      </w:r>
      <w:r>
        <w:rPr>
          <w:rFonts w:hint="eastAsia" w:ascii="Times New Roman" w:hAnsi="Times New Roman" w:eastAsia="方正仿宋简体" w:cs="方正仿宋简体"/>
          <w:sz w:val="32"/>
          <w:szCs w:val="32"/>
        </w:rPr>
        <w:t>根据</w:t>
      </w:r>
      <w:r>
        <w:rPr>
          <w:rFonts w:hint="eastAsia" w:eastAsia="方正仿宋简体" w:cs="方正仿宋简体"/>
          <w:sz w:val="32"/>
          <w:szCs w:val="32"/>
          <w:lang w:val="en-US" w:eastAsia="zh-CN"/>
        </w:rPr>
        <w:t>新疆星沃盛云环保科技有限</w:t>
      </w:r>
      <w:r>
        <w:rPr>
          <w:rFonts w:hint="eastAsia" w:ascii="Times New Roman" w:hAnsi="Times New Roman" w:eastAsia="方正仿宋简体" w:cs="方正仿宋简体"/>
          <w:sz w:val="32"/>
          <w:szCs w:val="32"/>
          <w:lang w:val="en-US" w:eastAsia="zh-CN"/>
        </w:rPr>
        <w:t>公司</w:t>
      </w:r>
      <w:r>
        <w:rPr>
          <w:rFonts w:hint="eastAsia" w:ascii="Times New Roman" w:hAnsi="Times New Roman" w:eastAsia="方正仿宋简体" w:cs="方正仿宋简体"/>
          <w:sz w:val="32"/>
          <w:szCs w:val="32"/>
        </w:rPr>
        <w:t>编制的《报告表》评价结论和专家对项目的评价意见，该项目属于非金属矿物制品业，在符合产业政策、选址符合国土空间规划等相关规划的前提下，从环境保护的角度，我局原则同意《报告表》结论。</w:t>
      </w:r>
    </w:p>
    <w:p w14:paraId="40919D6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lang w:val="zh-CN"/>
        </w:rPr>
        <w:t>三、</w:t>
      </w:r>
      <w:r>
        <w:rPr>
          <w:rFonts w:hint="eastAsia" w:ascii="Times New Roman" w:hAnsi="Times New Roman" w:eastAsia="方正仿宋简体" w:cs="方正仿宋简体"/>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06ACD1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楷体简体" w:cs="方正楷体简体"/>
          <w:kern w:val="0"/>
          <w:sz w:val="32"/>
          <w:szCs w:val="32"/>
          <w:lang w:val="zh-CN"/>
        </w:rPr>
        <w:t>（一）</w:t>
      </w:r>
      <w:r>
        <w:rPr>
          <w:rFonts w:hint="eastAsia" w:ascii="Times New Roman" w:hAnsi="Times New Roman" w:eastAsia="方正楷体简体" w:cs="方正楷体简体"/>
          <w:kern w:val="0"/>
          <w:sz w:val="32"/>
          <w:szCs w:val="32"/>
        </w:rPr>
        <w:t>认真落实施工期生态环境保护和防沙治沙措施。</w:t>
      </w:r>
      <w:r>
        <w:rPr>
          <w:rFonts w:hint="eastAsia" w:ascii="Times New Roman" w:hAnsi="Times New Roman" w:eastAsia="方正仿宋简体" w:cs="方正仿宋简体"/>
          <w:kern w:val="0"/>
          <w:sz w:val="32"/>
          <w:szCs w:val="32"/>
        </w:rPr>
        <w:t>做好施工过程中的降噪、防尘、施工固废清理和水土保持、防沙治沙等生态环境保护措施，妥善处置施工废弃物、生活垃圾及生活污水。</w:t>
      </w:r>
    </w:p>
    <w:p w14:paraId="30B84EB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lang w:val="en-US" w:eastAsia="zh-CN"/>
        </w:rPr>
      </w:pPr>
      <w:r>
        <w:rPr>
          <w:rFonts w:hint="eastAsia" w:ascii="Times New Roman" w:hAnsi="Times New Roman" w:eastAsia="方正楷体简体" w:cs="方正楷体简体"/>
          <w:kern w:val="0"/>
          <w:sz w:val="32"/>
          <w:szCs w:val="32"/>
          <w:lang w:val="zh-CN"/>
        </w:rPr>
        <w:t>（二）严格落实大气污染防治措施。</w:t>
      </w:r>
      <w:r>
        <w:rPr>
          <w:rFonts w:hint="default" w:ascii="Times New Roman" w:hAnsi="Times New Roman" w:eastAsia="方正仿宋简体" w:cs="Times New Roman"/>
          <w:kern w:val="0"/>
          <w:sz w:val="32"/>
          <w:szCs w:val="32"/>
          <w:lang w:val="zh-CN"/>
        </w:rPr>
        <w:t>该项目运营期产生的废气主要为原料堆场扬尘及装卸粉尘</w:t>
      </w:r>
      <w:r>
        <w:rPr>
          <w:rFonts w:hint="default" w:ascii="Times New Roman" w:hAnsi="Times New Roman" w:eastAsia="方正仿宋简体" w:cs="Times New Roman"/>
          <w:kern w:val="0"/>
          <w:sz w:val="32"/>
          <w:szCs w:val="32"/>
          <w:lang w:val="zh-CN" w:eastAsia="zh-CN"/>
        </w:rPr>
        <w:t>、</w:t>
      </w:r>
      <w:r>
        <w:rPr>
          <w:rFonts w:hint="default" w:ascii="Times New Roman" w:hAnsi="Times New Roman" w:eastAsia="方正仿宋简体" w:cs="Times New Roman"/>
          <w:kern w:val="0"/>
          <w:sz w:val="32"/>
          <w:szCs w:val="32"/>
          <w:lang w:val="zh-CN"/>
        </w:rPr>
        <w:t>商品混凝土生产线废气、沥青混凝土生产线废气</w:t>
      </w:r>
      <w:r>
        <w:rPr>
          <w:rFonts w:hint="default" w:ascii="Times New Roman" w:hAnsi="Times New Roman" w:eastAsia="方正仿宋简体" w:cs="Times New Roman"/>
          <w:kern w:val="0"/>
          <w:sz w:val="32"/>
          <w:szCs w:val="32"/>
          <w:lang w:val="zh-CN" w:eastAsia="zh-CN"/>
        </w:rPr>
        <w:t>、</w:t>
      </w:r>
      <w:r>
        <w:rPr>
          <w:rFonts w:hint="default" w:ascii="Times New Roman" w:hAnsi="Times New Roman" w:eastAsia="方正仿宋简体" w:cs="Times New Roman"/>
          <w:kern w:val="0"/>
          <w:sz w:val="32"/>
          <w:szCs w:val="32"/>
          <w:lang w:val="en-US" w:eastAsia="zh-CN"/>
        </w:rPr>
        <w:t>柴油装料及存储废气、</w:t>
      </w:r>
      <w:r>
        <w:rPr>
          <w:rFonts w:hint="default" w:ascii="Times New Roman" w:hAnsi="Times New Roman" w:eastAsia="方正仿宋简体" w:cs="Times New Roman"/>
          <w:kern w:val="0"/>
          <w:sz w:val="32"/>
          <w:szCs w:val="32"/>
          <w:lang w:val="zh-CN"/>
        </w:rPr>
        <w:t>运输车辆行驶扬尘</w:t>
      </w:r>
      <w:r>
        <w:rPr>
          <w:rFonts w:hint="default" w:ascii="Times New Roman" w:hAnsi="Times New Roman" w:eastAsia="方正仿宋简体" w:cs="Times New Roman"/>
          <w:kern w:val="0"/>
          <w:sz w:val="32"/>
          <w:szCs w:val="32"/>
          <w:lang w:val="en-US" w:eastAsia="zh-CN"/>
        </w:rPr>
        <w:t>及</w:t>
      </w:r>
      <w:r>
        <w:rPr>
          <w:rFonts w:hint="default" w:ascii="Times New Roman" w:hAnsi="Times New Roman" w:eastAsia="方正仿宋简体" w:cs="Times New Roman"/>
          <w:kern w:val="0"/>
          <w:sz w:val="32"/>
          <w:szCs w:val="32"/>
          <w:lang w:val="zh-CN"/>
        </w:rPr>
        <w:t>食堂油烟。</w:t>
      </w:r>
      <w:r>
        <w:rPr>
          <w:rFonts w:hint="default" w:ascii="Times New Roman" w:hAnsi="Times New Roman" w:eastAsia="方正仿宋简体" w:cs="Times New Roman"/>
          <w:kern w:val="0"/>
          <w:sz w:val="32"/>
          <w:szCs w:val="32"/>
          <w:lang w:val="en-US" w:eastAsia="zh-CN"/>
        </w:rPr>
        <w:t>商品混凝土生产线原料上料输送粉尘通过集气罩收集，经布袋除尘处理，须满足《水泥工业大气污染物排放标准》（GB4915-2013）表1排放限值后通过15m排气筒（DA001）排放，水泥及粉煤灰筒仓呼吸粉尘经自带的“脉冲袋式除尘器”处理后由各自出风口排放，拌合粉尘采取脉冲反吹袋式除尘器处理，拌合站密闭等措施，满足《水泥工业大气污染物排放标准》（GB4915-2013）表3中排放限值后排放。通过保障废气处理设施稳定运行，加强通排风等措施，确保无组织废气满足《水泥工业大气污染物排放标准》（GB4915-2013）表3大气污染物无组织排放限值。</w:t>
      </w:r>
    </w:p>
    <w:p w14:paraId="2D33EC4B">
      <w:pPr>
        <w:pStyle w:val="37"/>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Times New Roman" w:hAnsi="Times New Roman" w:eastAsia="方正仿宋简体" w:cs="方正仿宋简体"/>
          <w:kern w:val="0"/>
          <w:sz w:val="32"/>
          <w:szCs w:val="32"/>
          <w:lang w:val="en-US" w:eastAsia="zh-CN"/>
        </w:rPr>
      </w:pPr>
      <w:r>
        <w:rPr>
          <w:rFonts w:hint="eastAsia" w:ascii="Times New Roman" w:hAnsi="Times New Roman" w:eastAsia="方正仿宋简体" w:cs="方正仿宋简体"/>
          <w:kern w:val="0"/>
          <w:sz w:val="32"/>
          <w:szCs w:val="32"/>
          <w:lang w:val="en-US" w:eastAsia="zh-CN"/>
        </w:rPr>
        <w:t>沥青混凝土生产线冷料上料粉尘</w:t>
      </w:r>
      <w:r>
        <w:rPr>
          <w:rFonts w:hint="eastAsia" w:eastAsia="方正仿宋简体" w:cs="方正仿宋简体"/>
          <w:kern w:val="0"/>
          <w:sz w:val="32"/>
          <w:szCs w:val="32"/>
          <w:lang w:val="en-US" w:eastAsia="zh-CN"/>
        </w:rPr>
        <w:t>通过</w:t>
      </w:r>
      <w:r>
        <w:rPr>
          <w:rFonts w:hint="eastAsia" w:ascii="Times New Roman" w:hAnsi="Times New Roman" w:eastAsia="方正仿宋简体" w:cs="方正仿宋简体"/>
          <w:kern w:val="0"/>
          <w:sz w:val="32"/>
          <w:szCs w:val="32"/>
          <w:lang w:val="en-US" w:eastAsia="zh-CN"/>
        </w:rPr>
        <w:t>集气罩收集，经布袋除尘处理</w:t>
      </w:r>
      <w:r>
        <w:rPr>
          <w:rFonts w:hint="eastAsia" w:eastAsia="方正仿宋简体" w:cs="方正仿宋简体"/>
          <w:kern w:val="0"/>
          <w:sz w:val="32"/>
          <w:szCs w:val="32"/>
          <w:lang w:val="en-US" w:eastAsia="zh-CN"/>
        </w:rPr>
        <w:t>，须满足《大气污染物综合排放标准》（GB16297-1996）表2二级标准排放限值后，通过</w:t>
      </w:r>
      <w:r>
        <w:rPr>
          <w:rFonts w:hint="eastAsia" w:ascii="Times New Roman" w:hAnsi="Times New Roman" w:eastAsia="方正仿宋简体" w:cs="方正仿宋简体"/>
          <w:kern w:val="0"/>
          <w:sz w:val="32"/>
          <w:szCs w:val="32"/>
          <w:lang w:val="en-US" w:eastAsia="zh-CN"/>
        </w:rPr>
        <w:t>15m排气筒（DA002）排放</w:t>
      </w:r>
      <w:r>
        <w:rPr>
          <w:rFonts w:hint="eastAsia" w:eastAsia="方正仿宋简体" w:cs="方正仿宋简体"/>
          <w:kern w:val="0"/>
          <w:sz w:val="32"/>
          <w:szCs w:val="32"/>
          <w:lang w:val="en-US" w:eastAsia="zh-CN"/>
        </w:rPr>
        <w:t>，燃烧器燃油废气及烘干、筛分粉尘通过密闭管道一同收集，采取“旋风除尘+袋式除尘”处理，满足《大气污染物综合排放标准》（GB16297-1996）表2二级标准后，通过15</w:t>
      </w:r>
      <w:r>
        <w:rPr>
          <w:rFonts w:hint="eastAsia" w:ascii="Times New Roman" w:hAnsi="Times New Roman" w:eastAsia="方正仿宋简体" w:cs="方正仿宋简体"/>
          <w:kern w:val="0"/>
          <w:sz w:val="32"/>
          <w:szCs w:val="32"/>
          <w:lang w:val="en-US" w:eastAsia="zh-CN"/>
        </w:rPr>
        <w:t>m</w:t>
      </w:r>
      <w:r>
        <w:rPr>
          <w:rFonts w:hint="eastAsia" w:eastAsia="方正仿宋简体" w:cs="方正仿宋简体"/>
          <w:kern w:val="0"/>
          <w:sz w:val="32"/>
          <w:szCs w:val="32"/>
          <w:lang w:val="en-US" w:eastAsia="zh-CN"/>
        </w:rPr>
        <w:t>排气筒（DA003）排放。沥青罐呼吸废气及搅拌出料废气通过集气罩收集，经“电捕焦油+活性炭吸附”处理后，须满足《大气污染物综合排放标准》（GB16297-1996）表2二级标准排放限值后通过15m高排气筒（DA004）高空排放。矿粉料仓呼吸废气经顶部仓顶脉冲布袋除尘器处理，须满足《水泥工业大气污染物排放标准》（GB4915-2013）表3大气污染物无组织排放限值。</w:t>
      </w:r>
      <w:r>
        <w:rPr>
          <w:rFonts w:hint="eastAsia" w:ascii="Times New Roman" w:hAnsi="Times New Roman" w:eastAsia="方正仿宋简体" w:cs="方正仿宋简体"/>
          <w:kern w:val="0"/>
          <w:sz w:val="32"/>
          <w:szCs w:val="32"/>
          <w:lang w:val="en-US" w:eastAsia="zh-CN"/>
        </w:rPr>
        <w:t>原料堆场扬尘及装卸粉尘</w:t>
      </w:r>
      <w:r>
        <w:rPr>
          <w:rFonts w:hint="eastAsia" w:eastAsia="方正仿宋简体" w:cs="方正仿宋简体"/>
          <w:kern w:val="0"/>
          <w:sz w:val="32"/>
          <w:szCs w:val="32"/>
          <w:lang w:val="en-US" w:eastAsia="zh-CN"/>
        </w:rPr>
        <w:t>通过采取</w:t>
      </w:r>
      <w:r>
        <w:rPr>
          <w:rFonts w:hint="eastAsia" w:ascii="Times New Roman" w:hAnsi="Times New Roman" w:eastAsia="方正仿宋简体" w:cs="方正仿宋简体"/>
          <w:kern w:val="0"/>
          <w:sz w:val="32"/>
          <w:szCs w:val="32"/>
          <w:lang w:val="en-US" w:eastAsia="zh-CN"/>
        </w:rPr>
        <w:t>厂房半封闭、喷雾抑尘、篷布覆盖等措施</w:t>
      </w:r>
      <w:r>
        <w:rPr>
          <w:rFonts w:hint="eastAsia" w:eastAsia="方正仿宋简体" w:cs="方正仿宋简体"/>
          <w:kern w:val="0"/>
          <w:sz w:val="32"/>
          <w:szCs w:val="32"/>
          <w:lang w:val="en-US" w:eastAsia="zh-CN"/>
        </w:rPr>
        <w:t>，运输车辆行驶扬尘通过采取</w:t>
      </w:r>
      <w:r>
        <w:rPr>
          <w:rFonts w:hint="eastAsia" w:ascii="Times New Roman" w:hAnsi="Times New Roman" w:eastAsia="方正仿宋简体" w:cs="方正仿宋简体"/>
          <w:kern w:val="0"/>
          <w:sz w:val="32"/>
          <w:szCs w:val="32"/>
          <w:lang w:val="en-US" w:eastAsia="zh-CN"/>
        </w:rPr>
        <w:t>道路硬化，定期对场地进行</w:t>
      </w:r>
      <w:r>
        <w:rPr>
          <w:rFonts w:hint="eastAsia" w:eastAsia="方正仿宋简体" w:cs="方正仿宋简体"/>
          <w:kern w:val="0"/>
          <w:sz w:val="32"/>
          <w:szCs w:val="32"/>
          <w:lang w:val="en-US" w:eastAsia="zh-CN"/>
        </w:rPr>
        <w:t>清扫及</w:t>
      </w:r>
      <w:r>
        <w:rPr>
          <w:rFonts w:hint="eastAsia" w:ascii="Times New Roman" w:hAnsi="Times New Roman" w:eastAsia="方正仿宋简体" w:cs="方正仿宋简体"/>
          <w:kern w:val="0"/>
          <w:sz w:val="32"/>
          <w:szCs w:val="32"/>
          <w:lang w:val="en-US" w:eastAsia="zh-CN"/>
        </w:rPr>
        <w:t>洒水降尘，限制车辆的行驶速度并对进出车辆进行冲洗确保厂界无组织排放满足《水泥工业大气污染物排放标准》（GB4915-2013）表3中排放限值</w:t>
      </w:r>
      <w:r>
        <w:rPr>
          <w:rFonts w:hint="eastAsia" w:eastAsia="方正仿宋简体" w:cs="方正仿宋简体"/>
          <w:kern w:val="0"/>
          <w:sz w:val="32"/>
          <w:szCs w:val="32"/>
          <w:lang w:val="en-US" w:eastAsia="zh-CN"/>
        </w:rPr>
        <w:t>。柴油装料及存储废气通过采取控制储油罐罐室内气温，密闭卸油，管道连接采用无缝钢管，确保储油油气密闭性等措施，确保非甲烷总烃浓度满足《大气污染物综合排放标准》（GB16297-1996）表2无组织排放限值，厂区内VOCs无组织排放监控点浓度须满足《挥发性有机物无组织排放控制标准》(GB37822-2019)表 A.1 厂区内VOCs无组织排放限值。</w:t>
      </w:r>
      <w:r>
        <w:rPr>
          <w:rFonts w:hint="eastAsia" w:ascii="Times New Roman" w:hAnsi="Times New Roman" w:eastAsia="方正仿宋简体" w:cs="方正仿宋简体"/>
          <w:kern w:val="0"/>
          <w:sz w:val="32"/>
          <w:szCs w:val="32"/>
          <w:lang w:val="en-US" w:eastAsia="zh-CN"/>
        </w:rPr>
        <w:t>食堂油烟经过油烟净化装置处理，满足《饮食业油烟排放标准》（GB18483-2001）最高允许排放浓度限值要求</w:t>
      </w:r>
      <w:r>
        <w:rPr>
          <w:rFonts w:hint="eastAsia" w:eastAsia="方正仿宋简体" w:cs="方正仿宋简体"/>
          <w:kern w:val="0"/>
          <w:sz w:val="32"/>
          <w:szCs w:val="32"/>
          <w:lang w:val="en-US" w:eastAsia="zh-CN"/>
        </w:rPr>
        <w:t>后，</w:t>
      </w:r>
      <w:r>
        <w:rPr>
          <w:rFonts w:hint="eastAsia" w:ascii="Times New Roman" w:hAnsi="Times New Roman" w:eastAsia="方正仿宋简体" w:cs="方正仿宋简体"/>
          <w:kern w:val="0"/>
          <w:sz w:val="32"/>
          <w:szCs w:val="32"/>
          <w:lang w:val="en-US" w:eastAsia="zh-CN"/>
        </w:rPr>
        <w:t>通过专用烟道（DA005）排放。</w:t>
      </w:r>
    </w:p>
    <w:p w14:paraId="0F2C2F0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方正仿宋简体"/>
          <w:color w:val="0000FF"/>
          <w:kern w:val="0"/>
          <w:sz w:val="32"/>
          <w:szCs w:val="32"/>
          <w:lang w:val="en-US" w:eastAsia="zh-CN"/>
        </w:rPr>
      </w:pPr>
      <w:r>
        <w:rPr>
          <w:rFonts w:ascii="Times New Roman" w:hAnsi="Times New Roman" w:eastAsia="方正楷体简体" w:cs="方正楷体简体"/>
          <w:kern w:val="0"/>
          <w:sz w:val="32"/>
          <w:szCs w:val="32"/>
          <w:lang w:val="zh-CN"/>
        </w:rPr>
        <w:t>（三）严格落实水污染防治措施。</w:t>
      </w:r>
      <w:r>
        <w:rPr>
          <w:rFonts w:hint="eastAsia" w:ascii="Times New Roman" w:hAnsi="Times New Roman" w:eastAsia="方正仿宋简体" w:cs="方正仿宋简体"/>
          <w:kern w:val="0"/>
          <w:sz w:val="32"/>
          <w:szCs w:val="32"/>
        </w:rPr>
        <w:t>该项目运营期产生的废水主要为</w:t>
      </w:r>
      <w:r>
        <w:rPr>
          <w:rFonts w:hint="eastAsia" w:ascii="Times New Roman" w:hAnsi="Times New Roman" w:eastAsia="方正仿宋简体" w:cs="方正仿宋简体"/>
          <w:kern w:val="0"/>
          <w:sz w:val="32"/>
          <w:szCs w:val="32"/>
          <w:lang w:val="en-US" w:eastAsia="zh-CN"/>
        </w:rPr>
        <w:t>地坪</w:t>
      </w:r>
      <w:r>
        <w:rPr>
          <w:rFonts w:hint="eastAsia" w:eastAsia="方正仿宋简体" w:cs="方正仿宋简体"/>
          <w:kern w:val="0"/>
          <w:sz w:val="32"/>
          <w:szCs w:val="32"/>
          <w:lang w:val="en-US" w:eastAsia="zh-CN"/>
        </w:rPr>
        <w:t>、</w:t>
      </w:r>
      <w:r>
        <w:rPr>
          <w:rFonts w:hint="eastAsia" w:ascii="Times New Roman" w:hAnsi="Times New Roman" w:eastAsia="方正仿宋简体" w:cs="方正仿宋简体"/>
          <w:kern w:val="0"/>
          <w:sz w:val="32"/>
          <w:szCs w:val="32"/>
          <w:lang w:val="en-US" w:eastAsia="zh-CN"/>
        </w:rPr>
        <w:t>设备冲洗废水、车辆冲洗水、搅拌生产废水</w:t>
      </w:r>
      <w:r>
        <w:rPr>
          <w:rFonts w:hint="eastAsia" w:eastAsia="方正仿宋简体" w:cs="方正仿宋简体"/>
          <w:kern w:val="0"/>
          <w:sz w:val="32"/>
          <w:szCs w:val="32"/>
          <w:lang w:val="en-US" w:eastAsia="zh-CN"/>
        </w:rPr>
        <w:t>和生活污水</w:t>
      </w:r>
      <w:r>
        <w:rPr>
          <w:rFonts w:hint="eastAsia" w:ascii="Times New Roman" w:hAnsi="Times New Roman" w:eastAsia="方正仿宋简体" w:cs="方正仿宋简体"/>
          <w:kern w:val="0"/>
          <w:sz w:val="32"/>
          <w:szCs w:val="32"/>
        </w:rPr>
        <w:t>。</w:t>
      </w:r>
      <w:r>
        <w:rPr>
          <w:rFonts w:hint="eastAsia" w:ascii="Times New Roman" w:hAnsi="Times New Roman" w:eastAsia="方正仿宋简体" w:cs="方正仿宋简体"/>
          <w:kern w:val="0"/>
          <w:sz w:val="32"/>
          <w:szCs w:val="32"/>
          <w:lang w:val="en-US" w:eastAsia="zh-CN"/>
        </w:rPr>
        <w:t>地坪、设备冲洗废水经</w:t>
      </w:r>
      <w:r>
        <w:rPr>
          <w:rFonts w:hint="eastAsia" w:eastAsia="方正仿宋简体" w:cs="方正仿宋简体"/>
          <w:color w:val="auto"/>
          <w:kern w:val="0"/>
          <w:sz w:val="32"/>
          <w:szCs w:val="32"/>
          <w:lang w:val="en-US" w:eastAsia="zh-CN"/>
        </w:rPr>
        <w:t>砂石分离机</w:t>
      </w:r>
      <w:r>
        <w:rPr>
          <w:rFonts w:hint="eastAsia" w:eastAsia="方正仿宋简体" w:cs="方正仿宋简体"/>
          <w:kern w:val="0"/>
          <w:sz w:val="32"/>
          <w:szCs w:val="32"/>
          <w:lang w:val="en-US" w:eastAsia="zh-CN"/>
        </w:rPr>
        <w:t>和</w:t>
      </w:r>
      <w:r>
        <w:rPr>
          <w:rFonts w:hint="eastAsia" w:ascii="Times New Roman" w:hAnsi="Times New Roman" w:eastAsia="方正仿宋简体" w:cs="方正仿宋简体"/>
          <w:color w:val="auto"/>
          <w:kern w:val="0"/>
          <w:sz w:val="32"/>
          <w:szCs w:val="32"/>
          <w:lang w:val="en-US" w:eastAsia="zh-CN"/>
        </w:rPr>
        <w:t>三级沉淀池</w:t>
      </w:r>
      <w:r>
        <w:rPr>
          <w:rFonts w:hint="eastAsia" w:ascii="Times New Roman" w:hAnsi="Times New Roman" w:eastAsia="方正仿宋简体" w:cs="方正仿宋简体"/>
          <w:kern w:val="0"/>
          <w:sz w:val="32"/>
          <w:szCs w:val="32"/>
          <w:lang w:val="en-US" w:eastAsia="zh-CN"/>
        </w:rPr>
        <w:t>处理后全部作为堆场及道路降尘用水，不外排</w:t>
      </w:r>
      <w:r>
        <w:rPr>
          <w:rFonts w:hint="eastAsia" w:ascii="Times New Roman" w:hAnsi="Times New Roman" w:eastAsia="方正仿宋简体" w:cs="方正仿宋简体"/>
          <w:kern w:val="0"/>
          <w:sz w:val="32"/>
          <w:szCs w:val="32"/>
          <w:lang w:eastAsia="zh-CN"/>
        </w:rPr>
        <w:t>；</w:t>
      </w:r>
      <w:r>
        <w:rPr>
          <w:rFonts w:hint="eastAsia" w:ascii="Times New Roman" w:hAnsi="Times New Roman" w:eastAsia="方正仿宋简体" w:cs="方正仿宋简体"/>
          <w:kern w:val="0"/>
          <w:sz w:val="32"/>
          <w:szCs w:val="32"/>
          <w:lang w:val="en-US" w:eastAsia="zh-CN"/>
        </w:rPr>
        <w:t>车辆冲洗产生的废水经</w:t>
      </w:r>
      <w:r>
        <w:rPr>
          <w:rFonts w:hint="eastAsia" w:ascii="Times New Roman" w:hAnsi="Times New Roman" w:eastAsia="方正仿宋简体" w:cs="方正仿宋简体"/>
          <w:color w:val="auto"/>
          <w:kern w:val="0"/>
          <w:sz w:val="32"/>
          <w:szCs w:val="32"/>
          <w:lang w:val="en-US" w:eastAsia="zh-CN"/>
        </w:rPr>
        <w:t>隔油池</w:t>
      </w:r>
      <w:r>
        <w:rPr>
          <w:rFonts w:hint="eastAsia" w:ascii="Times New Roman" w:hAnsi="Times New Roman" w:eastAsia="方正仿宋简体" w:cs="方正仿宋简体"/>
          <w:kern w:val="0"/>
          <w:sz w:val="32"/>
          <w:szCs w:val="32"/>
          <w:lang w:val="en-US" w:eastAsia="zh-CN"/>
        </w:rPr>
        <w:t>+三级沉淀池处理后循环利用，不外排</w:t>
      </w:r>
      <w:r>
        <w:rPr>
          <w:rFonts w:hint="eastAsia"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生活污水</w:t>
      </w:r>
      <w:r>
        <w:rPr>
          <w:rFonts w:hint="eastAsia" w:eastAsia="方正仿宋简体" w:cs="方正仿宋简体"/>
          <w:color w:val="auto"/>
          <w:kern w:val="0"/>
          <w:sz w:val="32"/>
          <w:szCs w:val="32"/>
          <w:lang w:val="en-US" w:eastAsia="zh-CN"/>
        </w:rPr>
        <w:t>经</w:t>
      </w:r>
      <w:r>
        <w:rPr>
          <w:rFonts w:hint="eastAsia" w:ascii="Times New Roman" w:hAnsi="Times New Roman" w:eastAsia="方正仿宋简体" w:cs="方正仿宋简体"/>
          <w:color w:val="auto"/>
          <w:kern w:val="0"/>
          <w:sz w:val="32"/>
          <w:szCs w:val="32"/>
          <w:lang w:val="en-US" w:eastAsia="zh-CN"/>
        </w:rPr>
        <w:t>化粪池处理，满足《污水综合排放标准》（GB8978-1996）三级标准</w:t>
      </w:r>
      <w:r>
        <w:rPr>
          <w:rFonts w:hint="eastAsia" w:eastAsia="方正仿宋简体" w:cs="方正仿宋简体"/>
          <w:color w:val="auto"/>
          <w:kern w:val="0"/>
          <w:sz w:val="32"/>
          <w:szCs w:val="32"/>
          <w:lang w:val="en-US" w:eastAsia="zh-CN"/>
        </w:rPr>
        <w:t>后，定期</w:t>
      </w:r>
      <w:r>
        <w:rPr>
          <w:rFonts w:hint="eastAsia" w:ascii="Times New Roman" w:hAnsi="Times New Roman" w:eastAsia="方正仿宋简体" w:cs="方正仿宋简体"/>
          <w:color w:val="auto"/>
          <w:kern w:val="0"/>
          <w:sz w:val="32"/>
          <w:szCs w:val="32"/>
          <w:lang w:val="en-US" w:eastAsia="zh-CN"/>
        </w:rPr>
        <w:t>由吸污车定期拉运至沙雅县兴雅污水处理厂进行处理。</w:t>
      </w:r>
    </w:p>
    <w:p w14:paraId="5DD89D10">
      <w:pPr>
        <w:pStyle w:val="34"/>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color w:val="auto"/>
          <w:sz w:val="32"/>
          <w:szCs w:val="32"/>
        </w:rPr>
      </w:pPr>
      <w:r>
        <w:rPr>
          <w:rFonts w:ascii="Times New Roman" w:hAnsi="Times New Roman" w:eastAsia="方正楷体简体" w:cs="方正楷体简体"/>
          <w:color w:val="auto"/>
          <w:sz w:val="32"/>
          <w:szCs w:val="32"/>
          <w:lang w:val="zh-CN"/>
        </w:rPr>
        <w:t>（四）严格落实噪声污染防治措施。</w:t>
      </w:r>
      <w:r>
        <w:rPr>
          <w:rFonts w:hint="eastAsia" w:ascii="Times New Roman" w:hAnsi="Times New Roman" w:eastAsia="方正仿宋简体" w:cs="方正仿宋简体"/>
          <w:color w:val="auto"/>
          <w:sz w:val="32"/>
          <w:szCs w:val="32"/>
        </w:rPr>
        <w:t>该项目运营期产生的噪声主要</w:t>
      </w:r>
      <w:r>
        <w:rPr>
          <w:rFonts w:hint="eastAsia" w:ascii="Times New Roman" w:hAnsi="Times New Roman" w:eastAsia="方正仿宋简体" w:cs="方正仿宋简体"/>
          <w:color w:val="auto"/>
          <w:sz w:val="32"/>
          <w:szCs w:val="32"/>
          <w:lang w:val="en-US" w:eastAsia="zh-CN"/>
        </w:rPr>
        <w:t>为各种设备运行过程产生的噪声</w:t>
      </w:r>
      <w:r>
        <w:rPr>
          <w:rFonts w:hint="eastAsia" w:ascii="Times New Roman" w:hAnsi="Times New Roman" w:eastAsia="方正仿宋简体" w:cs="方正仿宋简体"/>
          <w:color w:val="auto"/>
          <w:sz w:val="32"/>
          <w:szCs w:val="32"/>
        </w:rPr>
        <w:t>。通过合理布局各产噪设备，选用先进可靠的低噪声设备；对强噪声设备加装隔声罩，采取基础减振措施；定期维护设备，使之处于良好的运行状态；厂区四周种植绿化带起隔声降噪作用等措施，确保厂界噪声排放满足《工业企业厂界环境噪声排放标准》（GB12348-2008）中2类标准要求。</w:t>
      </w:r>
    </w:p>
    <w:p w14:paraId="06F2E45D">
      <w:pPr>
        <w:pStyle w:val="34"/>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color w:val="0000FF"/>
          <w:sz w:val="32"/>
          <w:szCs w:val="32"/>
        </w:rPr>
      </w:pPr>
      <w:r>
        <w:rPr>
          <w:rFonts w:ascii="Times New Roman" w:hAnsi="Times New Roman" w:eastAsia="方正楷体简体" w:cs="方正楷体简体"/>
          <w:color w:val="auto"/>
          <w:sz w:val="32"/>
          <w:szCs w:val="32"/>
          <w:lang w:val="zh-CN"/>
        </w:rPr>
        <w:t>（五）严格落实固体废物分类处置措施。</w:t>
      </w:r>
      <w:r>
        <w:rPr>
          <w:rFonts w:hint="eastAsia" w:ascii="Times New Roman" w:hAnsi="Times New Roman" w:eastAsia="方正仿宋简体" w:cs="方正仿宋简体"/>
          <w:color w:val="auto"/>
          <w:sz w:val="32"/>
          <w:szCs w:val="32"/>
        </w:rPr>
        <w:t>该项目运营期固废主要为</w:t>
      </w:r>
      <w:r>
        <w:rPr>
          <w:rFonts w:hint="eastAsia" w:ascii="Times New Roman" w:hAnsi="Times New Roman" w:eastAsia="方正仿宋简体" w:cs="方正仿宋简体"/>
          <w:color w:val="auto"/>
          <w:sz w:val="32"/>
          <w:szCs w:val="32"/>
          <w:lang w:val="en-US" w:eastAsia="zh-CN"/>
        </w:rPr>
        <w:t>废润滑油、废导热油、废活性炭、废焦油、隔油池油泥</w:t>
      </w:r>
      <w:r>
        <w:rPr>
          <w:rFonts w:hint="eastAsia" w:eastAsia="方正仿宋简体" w:cs="方正仿宋简体"/>
          <w:color w:val="auto"/>
          <w:sz w:val="32"/>
          <w:szCs w:val="32"/>
          <w:lang w:val="en-US" w:eastAsia="zh-CN"/>
        </w:rPr>
        <w:t>等危险废物；除尘粉尘、搅拌机和地面冲洗沉淀池清理出的沉渣、实验室废料、废石料、滴漏沥青及拌和残渣等一般固体废物和生活垃圾。</w:t>
      </w:r>
      <w:r>
        <w:rPr>
          <w:rFonts w:hint="eastAsia" w:ascii="Times New Roman" w:hAnsi="Times New Roman" w:eastAsia="方正仿宋简体" w:cs="方正仿宋简体"/>
          <w:color w:val="auto"/>
          <w:sz w:val="32"/>
          <w:szCs w:val="32"/>
          <w:lang w:val="en-US" w:eastAsia="zh-CN"/>
        </w:rPr>
        <w:t>危险废物</w:t>
      </w:r>
      <w:r>
        <w:rPr>
          <w:rFonts w:hint="eastAsia" w:eastAsia="方正仿宋简体" w:cs="方正仿宋简体"/>
          <w:color w:val="auto"/>
          <w:sz w:val="32"/>
          <w:szCs w:val="32"/>
          <w:lang w:val="en-US" w:eastAsia="zh-CN"/>
        </w:rPr>
        <w:t>收集后</w:t>
      </w:r>
      <w:r>
        <w:rPr>
          <w:rFonts w:hint="eastAsia" w:ascii="Times New Roman" w:hAnsi="Times New Roman" w:eastAsia="方正仿宋简体" w:cs="方正仿宋简体"/>
          <w:color w:val="auto"/>
          <w:sz w:val="32"/>
          <w:szCs w:val="32"/>
          <w:lang w:val="en-US" w:eastAsia="zh-CN"/>
        </w:rPr>
        <w:t>分类暂存于危险废物暂存间，定期交由资质单位处置</w:t>
      </w:r>
      <w:r>
        <w:rPr>
          <w:rFonts w:hint="eastAsia" w:ascii="Times New Roman" w:hAnsi="Times New Roman" w:eastAsia="方正仿宋简体" w:cs="方正仿宋简体"/>
          <w:color w:val="auto"/>
          <w:sz w:val="32"/>
          <w:szCs w:val="32"/>
        </w:rPr>
        <w:t>，</w:t>
      </w:r>
      <w:r>
        <w:rPr>
          <w:rFonts w:hint="eastAsia" w:eastAsia="方正仿宋简体" w:cs="方正仿宋简体"/>
          <w:color w:val="auto"/>
          <w:sz w:val="32"/>
          <w:szCs w:val="32"/>
          <w:lang w:val="en-US" w:eastAsia="zh-CN"/>
        </w:rPr>
        <w:t>严格执行危险废物转移联单制度，按照《危险废物贮存污染控制标准》（GB18597-2023）建设和管理危险废物暂存间。一般固体废物分类暂存于一般固体废物暂存间，废石料由石料供应商定期回收破碎后重新利用，沉淀渣、除尘灰、滴漏沥青及拌和残渣收集后回用于生产，实验室废料集中收集后委托园区环卫清运至建筑垃圾填埋场处理。</w:t>
      </w:r>
      <w:r>
        <w:rPr>
          <w:rFonts w:hint="eastAsia" w:ascii="Times New Roman" w:hAnsi="Times New Roman" w:eastAsia="方正仿宋简体" w:cs="方正仿宋简体"/>
          <w:color w:val="auto"/>
          <w:sz w:val="32"/>
          <w:szCs w:val="32"/>
        </w:rPr>
        <w:t>生活垃圾集中收集后由环卫部门统一清运至垃圾填埋场填埋处理。</w:t>
      </w:r>
    </w:p>
    <w:p w14:paraId="38EC304E">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2312"/>
          <w:kern w:val="0"/>
          <w:sz w:val="32"/>
          <w:szCs w:val="32"/>
        </w:rPr>
      </w:pPr>
      <w:r>
        <w:rPr>
          <w:rFonts w:ascii="Times New Roman" w:hAnsi="Times New Roman" w:eastAsia="方正楷体简体" w:cs="方正楷体简体"/>
          <w:kern w:val="0"/>
          <w:sz w:val="32"/>
          <w:szCs w:val="32"/>
          <w:lang w:val="zh-CN"/>
        </w:rPr>
        <w:t>（六）严格落实地下水和土壤污染防治措施。</w:t>
      </w:r>
      <w:r>
        <w:rPr>
          <w:rFonts w:hint="eastAsia" w:ascii="Times New Roman" w:hAnsi="Times New Roman" w:eastAsia="方正仿宋简体" w:cs="方正仿宋简体"/>
          <w:sz w:val="32"/>
          <w:szCs w:val="32"/>
        </w:rPr>
        <w:t>根据《环境影响评价技术导则 地下水环境》（HJ610-2016）的要求，将厂区划分为重点防渗区、一般防渗区、简单防渗区。重点防渗区为危废暂存间</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沥青混凝土生产区域</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柴油罐区</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沥青罐区</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rPr>
        <w:t>粉煤灰筒仓</w:t>
      </w:r>
      <w:r>
        <w:rPr>
          <w:rFonts w:hint="eastAsia" w:eastAsia="方正仿宋简体" w:cs="方正仿宋简体"/>
          <w:sz w:val="32"/>
          <w:szCs w:val="32"/>
          <w:lang w:eastAsia="zh-CN"/>
        </w:rPr>
        <w:t>、</w:t>
      </w:r>
      <w:r>
        <w:rPr>
          <w:rFonts w:hint="eastAsia" w:eastAsia="方正仿宋简体" w:cs="方正仿宋简体"/>
          <w:sz w:val="32"/>
          <w:szCs w:val="32"/>
          <w:lang w:val="en-US" w:eastAsia="zh-CN"/>
        </w:rPr>
        <w:t>隔油池、</w:t>
      </w:r>
      <w:r>
        <w:rPr>
          <w:rFonts w:hint="eastAsia" w:eastAsia="方正仿宋简体" w:cs="方正仿宋简体"/>
          <w:sz w:val="32"/>
          <w:szCs w:val="32"/>
          <w:lang w:eastAsia="zh-CN"/>
        </w:rPr>
        <w:t>沉淀池，</w:t>
      </w:r>
      <w:r>
        <w:rPr>
          <w:rFonts w:hint="eastAsia" w:ascii="Times New Roman" w:hAnsi="Times New Roman" w:eastAsia="方正仿宋简体" w:cs="方正仿宋简体"/>
          <w:sz w:val="32"/>
          <w:szCs w:val="32"/>
        </w:rPr>
        <w:t>防渗要求为等效</w:t>
      </w:r>
      <w:r>
        <w:rPr>
          <w:rFonts w:hint="eastAsia" w:eastAsia="方正仿宋简体" w:cs="方正仿宋简体"/>
          <w:sz w:val="32"/>
          <w:szCs w:val="32"/>
          <w:lang w:val="en-US" w:eastAsia="zh-CN"/>
        </w:rPr>
        <w:t>黏</w:t>
      </w:r>
      <w:r>
        <w:rPr>
          <w:rFonts w:hint="eastAsia" w:ascii="Times New Roman" w:hAnsi="Times New Roman" w:eastAsia="方正仿宋简体" w:cs="方正仿宋简体"/>
          <w:sz w:val="32"/>
          <w:szCs w:val="32"/>
        </w:rPr>
        <w:t>土防渗层Mb≥6米，K≤1×10</w:t>
      </w:r>
      <w:r>
        <w:rPr>
          <w:rFonts w:hint="eastAsia" w:ascii="Times New Roman" w:hAnsi="Times New Roman" w:eastAsia="方正仿宋简体" w:cs="方正仿宋简体"/>
          <w:sz w:val="32"/>
          <w:szCs w:val="32"/>
          <w:vertAlign w:val="superscript"/>
        </w:rPr>
        <w:t>-</w:t>
      </w:r>
      <w:r>
        <w:rPr>
          <w:rFonts w:hint="eastAsia" w:ascii="Times New Roman" w:hAnsi="Times New Roman" w:eastAsia="方正仿宋简体" w:cs="方正仿宋简体"/>
          <w:sz w:val="32"/>
          <w:szCs w:val="32"/>
          <w:vertAlign w:val="superscript"/>
          <w:lang w:val="en-US" w:eastAsia="zh-CN"/>
        </w:rPr>
        <w:t>7</w:t>
      </w:r>
      <w:r>
        <w:rPr>
          <w:rFonts w:hint="eastAsia" w:ascii="Times New Roman" w:hAnsi="Times New Roman" w:eastAsia="方正仿宋简体" w:cs="方正仿宋简体"/>
          <w:sz w:val="32"/>
          <w:szCs w:val="32"/>
        </w:rPr>
        <w:t>厘米/秒；一般防渗区为化粪池，防渗等级为等效</w:t>
      </w:r>
      <w:r>
        <w:rPr>
          <w:rFonts w:hint="eastAsia" w:eastAsia="方正仿宋简体" w:cs="方正仿宋简体"/>
          <w:sz w:val="32"/>
          <w:szCs w:val="32"/>
          <w:lang w:val="en-US" w:eastAsia="zh-CN"/>
        </w:rPr>
        <w:t>黏</w:t>
      </w:r>
      <w:r>
        <w:rPr>
          <w:rFonts w:hint="eastAsia" w:ascii="Times New Roman" w:hAnsi="Times New Roman" w:eastAsia="方正仿宋简体" w:cs="方正仿宋简体"/>
          <w:sz w:val="32"/>
          <w:szCs w:val="32"/>
        </w:rPr>
        <w:t>土防渗层Mb≥1.5米，K≤1×10</w:t>
      </w:r>
      <w:r>
        <w:rPr>
          <w:rFonts w:hint="eastAsia" w:ascii="Times New Roman" w:hAnsi="Times New Roman" w:eastAsia="方正仿宋简体" w:cs="方正仿宋简体"/>
          <w:sz w:val="32"/>
          <w:szCs w:val="32"/>
          <w:vertAlign w:val="superscript"/>
        </w:rPr>
        <w:t>-7</w:t>
      </w:r>
      <w:r>
        <w:rPr>
          <w:rFonts w:hint="eastAsia" w:ascii="Times New Roman" w:hAnsi="Times New Roman" w:eastAsia="方正仿宋简体" w:cs="方正仿宋简体"/>
          <w:sz w:val="32"/>
          <w:szCs w:val="32"/>
        </w:rPr>
        <w:t>厘米/秒；办公区和道路</w:t>
      </w:r>
      <w:r>
        <w:rPr>
          <w:rFonts w:hint="eastAsia" w:ascii="Times New Roman" w:hAnsi="Times New Roman" w:eastAsia="方正仿宋简体" w:cs="方正仿宋简体"/>
          <w:sz w:val="32"/>
          <w:szCs w:val="32"/>
          <w:lang w:val="en-US" w:eastAsia="zh-CN"/>
        </w:rPr>
        <w:t>等其他区域</w:t>
      </w:r>
      <w:r>
        <w:rPr>
          <w:rFonts w:hint="eastAsia" w:ascii="Times New Roman" w:hAnsi="Times New Roman" w:eastAsia="方正仿宋简体" w:cs="方正仿宋简体"/>
          <w:sz w:val="32"/>
          <w:szCs w:val="32"/>
        </w:rPr>
        <w:t>为简单防渗区，采取一般地面硬化的措施。</w:t>
      </w:r>
    </w:p>
    <w:p w14:paraId="307047DA">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方正仿宋简体"/>
        </w:rPr>
      </w:pPr>
      <w:r>
        <w:rPr>
          <w:rFonts w:ascii="Times New Roman" w:hAnsi="Times New Roman" w:eastAsia="方正楷体简体" w:cs="方正楷体简体"/>
          <w:kern w:val="0"/>
          <w:sz w:val="32"/>
          <w:szCs w:val="32"/>
          <w:lang w:val="zh-CN"/>
        </w:rPr>
        <w:t>（七）加强项目环境风险防范。</w:t>
      </w:r>
      <w:r>
        <w:rPr>
          <w:rFonts w:hint="eastAsia" w:ascii="Times New Roman" w:hAnsi="Times New Roman" w:eastAsia="方正仿宋简体" w:cs="方正仿宋简体"/>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加强环境应急物资储备和环境应急队伍的建设，及时对环境应急预案进行完善，确保应急措施落实到位。</w:t>
      </w:r>
    </w:p>
    <w:p w14:paraId="72F4D4D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黑体简体" w:cs="方正黑体简体"/>
          <w:kern w:val="0"/>
          <w:sz w:val="32"/>
          <w:szCs w:val="32"/>
          <w:lang w:val="zh-CN"/>
        </w:rPr>
        <w:t>四、</w:t>
      </w:r>
      <w:r>
        <w:rPr>
          <w:rFonts w:hint="eastAsia" w:ascii="Times New Roman" w:hAnsi="Times New Roman" w:eastAsia="方正仿宋简体" w:cs="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A618C07">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黑体简体" w:cs="方正黑体简体"/>
          <w:kern w:val="0"/>
          <w:sz w:val="32"/>
          <w:szCs w:val="32"/>
          <w:lang w:val="zh-CN"/>
        </w:rPr>
        <w:t>五、</w:t>
      </w:r>
      <w:r>
        <w:rPr>
          <w:rFonts w:hint="eastAsia" w:ascii="Times New Roman" w:hAnsi="Times New Roman" w:eastAsia="方正仿宋简体" w:cs="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1091BEFE">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黑体简体" w:cs="方正黑体简体"/>
          <w:kern w:val="0"/>
          <w:sz w:val="32"/>
          <w:szCs w:val="32"/>
          <w:lang w:val="zh-CN"/>
        </w:rPr>
        <w:t>六、</w:t>
      </w:r>
      <w:r>
        <w:rPr>
          <w:rFonts w:hint="eastAsia" w:ascii="Times New Roman" w:hAnsi="Times New Roman"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6D82F119">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黑体简体" w:cs="方正黑体简体"/>
          <w:kern w:val="0"/>
          <w:sz w:val="32"/>
          <w:szCs w:val="32"/>
          <w:lang w:val="zh-CN"/>
        </w:rPr>
        <w:t>七、</w:t>
      </w:r>
      <w:r>
        <w:rPr>
          <w:rFonts w:hint="eastAsia" w:ascii="Times New Roman" w:hAnsi="Times New Roman" w:eastAsia="方正仿宋简体" w:cs="方正仿宋简体"/>
          <w:kern w:val="0"/>
          <w:sz w:val="32"/>
          <w:szCs w:val="32"/>
          <w:lang w:val="zh-CN" w:eastAsia="zh-CN"/>
        </w:rPr>
        <w:t>兵地融合发展库沙新拜产业园</w:t>
      </w:r>
      <w:r>
        <w:rPr>
          <w:rFonts w:hint="eastAsia" w:ascii="Times New Roman" w:hAnsi="Times New Roman" w:eastAsia="方正仿宋简体" w:cs="方正仿宋简体"/>
          <w:kern w:val="0"/>
          <w:sz w:val="32"/>
          <w:szCs w:val="32"/>
          <w:lang w:val="zh-CN"/>
        </w:rPr>
        <w:t>积极发挥政府职能，做好该项目环境保护管理工作，师市生态环境保护综合行政执法支队做好该项目的抽查</w:t>
      </w:r>
      <w:r>
        <w:rPr>
          <w:rFonts w:hint="eastAsia" w:eastAsia="方正仿宋简体" w:cs="方正仿宋简体"/>
          <w:kern w:val="0"/>
          <w:sz w:val="32"/>
          <w:szCs w:val="32"/>
          <w:lang w:val="en-US" w:eastAsia="zh-CN"/>
        </w:rPr>
        <w:t>及</w:t>
      </w:r>
      <w:r>
        <w:rPr>
          <w:rFonts w:hint="eastAsia" w:ascii="Times New Roman" w:hAnsi="Times New Roman" w:eastAsia="方正仿宋简体" w:cs="方正仿宋简体"/>
          <w:kern w:val="0"/>
          <w:sz w:val="32"/>
          <w:szCs w:val="32"/>
          <w:lang w:val="zh-CN"/>
        </w:rPr>
        <w:t>日常监督管理工作</w:t>
      </w:r>
      <w:r>
        <w:rPr>
          <w:rFonts w:hint="eastAsia" w:ascii="Times New Roman" w:hAnsi="Times New Roman" w:eastAsia="方正仿宋简体" w:cs="方正仿宋简体"/>
          <w:kern w:val="0"/>
          <w:sz w:val="32"/>
          <w:szCs w:val="32"/>
        </w:rPr>
        <w:t>。</w:t>
      </w:r>
    </w:p>
    <w:p w14:paraId="0C3FC8FE">
      <w:pPr>
        <w:pStyle w:val="19"/>
        <w:keepNext w:val="0"/>
        <w:keepLines w:val="0"/>
        <w:pageBreakBefore w:val="0"/>
        <w:kinsoku/>
        <w:wordWrap/>
        <w:overflowPunct/>
        <w:topLinePunct w:val="0"/>
        <w:autoSpaceDE/>
        <w:autoSpaceDN/>
        <w:bidi w:val="0"/>
        <w:spacing w:after="0" w:line="560" w:lineRule="exact"/>
        <w:ind w:left="0" w:leftChars="0" w:firstLine="640"/>
        <w:textAlignment w:val="auto"/>
        <w:rPr>
          <w:rFonts w:hint="eastAsia" w:ascii="Times New Roman" w:hAnsi="Times New Roman" w:eastAsia="方正仿宋简体" w:cs="方正仿宋简体"/>
          <w:kern w:val="0"/>
          <w:sz w:val="30"/>
          <w:szCs w:val="30"/>
        </w:rPr>
      </w:pPr>
      <w:r>
        <w:rPr>
          <w:rFonts w:hint="eastAsia" w:ascii="Times New Roman" w:hAnsi="Times New Roman" w:eastAsia="方正仿宋简体" w:cs="方正仿宋简体"/>
          <w:kern w:val="0"/>
          <w:sz w:val="32"/>
          <w:szCs w:val="32"/>
        </w:rPr>
        <w:t>如你单位对本审批决定有不同意见，可在接到本决定书之日起六十日内向</w:t>
      </w:r>
      <w:r>
        <w:rPr>
          <w:rFonts w:hint="eastAsia" w:ascii="Times New Roman" w:hAnsi="Times New Roman" w:eastAsia="方正仿宋简体" w:cs="方正仿宋简体"/>
          <w:kern w:val="0"/>
          <w:sz w:val="30"/>
          <w:szCs w:val="30"/>
        </w:rPr>
        <w:t>阿拉尔市人民政府申请行政复议，也可在六个月内依法向阿拉尔垦区人民法院起诉。</w:t>
      </w:r>
    </w:p>
    <w:p w14:paraId="78A8B44A">
      <w:pPr>
        <w:keepNext w:val="0"/>
        <w:keepLines w:val="0"/>
        <w:pageBreakBefore w:val="0"/>
        <w:widowControl/>
        <w:kinsoku/>
        <w:wordWrap/>
        <w:overflowPunct/>
        <w:topLinePunct w:val="0"/>
        <w:autoSpaceDE/>
        <w:autoSpaceDN/>
        <w:bidi w:val="0"/>
        <w:spacing w:line="560" w:lineRule="exact"/>
        <w:ind w:firstLine="4800" w:firstLineChars="1500"/>
        <w:textAlignment w:val="auto"/>
        <w:rPr>
          <w:rFonts w:hint="eastAsia" w:ascii="Times New Roman" w:hAnsi="Times New Roman" w:eastAsia="方正仿宋简体" w:cs="方正仿宋简体"/>
          <w:kern w:val="0"/>
          <w:sz w:val="32"/>
          <w:szCs w:val="32"/>
        </w:rPr>
      </w:pPr>
    </w:p>
    <w:p w14:paraId="5FE30C2E">
      <w:pPr>
        <w:keepNext w:val="0"/>
        <w:keepLines w:val="0"/>
        <w:pageBreakBefore w:val="0"/>
        <w:widowControl/>
        <w:kinsoku/>
        <w:wordWrap/>
        <w:overflowPunct/>
        <w:topLinePunct w:val="0"/>
        <w:autoSpaceDE/>
        <w:autoSpaceDN/>
        <w:bidi w:val="0"/>
        <w:spacing w:line="560" w:lineRule="exact"/>
        <w:textAlignment w:val="auto"/>
        <w:rPr>
          <w:rFonts w:hint="eastAsia" w:ascii="Times New Roman" w:hAnsi="Times New Roman" w:eastAsia="方正仿宋简体" w:cs="方正仿宋简体"/>
          <w:kern w:val="0"/>
          <w:sz w:val="32"/>
          <w:szCs w:val="32"/>
        </w:rPr>
      </w:pPr>
    </w:p>
    <w:p w14:paraId="7F07CAA0">
      <w:pPr>
        <w:keepNext w:val="0"/>
        <w:keepLines w:val="0"/>
        <w:pageBreakBefore w:val="0"/>
        <w:widowControl/>
        <w:kinsoku/>
        <w:wordWrap/>
        <w:overflowPunct/>
        <w:topLinePunct w:val="0"/>
        <w:autoSpaceDE/>
        <w:autoSpaceDN/>
        <w:bidi w:val="0"/>
        <w:spacing w:line="560" w:lineRule="exact"/>
        <w:ind w:firstLine="4800" w:firstLineChars="150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仿宋简体" w:cs="方正仿宋简体"/>
          <w:kern w:val="0"/>
          <w:sz w:val="32"/>
          <w:szCs w:val="32"/>
        </w:rPr>
        <w:t>第一师阿拉尔市生态环境局</w:t>
      </w:r>
    </w:p>
    <w:p w14:paraId="26E28AD7">
      <w:pPr>
        <w:keepNext w:val="0"/>
        <w:keepLines w:val="0"/>
        <w:pageBreakBefore w:val="0"/>
        <w:widowControl/>
        <w:kinsoku/>
        <w:wordWrap/>
        <w:overflowPunct/>
        <w:topLinePunct w:val="0"/>
        <w:autoSpaceDE/>
        <w:autoSpaceDN/>
        <w:bidi w:val="0"/>
        <w:spacing w:line="560" w:lineRule="exact"/>
        <w:ind w:firstLine="5600" w:firstLineChars="175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仿宋简体" w:cs="方正仿宋简体"/>
          <w:kern w:val="0"/>
          <w:sz w:val="32"/>
          <w:szCs w:val="32"/>
        </w:rPr>
        <w:t>2025年</w:t>
      </w:r>
      <w:r>
        <w:rPr>
          <w:rFonts w:hint="eastAsia" w:eastAsia="方正仿宋简体" w:cs="方正仿宋简体"/>
          <w:kern w:val="0"/>
          <w:sz w:val="32"/>
          <w:szCs w:val="32"/>
          <w:lang w:val="en-US" w:eastAsia="zh-CN"/>
        </w:rPr>
        <w:t>11</w:t>
      </w:r>
      <w:r>
        <w:rPr>
          <w:rFonts w:hint="eastAsia" w:ascii="Times New Roman" w:hAnsi="Times New Roman" w:eastAsia="方正仿宋简体" w:cs="方正仿宋简体"/>
          <w:kern w:val="0"/>
          <w:sz w:val="32"/>
          <w:szCs w:val="32"/>
        </w:rPr>
        <w:t>月</w:t>
      </w:r>
      <w:r>
        <w:rPr>
          <w:rFonts w:hint="eastAsia" w:eastAsia="方正仿宋简体" w:cs="方正仿宋简体"/>
          <w:kern w:val="0"/>
          <w:sz w:val="32"/>
          <w:szCs w:val="32"/>
          <w:lang w:val="en-US" w:eastAsia="zh-CN"/>
        </w:rPr>
        <w:t>7</w:t>
      </w:r>
      <w:r>
        <w:rPr>
          <w:rFonts w:hint="eastAsia" w:ascii="Times New Roman" w:hAnsi="Times New Roman" w:eastAsia="方正仿宋简体" w:cs="方正仿宋简体"/>
          <w:kern w:val="0"/>
          <w:sz w:val="32"/>
          <w:szCs w:val="32"/>
        </w:rPr>
        <w:t>日</w:t>
      </w:r>
    </w:p>
    <w:p w14:paraId="745E97A0">
      <w:pPr>
        <w:keepNext w:val="0"/>
        <w:keepLines w:val="0"/>
        <w:pageBreakBefore w:val="0"/>
        <w:widowControl/>
        <w:kinsoku/>
        <w:wordWrap w:val="0"/>
        <w:overflowPunct/>
        <w:topLinePunct w:val="0"/>
        <w:autoSpaceDE/>
        <w:autoSpaceDN/>
        <w:bidi w:val="0"/>
        <w:spacing w:line="560" w:lineRule="exact"/>
        <w:ind w:firstLine="5600" w:firstLineChars="1750"/>
        <w:textAlignment w:val="auto"/>
        <w:rPr>
          <w:rFonts w:hint="eastAsia" w:ascii="Times New Roman" w:hAnsi="Times New Roman" w:eastAsia="方正仿宋简体" w:cs="方正仿宋简体"/>
          <w:kern w:val="0"/>
          <w:sz w:val="32"/>
          <w:szCs w:val="32"/>
        </w:rPr>
      </w:pPr>
    </w:p>
    <w:p w14:paraId="0097AE48">
      <w:pPr>
        <w:wordWrap w:val="0"/>
        <w:spacing w:line="540" w:lineRule="exact"/>
        <w:rPr>
          <w:rFonts w:hint="eastAsia" w:ascii="Times New Roman" w:hAnsi="Times New Roman" w:eastAsia="方正仿宋简体" w:cs="方正仿宋简体"/>
        </w:rPr>
      </w:pPr>
    </w:p>
    <w:p w14:paraId="6F9BCD2E">
      <w:pPr>
        <w:wordWrap w:val="0"/>
        <w:spacing w:line="540" w:lineRule="exact"/>
        <w:rPr>
          <w:rFonts w:hint="eastAsia" w:ascii="Times New Roman" w:hAnsi="Times New Roman" w:eastAsia="方正仿宋简体" w:cs="方正仿宋简体"/>
        </w:rPr>
      </w:pPr>
    </w:p>
    <w:p w14:paraId="4AB33A2C">
      <w:pPr>
        <w:wordWrap w:val="0"/>
        <w:spacing w:line="540" w:lineRule="exact"/>
        <w:rPr>
          <w:rFonts w:hint="eastAsia" w:ascii="Times New Roman" w:hAnsi="Times New Roman" w:eastAsia="方正仿宋简体" w:cs="方正仿宋简体"/>
        </w:rPr>
      </w:pPr>
    </w:p>
    <w:p w14:paraId="2CB60AB1">
      <w:pPr>
        <w:wordWrap w:val="0"/>
        <w:spacing w:line="540" w:lineRule="exact"/>
        <w:rPr>
          <w:rFonts w:hint="eastAsia" w:ascii="Times New Roman" w:hAnsi="Times New Roman" w:eastAsia="方正仿宋简体" w:cs="方正仿宋简体"/>
        </w:rPr>
      </w:pPr>
    </w:p>
    <w:p w14:paraId="443B2C6B">
      <w:pPr>
        <w:wordWrap w:val="0"/>
        <w:spacing w:line="540" w:lineRule="exact"/>
        <w:rPr>
          <w:rFonts w:hint="eastAsia" w:ascii="Times New Roman" w:hAnsi="Times New Roman" w:eastAsia="方正仿宋简体" w:cs="方正仿宋简体"/>
        </w:rPr>
      </w:pPr>
    </w:p>
    <w:p w14:paraId="40345980">
      <w:pPr>
        <w:wordWrap w:val="0"/>
        <w:spacing w:line="540" w:lineRule="exact"/>
        <w:rPr>
          <w:rFonts w:hint="eastAsia" w:ascii="Times New Roman" w:hAnsi="Times New Roman" w:eastAsia="方正仿宋简体" w:cs="方正仿宋简体"/>
        </w:rPr>
      </w:pPr>
    </w:p>
    <w:p w14:paraId="7857CB8C">
      <w:pPr>
        <w:wordWrap w:val="0"/>
        <w:spacing w:line="540" w:lineRule="exact"/>
        <w:rPr>
          <w:rFonts w:hint="eastAsia" w:ascii="Times New Roman" w:hAnsi="Times New Roman" w:eastAsia="方正仿宋简体" w:cs="方正仿宋简体"/>
        </w:rPr>
      </w:pPr>
    </w:p>
    <w:p w14:paraId="671CA381">
      <w:pPr>
        <w:wordWrap w:val="0"/>
        <w:spacing w:line="540" w:lineRule="exact"/>
        <w:rPr>
          <w:rFonts w:hint="eastAsia" w:ascii="Times New Roman" w:hAnsi="Times New Roman" w:eastAsia="方正仿宋简体" w:cs="方正仿宋简体"/>
        </w:rPr>
      </w:pPr>
    </w:p>
    <w:p w14:paraId="08406931">
      <w:pPr>
        <w:wordWrap w:val="0"/>
        <w:spacing w:line="540" w:lineRule="exact"/>
        <w:rPr>
          <w:rFonts w:hint="eastAsia" w:ascii="Times New Roman" w:hAnsi="Times New Roman" w:eastAsia="方正仿宋简体" w:cs="方正仿宋简体"/>
        </w:rPr>
      </w:pPr>
    </w:p>
    <w:p w14:paraId="3B96B72D">
      <w:pPr>
        <w:wordWrap w:val="0"/>
        <w:spacing w:line="540" w:lineRule="exact"/>
        <w:rPr>
          <w:rFonts w:hint="eastAsia" w:ascii="Times New Roman" w:hAnsi="Times New Roman" w:eastAsia="方正仿宋简体" w:cs="方正仿宋简体"/>
        </w:rPr>
      </w:pPr>
    </w:p>
    <w:p w14:paraId="5DA6DE53">
      <w:pPr>
        <w:wordWrap w:val="0"/>
        <w:spacing w:line="540" w:lineRule="exact"/>
        <w:rPr>
          <w:rFonts w:hint="eastAsia" w:ascii="Times New Roman" w:hAnsi="Times New Roman" w:eastAsia="方正仿宋简体" w:cs="方正仿宋简体"/>
        </w:rPr>
      </w:pPr>
    </w:p>
    <w:p w14:paraId="6F829AA4">
      <w:pPr>
        <w:wordWrap w:val="0"/>
        <w:spacing w:line="540" w:lineRule="exact"/>
        <w:rPr>
          <w:rFonts w:hint="eastAsia" w:ascii="Times New Roman" w:hAnsi="Times New Roman" w:eastAsia="方正仿宋简体" w:cs="方正仿宋简体"/>
        </w:rPr>
      </w:pPr>
    </w:p>
    <w:p w14:paraId="2A7A538B">
      <w:pPr>
        <w:wordWrap w:val="0"/>
        <w:spacing w:line="540" w:lineRule="exact"/>
        <w:rPr>
          <w:rFonts w:hint="eastAsia" w:ascii="Times New Roman" w:hAnsi="Times New Roman" w:eastAsia="方正仿宋简体" w:cs="方正仿宋简体"/>
        </w:rPr>
      </w:pPr>
    </w:p>
    <w:p w14:paraId="4D4EFAF5">
      <w:pPr>
        <w:wordWrap w:val="0"/>
        <w:spacing w:line="540" w:lineRule="exact"/>
        <w:rPr>
          <w:rFonts w:hint="eastAsia" w:ascii="Times New Roman" w:hAnsi="Times New Roman" w:eastAsia="方正仿宋简体" w:cs="方正仿宋简体"/>
        </w:rPr>
      </w:pPr>
    </w:p>
    <w:p w14:paraId="0F5570DD">
      <w:pPr>
        <w:wordWrap w:val="0"/>
        <w:spacing w:line="540" w:lineRule="exact"/>
        <w:rPr>
          <w:rFonts w:hint="eastAsia" w:ascii="Times New Roman" w:hAnsi="Times New Roman" w:eastAsia="方正仿宋简体" w:cs="方正仿宋简体"/>
        </w:rPr>
      </w:pPr>
    </w:p>
    <w:p w14:paraId="0AF8A8E8">
      <w:pPr>
        <w:wordWrap w:val="0"/>
        <w:spacing w:line="540" w:lineRule="exact"/>
        <w:rPr>
          <w:rFonts w:hint="eastAsia" w:ascii="Times New Roman" w:hAnsi="Times New Roman" w:eastAsia="方正仿宋简体" w:cs="方正仿宋简体"/>
        </w:rPr>
      </w:pPr>
    </w:p>
    <w:p w14:paraId="11C2C5DF">
      <w:pPr>
        <w:wordWrap w:val="0"/>
        <w:spacing w:line="540" w:lineRule="exact"/>
        <w:rPr>
          <w:rFonts w:hint="eastAsia" w:ascii="Times New Roman" w:hAnsi="Times New Roman" w:eastAsia="方正仿宋简体" w:cs="方正仿宋简体"/>
        </w:rPr>
      </w:pPr>
    </w:p>
    <w:p w14:paraId="5EB86214">
      <w:pPr>
        <w:wordWrap w:val="0"/>
        <w:spacing w:line="540" w:lineRule="exact"/>
        <w:rPr>
          <w:rFonts w:hint="eastAsia" w:ascii="Times New Roman" w:hAnsi="Times New Roman" w:eastAsia="方正仿宋简体" w:cs="方正仿宋简体"/>
        </w:rPr>
      </w:pPr>
    </w:p>
    <w:p w14:paraId="28601BF6">
      <w:pPr>
        <w:wordWrap w:val="0"/>
        <w:spacing w:line="540" w:lineRule="exact"/>
        <w:rPr>
          <w:rFonts w:hint="eastAsia" w:ascii="Times New Roman" w:hAnsi="Times New Roman" w:eastAsia="方正仿宋简体" w:cs="方正仿宋简体"/>
        </w:rPr>
      </w:pPr>
    </w:p>
    <w:p w14:paraId="5CF430C6">
      <w:pPr>
        <w:wordWrap w:val="0"/>
        <w:spacing w:line="540" w:lineRule="exact"/>
        <w:rPr>
          <w:rFonts w:hint="eastAsia" w:ascii="Times New Roman" w:hAnsi="Times New Roman" w:eastAsia="方正仿宋简体" w:cs="方正仿宋简体"/>
        </w:rPr>
      </w:pPr>
    </w:p>
    <w:p w14:paraId="74606D81">
      <w:pPr>
        <w:wordWrap w:val="0"/>
        <w:spacing w:line="540" w:lineRule="exact"/>
        <w:rPr>
          <w:rFonts w:hint="eastAsia" w:ascii="Times New Roman" w:hAnsi="Times New Roman" w:eastAsia="方正仿宋简体" w:cs="方正仿宋简体"/>
        </w:rPr>
      </w:pPr>
    </w:p>
    <w:p w14:paraId="3CADA9A8">
      <w:pPr>
        <w:wordWrap w:val="0"/>
        <w:spacing w:line="540" w:lineRule="exact"/>
        <w:rPr>
          <w:rFonts w:hint="eastAsia" w:ascii="Times New Roman" w:hAnsi="Times New Roman" w:eastAsia="方正仿宋简体" w:cs="方正仿宋简体"/>
        </w:rPr>
      </w:pPr>
    </w:p>
    <w:p w14:paraId="73457781">
      <w:pPr>
        <w:wordWrap w:val="0"/>
        <w:spacing w:line="540" w:lineRule="exact"/>
        <w:rPr>
          <w:rFonts w:hint="eastAsia" w:ascii="Times New Roman" w:hAnsi="Times New Roman" w:eastAsia="方正仿宋简体" w:cs="方正仿宋简体"/>
        </w:rPr>
      </w:pPr>
    </w:p>
    <w:p w14:paraId="55C554E4">
      <w:pPr>
        <w:wordWrap w:val="0"/>
        <w:spacing w:line="540" w:lineRule="exact"/>
        <w:rPr>
          <w:rFonts w:hint="eastAsia" w:ascii="Times New Roman" w:hAnsi="Times New Roman" w:eastAsia="方正仿宋简体" w:cs="方正仿宋简体"/>
        </w:rPr>
      </w:pPr>
    </w:p>
    <w:p w14:paraId="63305746">
      <w:pPr>
        <w:wordWrap w:val="0"/>
        <w:spacing w:line="540" w:lineRule="exact"/>
        <w:rPr>
          <w:rFonts w:hint="eastAsia" w:ascii="Times New Roman" w:hAnsi="Times New Roman" w:eastAsia="方正仿宋简体" w:cs="方正仿宋简体"/>
        </w:rPr>
      </w:pPr>
    </w:p>
    <w:p w14:paraId="7A088799">
      <w:pPr>
        <w:wordWrap w:val="0"/>
        <w:spacing w:line="540" w:lineRule="exact"/>
        <w:rPr>
          <w:rFonts w:hint="eastAsia" w:ascii="Times New Roman" w:hAnsi="Times New Roman" w:eastAsia="方正仿宋简体" w:cs="方正仿宋简体"/>
        </w:rPr>
      </w:pPr>
    </w:p>
    <w:p w14:paraId="0C7E7ED8">
      <w:pPr>
        <w:wordWrap w:val="0"/>
        <w:spacing w:line="540" w:lineRule="exact"/>
        <w:rPr>
          <w:rFonts w:hint="eastAsia" w:ascii="Times New Roman" w:hAnsi="Times New Roman" w:eastAsia="方正仿宋简体" w:cs="方正仿宋简体"/>
        </w:rPr>
      </w:pPr>
    </w:p>
    <w:p w14:paraId="5946A9D8">
      <w:pPr>
        <w:wordWrap w:val="0"/>
        <w:spacing w:line="540" w:lineRule="exact"/>
        <w:rPr>
          <w:rFonts w:hint="eastAsia" w:ascii="Times New Roman" w:hAnsi="Times New Roman" w:eastAsia="方正仿宋简体" w:cs="方正仿宋简体"/>
        </w:rPr>
      </w:pPr>
    </w:p>
    <w:p w14:paraId="2C0E3831">
      <w:pPr>
        <w:wordWrap w:val="0"/>
        <w:spacing w:line="540" w:lineRule="exact"/>
        <w:rPr>
          <w:rFonts w:hint="eastAsia" w:ascii="Times New Roman" w:hAnsi="Times New Roman" w:eastAsia="方正仿宋简体" w:cs="方正仿宋简体"/>
        </w:rPr>
      </w:pPr>
    </w:p>
    <w:p w14:paraId="12D87C30">
      <w:pPr>
        <w:wordWrap w:val="0"/>
        <w:spacing w:line="540" w:lineRule="exact"/>
        <w:rPr>
          <w:rFonts w:hint="eastAsia" w:ascii="Times New Roman" w:hAnsi="Times New Roman" w:eastAsia="方正仿宋简体" w:cs="方正仿宋简体"/>
        </w:rPr>
      </w:pPr>
    </w:p>
    <w:p w14:paraId="394C2F40">
      <w:pPr>
        <w:wordWrap w:val="0"/>
        <w:spacing w:line="540" w:lineRule="exact"/>
        <w:rPr>
          <w:rFonts w:hint="eastAsia" w:ascii="Times New Roman" w:hAnsi="Times New Roman" w:eastAsia="方正仿宋简体" w:cs="方正仿宋简体"/>
        </w:rPr>
      </w:pPr>
    </w:p>
    <w:p w14:paraId="2F494C7B">
      <w:pPr>
        <w:wordWrap w:val="0"/>
        <w:spacing w:line="540" w:lineRule="exact"/>
        <w:rPr>
          <w:rFonts w:hint="eastAsia" w:ascii="Times New Roman" w:hAnsi="Times New Roman" w:eastAsia="方正仿宋简体" w:cs="方正仿宋简体"/>
        </w:rPr>
      </w:pPr>
    </w:p>
    <w:p w14:paraId="36E48C63">
      <w:pPr>
        <w:wordWrap w:val="0"/>
        <w:spacing w:line="540" w:lineRule="exact"/>
        <w:rPr>
          <w:rFonts w:hint="eastAsia" w:ascii="Times New Roman" w:hAnsi="Times New Roman" w:eastAsia="方正仿宋简体" w:cs="方正仿宋简体"/>
        </w:rPr>
      </w:pPr>
    </w:p>
    <w:p w14:paraId="4C821A10">
      <w:pPr>
        <w:wordWrap w:val="0"/>
        <w:spacing w:line="540" w:lineRule="exact"/>
        <w:rPr>
          <w:rFonts w:hint="eastAsia" w:ascii="Times New Roman" w:hAnsi="Times New Roman" w:eastAsia="方正仿宋简体" w:cs="方正仿宋简体"/>
        </w:rPr>
      </w:pPr>
    </w:p>
    <w:p w14:paraId="0A5F8599">
      <w:pPr>
        <w:wordWrap w:val="0"/>
        <w:topLinePunct/>
        <w:adjustRightInd w:val="0"/>
        <w:snapToGrid w:val="0"/>
        <w:spacing w:line="540" w:lineRule="exact"/>
        <w:ind w:left="840" w:hanging="840" w:hangingChars="300"/>
        <w:rPr>
          <w:rFonts w:hint="eastAsia" w:ascii="Times New Roman" w:hAnsi="Times New Roman" w:eastAsia="方正仿宋简体" w:cs="Times New Roman"/>
          <w:spacing w:val="-28"/>
          <w:sz w:val="28"/>
          <w:szCs w:val="28"/>
          <w:lang w:val="en-US" w:eastAsia="zh-CN"/>
        </w:rPr>
      </w:pPr>
      <w:r>
        <w:rPr>
          <w:rFonts w:hint="eastAsia" w:ascii="Times New Roman" w:hAnsi="Times New Roman" w:eastAsia="方正仿宋简体" w:cs="方正仿宋简体"/>
          <w:sz w:val="28"/>
          <w:szCs w:val="28"/>
        </w:rPr>
        <w:pict>
          <v:line id="_x0000_s1033" o:spid="_x0000_s1033" o:spt="20" style="position:absolute;left:0pt;margin-left:-8.3pt;margin-top:5.3pt;height:0pt;width:456.9pt;z-index:251659264;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on="f" focussize="0,0"/>
            <v:stroke weight="1.5pt"/>
            <v:imagedata o:title=""/>
            <o:lock v:ext="edit" aspectratio="f"/>
          </v:line>
        </w:pict>
      </w:r>
      <w:r>
        <w:rPr>
          <w:rFonts w:hint="eastAsia" w:ascii="Times New Roman" w:hAnsi="Times New Roman" w:eastAsia="方正仿宋简体" w:cs="方正仿宋简体"/>
          <w:sz w:val="28"/>
          <w:szCs w:val="28"/>
        </w:rPr>
        <w:t>抄送：</w:t>
      </w:r>
      <w:r>
        <w:rPr>
          <w:rFonts w:hint="eastAsia" w:ascii="Times New Roman" w:hAnsi="Times New Roman" w:eastAsia="方正仿宋简体"/>
          <w:spacing w:val="-28"/>
          <w:sz w:val="28"/>
          <w:szCs w:val="28"/>
          <w:lang w:val="zh-CN" w:eastAsia="zh-CN"/>
        </w:rPr>
        <w:t>兵地融合发展库沙新拜产业园</w:t>
      </w:r>
      <w:r>
        <w:rPr>
          <w:rFonts w:ascii="Times New Roman" w:hAnsi="Times New Roman" w:eastAsia="方正仿宋简体"/>
          <w:spacing w:val="-28"/>
          <w:sz w:val="24"/>
        </w:rPr>
        <w:t>，</w:t>
      </w:r>
      <w:r>
        <w:rPr>
          <w:rFonts w:ascii="Times New Roman" w:hAnsi="Times New Roman" w:eastAsia="方正仿宋简体"/>
          <w:spacing w:val="-28"/>
          <w:sz w:val="28"/>
          <w:szCs w:val="28"/>
        </w:rPr>
        <w:t>生态环境保护综合行政执法支队，</w:t>
      </w:r>
      <w:r>
        <w:rPr>
          <w:rFonts w:hint="eastAsia" w:ascii="Times New Roman" w:hAnsi="Times New Roman" w:eastAsia="方正仿宋简体" w:cs="Times New Roman"/>
          <w:spacing w:val="-28"/>
          <w:sz w:val="28"/>
          <w:szCs w:val="28"/>
          <w:lang w:val="en-US" w:eastAsia="zh-CN"/>
        </w:rPr>
        <w:t>新疆星沃盛云环保科技有限公司</w:t>
      </w:r>
    </w:p>
    <w:p w14:paraId="7CAEF108">
      <w:pPr>
        <w:wordWrap w:val="0"/>
        <w:spacing w:line="540" w:lineRule="exact"/>
        <w:rPr>
          <w:rFonts w:hint="eastAsia" w:ascii="Times New Roman" w:hAnsi="Times New Roman" w:cs="方正仿宋简体"/>
          <w:sz w:val="28"/>
          <w:szCs w:val="28"/>
        </w:rPr>
      </w:pPr>
      <w:r>
        <w:rPr>
          <w:rFonts w:hint="eastAsia" w:ascii="Times New Roman" w:hAnsi="Times New Roman"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hint="eastAsia" w:ascii="Times New Roman" w:hAnsi="Times New Roman"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ascii="Times New Roman" w:hAnsi="Times New Roman" w:eastAsia="方正仿宋简体" w:cs="方正仿宋简体"/>
          <w:sz w:val="28"/>
          <w:szCs w:val="28"/>
        </w:rPr>
        <w:t>第一师阿拉尔市生态环境局                   2025年</w:t>
      </w:r>
      <w:r>
        <w:rPr>
          <w:rFonts w:hint="eastAsia" w:eastAsia="方正仿宋简体" w:cs="方正仿宋简体"/>
          <w:sz w:val="28"/>
          <w:szCs w:val="28"/>
          <w:lang w:val="en-US" w:eastAsia="zh-CN"/>
        </w:rPr>
        <w:t>11</w:t>
      </w:r>
      <w:r>
        <w:rPr>
          <w:rFonts w:hint="eastAsia" w:ascii="Times New Roman" w:hAnsi="Times New Roman" w:eastAsia="方正仿宋简体" w:cs="方正仿宋简体"/>
          <w:sz w:val="28"/>
          <w:szCs w:val="28"/>
        </w:rPr>
        <w:t>月</w:t>
      </w:r>
      <w:r>
        <w:rPr>
          <w:rFonts w:hint="eastAsia" w:eastAsia="方正仿宋简体" w:cs="方正仿宋简体"/>
          <w:sz w:val="28"/>
          <w:szCs w:val="28"/>
          <w:lang w:val="en-US" w:eastAsia="zh-CN"/>
        </w:rPr>
        <w:t>12</w:t>
      </w:r>
      <w:r>
        <w:rPr>
          <w:rFonts w:hint="eastAsia" w:ascii="Times New Roman" w:hAnsi="Times New Roman"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C98CBDD2-1592-4EEE-8937-7FC7488C1E8C}"/>
  </w:font>
  <w:font w:name="方正小标宋简体">
    <w:panose1 w:val="03000509000000000000"/>
    <w:charset w:val="86"/>
    <w:family w:val="auto"/>
    <w:pitch w:val="default"/>
    <w:sig w:usb0="00000001" w:usb1="080E0000" w:usb2="00000000" w:usb3="00000000" w:csb0="00040000" w:csb1="00000000"/>
    <w:embedRegular r:id="rId2" w:fontKey="{B63C53B8-863F-47F4-83D6-32E6C038C288}"/>
  </w:font>
  <w:font w:name="方正黑体简体">
    <w:panose1 w:val="03000509000000000000"/>
    <w:charset w:val="86"/>
    <w:family w:val="auto"/>
    <w:pitch w:val="default"/>
    <w:sig w:usb0="00000001" w:usb1="080E0000" w:usb2="00000000" w:usb3="00000000" w:csb0="00040000" w:csb1="00000000"/>
    <w:embedRegular r:id="rId3" w:fontKey="{9DA0149B-DAF7-4A30-A212-B532A182A202}"/>
  </w:font>
  <w:font w:name="方正楷体简体">
    <w:panose1 w:val="02000000000000000000"/>
    <w:charset w:val="86"/>
    <w:family w:val="auto"/>
    <w:pitch w:val="default"/>
    <w:sig w:usb0="00000001" w:usb1="080E0000" w:usb2="00000000" w:usb3="00000000" w:csb0="00040000" w:csb1="00000000"/>
    <w:embedRegular r:id="rId4" w:fontKey="{B0512604-A3AA-4668-90E0-C9C032E31826}"/>
  </w:font>
  <w:font w:name="方正仿宋_GB2312">
    <w:panose1 w:val="02000000000000000000"/>
    <w:charset w:val="86"/>
    <w:family w:val="auto"/>
    <w:pitch w:val="default"/>
    <w:sig w:usb0="A00002BF" w:usb1="184F6CFA" w:usb2="00000012" w:usb3="00000000" w:csb0="00040001" w:csb1="00000000"/>
    <w:embedRegular r:id="rId5" w:fontKey="{3012475C-7755-4DC8-8FE8-EAD02F0917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2242">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F66CCA3">
                <w:pPr>
                  <w:pStyle w:val="12"/>
                  <w:rPr>
                    <w:rFonts w:hint="eastAsia"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F34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04BD2"/>
    <w:rsid w:val="013C3CC4"/>
    <w:rsid w:val="01747E56"/>
    <w:rsid w:val="018F287C"/>
    <w:rsid w:val="01C20BC1"/>
    <w:rsid w:val="01C30FD8"/>
    <w:rsid w:val="01CF32DE"/>
    <w:rsid w:val="0200793B"/>
    <w:rsid w:val="021F4265"/>
    <w:rsid w:val="024C0C9D"/>
    <w:rsid w:val="02FA7283"/>
    <w:rsid w:val="033F34F9"/>
    <w:rsid w:val="03C230FA"/>
    <w:rsid w:val="03C7535D"/>
    <w:rsid w:val="03E219EE"/>
    <w:rsid w:val="04043AA5"/>
    <w:rsid w:val="0410030A"/>
    <w:rsid w:val="041476CE"/>
    <w:rsid w:val="041E60EF"/>
    <w:rsid w:val="042711AF"/>
    <w:rsid w:val="042C4F6C"/>
    <w:rsid w:val="045B5F57"/>
    <w:rsid w:val="04842AA6"/>
    <w:rsid w:val="04B06929"/>
    <w:rsid w:val="04CE3D21"/>
    <w:rsid w:val="051A6F66"/>
    <w:rsid w:val="053E7324"/>
    <w:rsid w:val="05AE749A"/>
    <w:rsid w:val="05BE2437"/>
    <w:rsid w:val="05CD5D86"/>
    <w:rsid w:val="05D37841"/>
    <w:rsid w:val="06C278B5"/>
    <w:rsid w:val="06D57EEF"/>
    <w:rsid w:val="07084D05"/>
    <w:rsid w:val="076F3599"/>
    <w:rsid w:val="07911761"/>
    <w:rsid w:val="07962E89"/>
    <w:rsid w:val="08095A64"/>
    <w:rsid w:val="08217FA4"/>
    <w:rsid w:val="08303A92"/>
    <w:rsid w:val="09F248DC"/>
    <w:rsid w:val="0A0A58DA"/>
    <w:rsid w:val="0A433449"/>
    <w:rsid w:val="0A4800D1"/>
    <w:rsid w:val="0A5E4148"/>
    <w:rsid w:val="0B02198E"/>
    <w:rsid w:val="0B2B17BD"/>
    <w:rsid w:val="0B354AFA"/>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B12A00"/>
    <w:rsid w:val="11CB2733"/>
    <w:rsid w:val="12035A07"/>
    <w:rsid w:val="120B195B"/>
    <w:rsid w:val="12805118"/>
    <w:rsid w:val="12A3761A"/>
    <w:rsid w:val="12B66520"/>
    <w:rsid w:val="13436B02"/>
    <w:rsid w:val="136B6FDF"/>
    <w:rsid w:val="136C4E31"/>
    <w:rsid w:val="13962F9A"/>
    <w:rsid w:val="14BD062B"/>
    <w:rsid w:val="14DD5DD3"/>
    <w:rsid w:val="15897F1C"/>
    <w:rsid w:val="162D3FB2"/>
    <w:rsid w:val="16302145"/>
    <w:rsid w:val="16481B85"/>
    <w:rsid w:val="172D2B29"/>
    <w:rsid w:val="17353DB0"/>
    <w:rsid w:val="17454D35"/>
    <w:rsid w:val="17473E64"/>
    <w:rsid w:val="175956CC"/>
    <w:rsid w:val="17C52D61"/>
    <w:rsid w:val="17CE1006"/>
    <w:rsid w:val="17EA60B1"/>
    <w:rsid w:val="18B87A2C"/>
    <w:rsid w:val="18C66B14"/>
    <w:rsid w:val="1912647A"/>
    <w:rsid w:val="19141C34"/>
    <w:rsid w:val="191974BC"/>
    <w:rsid w:val="19287A4C"/>
    <w:rsid w:val="19311B56"/>
    <w:rsid w:val="195D3414"/>
    <w:rsid w:val="195F5DAE"/>
    <w:rsid w:val="1991739F"/>
    <w:rsid w:val="199A643B"/>
    <w:rsid w:val="19E74BB9"/>
    <w:rsid w:val="1A3A62A9"/>
    <w:rsid w:val="1AC60382"/>
    <w:rsid w:val="1C1C43F6"/>
    <w:rsid w:val="1C8E1E2A"/>
    <w:rsid w:val="1CB709BA"/>
    <w:rsid w:val="1CF42E6E"/>
    <w:rsid w:val="1D104A7F"/>
    <w:rsid w:val="1DF50EBD"/>
    <w:rsid w:val="1E2C7696"/>
    <w:rsid w:val="1F204D21"/>
    <w:rsid w:val="1F7042E2"/>
    <w:rsid w:val="1F8A5BBB"/>
    <w:rsid w:val="1FD16CDA"/>
    <w:rsid w:val="1FE40979"/>
    <w:rsid w:val="202E0A57"/>
    <w:rsid w:val="203F72E7"/>
    <w:rsid w:val="20542ED4"/>
    <w:rsid w:val="20A83220"/>
    <w:rsid w:val="20B32AE2"/>
    <w:rsid w:val="20E56222"/>
    <w:rsid w:val="20FC3C98"/>
    <w:rsid w:val="21676C37"/>
    <w:rsid w:val="217F21D3"/>
    <w:rsid w:val="21846654"/>
    <w:rsid w:val="21E022E1"/>
    <w:rsid w:val="22022959"/>
    <w:rsid w:val="22121299"/>
    <w:rsid w:val="222C235B"/>
    <w:rsid w:val="223E1285"/>
    <w:rsid w:val="22BE5BE7"/>
    <w:rsid w:val="22CF140F"/>
    <w:rsid w:val="232925DE"/>
    <w:rsid w:val="23FA061B"/>
    <w:rsid w:val="243C0A6E"/>
    <w:rsid w:val="244362A8"/>
    <w:rsid w:val="24894505"/>
    <w:rsid w:val="25007ACF"/>
    <w:rsid w:val="251A56D4"/>
    <w:rsid w:val="25822292"/>
    <w:rsid w:val="25DD571A"/>
    <w:rsid w:val="262E7F78"/>
    <w:rsid w:val="263C0E91"/>
    <w:rsid w:val="264F702B"/>
    <w:rsid w:val="26551294"/>
    <w:rsid w:val="266100F9"/>
    <w:rsid w:val="26AA5F44"/>
    <w:rsid w:val="27291863"/>
    <w:rsid w:val="27374C7D"/>
    <w:rsid w:val="276E2ACE"/>
    <w:rsid w:val="28095B9B"/>
    <w:rsid w:val="28185254"/>
    <w:rsid w:val="281C3A61"/>
    <w:rsid w:val="28EE109B"/>
    <w:rsid w:val="29173713"/>
    <w:rsid w:val="291E6775"/>
    <w:rsid w:val="29BC129B"/>
    <w:rsid w:val="29C247BB"/>
    <w:rsid w:val="2A28140F"/>
    <w:rsid w:val="2A5C779E"/>
    <w:rsid w:val="2A7C21F3"/>
    <w:rsid w:val="2B291D28"/>
    <w:rsid w:val="2BDB5177"/>
    <w:rsid w:val="2C0B2FE1"/>
    <w:rsid w:val="2C2F10D4"/>
    <w:rsid w:val="2C4B4C1E"/>
    <w:rsid w:val="2C4D4AA8"/>
    <w:rsid w:val="2C700266"/>
    <w:rsid w:val="2D2A3D25"/>
    <w:rsid w:val="2D96066A"/>
    <w:rsid w:val="2D9822FB"/>
    <w:rsid w:val="2D9D78FE"/>
    <w:rsid w:val="2E0C36FE"/>
    <w:rsid w:val="2E782762"/>
    <w:rsid w:val="2EDB4C2C"/>
    <w:rsid w:val="2FA774C5"/>
    <w:rsid w:val="304271ED"/>
    <w:rsid w:val="30550EB4"/>
    <w:rsid w:val="307309B8"/>
    <w:rsid w:val="308C682B"/>
    <w:rsid w:val="30A82846"/>
    <w:rsid w:val="30D60AEE"/>
    <w:rsid w:val="30DC4F4C"/>
    <w:rsid w:val="30EF2BE1"/>
    <w:rsid w:val="312608BD"/>
    <w:rsid w:val="3227669B"/>
    <w:rsid w:val="322D17D7"/>
    <w:rsid w:val="322E1C21"/>
    <w:rsid w:val="323E39E4"/>
    <w:rsid w:val="32786F8A"/>
    <w:rsid w:val="327A5EF4"/>
    <w:rsid w:val="32C4034C"/>
    <w:rsid w:val="32D94676"/>
    <w:rsid w:val="33221A6B"/>
    <w:rsid w:val="33D53ED4"/>
    <w:rsid w:val="33D779AE"/>
    <w:rsid w:val="34657618"/>
    <w:rsid w:val="34C43D29"/>
    <w:rsid w:val="350978E5"/>
    <w:rsid w:val="357E1B5E"/>
    <w:rsid w:val="35942299"/>
    <w:rsid w:val="35C12962"/>
    <w:rsid w:val="360B6F07"/>
    <w:rsid w:val="36374427"/>
    <w:rsid w:val="365B7904"/>
    <w:rsid w:val="365F111C"/>
    <w:rsid w:val="36C71B83"/>
    <w:rsid w:val="36D37347"/>
    <w:rsid w:val="36F079A3"/>
    <w:rsid w:val="379472AB"/>
    <w:rsid w:val="38107BD1"/>
    <w:rsid w:val="38600E74"/>
    <w:rsid w:val="38833BFA"/>
    <w:rsid w:val="390A39E8"/>
    <w:rsid w:val="398B750F"/>
    <w:rsid w:val="39B67035"/>
    <w:rsid w:val="3A013920"/>
    <w:rsid w:val="3A4F5E72"/>
    <w:rsid w:val="3AD32A53"/>
    <w:rsid w:val="3B3F16C0"/>
    <w:rsid w:val="3B862D77"/>
    <w:rsid w:val="3C5D10CC"/>
    <w:rsid w:val="3C6978B0"/>
    <w:rsid w:val="3CB535AB"/>
    <w:rsid w:val="3CC3313E"/>
    <w:rsid w:val="3D896F6B"/>
    <w:rsid w:val="3DD00971"/>
    <w:rsid w:val="3E445E5B"/>
    <w:rsid w:val="3E6F5651"/>
    <w:rsid w:val="3E9B717C"/>
    <w:rsid w:val="3EC91206"/>
    <w:rsid w:val="3F4563B2"/>
    <w:rsid w:val="3FE1257F"/>
    <w:rsid w:val="3FE21E53"/>
    <w:rsid w:val="400D5763"/>
    <w:rsid w:val="40786313"/>
    <w:rsid w:val="40DC4AF4"/>
    <w:rsid w:val="41D56EB1"/>
    <w:rsid w:val="4208548C"/>
    <w:rsid w:val="42097F4F"/>
    <w:rsid w:val="420F0BA6"/>
    <w:rsid w:val="421A294E"/>
    <w:rsid w:val="422F6EA6"/>
    <w:rsid w:val="427047F0"/>
    <w:rsid w:val="42732AEB"/>
    <w:rsid w:val="42764AD5"/>
    <w:rsid w:val="42B7046D"/>
    <w:rsid w:val="42BF549A"/>
    <w:rsid w:val="42E975DC"/>
    <w:rsid w:val="42F8373B"/>
    <w:rsid w:val="43103773"/>
    <w:rsid w:val="43487623"/>
    <w:rsid w:val="434D3A87"/>
    <w:rsid w:val="43D5519A"/>
    <w:rsid w:val="4429745B"/>
    <w:rsid w:val="4436276D"/>
    <w:rsid w:val="447B737A"/>
    <w:rsid w:val="44BF1A14"/>
    <w:rsid w:val="45231808"/>
    <w:rsid w:val="454443C8"/>
    <w:rsid w:val="457A48DC"/>
    <w:rsid w:val="45997458"/>
    <w:rsid w:val="45B9164A"/>
    <w:rsid w:val="46212E7F"/>
    <w:rsid w:val="46A55352"/>
    <w:rsid w:val="471F398D"/>
    <w:rsid w:val="47CA0069"/>
    <w:rsid w:val="480346E0"/>
    <w:rsid w:val="48595B9F"/>
    <w:rsid w:val="48AD5394"/>
    <w:rsid w:val="48B96D0E"/>
    <w:rsid w:val="48EC562A"/>
    <w:rsid w:val="49101C0C"/>
    <w:rsid w:val="49284D7B"/>
    <w:rsid w:val="495F62C2"/>
    <w:rsid w:val="49691876"/>
    <w:rsid w:val="49713526"/>
    <w:rsid w:val="49C60BB1"/>
    <w:rsid w:val="49D85CDE"/>
    <w:rsid w:val="49F646DC"/>
    <w:rsid w:val="4A345F75"/>
    <w:rsid w:val="4A365275"/>
    <w:rsid w:val="4A4A3DB4"/>
    <w:rsid w:val="4A7F5BD5"/>
    <w:rsid w:val="4A897D3B"/>
    <w:rsid w:val="4B1650A7"/>
    <w:rsid w:val="4B3B6097"/>
    <w:rsid w:val="4B5F6110"/>
    <w:rsid w:val="4BAC1DE4"/>
    <w:rsid w:val="4BC026E2"/>
    <w:rsid w:val="4BC32B39"/>
    <w:rsid w:val="4C0363AF"/>
    <w:rsid w:val="4C261319"/>
    <w:rsid w:val="4CBD3A2C"/>
    <w:rsid w:val="4CC629D5"/>
    <w:rsid w:val="4CE74F4D"/>
    <w:rsid w:val="4DC55AD7"/>
    <w:rsid w:val="4DD85AC7"/>
    <w:rsid w:val="4DDA6459"/>
    <w:rsid w:val="4E0538DC"/>
    <w:rsid w:val="4E233D62"/>
    <w:rsid w:val="4E3715BC"/>
    <w:rsid w:val="4EB62657"/>
    <w:rsid w:val="4EED6F64"/>
    <w:rsid w:val="4EF844EB"/>
    <w:rsid w:val="4F0970AD"/>
    <w:rsid w:val="4F55790E"/>
    <w:rsid w:val="4FD16ACE"/>
    <w:rsid w:val="50014374"/>
    <w:rsid w:val="50D91E09"/>
    <w:rsid w:val="51021A1A"/>
    <w:rsid w:val="514F4E6E"/>
    <w:rsid w:val="51B05DB2"/>
    <w:rsid w:val="51B223DE"/>
    <w:rsid w:val="51C90993"/>
    <w:rsid w:val="51E8779D"/>
    <w:rsid w:val="51F07213"/>
    <w:rsid w:val="52042664"/>
    <w:rsid w:val="52243102"/>
    <w:rsid w:val="523D7599"/>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E5889"/>
    <w:rsid w:val="567A473C"/>
    <w:rsid w:val="56B91708"/>
    <w:rsid w:val="56C3225A"/>
    <w:rsid w:val="56DB78D0"/>
    <w:rsid w:val="57020509"/>
    <w:rsid w:val="570C4149"/>
    <w:rsid w:val="57DB5AEC"/>
    <w:rsid w:val="57DE28CC"/>
    <w:rsid w:val="58023790"/>
    <w:rsid w:val="58044D71"/>
    <w:rsid w:val="581319EA"/>
    <w:rsid w:val="588502C1"/>
    <w:rsid w:val="588875E4"/>
    <w:rsid w:val="58CD7A87"/>
    <w:rsid w:val="58EB7B73"/>
    <w:rsid w:val="590C1F22"/>
    <w:rsid w:val="5A02006D"/>
    <w:rsid w:val="5A934AE8"/>
    <w:rsid w:val="5AB1392F"/>
    <w:rsid w:val="5AC16F0F"/>
    <w:rsid w:val="5AC308B9"/>
    <w:rsid w:val="5AFC7E15"/>
    <w:rsid w:val="5B8255D2"/>
    <w:rsid w:val="5C8A0C58"/>
    <w:rsid w:val="5C9B5616"/>
    <w:rsid w:val="5D08757F"/>
    <w:rsid w:val="5D0C29A4"/>
    <w:rsid w:val="5D3F1E22"/>
    <w:rsid w:val="5D68218E"/>
    <w:rsid w:val="5D9311D0"/>
    <w:rsid w:val="5EDA66BF"/>
    <w:rsid w:val="5F281560"/>
    <w:rsid w:val="5F3D27AA"/>
    <w:rsid w:val="5F3E6C4E"/>
    <w:rsid w:val="5F454666"/>
    <w:rsid w:val="5F4752D6"/>
    <w:rsid w:val="5FA56B94"/>
    <w:rsid w:val="5FCB6008"/>
    <w:rsid w:val="5FEA0B84"/>
    <w:rsid w:val="5FEC48FC"/>
    <w:rsid w:val="601A0C66"/>
    <w:rsid w:val="608C01C7"/>
    <w:rsid w:val="608E59B3"/>
    <w:rsid w:val="60A01243"/>
    <w:rsid w:val="60D07D7A"/>
    <w:rsid w:val="60FE6D20"/>
    <w:rsid w:val="61241E74"/>
    <w:rsid w:val="616404C2"/>
    <w:rsid w:val="618A073E"/>
    <w:rsid w:val="628F32BF"/>
    <w:rsid w:val="62B02217"/>
    <w:rsid w:val="62C15E45"/>
    <w:rsid w:val="62D675E2"/>
    <w:rsid w:val="638B215F"/>
    <w:rsid w:val="63DB0382"/>
    <w:rsid w:val="64761478"/>
    <w:rsid w:val="648869AC"/>
    <w:rsid w:val="64B87D57"/>
    <w:rsid w:val="6502496E"/>
    <w:rsid w:val="653C0D08"/>
    <w:rsid w:val="657874A5"/>
    <w:rsid w:val="65B66B76"/>
    <w:rsid w:val="65E552B8"/>
    <w:rsid w:val="65E571EE"/>
    <w:rsid w:val="665B134C"/>
    <w:rsid w:val="66DB1A80"/>
    <w:rsid w:val="66DD6395"/>
    <w:rsid w:val="67254250"/>
    <w:rsid w:val="674944A5"/>
    <w:rsid w:val="676D57A1"/>
    <w:rsid w:val="677C3A0B"/>
    <w:rsid w:val="682B5D54"/>
    <w:rsid w:val="6833299C"/>
    <w:rsid w:val="683A3D2B"/>
    <w:rsid w:val="69490BE1"/>
    <w:rsid w:val="69AD77A9"/>
    <w:rsid w:val="6A331379"/>
    <w:rsid w:val="6A9242F2"/>
    <w:rsid w:val="6AFC79BD"/>
    <w:rsid w:val="6B064398"/>
    <w:rsid w:val="6B6A5E07"/>
    <w:rsid w:val="6BBB53B4"/>
    <w:rsid w:val="6BBC4452"/>
    <w:rsid w:val="6BBD714D"/>
    <w:rsid w:val="6BCD111F"/>
    <w:rsid w:val="6C6323B4"/>
    <w:rsid w:val="6D1234C8"/>
    <w:rsid w:val="6D2E042E"/>
    <w:rsid w:val="6D3C22F3"/>
    <w:rsid w:val="6DC20A4A"/>
    <w:rsid w:val="6DD62421"/>
    <w:rsid w:val="6E1D62FA"/>
    <w:rsid w:val="6E5D52D0"/>
    <w:rsid w:val="6EA47288"/>
    <w:rsid w:val="6EDD1BD0"/>
    <w:rsid w:val="6F42195E"/>
    <w:rsid w:val="6F7E6BF3"/>
    <w:rsid w:val="6F8017BF"/>
    <w:rsid w:val="6FD20CED"/>
    <w:rsid w:val="6FFD53BB"/>
    <w:rsid w:val="700C06A3"/>
    <w:rsid w:val="701E3B7D"/>
    <w:rsid w:val="70527FB4"/>
    <w:rsid w:val="70671D7D"/>
    <w:rsid w:val="70D35441"/>
    <w:rsid w:val="70DC62C7"/>
    <w:rsid w:val="70F76C5D"/>
    <w:rsid w:val="71044CE8"/>
    <w:rsid w:val="717402AD"/>
    <w:rsid w:val="718F50E7"/>
    <w:rsid w:val="721E46BD"/>
    <w:rsid w:val="721F01D7"/>
    <w:rsid w:val="722637CF"/>
    <w:rsid w:val="729F57FE"/>
    <w:rsid w:val="732E6B82"/>
    <w:rsid w:val="738B1D49"/>
    <w:rsid w:val="73AB309B"/>
    <w:rsid w:val="73B115AD"/>
    <w:rsid w:val="74594912"/>
    <w:rsid w:val="74B77420"/>
    <w:rsid w:val="74B93BAB"/>
    <w:rsid w:val="74D01906"/>
    <w:rsid w:val="750E28D6"/>
    <w:rsid w:val="758A1DE5"/>
    <w:rsid w:val="75AC113E"/>
    <w:rsid w:val="75CC6FF0"/>
    <w:rsid w:val="769D450C"/>
    <w:rsid w:val="770F35B7"/>
    <w:rsid w:val="77AA697A"/>
    <w:rsid w:val="77F60371"/>
    <w:rsid w:val="782C4F53"/>
    <w:rsid w:val="78412EB3"/>
    <w:rsid w:val="78C34708"/>
    <w:rsid w:val="79031D23"/>
    <w:rsid w:val="79090F01"/>
    <w:rsid w:val="791E4627"/>
    <w:rsid w:val="794E645A"/>
    <w:rsid w:val="799D236B"/>
    <w:rsid w:val="79A656C4"/>
    <w:rsid w:val="79D67D45"/>
    <w:rsid w:val="79D833A4"/>
    <w:rsid w:val="7A7D0D19"/>
    <w:rsid w:val="7A9E6E9F"/>
    <w:rsid w:val="7AAE7096"/>
    <w:rsid w:val="7AD61FD9"/>
    <w:rsid w:val="7B9F3648"/>
    <w:rsid w:val="7BFD0CC1"/>
    <w:rsid w:val="7C784F9E"/>
    <w:rsid w:val="7CA119ED"/>
    <w:rsid w:val="7CBE0F77"/>
    <w:rsid w:val="7CCD014C"/>
    <w:rsid w:val="7D2C6836"/>
    <w:rsid w:val="7D9D412D"/>
    <w:rsid w:val="7DDE140B"/>
    <w:rsid w:val="7DEC38C1"/>
    <w:rsid w:val="7DF22498"/>
    <w:rsid w:val="7E1754DD"/>
    <w:rsid w:val="7E655B4E"/>
    <w:rsid w:val="7ED77656"/>
    <w:rsid w:val="7F1C5816"/>
    <w:rsid w:val="7F2C4B33"/>
    <w:rsid w:val="7FD665D7"/>
    <w:rsid w:val="7FE35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b/>
      <w:bCs/>
      <w:color w:val="000000"/>
      <w:kern w:val="0"/>
      <w:szCs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rFonts w:eastAsia="宋体"/>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ascii="Times New Roman" w:hAnsi="Times New Roman"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eastAsia="宋体"/>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eastAsia="宋体" w:cs="Times New Roman"/>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cs="Times New Roman"/>
      <w:bCs w:val="0"/>
      <w:szCs w:val="24"/>
    </w:rPr>
  </w:style>
  <w:style w:type="paragraph" w:customStyle="1" w:styleId="32">
    <w:name w:val="Body Text First Indent 21"/>
    <w:basedOn w:val="33"/>
    <w:qFormat/>
    <w:uiPriority w:val="0"/>
    <w:pPr>
      <w:ind w:left="0" w:leftChars="0" w:firstLine="420"/>
    </w:pPr>
    <w:rPr>
      <w:rFonts w:ascii="Times New Roman" w:hAnsi="Times New Roman"/>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37">
    <w:name w:val="纯文本1"/>
    <w:basedOn w:val="1"/>
    <w:qFormat/>
    <w:uiPriority w:val="0"/>
    <w:pPr>
      <w:adjustRightInd w:val="0"/>
      <w:ind w:firstLine="200" w:firstLineChars="200"/>
    </w:pPr>
  </w:style>
  <w:style w:type="paragraph" w:customStyle="1" w:styleId="38">
    <w:name w:val="表格内"/>
    <w:basedOn w:val="1"/>
    <w:qFormat/>
    <w:uiPriority w:val="0"/>
    <w:pPr>
      <w:adjustRightInd w:val="0"/>
      <w:spacing w:line="240" w:lineRule="auto"/>
    </w:pPr>
    <w:rPr>
      <w:snapToGrid w:val="0"/>
      <w:color w:val="000000" w:themeColor="text1"/>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3174</Words>
  <Characters>3428</Characters>
  <Lines>24</Lines>
  <Paragraphs>6</Paragraphs>
  <TotalTime>60</TotalTime>
  <ScaleCrop>false</ScaleCrop>
  <LinksUpToDate>false</LinksUpToDate>
  <CharactersWithSpaces>3450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明月清风晓星尘</cp:lastModifiedBy>
  <cp:lastPrinted>2025-11-12T03:28:24Z</cp:lastPrinted>
  <dcterms:modified xsi:type="dcterms:W3CDTF">2025-11-12T03:31:26Z</dcterms:modified>
  <dc:title>环函〔2005〕199号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D5D5BF1DA77949FCBE03D7B2C7E4AAA5_13</vt:lpwstr>
  </property>
  <property fmtid="{D5CDD505-2E9C-101B-9397-08002B2CF9AE}" pid="4" name="KSOTemplateDocerSaveRecord">
    <vt:lpwstr>eyJoZGlkIjoiZjEzODdhZDFmYzk5ODE2MmE3OTk4OTBkMjc2NjcxZTIiLCJ1c2VySWQiOiIzNTY3MzA4ODIifQ==</vt:lpwstr>
  </property>
</Properties>
</file>