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56A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615581E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58A63D5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181D327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3349B8B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7FEDEE6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00A2FD5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7743CB3B">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hint="default" w:ascii="Times New Roman" w:hAnsi="Times New Roman" w:eastAsia="方正小标宋简体" w:cs="Times New Roman"/>
          <w:b w:val="0"/>
          <w:sz w:val="44"/>
          <w:szCs w:val="32"/>
        </w:rPr>
      </w:pPr>
      <w:bookmarkStart w:id="0" w:name="_GoBack"/>
      <w:bookmarkEnd w:id="0"/>
    </w:p>
    <w:p w14:paraId="0ACB48C0">
      <w:pPr>
        <w:keepNext w:val="0"/>
        <w:keepLines w:val="0"/>
        <w:pageBreakBefore w:val="0"/>
        <w:widowControl w:val="0"/>
        <w:kinsoku/>
        <w:wordWrap/>
        <w:overflowPunct/>
        <w:topLinePunct w:val="0"/>
        <w:autoSpaceDE/>
        <w:autoSpaceDN/>
        <w:bidi w:val="0"/>
        <w:adjustRightInd/>
        <w:snapToGrid/>
        <w:spacing w:line="640" w:lineRule="exact"/>
        <w:ind w:left="0" w:leftChars="0" w:right="0" w:firstLine="0" w:firstLineChars="0"/>
        <w:jc w:val="center"/>
        <w:textAlignment w:val="auto"/>
        <w:rPr>
          <w:rFonts w:hint="eastAsia" w:ascii="Times New Roman" w:hAnsi="Times New Roman" w:eastAsia="方正仿宋简体" w:cs="方正仿宋简体"/>
          <w:color w:val="auto"/>
          <w:szCs w:val="21"/>
        </w:rPr>
      </w:pPr>
      <w:r>
        <w:rPr>
          <w:rFonts w:hint="eastAsia" w:ascii="Times New Roman" w:hAnsi="Times New Roman" w:eastAsia="方正仿宋简体" w:cs="方正仿宋简体"/>
          <w:color w:val="auto"/>
          <w:sz w:val="32"/>
          <w:szCs w:val="32"/>
        </w:rPr>
        <w:t>师</w:t>
      </w:r>
      <w:r>
        <w:rPr>
          <w:rFonts w:hint="eastAsia" w:ascii="Times New Roman" w:hAnsi="Times New Roman" w:eastAsia="方正仿宋简体" w:cs="方正仿宋简体"/>
          <w:color w:val="auto"/>
          <w:sz w:val="32"/>
          <w:szCs w:val="32"/>
          <w:lang w:val="en-US" w:eastAsia="zh-CN"/>
        </w:rPr>
        <w:t>市</w:t>
      </w:r>
      <w:r>
        <w:rPr>
          <w:rFonts w:hint="eastAsia" w:ascii="Times New Roman" w:hAnsi="Times New Roman" w:eastAsia="方正仿宋简体" w:cs="方正仿宋简体"/>
          <w:color w:val="auto"/>
          <w:sz w:val="32"/>
          <w:szCs w:val="32"/>
        </w:rPr>
        <w:t>环审〔202</w:t>
      </w:r>
      <w:r>
        <w:rPr>
          <w:rFonts w:hint="eastAsia" w:ascii="Times New Roman" w:hAnsi="Times New Roman" w:eastAsia="方正仿宋简体" w:cs="方正仿宋简体"/>
          <w:color w:val="auto"/>
          <w:sz w:val="32"/>
          <w:szCs w:val="32"/>
          <w:lang w:val="en-US" w:eastAsia="zh-CN"/>
        </w:rPr>
        <w:t>5</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val="en-US" w:eastAsia="zh-CN"/>
        </w:rPr>
        <w:t>67</w:t>
      </w:r>
      <w:r>
        <w:rPr>
          <w:rFonts w:hint="eastAsia" w:ascii="Times New Roman" w:hAnsi="Times New Roman" w:eastAsia="方正仿宋简体" w:cs="方正仿宋简体"/>
          <w:color w:val="auto"/>
          <w:sz w:val="32"/>
          <w:szCs w:val="32"/>
        </w:rPr>
        <w:t>号</w:t>
      </w:r>
    </w:p>
    <w:p w14:paraId="6B490D99">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254B0C2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r>
        <w:rPr>
          <w:rFonts w:hint="default" w:ascii="Times New Roman" w:hAnsi="Times New Roman" w:eastAsia="方正小标宋简体" w:cs="Times New Roman"/>
          <w:b w:val="0"/>
          <w:spacing w:val="-11"/>
          <w:sz w:val="44"/>
          <w:szCs w:val="32"/>
        </w:rPr>
        <w:t>关于第一师一团工业园区2×30MW 背压热电</w:t>
      </w:r>
      <w:r>
        <w:rPr>
          <w:rFonts w:hint="default" w:ascii="Times New Roman" w:hAnsi="Times New Roman" w:eastAsia="方正小标宋简体" w:cs="Times New Roman"/>
          <w:b w:val="0"/>
          <w:spacing w:val="0"/>
          <w:sz w:val="44"/>
          <w:szCs w:val="32"/>
        </w:rPr>
        <w:t>联产</w:t>
      </w:r>
      <w:r>
        <w:rPr>
          <w:rFonts w:hint="default" w:ascii="Times New Roman" w:hAnsi="Times New Roman" w:eastAsia="方正小标宋简体" w:cs="Times New Roman"/>
          <w:b w:val="0"/>
          <w:spacing w:val="-20"/>
          <w:sz w:val="44"/>
          <w:szCs w:val="32"/>
        </w:rPr>
        <w:t>附属工程项目</w:t>
      </w:r>
      <w:r>
        <w:rPr>
          <w:rFonts w:hint="default" w:ascii="Times New Roman" w:hAnsi="Times New Roman" w:eastAsia="方正小标宋简体" w:cs="Times New Roman"/>
          <w:b w:val="0"/>
          <w:sz w:val="44"/>
          <w:szCs w:val="32"/>
        </w:rPr>
        <w:t>环境影响报告表的批复</w:t>
      </w:r>
    </w:p>
    <w:p w14:paraId="3215778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rPr>
      </w:pPr>
    </w:p>
    <w:p w14:paraId="5322879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南疆能源（集团）有限责任公司：</w:t>
      </w:r>
    </w:p>
    <w:p w14:paraId="2322F0D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你单位报送的《关于</w:t>
      </w:r>
      <w:r>
        <w:rPr>
          <w:rFonts w:hint="default" w:ascii="Times New Roman" w:hAnsi="Times New Roman" w:eastAsia="方正仿宋简体" w:cs="Times New Roman"/>
          <w:sz w:val="32"/>
          <w:szCs w:val="32"/>
          <w:lang w:eastAsia="zh-CN"/>
        </w:rPr>
        <w:t>送审第一师一团工业园区2×30MW背压热电联产附属工程项目环境影响报告表</w:t>
      </w:r>
      <w:r>
        <w:rPr>
          <w:rFonts w:hint="default" w:ascii="Times New Roman" w:hAnsi="Times New Roman" w:eastAsia="方正仿宋简体" w:cs="Times New Roman"/>
          <w:sz w:val="32"/>
          <w:szCs w:val="32"/>
          <w:lang w:val="en-US" w:eastAsia="zh-CN"/>
        </w:rPr>
        <w:t>的请示</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及</w:t>
      </w:r>
      <w:r>
        <w:rPr>
          <w:rFonts w:hint="default" w:ascii="Times New Roman" w:hAnsi="Times New Roman" w:eastAsia="方正仿宋简体" w:cs="Times New Roman"/>
          <w:sz w:val="32"/>
          <w:szCs w:val="32"/>
        </w:rPr>
        <w:t>《第一师一团工业园区2×30MW背压热电联产附属工程项目</w:t>
      </w:r>
      <w:r>
        <w:rPr>
          <w:rFonts w:hint="default" w:ascii="Times New Roman" w:hAnsi="Times New Roman" w:eastAsia="方正仿宋简体" w:cs="Times New Roman"/>
          <w:sz w:val="32"/>
          <w:szCs w:val="32"/>
          <w:lang w:eastAsia="zh-CN"/>
        </w:rPr>
        <w:t>环境影响报告表</w:t>
      </w:r>
      <w:r>
        <w:rPr>
          <w:rFonts w:hint="default" w:ascii="Times New Roman" w:hAnsi="Times New Roman" w:eastAsia="方正仿宋简体" w:cs="Times New Roman"/>
          <w:sz w:val="32"/>
          <w:szCs w:val="32"/>
        </w:rPr>
        <w:t>》（以下简称</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已</w:t>
      </w:r>
      <w:r>
        <w:rPr>
          <w:rFonts w:hint="default" w:ascii="Times New Roman" w:hAnsi="Times New Roman" w:eastAsia="方正仿宋简体" w:cs="Times New Roman"/>
          <w:sz w:val="32"/>
          <w:szCs w:val="32"/>
        </w:rPr>
        <w:t>收悉。经</w:t>
      </w:r>
      <w:r>
        <w:rPr>
          <w:rFonts w:hint="default" w:ascii="Times New Roman" w:hAnsi="Times New Roman" w:eastAsia="方正仿宋简体" w:cs="Times New Roman"/>
          <w:sz w:val="32"/>
          <w:szCs w:val="32"/>
          <w:lang w:val="en-US" w:eastAsia="zh-CN"/>
        </w:rPr>
        <w:t>专家审查和</w:t>
      </w:r>
      <w:r>
        <w:rPr>
          <w:rFonts w:hint="default" w:ascii="Times New Roman" w:hAnsi="Times New Roman" w:eastAsia="方正仿宋简体" w:cs="Times New Roman"/>
          <w:sz w:val="32"/>
          <w:szCs w:val="32"/>
        </w:rPr>
        <w:t>研究，现批复如下：</w:t>
      </w:r>
    </w:p>
    <w:p w14:paraId="474A916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黑体简体" w:cs="方正黑体简体"/>
          <w:sz w:val="32"/>
          <w:szCs w:val="32"/>
          <w:lang w:val="en-US" w:eastAsia="zh-CN"/>
        </w:rPr>
        <w:t>一、</w:t>
      </w:r>
      <w:r>
        <w:rPr>
          <w:rFonts w:hint="default" w:ascii="Times New Roman" w:hAnsi="Times New Roman" w:eastAsia="方正仿宋简体" w:cs="Times New Roman"/>
          <w:sz w:val="32"/>
          <w:szCs w:val="32"/>
          <w:lang w:eastAsia="zh-CN"/>
        </w:rPr>
        <w:t>该项目</w:t>
      </w:r>
      <w:r>
        <w:rPr>
          <w:rFonts w:hint="default" w:ascii="Times New Roman" w:hAnsi="Times New Roman" w:eastAsia="方正仿宋简体" w:cs="Times New Roman"/>
          <w:sz w:val="32"/>
          <w:szCs w:val="32"/>
        </w:rPr>
        <w:t>位于第一师一团工业园区</w:t>
      </w:r>
      <w:r>
        <w:rPr>
          <w:rFonts w:hint="default" w:ascii="Times New Roman" w:hAnsi="Times New Roman" w:eastAsia="方正仿宋简体" w:cs="Times New Roman"/>
          <w:sz w:val="32"/>
          <w:szCs w:val="32"/>
          <w:lang w:val="en-US" w:eastAsia="zh-CN"/>
        </w:rPr>
        <w:t>，建设内容为：</w:t>
      </w:r>
    </w:p>
    <w:p w14:paraId="7A7DE9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1.新建2条空架单回110kV 输电线路，起于背压机变电</w:t>
      </w:r>
      <w:r>
        <w:rPr>
          <w:rFonts w:hint="eastAsia" w:ascii="Times New Roman" w:hAnsi="Times New Roman" w:eastAsia="方正仿宋简体" w:cs="Times New Roman"/>
          <w:spacing w:val="-23"/>
          <w:sz w:val="32"/>
          <w:szCs w:val="32"/>
          <w:lang w:val="en-US" w:eastAsia="zh-CN"/>
        </w:rPr>
        <w:t>站110kV侧进出线，最终进入中庄变，导线采用JL3/G1A-240/30型</w:t>
      </w:r>
      <w:r>
        <w:rPr>
          <w:rFonts w:hint="eastAsia" w:ascii="Times New Roman" w:hAnsi="Times New Roman" w:eastAsia="方正仿宋简体" w:cs="Times New Roman"/>
          <w:sz w:val="32"/>
          <w:szCs w:val="32"/>
          <w:lang w:val="en-US" w:eastAsia="zh-CN"/>
        </w:rPr>
        <w:t>钢</w:t>
      </w:r>
      <w:r>
        <w:rPr>
          <w:rFonts w:hint="eastAsia" w:ascii="Times New Roman" w:hAnsi="Times New Roman" w:eastAsia="方正仿宋简体" w:cs="Times New Roman"/>
          <w:spacing w:val="-11"/>
          <w:sz w:val="32"/>
          <w:szCs w:val="32"/>
          <w:lang w:val="en-US" w:eastAsia="zh-CN"/>
        </w:rPr>
        <w:t>芯高导电率铝绞线，电缆采用ZR-YJLW03-64/110-1×800mm²型</w:t>
      </w:r>
      <w:r>
        <w:rPr>
          <w:rFonts w:hint="eastAsia" w:ascii="Times New Roman" w:hAnsi="Times New Roman" w:eastAsia="方正仿宋简体" w:cs="Times New Roman"/>
          <w:sz w:val="32"/>
          <w:szCs w:val="32"/>
          <w:lang w:val="en-US" w:eastAsia="zh-CN"/>
        </w:rPr>
        <w:t>铜芯电力电缆，长度共计11</w:t>
      </w:r>
      <w:r>
        <w:rPr>
          <w:rFonts w:hint="default" w:ascii="Times New Roman" w:hAnsi="Times New Roman" w:eastAsia="方正仿宋简体" w:cs="Times New Roman"/>
          <w:sz w:val="32"/>
          <w:szCs w:val="32"/>
          <w:lang w:val="en-US" w:eastAsia="zh-CN"/>
        </w:rPr>
        <w:t>km</w:t>
      </w:r>
      <w:r>
        <w:rPr>
          <w:rFonts w:hint="eastAsia" w:ascii="Times New Roman" w:hAnsi="Times New Roman" w:eastAsia="方正仿宋简体" w:cs="Times New Roman"/>
          <w:sz w:val="32"/>
          <w:szCs w:val="32"/>
          <w:lang w:val="en-US" w:eastAsia="zh-CN"/>
        </w:rPr>
        <w:t>，地线采用2根24芯OPGW光缆，起点坐标为东经80°0′16.584″，北纬40°34′29.635″，终点坐标为东经79°59′4.090″，北纬40°36′33.871″。新建杆塔40基。</w:t>
      </w:r>
    </w:p>
    <w:p w14:paraId="5644D1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2.新建长度为</w:t>
      </w: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275</w:t>
      </w:r>
      <w:r>
        <w:rPr>
          <w:rFonts w:hint="eastAsia" w:ascii="Times New Roman" w:hAnsi="Times New Roman" w:eastAsia="方正仿宋简体" w:cs="Times New Roman"/>
          <w:sz w:val="32"/>
          <w:szCs w:val="32"/>
          <w:lang w:val="en-US" w:eastAsia="zh-CN"/>
        </w:rPr>
        <w:t>km的</w:t>
      </w:r>
      <w:r>
        <w:rPr>
          <w:rFonts w:hint="default" w:ascii="Times New Roman" w:hAnsi="Times New Roman" w:eastAsia="方正仿宋简体" w:cs="Times New Roman"/>
          <w:sz w:val="32"/>
          <w:szCs w:val="32"/>
          <w:lang w:val="en-US" w:eastAsia="zh-CN"/>
        </w:rPr>
        <w:t>DN500</w:t>
      </w:r>
      <w:r>
        <w:rPr>
          <w:rFonts w:hint="eastAsia" w:ascii="Times New Roman" w:hAnsi="Times New Roman" w:eastAsia="方正仿宋简体" w:cs="Times New Roman"/>
          <w:sz w:val="32"/>
          <w:szCs w:val="32"/>
          <w:lang w:val="en-US" w:eastAsia="zh-CN"/>
        </w:rPr>
        <w:t>蒸汽管道，全线采用低架空敷设，起点接自第一师一团2×30MW 背压机项目电厂出口预留主蒸汽管道，敷设至纬一路路口，起点坐标为东经79°58'55.609"，北纬40°36'36.837"，终点坐标为东经79°57'00.556"，北纬40°37′49.689″。</w:t>
      </w:r>
    </w:p>
    <w:p w14:paraId="5AE79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3.利用中庄变110kV 3Y、4Y出线间隔预留位置，新建2个间隔的110kV电气设备。项目总投资3872万元，</w:t>
      </w:r>
      <w:r>
        <w:rPr>
          <w:rFonts w:hint="default" w:ascii="Times New Roman" w:hAnsi="Times New Roman" w:eastAsia="方正仿宋简体" w:cs="Times New Roman"/>
          <w:sz w:val="32"/>
          <w:szCs w:val="32"/>
          <w:lang w:val="en-US" w:eastAsia="zh-CN"/>
        </w:rPr>
        <w:t>其中环保投资57.5万元</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占总投资的1.48%</w:t>
      </w:r>
      <w:r>
        <w:rPr>
          <w:rFonts w:hint="eastAsia" w:ascii="Times New Roman" w:hAnsi="Times New Roman" w:eastAsia="方正仿宋简体" w:cs="Times New Roman"/>
          <w:sz w:val="32"/>
          <w:szCs w:val="32"/>
          <w:lang w:val="en-US" w:eastAsia="zh-CN"/>
        </w:rPr>
        <w:t>。</w:t>
      </w:r>
    </w:p>
    <w:p w14:paraId="7729732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黑体简体" w:cs="方正黑体简体"/>
          <w:sz w:val="32"/>
          <w:szCs w:val="32"/>
        </w:rPr>
        <w:t>二、</w:t>
      </w:r>
      <w:r>
        <w:rPr>
          <w:rFonts w:hint="default" w:ascii="Times New Roman" w:hAnsi="Times New Roman" w:eastAsia="方正仿宋简体" w:cs="Times New Roman"/>
          <w:sz w:val="32"/>
          <w:szCs w:val="32"/>
        </w:rPr>
        <w:t>根据新疆兵团勘测设计院集团股份有限公司编制的《</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rPr>
        <w:t>》评价结论</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color w:val="auto"/>
          <w:sz w:val="32"/>
          <w:szCs w:val="32"/>
          <w:lang w:val="en-US" w:eastAsia="zh-CN"/>
        </w:rPr>
        <w:t>专家对项目的评价意见</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该项目属于输变电工程。</w:t>
      </w:r>
      <w:r>
        <w:rPr>
          <w:rFonts w:hint="default" w:ascii="Times New Roman" w:hAnsi="Times New Roman" w:eastAsia="方正仿宋简体" w:cs="Times New Roman"/>
          <w:sz w:val="32"/>
          <w:szCs w:val="32"/>
        </w:rPr>
        <w:t>在符合产业政策、选址符合</w:t>
      </w:r>
      <w:r>
        <w:rPr>
          <w:rFonts w:hint="default" w:ascii="Times New Roman" w:hAnsi="Times New Roman" w:eastAsia="方正仿宋简体" w:cs="Times New Roman"/>
          <w:sz w:val="32"/>
          <w:szCs w:val="32"/>
          <w:lang w:eastAsia="zh-CN"/>
        </w:rPr>
        <w:t>国土空间区域</w:t>
      </w:r>
      <w:r>
        <w:rPr>
          <w:rFonts w:hint="default" w:ascii="Times New Roman" w:hAnsi="Times New Roman" w:eastAsia="方正仿宋简体" w:cs="Times New Roman"/>
          <w:sz w:val="32"/>
          <w:szCs w:val="32"/>
        </w:rPr>
        <w:t>等相关规划的前提下，从环境保护的角度，我局原则同意《</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rPr>
        <w:t>》结论。</w:t>
      </w:r>
    </w:p>
    <w:p w14:paraId="0E9B179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黑体简体" w:cs="方正黑体简体"/>
          <w:color w:val="auto"/>
          <w:kern w:val="0"/>
          <w:sz w:val="32"/>
          <w:szCs w:val="32"/>
          <w:highlight w:val="none"/>
          <w:lang w:val="zh-CN" w:eastAsia="zh-CN"/>
        </w:rPr>
        <w:t>三、</w:t>
      </w:r>
      <w:r>
        <w:rPr>
          <w:rFonts w:hint="default" w:ascii="Times New Roman" w:hAnsi="Times New Roman" w:eastAsia="方正仿宋简体" w:cs="Times New Roman"/>
          <w:color w:val="auto"/>
          <w:kern w:val="0"/>
          <w:sz w:val="32"/>
          <w:szCs w:val="32"/>
          <w:highlight w:val="none"/>
          <w:lang w:val="zh-CN" w:eastAsia="zh-CN"/>
        </w:rPr>
        <w:t>项目施工前须完成落实的工作：该项目杆塔基座永久占地1960</w:t>
      </w:r>
      <w:r>
        <w:rPr>
          <w:rFonts w:hint="default" w:ascii="Times New Roman" w:hAnsi="Times New Roman" w:eastAsia="宋体" w:cs="Times New Roman"/>
          <w:color w:val="auto"/>
          <w:kern w:val="0"/>
          <w:sz w:val="32"/>
          <w:szCs w:val="32"/>
          <w:highlight w:val="none"/>
          <w:lang w:val="zh-CN" w:eastAsia="zh-CN"/>
        </w:rPr>
        <w:t>m²</w:t>
      </w:r>
      <w:r>
        <w:rPr>
          <w:rFonts w:hint="default" w:ascii="Times New Roman" w:hAnsi="Times New Roman" w:eastAsia="方正仿宋简体" w:cs="Times New Roman"/>
          <w:color w:val="auto"/>
          <w:kern w:val="0"/>
          <w:sz w:val="32"/>
          <w:szCs w:val="32"/>
          <w:highlight w:val="none"/>
          <w:lang w:val="zh-CN" w:eastAsia="zh-CN"/>
        </w:rPr>
        <w:t>，占地主要为草地和未利用地</w:t>
      </w:r>
      <w:r>
        <w:rPr>
          <w:rFonts w:hint="eastAsia" w:ascii="Times New Roman" w:hAnsi="Times New Roman" w:eastAsia="方正仿宋简体" w:cs="Times New Roman"/>
          <w:color w:val="auto"/>
          <w:kern w:val="0"/>
          <w:sz w:val="32"/>
          <w:szCs w:val="32"/>
          <w:highlight w:val="none"/>
          <w:lang w:val="zh-CN" w:eastAsia="zh-CN"/>
        </w:rPr>
        <w:t>，蒸汽管道工程永久占地为8550 m</w:t>
      </w:r>
      <w:r>
        <w:rPr>
          <w:rFonts w:hint="eastAsia" w:ascii="Times New Roman" w:hAnsi="Times New Roman" w:eastAsia="方正仿宋简体" w:cs="Times New Roman"/>
          <w:color w:val="auto"/>
          <w:kern w:val="0"/>
          <w:sz w:val="32"/>
          <w:szCs w:val="32"/>
          <w:highlight w:val="none"/>
          <w:vertAlign w:val="superscript"/>
          <w:lang w:val="zh-CN" w:eastAsia="zh-CN"/>
        </w:rPr>
        <w:t>2</w:t>
      </w:r>
      <w:r>
        <w:rPr>
          <w:rFonts w:hint="eastAsia" w:ascii="Times New Roman" w:hAnsi="Times New Roman" w:eastAsia="方正仿宋简体" w:cs="Times New Roman"/>
          <w:color w:val="auto"/>
          <w:kern w:val="0"/>
          <w:sz w:val="32"/>
          <w:szCs w:val="32"/>
          <w:highlight w:val="none"/>
          <w:lang w:val="zh-CN" w:eastAsia="zh-CN"/>
        </w:rPr>
        <w:t>，占地类型为草地、设施农用地、建设用地和未利用地，</w:t>
      </w:r>
      <w:r>
        <w:rPr>
          <w:rFonts w:hint="eastAsia" w:ascii="Times New Roman" w:hAnsi="Times New Roman" w:eastAsia="方正仿宋简体" w:cs="Times New Roman"/>
          <w:color w:val="auto"/>
          <w:kern w:val="0"/>
          <w:sz w:val="32"/>
          <w:szCs w:val="32"/>
          <w:highlight w:val="none"/>
          <w:lang w:val="en-US" w:eastAsia="zh-CN"/>
        </w:rPr>
        <w:t>均不占基本农田</w:t>
      </w:r>
      <w:r>
        <w:rPr>
          <w:rFonts w:hint="eastAsia" w:ascii="Times New Roman" w:hAnsi="Times New Roman" w:eastAsia="方正仿宋简体" w:cs="Times New Roman"/>
          <w:color w:val="auto"/>
          <w:kern w:val="0"/>
          <w:sz w:val="32"/>
          <w:szCs w:val="32"/>
          <w:highlight w:val="none"/>
          <w:lang w:val="zh-CN" w:eastAsia="zh-CN"/>
        </w:rPr>
        <w:t>；</w:t>
      </w:r>
      <w:r>
        <w:rPr>
          <w:rFonts w:hint="default" w:ascii="Times New Roman" w:hAnsi="Times New Roman" w:eastAsia="方正仿宋简体" w:cs="Times New Roman"/>
          <w:color w:val="auto"/>
          <w:kern w:val="0"/>
          <w:sz w:val="32"/>
          <w:szCs w:val="32"/>
          <w:highlight w:val="none"/>
          <w:lang w:val="zh-CN" w:eastAsia="zh-CN"/>
        </w:rPr>
        <w:t>输电线路临时占地30200m</w:t>
      </w:r>
      <w:r>
        <w:rPr>
          <w:rFonts w:hint="default" w:ascii="Times New Roman" w:hAnsi="Times New Roman" w:eastAsia="方正仿宋简体" w:cs="Times New Roman"/>
          <w:color w:val="auto"/>
          <w:kern w:val="0"/>
          <w:sz w:val="32"/>
          <w:szCs w:val="32"/>
          <w:highlight w:val="none"/>
          <w:vertAlign w:val="superscript"/>
          <w:lang w:val="zh-CN" w:eastAsia="zh-CN"/>
        </w:rPr>
        <w:t>2</w:t>
      </w:r>
      <w:r>
        <w:rPr>
          <w:rFonts w:hint="eastAsia" w:ascii="Times New Roman" w:hAnsi="Times New Roman" w:eastAsia="方正仿宋简体" w:cs="Times New Roman"/>
          <w:color w:val="auto"/>
          <w:kern w:val="0"/>
          <w:sz w:val="32"/>
          <w:szCs w:val="32"/>
          <w:highlight w:val="none"/>
          <w:vertAlign w:val="baseline"/>
          <w:lang w:val="zh-CN" w:eastAsia="zh-CN"/>
        </w:rPr>
        <w:t>。</w:t>
      </w:r>
      <w:r>
        <w:rPr>
          <w:rFonts w:hint="default" w:ascii="Times New Roman" w:hAnsi="Times New Roman" w:eastAsia="方正仿宋简体" w:cs="Times New Roman"/>
          <w:color w:val="000000"/>
          <w:sz w:val="32"/>
          <w:szCs w:val="32"/>
          <w:highlight w:val="none"/>
          <w:lang w:val="en-US" w:eastAsia="zh-CN"/>
        </w:rPr>
        <w:t>你单位需严格按照《中华人民共和国土地管理法</w:t>
      </w:r>
      <w:r>
        <w:rPr>
          <w:rFonts w:hint="eastAsia" w:ascii="Times New Roman" w:hAnsi="Times New Roman" w:eastAsia="方正仿宋简体" w:cs="Times New Roman"/>
          <w:color w:val="000000"/>
          <w:sz w:val="32"/>
          <w:szCs w:val="32"/>
          <w:highlight w:val="none"/>
          <w:lang w:val="en-US" w:eastAsia="zh-CN"/>
        </w:rPr>
        <w:t>》《</w:t>
      </w:r>
      <w:r>
        <w:rPr>
          <w:rFonts w:hint="default" w:ascii="Times New Roman" w:hAnsi="Times New Roman" w:eastAsia="方正仿宋简体" w:cs="Times New Roman"/>
          <w:color w:val="000000"/>
          <w:sz w:val="32"/>
          <w:szCs w:val="32"/>
          <w:highlight w:val="none"/>
          <w:lang w:val="en-US" w:eastAsia="zh-CN"/>
        </w:rPr>
        <w:t>关于全面实行永久基本农田特殊保护的通知》（国土资规〔2018〕1号）及有关法规政策的规定办理手续。</w:t>
      </w:r>
    </w:p>
    <w:p w14:paraId="61A35522">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黑体简体" w:cs="方正黑体简体"/>
          <w:color w:val="auto"/>
          <w:kern w:val="0"/>
          <w:sz w:val="32"/>
          <w:szCs w:val="32"/>
          <w:highlight w:val="none"/>
          <w:lang w:val="en-US" w:eastAsia="zh-CN"/>
        </w:rPr>
        <w:t>四、</w:t>
      </w:r>
      <w:r>
        <w:rPr>
          <w:rFonts w:hint="default" w:ascii="Times New Roman" w:hAnsi="Times New Roman" w:eastAsia="方正仿宋简体" w:cs="Times New Roman"/>
          <w:color w:val="auto"/>
          <w:kern w:val="0"/>
          <w:sz w:val="32"/>
          <w:szCs w:val="32"/>
          <w:highlight w:val="none"/>
          <w:lang w:val="en-US" w:eastAsia="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501C967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2"/>
          <w:szCs w:val="32"/>
          <w:lang w:eastAsia="zh-CN"/>
        </w:rPr>
        <w:t>（一）严格落实</w:t>
      </w:r>
      <w:r>
        <w:rPr>
          <w:rFonts w:hint="default" w:ascii="Times New Roman" w:hAnsi="Times New Roman" w:eastAsia="方正楷体简体" w:cs="Times New Roman"/>
          <w:color w:val="auto"/>
          <w:sz w:val="32"/>
          <w:szCs w:val="32"/>
          <w:lang w:eastAsia="zh-CN"/>
        </w:rPr>
        <w:t>生态环境防治和防沙治沙措施。</w:t>
      </w:r>
      <w:r>
        <w:rPr>
          <w:rFonts w:hint="default" w:ascii="Times New Roman" w:hAnsi="Times New Roman" w:eastAsia="方正仿宋简体" w:cs="Times New Roman"/>
          <w:color w:val="auto"/>
          <w:kern w:val="0"/>
          <w:sz w:val="32"/>
          <w:szCs w:val="32"/>
          <w:highlight w:val="none"/>
          <w:lang w:val="en-US" w:eastAsia="zh-CN"/>
        </w:rPr>
        <w:t>施工机械和人员活动范围严格限制在作业带范围内，减少施工破坏面及对地表的扰动；对临时堆土采用防尘网进行苫盖，防止散土随地表径流流失；严格控制临时占地，减少破坏原地貌、植被的面积；加强施工现场和物料运输的管理，保持道路清洁等有效措施。施工结束后，对塔基基础周边开挖部分进行覆土，并进行平整夯实，以减少水土流失；对塔基、蒸汽管道支架施工点</w:t>
      </w:r>
      <w:r>
        <w:rPr>
          <w:rFonts w:hint="eastAsia" w:ascii="Times New Roman" w:hAnsi="Times New Roman" w:eastAsia="方正仿宋简体" w:cs="Times New Roman"/>
          <w:color w:val="auto"/>
          <w:kern w:val="0"/>
          <w:sz w:val="32"/>
          <w:szCs w:val="32"/>
          <w:highlight w:val="none"/>
          <w:lang w:val="en-US" w:eastAsia="zh-CN"/>
        </w:rPr>
        <w:t>、</w:t>
      </w:r>
      <w:r>
        <w:rPr>
          <w:rFonts w:hint="default" w:ascii="Times New Roman" w:hAnsi="Times New Roman" w:eastAsia="方正仿宋简体" w:cs="Times New Roman"/>
          <w:color w:val="auto"/>
          <w:kern w:val="0"/>
          <w:sz w:val="32"/>
          <w:szCs w:val="32"/>
          <w:highlight w:val="none"/>
          <w:lang w:val="en-US" w:eastAsia="zh-CN"/>
        </w:rPr>
        <w:t>牵张场等施工扰动区地表进行平整，及时播撒草籽，进行植被恢复。</w:t>
      </w:r>
    </w:p>
    <w:p w14:paraId="54E29E4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（二）严格落实大气污染防治措施</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该项目施工期产生的废气主要为施工扬尘、机械燃油废气。通过</w:t>
      </w:r>
      <w:r>
        <w:rPr>
          <w:rFonts w:hint="default" w:ascii="Times New Roman" w:hAnsi="Times New Roman" w:eastAsia="方正仿宋简体" w:cs="Times New Roman"/>
          <w:sz w:val="32"/>
          <w:szCs w:val="32"/>
        </w:rPr>
        <w:t>加强对施工现场和物料运输的管理，管控物料和渣土堆放，对易起尘的临时堆土、物料采取密闭式防尘布（网）进行苫盖；运输沙土等易起尘的建筑材料时必须加盖篷布，防止散落而形成尘源；施工场地、施工道路扬尘采取洒水和清扫</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优先选用湿法作业，开挖前先对施工开挖区采取洒水降尘后，再进行开挖作业；避免在大风天气下施工作业；加强路面养护，控制车速</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kern w:val="0"/>
          <w:sz w:val="32"/>
          <w:szCs w:val="32"/>
          <w:lang w:val="en-US" w:eastAsia="zh-CN"/>
        </w:rPr>
        <w:t>严格执行国家有关汽车尾气污染物排放标准</w:t>
      </w:r>
      <w:r>
        <w:rPr>
          <w:rFonts w:hint="default" w:ascii="Times New Roman" w:hAnsi="Times New Roman" w:eastAsia="方正仿宋简体" w:cs="Times New Roman"/>
          <w:sz w:val="32"/>
          <w:szCs w:val="32"/>
          <w:lang w:eastAsia="zh-CN"/>
        </w:rPr>
        <w:t>等措施后，有效减少废气污染，确保</w:t>
      </w:r>
      <w:r>
        <w:rPr>
          <w:rFonts w:hint="default" w:ascii="Times New Roman" w:hAnsi="Times New Roman" w:eastAsia="方正仿宋简体" w:cs="Times New Roman"/>
          <w:sz w:val="32"/>
          <w:szCs w:val="32"/>
        </w:rPr>
        <w:t>施工期</w:t>
      </w:r>
      <w:r>
        <w:rPr>
          <w:rFonts w:hint="default" w:ascii="Times New Roman" w:hAnsi="Times New Roman" w:eastAsia="方正仿宋简体" w:cs="Times New Roman"/>
          <w:sz w:val="32"/>
          <w:szCs w:val="32"/>
          <w:lang w:eastAsia="zh-CN"/>
        </w:rPr>
        <w:t>废气满足</w:t>
      </w:r>
      <w:r>
        <w:rPr>
          <w:rFonts w:hint="default" w:ascii="Times New Roman" w:hAnsi="Times New Roman" w:eastAsia="方正仿宋简体" w:cs="Times New Roman"/>
          <w:sz w:val="32"/>
          <w:szCs w:val="32"/>
        </w:rPr>
        <w:t>《大气污染物综合排放标准》（GB16297-1996）新污染源大气污染物排放限值中的无组织颗粒物排放监控限值。</w:t>
      </w:r>
    </w:p>
    <w:p w14:paraId="6DEB6FF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（三）严格落实水污染防治措施。</w:t>
      </w:r>
      <w:r>
        <w:rPr>
          <w:rFonts w:hint="default" w:ascii="Times New Roman" w:hAnsi="Times New Roman" w:eastAsia="方正仿宋简体" w:cs="Times New Roman"/>
          <w:sz w:val="32"/>
          <w:szCs w:val="32"/>
          <w:lang w:eastAsia="zh-CN"/>
        </w:rPr>
        <w:t>该项目施工期产生的废水主要为</w:t>
      </w:r>
      <w:r>
        <w:rPr>
          <w:rFonts w:hint="default" w:ascii="Times New Roman" w:hAnsi="Times New Roman" w:eastAsia="方正仿宋简体" w:cs="Times New Roman"/>
          <w:sz w:val="32"/>
          <w:szCs w:val="32"/>
          <w:lang w:val="en-US" w:eastAsia="zh-CN"/>
        </w:rPr>
        <w:t>施工生产废水（</w:t>
      </w:r>
      <w:r>
        <w:rPr>
          <w:rFonts w:hint="eastAsia" w:ascii="Times New Roman" w:hAnsi="Times New Roman" w:eastAsia="方正仿宋简体" w:cs="Times New Roman"/>
          <w:sz w:val="32"/>
          <w:szCs w:val="32"/>
          <w:lang w:val="en-US" w:eastAsia="zh-CN"/>
        </w:rPr>
        <w:t>塔基和管道支架基础养护废水</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，无生活污水，</w:t>
      </w:r>
      <w:r>
        <w:rPr>
          <w:rFonts w:hint="default" w:ascii="Times New Roman" w:hAnsi="Times New Roman" w:eastAsia="方正仿宋简体" w:cs="Times New Roman"/>
          <w:sz w:val="32"/>
          <w:szCs w:val="32"/>
          <w:lang w:val="en-US" w:eastAsia="zh-CN"/>
        </w:rPr>
        <w:t>施工生产废水</w:t>
      </w:r>
      <w:r>
        <w:rPr>
          <w:rFonts w:hint="default" w:ascii="Times New Roman" w:hAnsi="Times New Roman" w:eastAsia="方正仿宋简体" w:cs="Times New Roman"/>
          <w:sz w:val="32"/>
          <w:szCs w:val="32"/>
          <w:lang w:eastAsia="zh-CN"/>
        </w:rPr>
        <w:t>被混凝土吸收或自然蒸发，不外排</w:t>
      </w:r>
      <w:r>
        <w:rPr>
          <w:rFonts w:hint="default" w:ascii="Times New Roman" w:hAnsi="Times New Roman" w:eastAsia="方正仿宋简体" w:cs="Times New Roman"/>
          <w:sz w:val="32"/>
          <w:szCs w:val="32"/>
          <w:lang w:val="en-US" w:eastAsia="zh-CN"/>
        </w:rPr>
        <w:t>。</w:t>
      </w:r>
    </w:p>
    <w:p w14:paraId="11849CF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楷体简体" w:cs="Times New Roman"/>
          <w:color w:val="auto"/>
          <w:kern w:val="0"/>
          <w:sz w:val="32"/>
          <w:szCs w:val="32"/>
          <w:highlight w:val="none"/>
          <w:lang w:val="en-US" w:eastAsia="zh-CN" w:bidi="ar-SA"/>
        </w:rPr>
        <w:t>（四）严格落实噪声污染防治措施。</w:t>
      </w:r>
      <w:r>
        <w:rPr>
          <w:rFonts w:hint="default" w:ascii="Times New Roman" w:hAnsi="Times New Roman" w:eastAsia="方正仿宋简体" w:cs="Times New Roman"/>
          <w:color w:val="auto"/>
          <w:kern w:val="0"/>
          <w:sz w:val="32"/>
          <w:szCs w:val="32"/>
          <w:highlight w:val="none"/>
          <w:lang w:val="en-US" w:eastAsia="zh-CN" w:bidi="ar-SA"/>
        </w:rPr>
        <w:t>项目噪声主要来自基础开挖、架线施工中各种机具运行产生的噪声</w:t>
      </w:r>
      <w:r>
        <w:rPr>
          <w:rFonts w:hint="eastAsia" w:ascii="Times New Roman" w:hAnsi="Times New Roman" w:eastAsia="方正仿宋简体" w:cs="Times New Roman"/>
          <w:color w:val="auto"/>
          <w:kern w:val="0"/>
          <w:sz w:val="32"/>
          <w:szCs w:val="32"/>
          <w:highlight w:val="none"/>
          <w:lang w:val="en-US" w:eastAsia="zh-CN" w:bidi="ar-SA"/>
        </w:rPr>
        <w:t>，应</w:t>
      </w:r>
      <w:r>
        <w:rPr>
          <w:rFonts w:hint="default" w:ascii="Times New Roman" w:hAnsi="Times New Roman" w:eastAsia="方正仿宋简体" w:cs="Times New Roman"/>
          <w:color w:val="auto"/>
          <w:kern w:val="0"/>
          <w:sz w:val="32"/>
          <w:szCs w:val="32"/>
          <w:highlight w:val="none"/>
          <w:lang w:val="en-US" w:eastAsia="zh-CN" w:bidi="ar-SA"/>
        </w:rPr>
        <w:t xml:space="preserve">选用低噪声设备，采取隔声降噪措施，确保施工期施工场界噪声执行《建筑施工场界环境噪声排放标准》（GB12523-2011）标准；运营期110kV输电线路执行《声环境质量标准》(GB 3096-2008)中的3类标准。  </w:t>
      </w:r>
    </w:p>
    <w:p w14:paraId="6A50D4E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楷体简体" w:cs="Times New Roman"/>
          <w:color w:val="auto"/>
          <w:kern w:val="0"/>
          <w:sz w:val="32"/>
          <w:szCs w:val="32"/>
          <w:highlight w:val="none"/>
          <w:lang w:val="en-US" w:eastAsia="zh-CN" w:bidi="ar-SA"/>
        </w:rPr>
        <w:t>（五）严格落实固体废物分类处置措施。</w:t>
      </w:r>
      <w:r>
        <w:rPr>
          <w:rFonts w:hint="default" w:ascii="Times New Roman" w:hAnsi="Times New Roman" w:eastAsia="方正仿宋简体" w:cs="Times New Roman"/>
          <w:color w:val="auto"/>
          <w:kern w:val="0"/>
          <w:sz w:val="32"/>
          <w:szCs w:val="32"/>
          <w:highlight w:val="none"/>
          <w:lang w:val="en-US" w:eastAsia="zh-CN" w:bidi="ar-SA"/>
        </w:rPr>
        <w:t>该项目</w:t>
      </w:r>
      <w:r>
        <w:rPr>
          <w:rFonts w:hint="eastAsia" w:ascii="Times New Roman" w:hAnsi="Times New Roman" w:eastAsia="方正仿宋简体" w:cs="Times New Roman"/>
          <w:color w:val="auto"/>
          <w:kern w:val="0"/>
          <w:sz w:val="32"/>
          <w:szCs w:val="32"/>
          <w:highlight w:val="none"/>
          <w:lang w:val="en-US" w:eastAsia="zh-CN" w:bidi="ar-SA"/>
        </w:rPr>
        <w:t>施工期产生的固体废物主要为生活垃圾、建筑垃圾，生活垃圾收集后统一运至生活垃圾转运站，建筑垃圾优先回收利用，无法回收利用的全部运至行业主管部门指定地点堆放或填埋。</w:t>
      </w:r>
      <w:r>
        <w:rPr>
          <w:rFonts w:hint="default" w:ascii="Times New Roman" w:hAnsi="Times New Roman" w:eastAsia="方正仿宋简体" w:cs="Times New Roman"/>
          <w:color w:val="auto"/>
          <w:kern w:val="0"/>
          <w:sz w:val="32"/>
          <w:szCs w:val="32"/>
          <w:highlight w:val="none"/>
          <w:lang w:val="en-US" w:eastAsia="zh-CN" w:bidi="ar-SA"/>
        </w:rPr>
        <w:t>运营期产生的固废主要为检修废弃物及生活垃圾</w:t>
      </w:r>
      <w:r>
        <w:rPr>
          <w:rFonts w:hint="eastAsia" w:ascii="Times New Roman" w:hAnsi="Times New Roman" w:eastAsia="方正仿宋简体" w:cs="Times New Roman"/>
          <w:color w:val="auto"/>
          <w:kern w:val="0"/>
          <w:sz w:val="32"/>
          <w:szCs w:val="32"/>
          <w:highlight w:val="none"/>
          <w:lang w:val="en-US" w:eastAsia="zh-CN" w:bidi="ar-SA"/>
        </w:rPr>
        <w:t>，由检修人员在检修完毕后集中收集带回至就近垃圾收集站处理</w:t>
      </w:r>
      <w:r>
        <w:rPr>
          <w:rFonts w:hint="default" w:ascii="Times New Roman" w:hAnsi="Times New Roman" w:eastAsia="方正仿宋简体" w:cs="Times New Roman"/>
          <w:color w:val="auto"/>
          <w:kern w:val="0"/>
          <w:sz w:val="32"/>
          <w:szCs w:val="32"/>
          <w:highlight w:val="none"/>
          <w:lang w:val="en-US" w:eastAsia="zh-CN" w:bidi="ar-SA"/>
        </w:rPr>
        <w:t>。</w:t>
      </w:r>
    </w:p>
    <w:p w14:paraId="6F7EFDE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楷体简体" w:cs="Times New Roman"/>
          <w:color w:val="auto"/>
          <w:kern w:val="0"/>
          <w:sz w:val="32"/>
          <w:szCs w:val="32"/>
          <w:highlight w:val="none"/>
          <w:lang w:val="en-US" w:eastAsia="zh-CN"/>
        </w:rPr>
        <w:t>（六）严格落实电磁污染防治措施。</w:t>
      </w:r>
      <w:r>
        <w:rPr>
          <w:rFonts w:hint="eastAsia" w:ascii="Times New Roman" w:hAnsi="Times New Roman" w:eastAsia="方正仿宋简体" w:cs="Times New Roman"/>
          <w:color w:val="auto"/>
          <w:kern w:val="0"/>
          <w:sz w:val="32"/>
          <w:szCs w:val="32"/>
          <w:highlight w:val="none"/>
          <w:lang w:val="en-US" w:eastAsia="zh-CN" w:bidi="ar-SA"/>
        </w:rPr>
        <w:t>线路建成后，应加强输电线路防护距离宣传教育和督查工作，导线下方不得再建设房屋。线路选用的导线质量应符合国家相关标准的要求，防止由于导线缺陷导致的电晕增加，降低线路运行时产生的噪声。对员工进行电磁基础知识培训，在巡检带电维修过程中，尽可能减少曝露在电磁场中的时间。制定安全操作规程</w:t>
      </w:r>
    </w:p>
    <w:p w14:paraId="6709DCE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color w:val="auto"/>
          <w:kern w:val="0"/>
          <w:sz w:val="32"/>
          <w:szCs w:val="32"/>
          <w:highlight w:val="none"/>
          <w:lang w:val="en-US" w:eastAsia="zh-CN" w:bidi="ar-SA"/>
        </w:rPr>
        <w:t>加强职工安全教育，加强电磁水平监测。</w:t>
      </w:r>
      <w:r>
        <w:rPr>
          <w:rFonts w:hint="default" w:ascii="Times New Roman" w:hAnsi="Times New Roman" w:eastAsia="方正仿宋简体" w:cs="Times New Roman"/>
          <w:sz w:val="32"/>
          <w:szCs w:val="32"/>
          <w:lang w:eastAsia="zh-CN"/>
        </w:rPr>
        <w:t>确保线路线路运行时产生的电磁</w:t>
      </w:r>
      <w:r>
        <w:rPr>
          <w:rFonts w:hint="default" w:ascii="Times New Roman" w:hAnsi="Times New Roman" w:eastAsia="方正仿宋简体" w:cs="Times New Roman"/>
          <w:sz w:val="32"/>
          <w:szCs w:val="32"/>
        </w:rPr>
        <w:t>满足《电磁环境控制限值》</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GB8702-2014</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相关</w:t>
      </w:r>
      <w:r>
        <w:rPr>
          <w:rFonts w:hint="default" w:ascii="Times New Roman" w:hAnsi="Times New Roman" w:eastAsia="方正仿宋简体" w:cs="Times New Roman"/>
          <w:sz w:val="32"/>
          <w:szCs w:val="32"/>
        </w:rPr>
        <w:t>要求。</w:t>
      </w:r>
    </w:p>
    <w:p w14:paraId="578A273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黑体简体" w:cs="方正黑体简体"/>
          <w:color w:val="auto"/>
          <w:kern w:val="0"/>
          <w:sz w:val="32"/>
          <w:szCs w:val="32"/>
          <w:highlight w:val="none"/>
          <w:lang w:val="zh-CN" w:eastAsia="zh-CN" w:bidi="ar-SA"/>
        </w:rPr>
        <w:t>五、</w:t>
      </w:r>
      <w:r>
        <w:rPr>
          <w:rFonts w:hint="default" w:ascii="Times New Roman" w:hAnsi="Times New Roman" w:eastAsia="方正仿宋简体" w:cs="Times New Roman"/>
          <w:color w:val="auto"/>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5C1A10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黑体简体" w:cs="方正黑体简体"/>
          <w:color w:val="000000" w:themeColor="text1"/>
          <w:kern w:val="0"/>
          <w:sz w:val="32"/>
          <w:szCs w:val="32"/>
          <w:lang w:eastAsia="zh-CN"/>
          <w14:textFill>
            <w14:solidFill>
              <w14:schemeClr w14:val="tx1"/>
            </w14:solidFill>
          </w14:textFill>
        </w:rPr>
        <w:t>六、</w:t>
      </w:r>
      <w:r>
        <w:rPr>
          <w:rFonts w:hint="default" w:ascii="Times New Roman" w:hAnsi="Times New Roman" w:eastAsia="方正仿宋简体" w:cs="Times New Roman"/>
          <w:color w:val="auto"/>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381AB132">
      <w:pPr>
        <w:pStyle w:val="10"/>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黑体简体" w:cs="方正黑体简体"/>
          <w:color w:val="auto"/>
          <w:kern w:val="0"/>
          <w:sz w:val="32"/>
          <w:szCs w:val="32"/>
          <w:lang w:val="zh-CN" w:eastAsia="zh-CN"/>
        </w:rPr>
        <w:t>七、</w:t>
      </w:r>
      <w:r>
        <w:rPr>
          <w:rFonts w:hint="eastAsia" w:ascii="Times New Roman" w:hAnsi="Times New Roman" w:eastAsia="方正仿宋简体" w:cs="Times New Roman"/>
          <w:color w:val="auto"/>
          <w:kern w:val="0"/>
          <w:sz w:val="32"/>
          <w:szCs w:val="32"/>
          <w:lang w:val="en-US" w:eastAsia="zh-CN"/>
        </w:rPr>
        <w:t>一团金银川镇</w:t>
      </w:r>
      <w:r>
        <w:rPr>
          <w:rFonts w:hint="default" w:ascii="Times New Roman" w:hAnsi="Times New Roman" w:eastAsia="方正仿宋简体" w:cs="Times New Roman"/>
          <w:color w:val="auto"/>
          <w:kern w:val="0"/>
          <w:sz w:val="32"/>
          <w:szCs w:val="32"/>
        </w:rPr>
        <w:t>积极发挥政府职能</w:t>
      </w:r>
      <w:r>
        <w:rPr>
          <w:rFonts w:hint="eastAsia"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color w:val="auto"/>
          <w:kern w:val="0"/>
          <w:sz w:val="32"/>
          <w:szCs w:val="32"/>
        </w:rPr>
        <w:t>做好该项目环境保护管理工作，师市生态环境保护综合行政执法支队做好该项目的抽查</w:t>
      </w:r>
      <w:r>
        <w:rPr>
          <w:rFonts w:hint="eastAsia" w:ascii="Times New Roman" w:hAnsi="Times New Roman" w:eastAsia="方正仿宋简体" w:cs="Times New Roman"/>
          <w:color w:val="auto"/>
          <w:kern w:val="0"/>
          <w:sz w:val="32"/>
          <w:szCs w:val="32"/>
          <w:lang w:val="en-US" w:eastAsia="zh-CN"/>
        </w:rPr>
        <w:t>及</w:t>
      </w:r>
      <w:r>
        <w:rPr>
          <w:rFonts w:hint="default" w:ascii="Times New Roman" w:hAnsi="Times New Roman" w:eastAsia="方正仿宋简体" w:cs="Times New Roman"/>
          <w:color w:val="auto"/>
          <w:kern w:val="0"/>
          <w:sz w:val="32"/>
          <w:szCs w:val="32"/>
        </w:rPr>
        <w:t>日常监督管理工作。</w:t>
      </w:r>
    </w:p>
    <w:p w14:paraId="4B04697C">
      <w:pPr>
        <w:pStyle w:val="10"/>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color w:val="auto"/>
          <w:kern w:val="0"/>
          <w:sz w:val="32"/>
          <w:szCs w:val="32"/>
        </w:rPr>
        <w:t>如你单位对本审批决定有不同意见，可在接到本决定书之日起六十日内向阿拉尔市人民政府申请行政复议，也可在六个月内依法向阿拉尔垦区人民法院起诉。</w:t>
      </w:r>
    </w:p>
    <w:p w14:paraId="1A0CA3B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p>
    <w:p w14:paraId="4C93F2E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p>
    <w:p w14:paraId="0CF8569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第一师阿拉尔市生态环境局</w:t>
      </w:r>
    </w:p>
    <w:p w14:paraId="7312BDC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2025年</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日</w:t>
      </w:r>
    </w:p>
    <w:p w14:paraId="2068C74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4A85F74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6ABAD1C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8E6D02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5B80C16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9211E6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96665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F448C6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7A4EDF2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959AD2B">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0D277F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46CA66A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6011774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671710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79531A8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6C544C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4A758E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69EFF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7DDA5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DBE230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477C00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58C5A8E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E645CD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11F95E3">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68B052B">
      <w:pPr>
        <w:keepNext w:val="0"/>
        <w:keepLines w:val="0"/>
        <w:pageBreakBefore w:val="0"/>
        <w:widowControl w:val="0"/>
        <w:kinsoku/>
        <w:wordWrap/>
        <w:overflowPunct/>
        <w:topLinePunct/>
        <w:autoSpaceDE/>
        <w:autoSpaceDN/>
        <w:bidi w:val="0"/>
        <w:adjustRightInd w:val="0"/>
        <w:snapToGrid w:val="0"/>
        <w:spacing w:line="560" w:lineRule="exact"/>
        <w:ind w:left="840" w:right="0" w:rightChars="0" w:hanging="840" w:hangingChars="300"/>
        <w:jc w:val="lef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67310</wp:posOffset>
                </wp:positionV>
                <wp:extent cx="5802630" cy="0"/>
                <wp:effectExtent l="0" t="9525" r="1270" b="1587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60288;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抄送：</w:t>
      </w:r>
      <w:r>
        <w:rPr>
          <w:rFonts w:hint="eastAsia" w:ascii="Times New Roman" w:hAnsi="Times New Roman" w:eastAsia="方正仿宋简体" w:cs="Times New Roman"/>
          <w:sz w:val="28"/>
          <w:szCs w:val="28"/>
          <w:lang w:val="en-US" w:eastAsia="zh-CN"/>
        </w:rPr>
        <w:t>一团金银川镇</w:t>
      </w:r>
      <w:r>
        <w:rPr>
          <w:rFonts w:hint="default" w:ascii="Times New Roman" w:hAnsi="Times New Roman" w:eastAsia="方正仿宋简体" w:cs="Times New Roman"/>
          <w:sz w:val="28"/>
          <w:szCs w:val="28"/>
          <w:lang w:val="en-US" w:eastAsia="zh-CN"/>
        </w:rPr>
        <w:t>，生态环境保护综合行政执法支队，新疆兵团勘测设计院集团股份有限公司。</w:t>
      </w:r>
    </w:p>
    <w:p w14:paraId="68157C4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1270" b="1587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第一师阿拉尔市生态环境局                2025年</w:t>
      </w:r>
      <w:r>
        <w:rPr>
          <w:rFonts w:hint="eastAsia" w:ascii="Times New Roman" w:hAnsi="Times New Roman" w:eastAsia="方正仿宋简体" w:cs="Times New Roman"/>
          <w:sz w:val="28"/>
          <w:szCs w:val="28"/>
          <w:lang w:val="en-US" w:eastAsia="zh-CN"/>
        </w:rPr>
        <w:t>7</w:t>
      </w:r>
      <w:r>
        <w:rPr>
          <w:rFonts w:hint="default" w:ascii="Times New Roman" w:hAnsi="Times New Roman" w:eastAsia="方正仿宋简体" w:cs="Times New Roman"/>
          <w:sz w:val="28"/>
          <w:szCs w:val="28"/>
          <w:lang w:val="en-US" w:eastAsia="zh-CN"/>
        </w:rPr>
        <w:t>月</w:t>
      </w:r>
      <w:r>
        <w:rPr>
          <w:rFonts w:hint="eastAsia" w:ascii="Times New Roman" w:hAnsi="Times New Roman" w:eastAsia="方正仿宋简体" w:cs="Times New Roman"/>
          <w:sz w:val="28"/>
          <w:szCs w:val="28"/>
          <w:lang w:val="en-US" w:eastAsia="zh-CN"/>
        </w:rPr>
        <w:t>24</w:t>
      </w:r>
      <w:r>
        <w:rPr>
          <w:rFonts w:hint="default" w:ascii="Times New Roman" w:hAnsi="Times New Roman" w:eastAsia="方正仿宋简体" w:cs="Times New Roman"/>
          <w:sz w:val="28"/>
          <w:szCs w:val="28"/>
          <w:lang w:val="en-US" w:eastAsia="zh-CN"/>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0447">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A3BB7">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2A3BB7">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E12896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C6"/>
    <w:rsid w:val="000D3DDC"/>
    <w:rsid w:val="00134FA5"/>
    <w:rsid w:val="001C3059"/>
    <w:rsid w:val="001D69C6"/>
    <w:rsid w:val="002114D5"/>
    <w:rsid w:val="00215375"/>
    <w:rsid w:val="00245B9A"/>
    <w:rsid w:val="00405823"/>
    <w:rsid w:val="004B266F"/>
    <w:rsid w:val="005D3A2F"/>
    <w:rsid w:val="00643D49"/>
    <w:rsid w:val="0088645D"/>
    <w:rsid w:val="008F24B6"/>
    <w:rsid w:val="00B84AC6"/>
    <w:rsid w:val="00D039B8"/>
    <w:rsid w:val="00D87D2E"/>
    <w:rsid w:val="00EB75D5"/>
    <w:rsid w:val="01182F8A"/>
    <w:rsid w:val="02ED7EC0"/>
    <w:rsid w:val="0306223A"/>
    <w:rsid w:val="0438006D"/>
    <w:rsid w:val="06A45632"/>
    <w:rsid w:val="0E547045"/>
    <w:rsid w:val="1277225B"/>
    <w:rsid w:val="12C75265"/>
    <w:rsid w:val="16A21031"/>
    <w:rsid w:val="186366A3"/>
    <w:rsid w:val="1A5328A6"/>
    <w:rsid w:val="1B7F00F7"/>
    <w:rsid w:val="1D7F2975"/>
    <w:rsid w:val="1EF155A1"/>
    <w:rsid w:val="25F90994"/>
    <w:rsid w:val="2C4466E0"/>
    <w:rsid w:val="2E797950"/>
    <w:rsid w:val="30A86762"/>
    <w:rsid w:val="3B7F0A47"/>
    <w:rsid w:val="3D8C1AA8"/>
    <w:rsid w:val="41792343"/>
    <w:rsid w:val="422D795F"/>
    <w:rsid w:val="496F154A"/>
    <w:rsid w:val="4E1E674C"/>
    <w:rsid w:val="4F925E78"/>
    <w:rsid w:val="50952970"/>
    <w:rsid w:val="582C7CB7"/>
    <w:rsid w:val="5C806824"/>
    <w:rsid w:val="5CDE36EB"/>
    <w:rsid w:val="606A3A73"/>
    <w:rsid w:val="611B4D6D"/>
    <w:rsid w:val="651B358E"/>
    <w:rsid w:val="653C5783"/>
    <w:rsid w:val="67C47BFA"/>
    <w:rsid w:val="67E20393"/>
    <w:rsid w:val="67F70916"/>
    <w:rsid w:val="6A6E4160"/>
    <w:rsid w:val="6CF21078"/>
    <w:rsid w:val="6FBD069E"/>
    <w:rsid w:val="701A6AF9"/>
    <w:rsid w:val="729675F8"/>
    <w:rsid w:val="7A1B7D27"/>
    <w:rsid w:val="7F94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20" w:lineRule="exact"/>
      <w:ind w:firstLine="624"/>
    </w:pPr>
    <w:rPr>
      <w:rFonts w:eastAsia="宋体"/>
      <w:sz w:val="28"/>
      <w:szCs w:val="20"/>
    </w:rPr>
  </w:style>
  <w:style w:type="paragraph" w:styleId="3">
    <w:name w:val="Body Text"/>
    <w:basedOn w:val="1"/>
    <w:unhideWhenUsed/>
    <w:qFormat/>
    <w:uiPriority w:val="99"/>
    <w:pPr>
      <w:ind w:firstLine="1044"/>
    </w:pPr>
    <w:rPr>
      <w:rFonts w:ascii="Times New Roman" w:hAnsi="Times New Roman" w:eastAsia="仿宋_GB2312"/>
      <w:kern w:val="0"/>
    </w:rPr>
  </w:style>
  <w:style w:type="paragraph" w:styleId="4">
    <w:name w:val="Body Text Indent"/>
    <w:basedOn w:val="1"/>
    <w:next w:val="5"/>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Plain Text"/>
    <w:basedOn w:val="1"/>
    <w:qFormat/>
    <w:uiPriority w:val="0"/>
    <w:pPr>
      <w:autoSpaceDE w:val="0"/>
      <w:autoSpaceDN w:val="0"/>
      <w:adjustRightInd w:val="0"/>
      <w:snapToGrid w:val="0"/>
      <w:spacing w:line="360" w:lineRule="auto"/>
      <w:ind w:firstLine="480" w:firstLineChars="200"/>
      <w:jc w:val="both"/>
    </w:pPr>
    <w:rPr>
      <w:rFonts w:ascii="Times New Roman" w:hAnsi="Times New Roman" w:cs="Times New Roman"/>
      <w:color w:val="0070C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unhideWhenUsed/>
    <w:qFormat/>
    <w:uiPriority w:val="99"/>
    <w:pPr>
      <w:spacing w:after="120" w:line="480" w:lineRule="auto"/>
    </w:pPr>
  </w:style>
  <w:style w:type="paragraph" w:styleId="10">
    <w:name w:val="Body Text First Indent 2"/>
    <w:basedOn w:val="4"/>
    <w:next w:val="1"/>
    <w:qFormat/>
    <w:uiPriority w:val="0"/>
    <w:pPr>
      <w:ind w:firstLine="420" w:firstLineChars="200"/>
    </w:p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表格内文字"/>
    <w:basedOn w:val="1"/>
    <w:qFormat/>
    <w:uiPriority w:val="0"/>
    <w:pPr>
      <w:jc w:val="center"/>
    </w:pPr>
    <w:rPr>
      <w:rFonts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2369</Words>
  <Characters>2611</Characters>
  <Lines>24</Lines>
  <Paragraphs>6</Paragraphs>
  <TotalTime>6</TotalTime>
  <ScaleCrop>false</ScaleCrop>
  <LinksUpToDate>false</LinksUpToDate>
  <CharactersWithSpaces>2660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2025-03-04T08:11:00Z</dcterms:created>
  <dc:creator>姜黎</dc:creator>
  <cp:lastModifiedBy>木有枝°</cp:lastModifiedBy>
  <cp:lastPrinted>2025-07-29T06:01:17Z</cp:lastPrinted>
  <dcterms:modified xsi:type="dcterms:W3CDTF">2025-07-29T06:01:40Z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eyJoZGlkIjoiYzJlYTkyMTNlYzcxNGUzYjdmMzczMmMwYTAwZWUxYjUiLCJ1c2VySWQiOiI0ODEyNDEwNTkifQ==</vt:lpwstr>
  </property>
  <property fmtid="{D5CDD505-2E9C-101B-9397-08002B2CF9AE}" pid="3" name="KSOProductBuildVer">
    <vt:lpwstr>2052-12.1.0.22215</vt:lpwstr>
  </property>
  <property fmtid="{D5CDD505-2E9C-101B-9397-08002B2CF9AE}" pid="4" name="ICV">
    <vt:lpwstr>1E9555E5B87A49BFB8AC502F7FD9BEDB_13</vt:lpwstr>
  </property>
</Properties>
</file>