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23B35">
      <w:pPr>
        <w:spacing w:line="560" w:lineRule="exact"/>
        <w:rPr>
          <w:sz w:val="44"/>
          <w:szCs w:val="44"/>
        </w:rPr>
      </w:pPr>
    </w:p>
    <w:p w14:paraId="2D2DD49F">
      <w:pPr>
        <w:spacing w:line="560" w:lineRule="exact"/>
        <w:rPr>
          <w:sz w:val="44"/>
          <w:szCs w:val="44"/>
        </w:rPr>
      </w:pPr>
    </w:p>
    <w:p w14:paraId="633ADC33">
      <w:pPr>
        <w:spacing w:line="560" w:lineRule="exact"/>
        <w:rPr>
          <w:sz w:val="44"/>
          <w:szCs w:val="44"/>
        </w:rPr>
      </w:pPr>
    </w:p>
    <w:p w14:paraId="4EF653C0">
      <w:pPr>
        <w:spacing w:line="560" w:lineRule="exact"/>
        <w:rPr>
          <w:sz w:val="44"/>
          <w:szCs w:val="44"/>
        </w:rPr>
      </w:pPr>
    </w:p>
    <w:p w14:paraId="3D1991E9">
      <w:pPr>
        <w:spacing w:line="560" w:lineRule="exact"/>
        <w:rPr>
          <w:sz w:val="72"/>
          <w:szCs w:val="72"/>
        </w:rPr>
      </w:pPr>
    </w:p>
    <w:p w14:paraId="108B7C81">
      <w:pPr>
        <w:spacing w:line="560" w:lineRule="exact"/>
        <w:rPr>
          <w:sz w:val="72"/>
          <w:szCs w:val="72"/>
        </w:rPr>
      </w:pPr>
    </w:p>
    <w:p w14:paraId="1BFFCCC2">
      <w:pPr>
        <w:spacing w:line="560" w:lineRule="exact"/>
        <w:rPr>
          <w:rFonts w:eastAsia="仿宋_GB2312"/>
          <w:sz w:val="32"/>
          <w:szCs w:val="32"/>
        </w:rPr>
      </w:pPr>
    </w:p>
    <w:p w14:paraId="2C74E90D">
      <w:pPr>
        <w:spacing w:line="560" w:lineRule="exact"/>
        <w:jc w:val="center"/>
        <w:rPr>
          <w:rFonts w:eastAsia="方正仿宋_GB2312"/>
          <w:sz w:val="32"/>
          <w:szCs w:val="32"/>
        </w:rPr>
      </w:pPr>
      <w:r>
        <w:rPr>
          <w:rFonts w:eastAsia="方正仿宋_GB2312"/>
          <w:sz w:val="32"/>
          <w:szCs w:val="32"/>
        </w:rPr>
        <w:t>师市环审〔2025〕</w:t>
      </w:r>
      <w:r>
        <w:rPr>
          <w:rFonts w:hint="eastAsia" w:eastAsia="方正仿宋_GB2312"/>
          <w:sz w:val="32"/>
          <w:szCs w:val="32"/>
          <w:lang w:val="en-US" w:eastAsia="zh-CN"/>
        </w:rPr>
        <w:t>63</w:t>
      </w:r>
      <w:r>
        <w:rPr>
          <w:rFonts w:eastAsia="方正仿宋_GB2312"/>
          <w:sz w:val="32"/>
          <w:szCs w:val="32"/>
        </w:rPr>
        <w:t>号</w:t>
      </w:r>
    </w:p>
    <w:p w14:paraId="100FE828">
      <w:pPr>
        <w:spacing w:line="560" w:lineRule="exact"/>
        <w:rPr>
          <w:rFonts w:eastAsia="仿宋_GB2312"/>
          <w:szCs w:val="21"/>
        </w:rPr>
      </w:pPr>
    </w:p>
    <w:p w14:paraId="3E0F20EC">
      <w:pPr>
        <w:spacing w:line="560" w:lineRule="exact"/>
        <w:rPr>
          <w:rFonts w:eastAsia="仿宋_GB2312"/>
          <w:szCs w:val="21"/>
        </w:rPr>
      </w:pPr>
    </w:p>
    <w:p w14:paraId="2B6AAEA1">
      <w:pPr>
        <w:widowControl/>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关于中庄输变电五期工程项目环境影响报告表的批复</w:t>
      </w:r>
    </w:p>
    <w:p w14:paraId="6F0DDDF6">
      <w:pPr>
        <w:widowControl/>
        <w:spacing w:line="560" w:lineRule="exact"/>
        <w:rPr>
          <w:rFonts w:eastAsia="方正小标宋简体"/>
          <w:bCs/>
          <w:color w:val="0000FF"/>
          <w:sz w:val="44"/>
          <w:szCs w:val="44"/>
        </w:rPr>
      </w:pPr>
    </w:p>
    <w:p w14:paraId="1899F128">
      <w:pPr>
        <w:widowControl/>
        <w:spacing w:line="560" w:lineRule="exact"/>
        <w:rPr>
          <w:rFonts w:eastAsia="方正仿宋简体"/>
          <w:sz w:val="32"/>
          <w:szCs w:val="32"/>
        </w:rPr>
      </w:pPr>
      <w:r>
        <w:rPr>
          <w:rFonts w:hint="eastAsia" w:eastAsia="方正仿宋简体"/>
          <w:sz w:val="32"/>
          <w:szCs w:val="32"/>
        </w:rPr>
        <w:t>南疆能源（集团）有限公司</w:t>
      </w:r>
      <w:r>
        <w:rPr>
          <w:rFonts w:eastAsia="方正仿宋简体"/>
          <w:sz w:val="32"/>
          <w:szCs w:val="32"/>
        </w:rPr>
        <w:t>：</w:t>
      </w:r>
    </w:p>
    <w:p w14:paraId="38E615FC">
      <w:pPr>
        <w:widowControl/>
        <w:spacing w:line="560" w:lineRule="exact"/>
        <w:ind w:firstLine="640" w:firstLineChars="200"/>
        <w:rPr>
          <w:rFonts w:eastAsia="方正仿宋简体"/>
          <w:sz w:val="32"/>
          <w:szCs w:val="32"/>
        </w:rPr>
      </w:pPr>
      <w:r>
        <w:rPr>
          <w:rFonts w:eastAsia="方正仿宋简体"/>
          <w:sz w:val="32"/>
          <w:szCs w:val="32"/>
        </w:rPr>
        <w:t>你单位报送的《关于送审</w:t>
      </w:r>
      <w:r>
        <w:rPr>
          <w:rFonts w:hint="eastAsia" w:eastAsia="方正仿宋简体"/>
          <w:sz w:val="32"/>
          <w:szCs w:val="32"/>
        </w:rPr>
        <w:t>中庄输变电五期工程</w:t>
      </w:r>
      <w:r>
        <w:rPr>
          <w:rFonts w:eastAsia="方正仿宋简体"/>
          <w:sz w:val="32"/>
          <w:szCs w:val="32"/>
        </w:rPr>
        <w:t>项目环境影响报告表的请示》及《</w:t>
      </w:r>
      <w:r>
        <w:rPr>
          <w:rFonts w:hint="eastAsia" w:eastAsia="方正仿宋简体"/>
          <w:sz w:val="32"/>
          <w:szCs w:val="32"/>
        </w:rPr>
        <w:t>中庄输变电五期工程</w:t>
      </w:r>
      <w:r>
        <w:rPr>
          <w:rFonts w:eastAsia="方正仿宋简体"/>
          <w:sz w:val="32"/>
          <w:szCs w:val="32"/>
        </w:rPr>
        <w:t>项目环境影响报告表》（以下简称《报告表》）已收悉。经专家审查</w:t>
      </w:r>
      <w:r>
        <w:rPr>
          <w:rFonts w:hint="eastAsia" w:eastAsia="方正仿宋简体"/>
          <w:sz w:val="32"/>
          <w:szCs w:val="32"/>
          <w:lang w:eastAsia="zh-CN"/>
        </w:rPr>
        <w:t>、研究并征求阿克苏地区生态环境局意见</w:t>
      </w:r>
      <w:r>
        <w:rPr>
          <w:rFonts w:eastAsia="方正仿宋简体"/>
          <w:sz w:val="32"/>
          <w:szCs w:val="32"/>
        </w:rPr>
        <w:t>，现批复如下：</w:t>
      </w:r>
    </w:p>
    <w:p w14:paraId="75D1F0EA">
      <w:pPr>
        <w:wordWrap w:val="0"/>
        <w:spacing w:line="560" w:lineRule="exact"/>
        <w:ind w:firstLine="640" w:firstLineChars="200"/>
        <w:rPr>
          <w:rFonts w:eastAsia="方正仿宋简体"/>
          <w:sz w:val="32"/>
          <w:szCs w:val="32"/>
        </w:rPr>
      </w:pPr>
      <w:r>
        <w:rPr>
          <w:rFonts w:hint="eastAsia" w:ascii="方正黑体简体" w:hAnsi="方正黑体简体" w:eastAsia="方正黑体简体" w:cs="方正黑体简体"/>
          <w:kern w:val="0"/>
          <w:sz w:val="32"/>
          <w:szCs w:val="32"/>
        </w:rPr>
        <w:t>一</w:t>
      </w:r>
      <w:r>
        <w:rPr>
          <w:rFonts w:hint="eastAsia" w:eastAsia="方正仿宋简体"/>
          <w:sz w:val="32"/>
          <w:szCs w:val="32"/>
        </w:rPr>
        <w:t>、</w:t>
      </w:r>
      <w:r>
        <w:rPr>
          <w:rFonts w:eastAsia="方正仿宋简体"/>
          <w:sz w:val="32"/>
          <w:szCs w:val="32"/>
        </w:rPr>
        <w:t>该项目位于</w:t>
      </w:r>
      <w:r>
        <w:rPr>
          <w:rFonts w:hint="eastAsia" w:eastAsia="方正仿宋简体"/>
          <w:sz w:val="32"/>
          <w:szCs w:val="32"/>
        </w:rPr>
        <w:t>1团、2团、3团、12团、16团、阿瓦提县英艾日克乡、乌鲁却勒镇、阿依库勒镇属境内</w:t>
      </w:r>
      <w:r>
        <w:rPr>
          <w:rFonts w:eastAsia="方正仿宋简体"/>
          <w:sz w:val="32"/>
          <w:szCs w:val="32"/>
        </w:rPr>
        <w:t>。</w:t>
      </w:r>
      <w:r>
        <w:rPr>
          <w:rFonts w:hint="eastAsia" w:eastAsia="方正仿宋简体"/>
          <w:sz w:val="32"/>
          <w:szCs w:val="32"/>
        </w:rPr>
        <w:t>项目建设内容：</w:t>
      </w:r>
    </w:p>
    <w:p w14:paraId="4A27D233">
      <w:pPr>
        <w:wordWrap w:val="0"/>
        <w:spacing w:line="560" w:lineRule="exact"/>
        <w:ind w:firstLine="640" w:firstLineChars="200"/>
        <w:rPr>
          <w:rFonts w:eastAsia="方正仿宋简体"/>
          <w:sz w:val="32"/>
          <w:szCs w:val="32"/>
        </w:rPr>
      </w:pPr>
      <w:r>
        <w:rPr>
          <w:rFonts w:hint="eastAsia" w:eastAsia="方正仿宋简体"/>
          <w:sz w:val="32"/>
          <w:szCs w:val="32"/>
        </w:rPr>
        <w:t>1.新建一座变电站，主变容量：本期：2×180</w:t>
      </w:r>
      <w:r>
        <w:rPr>
          <w:rFonts w:hint="eastAsia" w:eastAsia="方正仿宋简体"/>
          <w:sz w:val="32"/>
          <w:szCs w:val="32"/>
          <w:highlight w:val="none"/>
        </w:rPr>
        <w:t>兆伏安，远期：3×180兆伏安</w:t>
      </w:r>
      <w:r>
        <w:rPr>
          <w:rFonts w:hint="eastAsia" w:eastAsia="方正仿宋简体"/>
          <w:sz w:val="32"/>
          <w:szCs w:val="32"/>
        </w:rPr>
        <w:t>。变电站采用三列式布置格局，即从东向西依次布置220千伏HGIS设备区，主变区、所用变、二次设备室及配电装置室，110千伏HGIS设备区。35千伏户外电容器布置在站区北面。项目中心坐标为：80°0′10.561″，40°34′27.599″。</w:t>
      </w:r>
    </w:p>
    <w:p w14:paraId="7591CCFF">
      <w:pPr>
        <w:wordWrap w:val="0"/>
        <w:spacing w:line="560" w:lineRule="exact"/>
        <w:ind w:firstLine="640" w:firstLineChars="200"/>
        <w:rPr>
          <w:rFonts w:eastAsia="方正仿宋简体"/>
          <w:sz w:val="32"/>
          <w:szCs w:val="32"/>
        </w:rPr>
      </w:pPr>
      <w:r>
        <w:rPr>
          <w:rFonts w:hint="eastAsia" w:eastAsia="方正仿宋简体"/>
          <w:sz w:val="32"/>
          <w:szCs w:val="32"/>
        </w:rPr>
        <w:t>2.新建2回高压输电线路。新建中庄变电站至城区变电站高压输电线路，线路长度2×142千米，采用单回路架设，合计284千米。</w:t>
      </w:r>
    </w:p>
    <w:p w14:paraId="1977770A">
      <w:pPr>
        <w:wordWrap w:val="0"/>
        <w:spacing w:line="560" w:lineRule="exact"/>
        <w:ind w:firstLine="640" w:firstLineChars="200"/>
        <w:jc w:val="left"/>
        <w:rPr>
          <w:rFonts w:eastAsia="方正仿宋简体"/>
          <w:sz w:val="32"/>
          <w:szCs w:val="32"/>
        </w:rPr>
      </w:pPr>
      <w:r>
        <w:rPr>
          <w:rFonts w:hint="eastAsia" w:eastAsia="方正仿宋简体"/>
          <w:sz w:val="32"/>
          <w:szCs w:val="32"/>
        </w:rPr>
        <w:t>3.新建4回110千伏输电线路。（1）中庄变电站中压出线破口建沙线，双回铁塔架设，线路长度为31千米，导线采用JL/G1A-240/30-24/7，线路架设2根48芯OPGW光缆，原建沙线更换1根48芯OPGW光缆，长度为58千米。（2）中庄变电站中压出线破口沙泉线，双回铁塔架设，线路长度为12千米。导线采用JL/G1A-240/30-24/7，线路架设2根48芯OPGW光缆。</w:t>
      </w:r>
      <w:r>
        <w:rPr>
          <w:rFonts w:eastAsia="方正仿宋简体"/>
          <w:sz w:val="32"/>
          <w:szCs w:val="32"/>
        </w:rPr>
        <w:t>项目总投资</w:t>
      </w:r>
      <w:r>
        <w:rPr>
          <w:rFonts w:hint="eastAsia" w:eastAsia="方正仿宋简体"/>
          <w:sz w:val="32"/>
          <w:szCs w:val="32"/>
        </w:rPr>
        <w:t>55563</w:t>
      </w:r>
      <w:r>
        <w:rPr>
          <w:rFonts w:eastAsia="方正仿宋简体"/>
          <w:sz w:val="32"/>
          <w:szCs w:val="32"/>
        </w:rPr>
        <w:t>万元，环保投资</w:t>
      </w:r>
      <w:r>
        <w:rPr>
          <w:rFonts w:hint="eastAsia" w:eastAsia="方正仿宋简体"/>
          <w:sz w:val="32"/>
          <w:szCs w:val="32"/>
        </w:rPr>
        <w:t>205.83</w:t>
      </w:r>
      <w:r>
        <w:rPr>
          <w:rFonts w:eastAsia="方正仿宋简体"/>
          <w:sz w:val="32"/>
          <w:szCs w:val="32"/>
        </w:rPr>
        <w:t>万元，占总投资</w:t>
      </w:r>
      <w:r>
        <w:rPr>
          <w:rFonts w:hint="eastAsia" w:eastAsia="方正仿宋简体"/>
          <w:sz w:val="32"/>
          <w:szCs w:val="32"/>
          <w:lang w:eastAsia="zh-CN"/>
        </w:rPr>
        <w:t>的</w:t>
      </w:r>
      <w:r>
        <w:rPr>
          <w:rFonts w:hint="eastAsia" w:eastAsia="方正仿宋简体"/>
          <w:sz w:val="32"/>
          <w:szCs w:val="32"/>
        </w:rPr>
        <w:t>0.37</w:t>
      </w:r>
      <w:r>
        <w:rPr>
          <w:rFonts w:eastAsia="方正仿宋简体"/>
          <w:sz w:val="32"/>
          <w:szCs w:val="32"/>
        </w:rPr>
        <w:t>%。</w:t>
      </w:r>
    </w:p>
    <w:p w14:paraId="75BC9F60">
      <w:pPr>
        <w:widowControl/>
        <w:spacing w:line="560" w:lineRule="exact"/>
        <w:ind w:firstLine="640" w:firstLineChars="200"/>
        <w:rPr>
          <w:rFonts w:eastAsia="方正仿宋简体"/>
          <w:sz w:val="32"/>
          <w:szCs w:val="32"/>
          <w:lang w:val="zh-CN"/>
        </w:rPr>
      </w:pPr>
      <w:r>
        <w:rPr>
          <w:rFonts w:hint="eastAsia" w:ascii="方正黑体简体" w:hAnsi="方正黑体简体" w:eastAsia="方正黑体简体" w:cs="方正黑体简体"/>
          <w:kern w:val="0"/>
          <w:sz w:val="32"/>
          <w:szCs w:val="32"/>
          <w:lang w:val="zh-CN"/>
        </w:rPr>
        <w:t>二</w:t>
      </w:r>
      <w:r>
        <w:rPr>
          <w:rFonts w:eastAsia="方正仿宋简体"/>
          <w:sz w:val="32"/>
          <w:szCs w:val="32"/>
          <w:lang w:val="zh-CN"/>
        </w:rPr>
        <w:t>、</w:t>
      </w:r>
      <w:r>
        <w:rPr>
          <w:rFonts w:eastAsia="方正仿宋简体"/>
          <w:sz w:val="32"/>
          <w:szCs w:val="32"/>
        </w:rPr>
        <w:t>根据新疆嘉美科环工程咨询有限公司编制的《报告表》评价结论和专家对项目的评价意见，该项目属于</w:t>
      </w:r>
      <w:r>
        <w:rPr>
          <w:rFonts w:hint="eastAsia" w:eastAsia="方正仿宋简体"/>
          <w:sz w:val="32"/>
          <w:szCs w:val="32"/>
        </w:rPr>
        <w:t>输变电工程项目</w:t>
      </w:r>
      <w:r>
        <w:rPr>
          <w:rFonts w:eastAsia="方正仿宋简体"/>
          <w:sz w:val="32"/>
          <w:szCs w:val="32"/>
        </w:rPr>
        <w:t>，在符合产业政策、选址符合国土空间规划等相关规划的前提下，从环境保护的角度，我局原则同意《报告表》结论。</w:t>
      </w:r>
    </w:p>
    <w:p w14:paraId="75DAD67F">
      <w:pPr>
        <w:widowControl/>
        <w:spacing w:line="560" w:lineRule="exact"/>
        <w:ind w:firstLine="640" w:firstLineChars="200"/>
        <w:rPr>
          <w:rFonts w:eastAsia="方正仿宋简体"/>
          <w:sz w:val="32"/>
          <w:szCs w:val="32"/>
          <w:highlight w:val="yellow"/>
        </w:rPr>
      </w:pPr>
      <w:r>
        <w:rPr>
          <w:rFonts w:hint="eastAsia" w:ascii="方正黑体简体" w:hAnsi="方正黑体简体" w:eastAsia="方正黑体简体" w:cs="方正黑体简体"/>
          <w:kern w:val="0"/>
          <w:sz w:val="32"/>
          <w:szCs w:val="32"/>
          <w:lang w:val="zh-CN"/>
        </w:rPr>
        <w:t>三</w:t>
      </w:r>
      <w:r>
        <w:rPr>
          <w:rFonts w:eastAsia="方正仿宋简体"/>
          <w:sz w:val="32"/>
          <w:szCs w:val="32"/>
          <w:lang w:val="zh-CN"/>
        </w:rPr>
        <w:t>、项目施工前须完成落实的工作</w:t>
      </w:r>
      <w:r>
        <w:rPr>
          <w:rFonts w:hint="eastAsia" w:eastAsia="方正仿宋简体"/>
          <w:sz w:val="32"/>
          <w:szCs w:val="32"/>
          <w:lang w:val="zh-CN"/>
        </w:rPr>
        <w:t>：该项目占地总面积为81.7782hm</w:t>
      </w:r>
      <w:r>
        <w:rPr>
          <w:rFonts w:hint="eastAsia" w:eastAsia="方正仿宋简体"/>
          <w:sz w:val="32"/>
          <w:szCs w:val="32"/>
          <w:vertAlign w:val="superscript"/>
          <w:lang w:val="zh-CN"/>
        </w:rPr>
        <w:t>2</w:t>
      </w:r>
      <w:r>
        <w:rPr>
          <w:rFonts w:hint="eastAsia" w:eastAsia="方正仿宋简体"/>
          <w:sz w:val="32"/>
          <w:szCs w:val="32"/>
          <w:lang w:val="zh-CN"/>
        </w:rPr>
        <w:t>，其中永久占地面积17.4662hm</w:t>
      </w:r>
      <w:r>
        <w:rPr>
          <w:rFonts w:hint="eastAsia" w:eastAsia="方正仿宋简体"/>
          <w:sz w:val="32"/>
          <w:szCs w:val="32"/>
          <w:vertAlign w:val="superscript"/>
          <w:lang w:val="zh-CN"/>
        </w:rPr>
        <w:t>2</w:t>
      </w:r>
      <w:r>
        <w:rPr>
          <w:rFonts w:hint="eastAsia" w:eastAsia="方正仿宋简体"/>
          <w:sz w:val="32"/>
          <w:szCs w:val="32"/>
          <w:lang w:val="zh-CN"/>
        </w:rPr>
        <w:t>，包括变电站占地2.1213hm</w:t>
      </w:r>
      <w:r>
        <w:rPr>
          <w:rFonts w:hint="eastAsia" w:eastAsia="方正仿宋简体"/>
          <w:sz w:val="32"/>
          <w:szCs w:val="32"/>
          <w:vertAlign w:val="superscript"/>
          <w:lang w:val="zh-CN"/>
        </w:rPr>
        <w:t>2</w:t>
      </w:r>
      <w:r>
        <w:rPr>
          <w:rFonts w:hint="eastAsia" w:eastAsia="方正仿宋简体"/>
          <w:sz w:val="32"/>
          <w:szCs w:val="32"/>
          <w:lang w:val="zh-CN"/>
        </w:rPr>
        <w:t>，输电线路塔杆基座永久占地15.3449hm</w:t>
      </w:r>
      <w:r>
        <w:rPr>
          <w:rFonts w:hint="eastAsia" w:eastAsia="方正仿宋简体"/>
          <w:sz w:val="32"/>
          <w:szCs w:val="32"/>
          <w:vertAlign w:val="superscript"/>
          <w:lang w:val="zh-CN"/>
        </w:rPr>
        <w:t>2</w:t>
      </w:r>
      <w:r>
        <w:rPr>
          <w:rFonts w:hint="eastAsia" w:eastAsia="方正仿宋简体"/>
          <w:sz w:val="32"/>
          <w:szCs w:val="32"/>
          <w:lang w:val="zh-CN"/>
        </w:rPr>
        <w:t>，</w:t>
      </w:r>
      <w:r>
        <w:rPr>
          <w:rFonts w:eastAsia="方正仿宋简体"/>
          <w:sz w:val="32"/>
          <w:szCs w:val="32"/>
        </w:rPr>
        <w:t>你单位需严格按照《中华人民共和国土地管理法</w:t>
      </w:r>
      <w:r>
        <w:rPr>
          <w:rFonts w:hint="eastAsia" w:eastAsia="方正仿宋简体"/>
          <w:sz w:val="32"/>
          <w:szCs w:val="32"/>
        </w:rPr>
        <w:t>》《</w:t>
      </w:r>
      <w:r>
        <w:rPr>
          <w:rFonts w:eastAsia="方正仿宋简体"/>
          <w:sz w:val="32"/>
          <w:szCs w:val="32"/>
        </w:rPr>
        <w:t>关于全面实行永久基本农田特殊保护的通知》</w:t>
      </w:r>
      <w:r>
        <w:rPr>
          <w:rFonts w:hint="eastAsia" w:eastAsia="方正仿宋简体"/>
          <w:sz w:val="32"/>
          <w:szCs w:val="32"/>
        </w:rPr>
        <w:t>（</w:t>
      </w:r>
      <w:r>
        <w:rPr>
          <w:rFonts w:eastAsia="方正仿宋简体"/>
          <w:sz w:val="32"/>
          <w:szCs w:val="32"/>
        </w:rPr>
        <w:t>国土资规</w:t>
      </w:r>
      <w:r>
        <w:rPr>
          <w:rFonts w:hint="eastAsia" w:eastAsia="方正仿宋简体"/>
          <w:sz w:val="32"/>
          <w:szCs w:val="32"/>
        </w:rPr>
        <w:t>〔2018〕1号）及有关法规政策的规定办理手续。</w:t>
      </w:r>
    </w:p>
    <w:p w14:paraId="32FD4D3F">
      <w:pPr>
        <w:widowControl/>
        <w:spacing w:line="560" w:lineRule="exact"/>
        <w:ind w:firstLine="640" w:firstLineChars="200"/>
        <w:rPr>
          <w:rFonts w:eastAsia="方正仿宋简体"/>
          <w:sz w:val="32"/>
          <w:szCs w:val="32"/>
        </w:rPr>
      </w:pPr>
      <w:r>
        <w:rPr>
          <w:rFonts w:hint="eastAsia" w:ascii="方正黑体简体" w:hAnsi="方正黑体简体" w:eastAsia="方正黑体简体" w:cs="方正黑体简体"/>
          <w:kern w:val="0"/>
          <w:sz w:val="32"/>
          <w:szCs w:val="32"/>
        </w:rPr>
        <w:t>四</w:t>
      </w:r>
      <w:r>
        <w:rPr>
          <w:rFonts w:hint="eastAsia" w:eastAsia="方正仿宋简体"/>
          <w:sz w:val="32"/>
          <w:szCs w:val="32"/>
        </w:rPr>
        <w:t>、</w:t>
      </w:r>
      <w:r>
        <w:rPr>
          <w:rFonts w:eastAsia="方正仿宋简体"/>
          <w:sz w:val="32"/>
          <w:szCs w:val="32"/>
        </w:rPr>
        <w:t>你单位在项目建设和运营中，应严格执行有关环境质量标准和污染物排放标准，认真、全面落实</w:t>
      </w:r>
      <w:r>
        <w:rPr>
          <w:rFonts w:hint="eastAsia" w:eastAsia="方正仿宋简体"/>
          <w:sz w:val="32"/>
          <w:szCs w:val="32"/>
          <w:lang w:eastAsia="zh-CN"/>
        </w:rPr>
        <w:t>《</w:t>
      </w:r>
      <w:r>
        <w:rPr>
          <w:rFonts w:eastAsia="方正仿宋简体"/>
          <w:sz w:val="32"/>
          <w:szCs w:val="32"/>
        </w:rPr>
        <w:t>报告表</w:t>
      </w:r>
      <w:r>
        <w:rPr>
          <w:rFonts w:hint="eastAsia" w:eastAsia="方正仿宋简体"/>
          <w:sz w:val="32"/>
          <w:szCs w:val="32"/>
          <w:lang w:eastAsia="zh-CN"/>
        </w:rPr>
        <w:t>》</w:t>
      </w:r>
      <w:r>
        <w:rPr>
          <w:rFonts w:eastAsia="方正仿宋简体"/>
          <w:sz w:val="32"/>
          <w:szCs w:val="32"/>
        </w:rPr>
        <w:t>提出的各项环保对策措施和要求，确保污染物达标排放和各环境敏感点满足相应功能要求。重点做好以下工作：</w:t>
      </w:r>
    </w:p>
    <w:p w14:paraId="5F329F21">
      <w:pPr>
        <w:spacing w:line="560" w:lineRule="exact"/>
        <w:ind w:firstLine="640" w:firstLineChars="200"/>
        <w:rPr>
          <w:rFonts w:eastAsia="方正仿宋简体"/>
          <w:kern w:val="0"/>
          <w:sz w:val="32"/>
          <w:szCs w:val="32"/>
        </w:rPr>
      </w:pPr>
      <w:r>
        <w:rPr>
          <w:rFonts w:eastAsia="方正楷体简体"/>
          <w:kern w:val="0"/>
          <w:sz w:val="32"/>
          <w:szCs w:val="32"/>
          <w:lang w:val="zh-CN"/>
        </w:rPr>
        <w:t>（一）</w:t>
      </w:r>
      <w:r>
        <w:rPr>
          <w:rFonts w:eastAsia="方正楷体简体"/>
          <w:kern w:val="0"/>
          <w:sz w:val="32"/>
          <w:szCs w:val="32"/>
        </w:rPr>
        <w:t>认真落实施工期</w:t>
      </w:r>
      <w:r>
        <w:rPr>
          <w:rFonts w:hint="eastAsia" w:eastAsia="方正楷体简体"/>
          <w:kern w:val="0"/>
          <w:sz w:val="32"/>
          <w:szCs w:val="32"/>
        </w:rPr>
        <w:t>生态</w:t>
      </w:r>
      <w:r>
        <w:rPr>
          <w:rFonts w:eastAsia="方正楷体简体"/>
          <w:kern w:val="0"/>
          <w:sz w:val="32"/>
          <w:szCs w:val="32"/>
        </w:rPr>
        <w:t>环境保护</w:t>
      </w:r>
      <w:r>
        <w:rPr>
          <w:rFonts w:hint="eastAsia" w:eastAsia="方正楷体简体"/>
          <w:kern w:val="0"/>
          <w:sz w:val="32"/>
          <w:szCs w:val="32"/>
        </w:rPr>
        <w:t>和防沙治沙</w:t>
      </w:r>
      <w:r>
        <w:rPr>
          <w:rFonts w:eastAsia="方正楷体简体"/>
          <w:kern w:val="0"/>
          <w:sz w:val="32"/>
          <w:szCs w:val="32"/>
        </w:rPr>
        <w:t>措施。</w:t>
      </w:r>
      <w:r>
        <w:rPr>
          <w:rFonts w:hint="eastAsia" w:ascii="宋体" w:hAnsi="宋体" w:eastAsia="方正仿宋简体"/>
          <w:kern w:val="0"/>
          <w:sz w:val="32"/>
          <w:szCs w:val="32"/>
        </w:rPr>
        <w:t>对施工道路等临时占地区域，尽量选择在地表植被较少或无植被区域，尽量不清除地表植被，待施工结束后，对扰动区域适当洒水增湿，撒播草籽，使其自然恢复，尽可能减少所带来的生态损失；在施工期间做到剥离表土和临时堆料的临时防护；采取减少占地、控制施工范围、减少扰动面积、分层开挖分层回填、减少地表开挖裸露时间、避开大风天气施工、及时进行迹地恢复等措施；严格按照设计的占地面积、基础型式等要求开挖，尽量采用人工方式，避免大开挖，做到土石方平衡，减少弃土的产生，施工结束后采用土地整治方法对弃土表面进行整平压实，减少水土流失；采取挡土墙、护坡、护面、排水沟等防护措施，剥离的表土和开挖出的土石方采取四周拦挡，上铺下盖等挡护及苫盖措施妥善堆放。</w:t>
      </w:r>
    </w:p>
    <w:p w14:paraId="6DF59D81">
      <w:pPr>
        <w:spacing w:line="560" w:lineRule="exact"/>
        <w:ind w:firstLine="640" w:firstLineChars="200"/>
        <w:rPr>
          <w:rFonts w:eastAsia="方正仿宋简体"/>
          <w:sz w:val="32"/>
          <w:szCs w:val="32"/>
        </w:rPr>
      </w:pPr>
      <w:r>
        <w:rPr>
          <w:rFonts w:eastAsia="方正楷体简体"/>
          <w:kern w:val="0"/>
          <w:sz w:val="32"/>
          <w:szCs w:val="32"/>
          <w:lang w:val="zh-CN"/>
        </w:rPr>
        <w:t>（</w:t>
      </w:r>
      <w:r>
        <w:rPr>
          <w:rFonts w:eastAsia="方正楷体简体"/>
          <w:kern w:val="0"/>
          <w:sz w:val="32"/>
          <w:szCs w:val="32"/>
        </w:rPr>
        <w:t>二</w:t>
      </w:r>
      <w:r>
        <w:rPr>
          <w:rFonts w:eastAsia="方正楷体简体"/>
          <w:kern w:val="0"/>
          <w:sz w:val="32"/>
          <w:szCs w:val="32"/>
          <w:lang w:val="zh-CN"/>
        </w:rPr>
        <w:t>）</w:t>
      </w:r>
      <w:r>
        <w:rPr>
          <w:rFonts w:eastAsia="方正楷体简体"/>
          <w:kern w:val="0"/>
          <w:sz w:val="32"/>
          <w:szCs w:val="32"/>
        </w:rPr>
        <w:t>严格落实大气污染防治措施。</w:t>
      </w:r>
      <w:r>
        <w:rPr>
          <w:rFonts w:eastAsia="方正仿宋简体"/>
          <w:sz w:val="32"/>
          <w:szCs w:val="32"/>
        </w:rPr>
        <w:t>该项目废气主要为施工期开挖、</w:t>
      </w:r>
      <w:r>
        <w:rPr>
          <w:rFonts w:hint="eastAsia" w:eastAsia="方正仿宋简体"/>
          <w:sz w:val="32"/>
          <w:szCs w:val="32"/>
        </w:rPr>
        <w:t>运输等过程中</w:t>
      </w:r>
      <w:r>
        <w:rPr>
          <w:rFonts w:eastAsia="方正仿宋简体"/>
          <w:sz w:val="32"/>
          <w:szCs w:val="32"/>
        </w:rPr>
        <w:t>产生的扬尘</w:t>
      </w:r>
      <w:r>
        <w:rPr>
          <w:rFonts w:hint="eastAsia" w:eastAsia="方正仿宋简体"/>
          <w:sz w:val="32"/>
          <w:szCs w:val="32"/>
        </w:rPr>
        <w:t>和施工机械尾气。通过制定施工扬尘污染防治和文明施工方案，根据施工工序编制施工期内扬尘污染防治任务书，实施扬尘防治全过程管理；开挖、回填过程中，洒水使作业保持一定的湿度；加强路面维护及施工运输车辆的运输管理；对一些质轻、易飞扬的施工材料，如水泥等的堆放场地，设简易堆放棚，避免风吹损失和二次污染等措施，确保施工场界扬尘达到《大气污染物综合排放标准》（GB16297-1996）无组织排放浓度限值要求。</w:t>
      </w:r>
    </w:p>
    <w:p w14:paraId="00BDC271">
      <w:pPr>
        <w:adjustRightInd w:val="0"/>
        <w:snapToGrid w:val="0"/>
        <w:spacing w:line="560" w:lineRule="exact"/>
        <w:ind w:firstLine="640" w:firstLineChars="200"/>
        <w:rPr>
          <w:rFonts w:eastAsia="方正仿宋简体"/>
          <w:sz w:val="32"/>
          <w:szCs w:val="32"/>
        </w:rPr>
      </w:pPr>
      <w:r>
        <w:rPr>
          <w:rFonts w:eastAsia="方正楷体简体"/>
          <w:kern w:val="0"/>
          <w:sz w:val="32"/>
          <w:szCs w:val="32"/>
        </w:rPr>
        <w:t>（三）严格落实水污染防治措施。</w:t>
      </w:r>
      <w:r>
        <w:rPr>
          <w:rFonts w:eastAsia="方正仿宋简体"/>
          <w:sz w:val="32"/>
          <w:szCs w:val="32"/>
        </w:rPr>
        <w:t>该项目废水主要为施工场地车辆轮胎冲洗废水、设备清洁废水、混凝土养护废水等</w:t>
      </w:r>
      <w:r>
        <w:rPr>
          <w:rFonts w:hint="eastAsia" w:eastAsia="方正仿宋简体"/>
          <w:sz w:val="32"/>
          <w:szCs w:val="32"/>
        </w:rPr>
        <w:t>施工废水和生活污水。施工场废水经临时沉淀池沉淀处理后，回用于施工过程、车辆清洗和场地洒水抑尘，不外排；施工营地设置移动卫生厕所，用于解决施工人员的生活排污，及时委托环卫部门拉运，避免生活污水外排。</w:t>
      </w:r>
    </w:p>
    <w:p w14:paraId="16BC0425">
      <w:pPr>
        <w:widowControl/>
        <w:spacing w:line="560" w:lineRule="exact"/>
        <w:ind w:firstLine="640" w:firstLineChars="200"/>
        <w:rPr>
          <w:rFonts w:eastAsia="方正仿宋简体"/>
          <w:sz w:val="32"/>
          <w:szCs w:val="32"/>
        </w:rPr>
      </w:pPr>
      <w:r>
        <w:rPr>
          <w:rFonts w:eastAsia="方正楷体简体"/>
          <w:kern w:val="0"/>
          <w:sz w:val="32"/>
          <w:szCs w:val="32"/>
        </w:rPr>
        <w:t>（四）严格落实噪声污染防治措施。</w:t>
      </w:r>
      <w:r>
        <w:rPr>
          <w:rFonts w:eastAsia="方正仿宋简体"/>
          <w:sz w:val="32"/>
          <w:szCs w:val="32"/>
        </w:rPr>
        <w:t>该项目</w:t>
      </w:r>
      <w:r>
        <w:rPr>
          <w:rFonts w:hint="eastAsia" w:eastAsia="方正仿宋简体"/>
          <w:sz w:val="32"/>
          <w:szCs w:val="32"/>
        </w:rPr>
        <w:t>施工期</w:t>
      </w:r>
      <w:r>
        <w:rPr>
          <w:rFonts w:eastAsia="方正仿宋简体"/>
          <w:sz w:val="32"/>
          <w:szCs w:val="32"/>
        </w:rPr>
        <w:t>产生的噪声主要为</w:t>
      </w:r>
      <w:r>
        <w:rPr>
          <w:rFonts w:hint="eastAsia" w:eastAsia="方正仿宋简体"/>
          <w:sz w:val="32"/>
          <w:szCs w:val="32"/>
        </w:rPr>
        <w:t>施工机械噪声和交通运输噪声</w:t>
      </w:r>
      <w:r>
        <w:rPr>
          <w:rFonts w:eastAsia="方正仿宋简体"/>
          <w:sz w:val="32"/>
          <w:szCs w:val="32"/>
        </w:rPr>
        <w:t>。</w:t>
      </w:r>
      <w:r>
        <w:rPr>
          <w:rFonts w:hint="eastAsia" w:eastAsia="方正仿宋简体"/>
          <w:sz w:val="32"/>
          <w:szCs w:val="32"/>
        </w:rPr>
        <w:t>通过</w:t>
      </w:r>
      <w:r>
        <w:rPr>
          <w:rFonts w:eastAsia="方正仿宋简体"/>
          <w:sz w:val="32"/>
          <w:szCs w:val="32"/>
        </w:rPr>
        <w:t>科学合理地安排施工步骤，合理布置施工现场，</w:t>
      </w:r>
      <w:r>
        <w:rPr>
          <w:rFonts w:hint="eastAsia" w:eastAsia="方正仿宋简体"/>
          <w:sz w:val="32"/>
          <w:szCs w:val="32"/>
        </w:rPr>
        <w:t>高噪声设备进行分散式布设，增加施工机械噪声的衰减距离；施工单元合理安排施工进度、施工时间等措施，</w:t>
      </w:r>
      <w:r>
        <w:rPr>
          <w:rFonts w:eastAsia="方正仿宋简体"/>
          <w:kern w:val="0"/>
          <w:sz w:val="32"/>
          <w:szCs w:val="32"/>
        </w:rPr>
        <w:t>确保施工期施工场界噪声</w:t>
      </w:r>
      <w:r>
        <w:rPr>
          <w:rFonts w:hint="eastAsia" w:eastAsia="方正仿宋简体"/>
          <w:kern w:val="0"/>
          <w:sz w:val="32"/>
          <w:szCs w:val="32"/>
        </w:rPr>
        <w:t>满足</w:t>
      </w:r>
      <w:r>
        <w:rPr>
          <w:rFonts w:eastAsia="方正仿宋简体"/>
          <w:kern w:val="0"/>
          <w:sz w:val="32"/>
          <w:szCs w:val="32"/>
        </w:rPr>
        <w:t>《建筑施工场界环境噪声排放标准》（GB12523-2011）标准；</w:t>
      </w:r>
      <w:r>
        <w:rPr>
          <w:rFonts w:hint="eastAsia" w:eastAsia="方正仿宋简体"/>
          <w:kern w:val="0"/>
          <w:sz w:val="32"/>
          <w:szCs w:val="32"/>
        </w:rPr>
        <w:t>该项目运营期产生的噪声主要为变电站运行噪声。通过检查设备保持良好运行状态，加强高噪声设备的管理维护等措施，确保</w:t>
      </w:r>
      <w:r>
        <w:rPr>
          <w:rFonts w:eastAsia="方正仿宋简体"/>
          <w:kern w:val="0"/>
          <w:sz w:val="32"/>
          <w:szCs w:val="32"/>
        </w:rPr>
        <w:t>运营期</w:t>
      </w:r>
      <w:r>
        <w:rPr>
          <w:rFonts w:hint="eastAsia" w:eastAsia="方正仿宋简体"/>
          <w:kern w:val="0"/>
          <w:sz w:val="32"/>
          <w:szCs w:val="32"/>
        </w:rPr>
        <w:t>升压</w:t>
      </w:r>
      <w:r>
        <w:rPr>
          <w:rFonts w:eastAsia="方正仿宋简体"/>
          <w:kern w:val="0"/>
          <w:sz w:val="32"/>
          <w:szCs w:val="32"/>
        </w:rPr>
        <w:t>站厂界噪声</w:t>
      </w:r>
      <w:r>
        <w:rPr>
          <w:rFonts w:hint="eastAsia" w:eastAsia="方正仿宋简体"/>
          <w:kern w:val="0"/>
          <w:sz w:val="32"/>
          <w:szCs w:val="32"/>
        </w:rPr>
        <w:t>满足</w:t>
      </w:r>
      <w:r>
        <w:rPr>
          <w:rFonts w:eastAsia="方正仿宋简体"/>
          <w:kern w:val="0"/>
          <w:sz w:val="32"/>
          <w:szCs w:val="32"/>
        </w:rPr>
        <w:t>《工业企业厂界环境噪声排放标准》（GB12348-2008）中2类限值</w:t>
      </w:r>
      <w:r>
        <w:rPr>
          <w:rFonts w:hint="eastAsia" w:eastAsia="方正仿宋简体"/>
          <w:kern w:val="0"/>
          <w:sz w:val="32"/>
          <w:szCs w:val="32"/>
        </w:rPr>
        <w:t>，</w:t>
      </w:r>
      <w:r>
        <w:rPr>
          <w:rFonts w:eastAsia="方正仿宋简体"/>
          <w:kern w:val="0"/>
          <w:sz w:val="32"/>
          <w:szCs w:val="32"/>
        </w:rPr>
        <w:t>输电线路执行《声环境质量标准》(GB3096-2008)中的2类限值</w:t>
      </w:r>
      <w:r>
        <w:rPr>
          <w:rFonts w:hint="eastAsia" w:eastAsia="方正仿宋简体"/>
          <w:kern w:val="0"/>
          <w:sz w:val="32"/>
          <w:szCs w:val="32"/>
        </w:rPr>
        <w:t>。</w:t>
      </w:r>
    </w:p>
    <w:p w14:paraId="5D1E4368">
      <w:pPr>
        <w:spacing w:line="560" w:lineRule="exact"/>
        <w:ind w:firstLine="640" w:firstLineChars="200"/>
        <w:rPr>
          <w:rFonts w:ascii="宋体" w:hAnsi="宋体" w:eastAsia="方正仿宋简体"/>
          <w:kern w:val="0"/>
          <w:sz w:val="32"/>
          <w:szCs w:val="32"/>
        </w:rPr>
      </w:pPr>
      <w:r>
        <w:rPr>
          <w:rFonts w:eastAsia="方正楷体简体"/>
          <w:kern w:val="0"/>
          <w:sz w:val="32"/>
          <w:szCs w:val="32"/>
        </w:rPr>
        <w:t>（五）严格落实固体废物分类处置措施。</w:t>
      </w:r>
      <w:r>
        <w:rPr>
          <w:rFonts w:hint="eastAsia" w:ascii="方正仿宋简体" w:hAnsi="方正仿宋简体" w:eastAsia="方正仿宋简体" w:cs="方正仿宋简体"/>
          <w:kern w:val="0"/>
          <w:sz w:val="32"/>
          <w:szCs w:val="32"/>
        </w:rPr>
        <w:t>该项目施工期产生的固废主要为废弃土石方、建筑垃圾。废弃土石方用于土地回填；</w:t>
      </w:r>
      <w:r>
        <w:rPr>
          <w:rFonts w:hint="eastAsia" w:ascii="方正仿宋简体" w:hAnsi="方正仿宋简体" w:eastAsia="方正仿宋简体" w:cs="方正仿宋简体"/>
          <w:kern w:val="0"/>
          <w:sz w:val="32"/>
          <w:szCs w:val="32"/>
          <w:lang w:eastAsia="zh-CN"/>
        </w:rPr>
        <w:t>建筑垃圾</w:t>
      </w:r>
      <w:r>
        <w:rPr>
          <w:rFonts w:hint="eastAsia" w:ascii="方正仿宋简体" w:hAnsi="方正仿宋简体" w:eastAsia="方正仿宋简体" w:cs="方正仿宋简体"/>
          <w:kern w:val="0"/>
          <w:sz w:val="32"/>
          <w:szCs w:val="32"/>
        </w:rPr>
        <w:t>分类集中堆存，能回收利用的回收利用，交回收购商进行收购处置，重复利用；不能回收利用的建筑垃圾，加强管理，项目完工后及时收集统一清运，经审批后运至阿拉尔固体废物填埋场。项目运营期产生的固废主要为</w:t>
      </w:r>
      <w:r>
        <w:rPr>
          <w:rFonts w:eastAsia="方正仿宋简体"/>
          <w:kern w:val="0"/>
          <w:sz w:val="32"/>
          <w:szCs w:val="32"/>
        </w:rPr>
        <w:t>废矿物油</w:t>
      </w:r>
      <w:r>
        <w:rPr>
          <w:rFonts w:hint="eastAsia" w:eastAsia="方正仿宋简体"/>
          <w:kern w:val="0"/>
          <w:sz w:val="32"/>
          <w:szCs w:val="32"/>
        </w:rPr>
        <w:t>、废矿物油桶、废变压器油</w:t>
      </w:r>
      <w:r>
        <w:rPr>
          <w:rFonts w:eastAsia="方正仿宋简体"/>
          <w:kern w:val="0"/>
          <w:sz w:val="32"/>
          <w:szCs w:val="32"/>
        </w:rPr>
        <w:t>、废铅酸蓄电池</w:t>
      </w:r>
      <w:r>
        <w:rPr>
          <w:rFonts w:hint="eastAsia" w:eastAsia="方正仿宋简体"/>
          <w:kern w:val="0"/>
          <w:sz w:val="32"/>
          <w:szCs w:val="32"/>
        </w:rPr>
        <w:t>、</w:t>
      </w:r>
      <w:r>
        <w:rPr>
          <w:rFonts w:eastAsia="方正仿宋简体"/>
          <w:kern w:val="0"/>
          <w:sz w:val="32"/>
          <w:szCs w:val="32"/>
        </w:rPr>
        <w:t>化粪池污泥及生活垃圾</w:t>
      </w:r>
      <w:r>
        <w:rPr>
          <w:rFonts w:hint="eastAsia" w:ascii="方正仿宋简体" w:hAnsi="方正仿宋简体" w:eastAsia="方正仿宋简体" w:cs="方正仿宋简体"/>
          <w:kern w:val="0"/>
          <w:sz w:val="32"/>
          <w:szCs w:val="32"/>
        </w:rPr>
        <w:t>。废矿物油、废矿物油桶和</w:t>
      </w:r>
      <w:r>
        <w:rPr>
          <w:rFonts w:hint="eastAsia" w:ascii="宋体" w:hAnsi="宋体" w:eastAsia="方正仿宋简体"/>
          <w:kern w:val="0"/>
          <w:sz w:val="32"/>
          <w:szCs w:val="32"/>
        </w:rPr>
        <w:t>废储能蓄电池暂存在危废暂存间，定期交有资质单位处置，</w:t>
      </w:r>
      <w:r>
        <w:rPr>
          <w:rFonts w:eastAsia="方正仿宋简体"/>
          <w:sz w:val="32"/>
          <w:szCs w:val="32"/>
        </w:rPr>
        <w:t>危险废物的收集、贮存、运输须符合《危险废物收集贮存运输技术规范》（HJ2025-2012）及《危险废物贮存污染控制标准》（GB18597-2023）的相关要求</w:t>
      </w:r>
      <w:r>
        <w:rPr>
          <w:rFonts w:hint="eastAsia" w:ascii="宋体" w:hAnsi="宋体" w:eastAsia="方正仿宋简体"/>
          <w:kern w:val="0"/>
          <w:sz w:val="32"/>
          <w:szCs w:val="32"/>
        </w:rPr>
        <w:t>；化粪池污泥委托当地环卫部门定期清掏；生活垃圾收集后交由当地环卫部门清运处理。</w:t>
      </w:r>
    </w:p>
    <w:p w14:paraId="6B0ADD71">
      <w:pPr>
        <w:pStyle w:val="13"/>
        <w:spacing w:after="0" w:line="560" w:lineRule="exact"/>
        <w:ind w:firstLine="640" w:firstLineChars="200"/>
      </w:pPr>
      <w:r>
        <w:rPr>
          <w:rFonts w:eastAsia="方正楷体简体"/>
          <w:kern w:val="0"/>
          <w:sz w:val="32"/>
          <w:szCs w:val="32"/>
          <w:lang w:val="zh-CN"/>
        </w:rPr>
        <w:t>（</w:t>
      </w:r>
      <w:r>
        <w:rPr>
          <w:rFonts w:eastAsia="方正楷体简体"/>
          <w:kern w:val="0"/>
          <w:sz w:val="32"/>
          <w:szCs w:val="32"/>
        </w:rPr>
        <w:t>六</w:t>
      </w:r>
      <w:r>
        <w:rPr>
          <w:rFonts w:eastAsia="方正楷体简体"/>
          <w:kern w:val="0"/>
          <w:sz w:val="32"/>
          <w:szCs w:val="32"/>
          <w:lang w:val="zh-CN"/>
        </w:rPr>
        <w:t>）严格落实电磁污染防治措施。</w:t>
      </w:r>
      <w:r>
        <w:rPr>
          <w:rFonts w:eastAsia="方正仿宋简体"/>
          <w:sz w:val="32"/>
          <w:szCs w:val="32"/>
          <w:lang w:val="zh-CN"/>
        </w:rPr>
        <w:t>通过合理布局站内电气设备及配电装置，保障变电站内各电气设备良好的接地状态</w:t>
      </w:r>
      <w:r>
        <w:rPr>
          <w:rFonts w:hint="eastAsia" w:eastAsia="方正仿宋简体"/>
          <w:sz w:val="32"/>
          <w:szCs w:val="32"/>
          <w:lang w:val="zh-CN"/>
        </w:rPr>
        <w:t>；</w:t>
      </w:r>
      <w:r>
        <w:rPr>
          <w:rFonts w:eastAsia="方正仿宋简体"/>
          <w:sz w:val="32"/>
          <w:szCs w:val="32"/>
          <w:lang w:val="zh-CN"/>
        </w:rPr>
        <w:t>在变电站设立电磁防护安全警示标志，禁止无关人员靠近带电架构等措施后，确保</w:t>
      </w:r>
      <w:r>
        <w:rPr>
          <w:rFonts w:hint="eastAsia" w:eastAsia="方正仿宋简体"/>
          <w:sz w:val="32"/>
          <w:szCs w:val="32"/>
          <w:lang w:val="zh-CN" w:eastAsia="zh-CN"/>
        </w:rPr>
        <w:t>线路运行时产生的工频电场强度和工频磁感应强度须满足《电磁环境控制限值》（</w:t>
      </w:r>
      <w:r>
        <w:rPr>
          <w:rFonts w:hint="default" w:eastAsia="方正仿宋简体"/>
          <w:sz w:val="32"/>
          <w:szCs w:val="32"/>
          <w:lang w:val="zh-CN" w:eastAsia="zh-CN"/>
        </w:rPr>
        <w:t>GB8702-2014</w:t>
      </w:r>
      <w:r>
        <w:rPr>
          <w:rFonts w:hint="eastAsia" w:eastAsia="方正仿宋简体"/>
          <w:sz w:val="32"/>
          <w:szCs w:val="32"/>
          <w:lang w:val="zh-CN" w:eastAsia="zh-CN"/>
        </w:rPr>
        <w:t>）中的公众曝露控制限值工频电场强度</w:t>
      </w:r>
      <w:r>
        <w:rPr>
          <w:rFonts w:hint="default" w:eastAsia="方正仿宋简体"/>
          <w:sz w:val="32"/>
          <w:szCs w:val="32"/>
          <w:lang w:val="zh-CN" w:eastAsia="zh-CN"/>
        </w:rPr>
        <w:t>4000V/m</w:t>
      </w:r>
      <w:r>
        <w:rPr>
          <w:rFonts w:hint="eastAsia" w:eastAsia="方正仿宋简体"/>
          <w:sz w:val="32"/>
          <w:szCs w:val="32"/>
          <w:lang w:val="zh-CN" w:eastAsia="zh-CN"/>
        </w:rPr>
        <w:t>，工频磁感应强度</w:t>
      </w:r>
      <w:r>
        <w:rPr>
          <w:rFonts w:hint="default" w:eastAsia="方正仿宋简体"/>
          <w:sz w:val="32"/>
          <w:szCs w:val="32"/>
          <w:lang w:val="zh-CN" w:eastAsia="zh-CN"/>
        </w:rPr>
        <w:t>100μT</w:t>
      </w:r>
      <w:r>
        <w:rPr>
          <w:rFonts w:hint="eastAsia" w:eastAsia="方正仿宋简体"/>
          <w:sz w:val="32"/>
          <w:szCs w:val="32"/>
          <w:lang w:val="zh-CN" w:eastAsia="zh-CN"/>
        </w:rPr>
        <w:t>要求。</w:t>
      </w:r>
    </w:p>
    <w:p w14:paraId="5ADF6C85">
      <w:pPr>
        <w:spacing w:line="560" w:lineRule="exact"/>
        <w:ind w:firstLine="640" w:firstLineChars="200"/>
        <w:rPr>
          <w:rFonts w:eastAsia="方正仿宋简体"/>
          <w:kern w:val="0"/>
          <w:sz w:val="32"/>
          <w:szCs w:val="32"/>
        </w:rPr>
      </w:pPr>
      <w:r>
        <w:rPr>
          <w:rFonts w:hint="eastAsia" w:ascii="方正黑体简体" w:hAnsi="方正黑体简体" w:eastAsia="方正黑体简体" w:cs="方正黑体简体"/>
          <w:kern w:val="0"/>
          <w:sz w:val="32"/>
          <w:szCs w:val="32"/>
        </w:rPr>
        <w:t>五</w:t>
      </w:r>
      <w:r>
        <w:rPr>
          <w:rFonts w:eastAsia="方正仿宋简体"/>
          <w:kern w:val="0"/>
          <w:sz w:val="32"/>
          <w:szCs w:val="32"/>
          <w:lang w:val="zh-CN"/>
        </w:rPr>
        <w:t>、</w:t>
      </w:r>
      <w:r>
        <w:rPr>
          <w:rFonts w:ascii="宋体" w:hAnsi="宋体"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w:t>
      </w:r>
      <w:r>
        <w:rPr>
          <w:rFonts w:ascii="宋体" w:hAnsi="宋体" w:eastAsia="方正仿宋简体"/>
          <w:color w:val="000000"/>
          <w:kern w:val="0"/>
          <w:sz w:val="32"/>
          <w:szCs w:val="32"/>
          <w:highlight w:val="none"/>
        </w:rPr>
        <w:t>须按规定程序实施竣工环境保护验收</w:t>
      </w:r>
      <w:r>
        <w:rPr>
          <w:rFonts w:hint="eastAsia" w:ascii="宋体" w:hAnsi="宋体" w:eastAsia="方正仿宋简体"/>
          <w:color w:val="000000"/>
          <w:kern w:val="0"/>
          <w:sz w:val="32"/>
          <w:szCs w:val="32"/>
          <w:highlight w:val="none"/>
          <w:lang w:eastAsia="zh-CN"/>
        </w:rPr>
        <w:t>并</w:t>
      </w:r>
      <w:r>
        <w:rPr>
          <w:rFonts w:ascii="宋体" w:hAnsi="宋体" w:eastAsia="方正仿宋简体"/>
          <w:color w:val="000000"/>
          <w:kern w:val="0"/>
          <w:sz w:val="32"/>
          <w:szCs w:val="32"/>
          <w:highlight w:val="none"/>
        </w:rPr>
        <w:t>公</w:t>
      </w:r>
      <w:r>
        <w:rPr>
          <w:rFonts w:hint="eastAsia" w:ascii="宋体" w:hAnsi="宋体" w:eastAsia="方正仿宋简体"/>
          <w:color w:val="000000"/>
          <w:kern w:val="0"/>
          <w:sz w:val="32"/>
          <w:szCs w:val="32"/>
          <w:highlight w:val="none"/>
        </w:rPr>
        <w:t>示</w:t>
      </w:r>
      <w:r>
        <w:rPr>
          <w:rFonts w:hint="eastAsia" w:ascii="宋体" w:hAnsi="宋体" w:eastAsia="方正仿宋简体"/>
          <w:color w:val="000000"/>
          <w:kern w:val="0"/>
          <w:sz w:val="32"/>
          <w:szCs w:val="32"/>
          <w:highlight w:val="none"/>
          <w:lang w:eastAsia="zh-CN"/>
        </w:rPr>
        <w:t>。</w:t>
      </w:r>
    </w:p>
    <w:p w14:paraId="5B104EE0">
      <w:pPr>
        <w:pStyle w:val="15"/>
        <w:spacing w:after="0" w:line="560" w:lineRule="exact"/>
        <w:ind w:left="0" w:leftChars="0" w:firstLine="640"/>
        <w:rPr>
          <w:rFonts w:eastAsia="方正仿宋简体"/>
          <w:kern w:val="0"/>
          <w:sz w:val="32"/>
          <w:szCs w:val="32"/>
        </w:rPr>
      </w:pPr>
      <w:r>
        <w:rPr>
          <w:rFonts w:hint="eastAsia" w:ascii="方正黑体简体" w:hAnsi="方正黑体简体" w:eastAsia="方正黑体简体" w:cs="方正黑体简体"/>
          <w:kern w:val="0"/>
          <w:sz w:val="32"/>
          <w:szCs w:val="32"/>
        </w:rPr>
        <w:t>六</w:t>
      </w:r>
      <w:r>
        <w:rPr>
          <w:rFonts w:eastAsia="方正仿宋简体"/>
          <w:kern w:val="0"/>
          <w:sz w:val="32"/>
          <w:szCs w:val="32"/>
          <w:lang w:val="zh-CN"/>
        </w:rPr>
        <w:t>、</w:t>
      </w:r>
      <w:r>
        <w:rPr>
          <w:rFonts w:eastAsia="方正仿宋简体"/>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2E3CE3D1">
      <w:pPr>
        <w:pStyle w:val="15"/>
        <w:spacing w:after="0" w:line="560" w:lineRule="exact"/>
        <w:ind w:left="0" w:leftChars="0" w:firstLine="640"/>
        <w:rPr>
          <w:rFonts w:eastAsia="方正仿宋简体"/>
          <w:kern w:val="0"/>
          <w:sz w:val="32"/>
          <w:szCs w:val="32"/>
        </w:rPr>
      </w:pPr>
      <w:r>
        <w:rPr>
          <w:rFonts w:hint="eastAsia" w:ascii="方正黑体简体" w:hAnsi="方正黑体简体" w:eastAsia="方正黑体简体" w:cs="方正黑体简体"/>
          <w:kern w:val="0"/>
          <w:sz w:val="32"/>
          <w:szCs w:val="32"/>
        </w:rPr>
        <w:t>七</w:t>
      </w:r>
      <w:r>
        <w:rPr>
          <w:rFonts w:eastAsia="方正仿宋简体"/>
          <w:kern w:val="0"/>
          <w:sz w:val="32"/>
          <w:szCs w:val="32"/>
          <w:lang w:val="zh-CN"/>
        </w:rPr>
        <w:t>、</w:t>
      </w:r>
      <w:r>
        <w:rPr>
          <w:rFonts w:hint="eastAsia" w:eastAsia="方正仿宋简体"/>
          <w:kern w:val="0"/>
          <w:sz w:val="32"/>
          <w:szCs w:val="32"/>
        </w:rPr>
        <w:t>项目涉及地人民政府积极发挥政府职能</w:t>
      </w:r>
      <w:r>
        <w:rPr>
          <w:rFonts w:hint="eastAsia" w:eastAsia="方正仿宋简体"/>
          <w:sz w:val="32"/>
          <w:szCs w:val="32"/>
        </w:rPr>
        <w:t>，</w:t>
      </w:r>
      <w:r>
        <w:rPr>
          <w:rFonts w:eastAsia="方正仿宋简体"/>
          <w:kern w:val="0"/>
          <w:sz w:val="32"/>
          <w:szCs w:val="32"/>
          <w:lang w:val="zh-CN"/>
        </w:rPr>
        <w:t>做好该</w:t>
      </w:r>
      <w:r>
        <w:rPr>
          <w:rFonts w:hint="eastAsia" w:eastAsia="方正仿宋简体"/>
          <w:kern w:val="0"/>
          <w:sz w:val="32"/>
          <w:szCs w:val="32"/>
        </w:rPr>
        <w:t>辖区</w:t>
      </w:r>
      <w:r>
        <w:rPr>
          <w:rFonts w:eastAsia="方正仿宋简体"/>
          <w:kern w:val="0"/>
          <w:sz w:val="32"/>
          <w:szCs w:val="32"/>
          <w:lang w:val="zh-CN"/>
        </w:rPr>
        <w:t>环境保护管理，师市生态环境保护综合行政执法支队做好该项目的抽查日常监督管理工作</w:t>
      </w:r>
      <w:r>
        <w:rPr>
          <w:rFonts w:eastAsia="方正仿宋简体"/>
          <w:kern w:val="0"/>
          <w:sz w:val="32"/>
          <w:szCs w:val="32"/>
        </w:rPr>
        <w:t>。</w:t>
      </w:r>
    </w:p>
    <w:p w14:paraId="04E7521E">
      <w:pPr>
        <w:pStyle w:val="15"/>
        <w:spacing w:after="0" w:line="560" w:lineRule="exact"/>
        <w:ind w:left="0" w:leftChars="0" w:firstLine="640"/>
        <w:rPr>
          <w:rFonts w:eastAsia="方正仿宋简体"/>
          <w:kern w:val="0"/>
          <w:sz w:val="30"/>
          <w:szCs w:val="30"/>
        </w:rPr>
      </w:pPr>
      <w:r>
        <w:rPr>
          <w:rFonts w:eastAsia="方正仿宋简体"/>
          <w:kern w:val="0"/>
          <w:sz w:val="32"/>
          <w:szCs w:val="32"/>
        </w:rPr>
        <w:t>如你单位对本审批决定有不同意见，可在接到本决定书之日起六十日内向</w:t>
      </w:r>
      <w:r>
        <w:rPr>
          <w:rFonts w:eastAsia="方正仿宋简体"/>
          <w:kern w:val="0"/>
          <w:sz w:val="30"/>
          <w:szCs w:val="30"/>
        </w:rPr>
        <w:t>阿拉尔市人民政府申请行政复议，也可在六个月内依法向阿拉尔垦区人民法院起诉。</w:t>
      </w:r>
    </w:p>
    <w:p w14:paraId="7A0DD8BC">
      <w:pPr>
        <w:widowControl/>
        <w:spacing w:line="560" w:lineRule="exact"/>
        <w:ind w:firstLine="4800" w:firstLineChars="1500"/>
        <w:rPr>
          <w:rFonts w:eastAsia="方正仿宋简体"/>
          <w:kern w:val="0"/>
          <w:sz w:val="32"/>
          <w:szCs w:val="32"/>
        </w:rPr>
      </w:pPr>
    </w:p>
    <w:p w14:paraId="2771819F">
      <w:pPr>
        <w:widowControl/>
        <w:spacing w:line="560" w:lineRule="exact"/>
        <w:rPr>
          <w:rFonts w:eastAsia="方正仿宋简体"/>
          <w:kern w:val="0"/>
          <w:sz w:val="32"/>
          <w:szCs w:val="32"/>
        </w:rPr>
      </w:pPr>
    </w:p>
    <w:p w14:paraId="5FD2C7BC">
      <w:pPr>
        <w:widowControl/>
        <w:spacing w:line="560" w:lineRule="exact"/>
        <w:ind w:firstLine="4800" w:firstLineChars="1500"/>
        <w:rPr>
          <w:rFonts w:eastAsia="方正仿宋简体"/>
          <w:kern w:val="0"/>
          <w:sz w:val="32"/>
          <w:szCs w:val="32"/>
        </w:rPr>
      </w:pPr>
      <w:r>
        <w:rPr>
          <w:rFonts w:eastAsia="方正仿宋简体"/>
          <w:kern w:val="0"/>
          <w:sz w:val="32"/>
          <w:szCs w:val="32"/>
        </w:rPr>
        <w:t>第一师阿拉尔市生态环境局</w:t>
      </w:r>
    </w:p>
    <w:p w14:paraId="754BA5F3">
      <w:pPr>
        <w:widowControl/>
        <w:spacing w:line="560" w:lineRule="exact"/>
        <w:ind w:firstLine="5600" w:firstLineChars="1750"/>
      </w:pPr>
      <w:r>
        <w:rPr>
          <w:rFonts w:eastAsia="方正仿宋简体"/>
          <w:kern w:val="0"/>
          <w:sz w:val="32"/>
          <w:szCs w:val="32"/>
        </w:rPr>
        <w:t>2025年</w:t>
      </w:r>
      <w:r>
        <w:rPr>
          <w:rFonts w:hint="eastAsia" w:eastAsia="方正仿宋简体"/>
          <w:kern w:val="0"/>
          <w:sz w:val="32"/>
          <w:szCs w:val="32"/>
        </w:rPr>
        <w:t>6</w:t>
      </w:r>
      <w:r>
        <w:rPr>
          <w:rFonts w:eastAsia="方正仿宋简体"/>
          <w:kern w:val="0"/>
          <w:sz w:val="32"/>
          <w:szCs w:val="32"/>
        </w:rPr>
        <w:t>月</w:t>
      </w:r>
      <w:r>
        <w:rPr>
          <w:rFonts w:hint="eastAsia" w:eastAsia="方正仿宋简体"/>
          <w:kern w:val="0"/>
          <w:sz w:val="32"/>
          <w:szCs w:val="32"/>
          <w:lang w:val="en-US" w:eastAsia="zh-CN"/>
        </w:rPr>
        <w:t>25</w:t>
      </w:r>
      <w:r>
        <w:rPr>
          <w:rFonts w:eastAsia="方正仿宋简体"/>
          <w:kern w:val="0"/>
          <w:sz w:val="32"/>
          <w:szCs w:val="32"/>
        </w:rPr>
        <w:t>日</w:t>
      </w:r>
    </w:p>
    <w:p w14:paraId="23989FE8">
      <w:pPr>
        <w:spacing w:line="560" w:lineRule="exact"/>
      </w:pPr>
    </w:p>
    <w:p w14:paraId="2A9A0DFA">
      <w:pPr>
        <w:pStyle w:val="2"/>
        <w:ind w:left="1470" w:right="1470"/>
      </w:pPr>
    </w:p>
    <w:p w14:paraId="1705FF13">
      <w:pPr>
        <w:rPr>
          <w:rFonts w:hint="eastAsia" w:eastAsia="宋体"/>
          <w:lang w:val="en-US" w:eastAsia="zh-CN"/>
        </w:rPr>
      </w:pPr>
      <w:r>
        <w:rPr>
          <w:rFonts w:hint="eastAsia"/>
          <w:lang w:val="en-US" w:eastAsia="zh-CN"/>
        </w:rPr>
        <w:t xml:space="preserve"> </w:t>
      </w:r>
      <w:bookmarkStart w:id="0" w:name="_GoBack"/>
      <w:bookmarkEnd w:id="0"/>
    </w:p>
    <w:p w14:paraId="32626968">
      <w:pPr>
        <w:pStyle w:val="2"/>
      </w:pPr>
    </w:p>
    <w:p w14:paraId="7BA9194F"/>
    <w:p w14:paraId="0AD08E5D">
      <w:pPr>
        <w:pStyle w:val="2"/>
      </w:pPr>
    </w:p>
    <w:p w14:paraId="404459C5">
      <w:pPr>
        <w:topLinePunct/>
        <w:adjustRightInd w:val="0"/>
        <w:snapToGrid w:val="0"/>
        <w:spacing w:line="560" w:lineRule="exact"/>
        <w:ind w:left="700" w:hanging="530" w:hangingChars="250"/>
        <w:rPr>
          <w:rFonts w:eastAsia="方正仿宋简体"/>
          <w:color w:val="000000"/>
          <w:spacing w:val="-34"/>
          <w:sz w:val="28"/>
          <w:szCs w:val="28"/>
        </w:rPr>
      </w:pPr>
      <w:r>
        <w:rPr>
          <w:rFonts w:eastAsia="方正仿宋简体"/>
          <w:color w:val="000000"/>
          <w:spacing w:val="-34"/>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color w:val="000000"/>
          <w:spacing w:val="-34"/>
          <w:sz w:val="28"/>
          <w:szCs w:val="28"/>
        </w:rPr>
        <w:t>抄送：</w:t>
      </w:r>
      <w:r>
        <w:rPr>
          <w:rFonts w:hint="eastAsia" w:eastAsia="方正仿宋简体"/>
          <w:color w:val="000000"/>
          <w:spacing w:val="-34"/>
          <w:sz w:val="28"/>
          <w:szCs w:val="28"/>
        </w:rPr>
        <w:t>阿克苏地区生态环境局，一团金银川镇，二团新井子镇，三团甘泉镇，十二团塔南镇，十六团新开岭镇</w:t>
      </w:r>
      <w:r>
        <w:rPr>
          <w:rFonts w:eastAsia="方正仿宋简体"/>
          <w:color w:val="000000"/>
          <w:spacing w:val="-34"/>
          <w:sz w:val="24"/>
        </w:rPr>
        <w:t>，</w:t>
      </w:r>
      <w:r>
        <w:rPr>
          <w:rFonts w:eastAsia="方正仿宋简体"/>
          <w:color w:val="000000"/>
          <w:spacing w:val="-34"/>
          <w:sz w:val="28"/>
          <w:szCs w:val="28"/>
        </w:rPr>
        <w:t>生态环境保护综合行政执法支队，新疆嘉美科环工程咨询有限公司。</w:t>
      </w:r>
    </w:p>
    <w:p w14:paraId="6AFBE58E">
      <w:pPr>
        <w:spacing w:line="560" w:lineRule="exact"/>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sz w:val="28"/>
          <w:szCs w:val="28"/>
        </w:rPr>
        <w:t>第一师阿拉尔市生态环境局</w:t>
      </w:r>
      <w:r>
        <w:rPr>
          <w:rFonts w:hint="eastAsia" w:eastAsia="方正仿宋简体"/>
          <w:sz w:val="28"/>
          <w:szCs w:val="28"/>
          <w:lang w:val="en-US" w:eastAsia="zh-CN"/>
        </w:rPr>
        <w:t xml:space="preserve">                    </w:t>
      </w:r>
      <w:r>
        <w:rPr>
          <w:rFonts w:eastAsia="方正仿宋简体"/>
          <w:sz w:val="28"/>
          <w:szCs w:val="28"/>
        </w:rPr>
        <w:t>2025年</w:t>
      </w:r>
      <w:r>
        <w:rPr>
          <w:rFonts w:hint="eastAsia" w:eastAsia="方正仿宋简体"/>
          <w:sz w:val="28"/>
          <w:szCs w:val="28"/>
        </w:rPr>
        <w:t>6</w:t>
      </w:r>
      <w:r>
        <w:rPr>
          <w:rFonts w:eastAsia="方正仿宋简体"/>
          <w:sz w:val="28"/>
          <w:szCs w:val="28"/>
        </w:rPr>
        <w:t>月</w:t>
      </w:r>
      <w:r>
        <w:rPr>
          <w:rFonts w:hint="eastAsia" w:eastAsia="方正仿宋简体"/>
          <w:sz w:val="28"/>
          <w:szCs w:val="28"/>
          <w:lang w:val="en-US" w:eastAsia="zh-CN"/>
        </w:rPr>
        <w:t>30</w:t>
      </w:r>
      <w:r>
        <w:rPr>
          <w:rFonts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A67A1864-1242-4E14-AB88-2F5EE5C4F81A}"/>
  </w:font>
  <w:font w:name="方正仿宋_GB2312">
    <w:panose1 w:val="02000000000000000000"/>
    <w:charset w:val="86"/>
    <w:family w:val="auto"/>
    <w:pitch w:val="default"/>
    <w:sig w:usb0="A00002BF" w:usb1="184F6CFA" w:usb2="00000012" w:usb3="00000000" w:csb0="00040001" w:csb1="00000000"/>
    <w:embedRegular r:id="rId2" w:fontKey="{119393DB-25B8-41C2-9450-67B106FB61F4}"/>
  </w:font>
  <w:font w:name="方正小标宋简体">
    <w:panose1 w:val="03000509000000000000"/>
    <w:charset w:val="86"/>
    <w:family w:val="auto"/>
    <w:pitch w:val="default"/>
    <w:sig w:usb0="00000001" w:usb1="080E0000" w:usb2="00000000" w:usb3="00000000" w:csb0="00040000" w:csb1="00000000"/>
    <w:embedRegular r:id="rId3" w:fontKey="{5BE8509F-62E7-4C3E-8B8F-C6E23EC0CA85}"/>
  </w:font>
  <w:font w:name="方正仿宋简体">
    <w:panose1 w:val="02000000000000000000"/>
    <w:charset w:val="86"/>
    <w:family w:val="auto"/>
    <w:pitch w:val="default"/>
    <w:sig w:usb0="00000001" w:usb1="080E0000" w:usb2="00000000" w:usb3="00000000" w:csb0="00040000" w:csb1="00000000"/>
    <w:embedRegular r:id="rId4" w:fontKey="{B85A57F0-58F2-4FBE-875E-BBF333EA3392}"/>
  </w:font>
  <w:font w:name="方正黑体简体">
    <w:panose1 w:val="03000509000000000000"/>
    <w:charset w:val="86"/>
    <w:family w:val="auto"/>
    <w:pitch w:val="default"/>
    <w:sig w:usb0="00000001" w:usb1="080E0000" w:usb2="00000000" w:usb3="00000000" w:csb0="00040000" w:csb1="00000000"/>
    <w:embedRegular r:id="rId5" w:fontKey="{F691D43B-76DC-435C-AEF7-1177A9E383AD}"/>
  </w:font>
  <w:font w:name="方正楷体简体">
    <w:panose1 w:val="02000000000000000000"/>
    <w:charset w:val="86"/>
    <w:family w:val="auto"/>
    <w:pitch w:val="default"/>
    <w:sig w:usb0="00000001" w:usb1="080E0000" w:usb2="00000000" w:usb3="00000000" w:csb0="00040000" w:csb1="00000000"/>
    <w:embedRegular r:id="rId6" w:fontKey="{F67B74C4-4C15-4C32-B150-9BBDE3D464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AB8E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E22E03">
                          <w:pPr>
                            <w:pStyle w:val="10"/>
                            <w:rPr>
                              <w:rFonts w:ascii="宋体" w:hAnsi="宋体" w:cs="宋体"/>
                            </w:rPr>
                          </w:pP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FE22E03">
                    <w:pPr>
                      <w:pStyle w:val="10"/>
                      <w:rPr>
                        <w:rFonts w:ascii="宋体" w:hAnsi="宋体" w:cs="宋体"/>
                      </w:rPr>
                    </w:pP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8930">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191C4C"/>
    <w:rsid w:val="008A3AF5"/>
    <w:rsid w:val="00A31613"/>
    <w:rsid w:val="00CE01E3"/>
    <w:rsid w:val="00D67688"/>
    <w:rsid w:val="00F913D8"/>
    <w:rsid w:val="00FD17B3"/>
    <w:rsid w:val="01D54B7E"/>
    <w:rsid w:val="02CF517F"/>
    <w:rsid w:val="0600615C"/>
    <w:rsid w:val="0A7C794A"/>
    <w:rsid w:val="0AF01381"/>
    <w:rsid w:val="0DB37F58"/>
    <w:rsid w:val="0E5C209B"/>
    <w:rsid w:val="11595F7B"/>
    <w:rsid w:val="13723235"/>
    <w:rsid w:val="13BF1F8A"/>
    <w:rsid w:val="13F50A51"/>
    <w:rsid w:val="15897F1C"/>
    <w:rsid w:val="15E1055D"/>
    <w:rsid w:val="17415BF4"/>
    <w:rsid w:val="18B13BE0"/>
    <w:rsid w:val="190F0E57"/>
    <w:rsid w:val="19257CC2"/>
    <w:rsid w:val="1B2D2A19"/>
    <w:rsid w:val="20654122"/>
    <w:rsid w:val="233E0A23"/>
    <w:rsid w:val="24AE2000"/>
    <w:rsid w:val="262F4CC7"/>
    <w:rsid w:val="26421153"/>
    <w:rsid w:val="26CA38BE"/>
    <w:rsid w:val="2B21792C"/>
    <w:rsid w:val="2B9D65E7"/>
    <w:rsid w:val="2CF565EF"/>
    <w:rsid w:val="2F505B14"/>
    <w:rsid w:val="30D7709B"/>
    <w:rsid w:val="328330A2"/>
    <w:rsid w:val="33E636E2"/>
    <w:rsid w:val="381D1CB1"/>
    <w:rsid w:val="392F2DC1"/>
    <w:rsid w:val="398B6069"/>
    <w:rsid w:val="3CB925E5"/>
    <w:rsid w:val="3DF3675E"/>
    <w:rsid w:val="3EB66F81"/>
    <w:rsid w:val="3FC67A98"/>
    <w:rsid w:val="40E96652"/>
    <w:rsid w:val="41803404"/>
    <w:rsid w:val="42DC1C5A"/>
    <w:rsid w:val="441E1C44"/>
    <w:rsid w:val="45124B0D"/>
    <w:rsid w:val="45456AB2"/>
    <w:rsid w:val="46054AED"/>
    <w:rsid w:val="46841F29"/>
    <w:rsid w:val="49F02B32"/>
    <w:rsid w:val="4A981C28"/>
    <w:rsid w:val="4AF13073"/>
    <w:rsid w:val="4B8F0F1D"/>
    <w:rsid w:val="4C9F17C3"/>
    <w:rsid w:val="4E5B6391"/>
    <w:rsid w:val="4EEA46A1"/>
    <w:rsid w:val="52A64EAA"/>
    <w:rsid w:val="536C0A52"/>
    <w:rsid w:val="53D96FF6"/>
    <w:rsid w:val="547F78C3"/>
    <w:rsid w:val="549C4484"/>
    <w:rsid w:val="563620CF"/>
    <w:rsid w:val="57FB18AC"/>
    <w:rsid w:val="5B9927E7"/>
    <w:rsid w:val="5D8511F0"/>
    <w:rsid w:val="5E370DD9"/>
    <w:rsid w:val="5E6D5D9C"/>
    <w:rsid w:val="5F991483"/>
    <w:rsid w:val="60CE1E21"/>
    <w:rsid w:val="612B3202"/>
    <w:rsid w:val="61B96A60"/>
    <w:rsid w:val="65757AAC"/>
    <w:rsid w:val="663F32AC"/>
    <w:rsid w:val="6727066C"/>
    <w:rsid w:val="6859222C"/>
    <w:rsid w:val="6ADB5079"/>
    <w:rsid w:val="6B326A79"/>
    <w:rsid w:val="6C8B1755"/>
    <w:rsid w:val="6C9577F7"/>
    <w:rsid w:val="6F261557"/>
    <w:rsid w:val="6FEB4B2C"/>
    <w:rsid w:val="720C27E4"/>
    <w:rsid w:val="746335E8"/>
    <w:rsid w:val="75590AE9"/>
    <w:rsid w:val="75AC6C36"/>
    <w:rsid w:val="75CB690A"/>
    <w:rsid w:val="768371E5"/>
    <w:rsid w:val="78B23A62"/>
    <w:rsid w:val="78EC21B7"/>
    <w:rsid w:val="7B9D2AF7"/>
    <w:rsid w:val="7CFE6B21"/>
    <w:rsid w:val="7D33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文本块1"/>
    <w:basedOn w:val="1"/>
    <w:next w:val="1"/>
    <w:qFormat/>
    <w:uiPriority w:val="0"/>
    <w:pPr>
      <w:spacing w:after="120"/>
      <w:ind w:left="1440" w:leftChars="700" w:right="700" w:rightChars="700"/>
    </w:pPr>
  </w:style>
  <w:style w:type="paragraph" w:styleId="4">
    <w:name w:val="Normal Indent"/>
    <w:basedOn w:val="1"/>
    <w:next w:val="1"/>
    <w:qFormat/>
    <w:uiPriority w:val="0"/>
    <w:pPr>
      <w:spacing w:line="520" w:lineRule="exact"/>
      <w:ind w:firstLine="624"/>
    </w:pPr>
    <w:rPr>
      <w:sz w:val="28"/>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rPr>
      <w:kern w:val="0"/>
      <w:sz w:val="20"/>
    </w:rPr>
  </w:style>
  <w:style w:type="paragraph" w:styleId="7">
    <w:name w:val="Body Text Indent"/>
    <w:basedOn w:val="1"/>
    <w:next w:val="6"/>
    <w:qFormat/>
    <w:uiPriority w:val="0"/>
    <w:pPr>
      <w:spacing w:after="120"/>
      <w:ind w:left="420" w:leftChars="200"/>
    </w:pPr>
  </w:style>
  <w:style w:type="paragraph" w:styleId="8">
    <w:name w:val="Plain Text"/>
    <w:basedOn w:val="1"/>
    <w:next w:val="9"/>
    <w:qFormat/>
    <w:uiPriority w:val="0"/>
    <w:pPr>
      <w:spacing w:line="500" w:lineRule="exact"/>
    </w:pPr>
    <w:rPr>
      <w:rFonts w:ascii="宋体" w:hAnsi="Courier New"/>
      <w:sz w:val="28"/>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2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1"/>
  </w:style>
  <w:style w:type="paragraph" w:styleId="13">
    <w:name w:val="Body Text 2"/>
    <w:basedOn w:val="1"/>
    <w:unhideWhenUsed/>
    <w:qFormat/>
    <w:uiPriority w:val="99"/>
    <w:pPr>
      <w:spacing w:after="120" w:line="480" w:lineRule="auto"/>
    </w:pPr>
  </w:style>
  <w:style w:type="paragraph" w:styleId="14">
    <w:name w:val="Body Text First Indent"/>
    <w:basedOn w:val="6"/>
    <w:next w:val="15"/>
    <w:qFormat/>
    <w:uiPriority w:val="0"/>
    <w:pPr>
      <w:ind w:firstLine="420" w:firstLineChars="100"/>
    </w:pPr>
  </w:style>
  <w:style w:type="paragraph" w:styleId="15">
    <w:name w:val="Body Text First Indent 2"/>
    <w:basedOn w:val="7"/>
    <w:next w:val="1"/>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表头"/>
    <w:basedOn w:val="14"/>
    <w:next w:val="1"/>
    <w:qFormat/>
    <w:uiPriority w:val="0"/>
    <w:pPr>
      <w:jc w:val="center"/>
    </w:pPr>
    <w:rPr>
      <w:rFonts w:ascii="黑体" w:eastAsia="黑体"/>
      <w:bCs/>
    </w:rPr>
  </w:style>
  <w:style w:type="paragraph" w:customStyle="1" w:styleId="21">
    <w:name w:val="正文（缩进）"/>
    <w:basedOn w:val="22"/>
    <w:next w:val="1"/>
    <w:qFormat/>
    <w:uiPriority w:val="99"/>
    <w:pPr>
      <w:ind w:firstLine="480"/>
    </w:pPr>
  </w:style>
  <w:style w:type="paragraph" w:customStyle="1" w:styleId="22">
    <w:name w:val="正文(首行缩进)"/>
    <w:basedOn w:val="1"/>
    <w:qFormat/>
    <w:uiPriority w:val="0"/>
    <w:pPr>
      <w:spacing w:line="360" w:lineRule="auto"/>
      <w:ind w:firstLine="540" w:firstLineChars="225"/>
    </w:pPr>
    <w:rPr>
      <w:color w:val="000000"/>
      <w:kern w:val="0"/>
      <w:sz w:val="24"/>
    </w:rPr>
  </w:style>
  <w:style w:type="paragraph" w:customStyle="1" w:styleId="23">
    <w:name w:val="Table Text"/>
    <w:basedOn w:val="1"/>
    <w:autoRedefine/>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2803</Words>
  <Characters>3040</Characters>
  <Lines>21</Lines>
  <Paragraphs>6</Paragraphs>
  <TotalTime>1061</TotalTime>
  <ScaleCrop>false</ScaleCrop>
  <LinksUpToDate>false</LinksUpToDate>
  <CharactersWithSpaces>3060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2025-06-30T06:00:59Z</cp:lastPrinted>
  <dcterms:modified xsi:type="dcterms:W3CDTF">2025-07-01T02:39:30Z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F2C8962DCD3B404489E322DC59A17E0B_13</vt:lpwstr>
  </property>
  <property fmtid="{D5CDD505-2E9C-101B-9397-08002B2CF9AE}" pid="4" name="KSOTemplateDocerSaveRecord">
    <vt:lpwstr>eyJoZGlkIjoiZjEzODdhZDFmYzk5ODE2MmE3OTk4OTBkMjc2NjcxZTIiLCJ1c2VySWQiOiIzNTY3MzA4ODIifQ==</vt:lpwstr>
  </property>
</Properties>
</file>