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0113B">
      <w:pPr>
        <w:spacing w:line="560" w:lineRule="exact"/>
        <w:rPr>
          <w:sz w:val="44"/>
          <w:szCs w:val="44"/>
        </w:rPr>
      </w:pPr>
    </w:p>
    <w:p w14:paraId="70B5B8D2">
      <w:pPr>
        <w:spacing w:line="560" w:lineRule="exact"/>
        <w:rPr>
          <w:sz w:val="44"/>
          <w:szCs w:val="44"/>
        </w:rPr>
      </w:pPr>
    </w:p>
    <w:p w14:paraId="5FC38418">
      <w:pPr>
        <w:spacing w:line="560" w:lineRule="exact"/>
        <w:rPr>
          <w:sz w:val="44"/>
          <w:szCs w:val="44"/>
        </w:rPr>
      </w:pPr>
    </w:p>
    <w:p w14:paraId="1F3D8D19">
      <w:pPr>
        <w:spacing w:line="560" w:lineRule="exact"/>
        <w:rPr>
          <w:sz w:val="44"/>
          <w:szCs w:val="44"/>
        </w:rPr>
      </w:pPr>
    </w:p>
    <w:p w14:paraId="545E7005">
      <w:pPr>
        <w:spacing w:line="560" w:lineRule="exact"/>
        <w:rPr>
          <w:sz w:val="72"/>
          <w:szCs w:val="72"/>
        </w:rPr>
      </w:pPr>
    </w:p>
    <w:p w14:paraId="6E37364B">
      <w:pPr>
        <w:spacing w:line="560" w:lineRule="exact"/>
        <w:rPr>
          <w:rFonts w:eastAsia="仿宋_GB2312"/>
          <w:sz w:val="32"/>
          <w:szCs w:val="32"/>
        </w:rPr>
      </w:pPr>
    </w:p>
    <w:p w14:paraId="69181C04">
      <w:pPr>
        <w:spacing w:line="560" w:lineRule="exact"/>
        <w:rPr>
          <w:rFonts w:eastAsia="仿宋_GB2312"/>
          <w:sz w:val="32"/>
          <w:szCs w:val="32"/>
        </w:rPr>
      </w:pPr>
    </w:p>
    <w:p w14:paraId="6E313FBF">
      <w:pPr>
        <w:spacing w:line="560" w:lineRule="exact"/>
        <w:jc w:val="center"/>
        <w:rPr>
          <w:sz w:val="32"/>
          <w:szCs w:val="32"/>
        </w:rPr>
      </w:pPr>
      <w:r>
        <w:rPr>
          <w:rFonts w:eastAsia="方正仿宋_GB2312"/>
          <w:sz w:val="32"/>
          <w:szCs w:val="32"/>
        </w:rPr>
        <w:t>师市环审〔2025〕</w:t>
      </w:r>
      <w:r>
        <w:rPr>
          <w:rFonts w:hint="eastAsia" w:eastAsia="方正仿宋_GB2312"/>
          <w:sz w:val="32"/>
          <w:szCs w:val="32"/>
          <w:lang w:val="en-US" w:eastAsia="zh-CN"/>
        </w:rPr>
        <w:t>55</w:t>
      </w:r>
      <w:r>
        <w:rPr>
          <w:rFonts w:eastAsia="方正仿宋_GB2312"/>
          <w:sz w:val="32"/>
          <w:szCs w:val="32"/>
        </w:rPr>
        <w:t>号</w:t>
      </w:r>
    </w:p>
    <w:p w14:paraId="30A0AC07">
      <w:pPr>
        <w:spacing w:line="560" w:lineRule="exact"/>
        <w:rPr>
          <w:rFonts w:eastAsia="仿宋_GB2312"/>
          <w:szCs w:val="21"/>
        </w:rPr>
      </w:pPr>
    </w:p>
    <w:p w14:paraId="3E444815">
      <w:pPr>
        <w:spacing w:line="560" w:lineRule="exact"/>
        <w:rPr>
          <w:rFonts w:eastAsia="仿宋_GB2312"/>
          <w:szCs w:val="21"/>
        </w:rPr>
      </w:pPr>
    </w:p>
    <w:p w14:paraId="3E6BFE0E">
      <w:pPr>
        <w:widowControl/>
        <w:spacing w:line="560" w:lineRule="exact"/>
        <w:jc w:val="center"/>
        <w:rPr>
          <w:rFonts w:eastAsia="方正小标宋简体"/>
          <w:bCs/>
          <w:sz w:val="44"/>
          <w:szCs w:val="44"/>
        </w:rPr>
      </w:pPr>
      <w:r>
        <w:rPr>
          <w:rFonts w:eastAsia="方正小标宋简体"/>
          <w:bCs/>
          <w:sz w:val="44"/>
          <w:szCs w:val="44"/>
        </w:rPr>
        <w:t>关于</w:t>
      </w:r>
      <w:r>
        <w:rPr>
          <w:rFonts w:hint="eastAsia" w:eastAsia="方正小标宋简体"/>
          <w:bCs/>
          <w:sz w:val="44"/>
          <w:szCs w:val="44"/>
          <w:lang w:eastAsia="zh-CN"/>
        </w:rPr>
        <w:t>第一师阿拉尔市2022年一团集中隔离点建设项目</w:t>
      </w:r>
      <w:r>
        <w:rPr>
          <w:rFonts w:hint="default" w:eastAsia="方正小标宋简体"/>
          <w:bCs/>
          <w:sz w:val="44"/>
          <w:szCs w:val="44"/>
          <w:lang w:eastAsia="zh-CN"/>
        </w:rPr>
        <w:t>环境影响报告</w:t>
      </w:r>
      <w:r>
        <w:rPr>
          <w:rFonts w:hint="eastAsia" w:eastAsia="方正小标宋简体"/>
          <w:bCs/>
          <w:sz w:val="44"/>
          <w:szCs w:val="44"/>
          <w:lang w:val="en-US" w:eastAsia="zh-CN"/>
        </w:rPr>
        <w:t>书</w:t>
      </w:r>
      <w:r>
        <w:rPr>
          <w:rFonts w:eastAsia="方正小标宋简体"/>
          <w:bCs/>
          <w:sz w:val="44"/>
          <w:szCs w:val="44"/>
        </w:rPr>
        <w:t>的批复</w:t>
      </w:r>
    </w:p>
    <w:p w14:paraId="1AB9A7EB">
      <w:pPr>
        <w:widowControl/>
        <w:spacing w:line="560" w:lineRule="exact"/>
        <w:rPr>
          <w:rFonts w:eastAsia="方正小标宋简体"/>
          <w:bCs/>
          <w:color w:val="0000FF"/>
          <w:sz w:val="44"/>
          <w:szCs w:val="44"/>
        </w:rPr>
      </w:pPr>
    </w:p>
    <w:p w14:paraId="3E38EAEC">
      <w:pPr>
        <w:widowControl/>
        <w:spacing w:line="560" w:lineRule="exact"/>
        <w:ind w:left="640" w:hanging="640" w:hangingChars="200"/>
        <w:rPr>
          <w:rFonts w:eastAsia="方正仿宋简体"/>
          <w:kern w:val="0"/>
          <w:sz w:val="32"/>
          <w:szCs w:val="32"/>
        </w:rPr>
      </w:pPr>
      <w:r>
        <w:rPr>
          <w:rFonts w:eastAsia="方正仿宋简体"/>
          <w:color w:val="auto"/>
          <w:kern w:val="0"/>
          <w:sz w:val="32"/>
          <w:szCs w:val="32"/>
        </w:rPr>
        <w:t>第一师</w:t>
      </w:r>
      <w:r>
        <w:rPr>
          <w:rFonts w:hint="eastAsia" w:eastAsia="方正仿宋简体"/>
          <w:color w:val="auto"/>
          <w:kern w:val="0"/>
          <w:sz w:val="32"/>
          <w:szCs w:val="32"/>
          <w:lang w:val="en-US" w:eastAsia="zh-CN"/>
        </w:rPr>
        <w:t>卫生健康委员会</w:t>
      </w:r>
      <w:r>
        <w:rPr>
          <w:rFonts w:eastAsia="方正仿宋简体"/>
          <w:color w:val="auto"/>
          <w:kern w:val="0"/>
          <w:sz w:val="32"/>
          <w:szCs w:val="32"/>
        </w:rPr>
        <w:t>：</w:t>
      </w:r>
    </w:p>
    <w:p w14:paraId="25DDD6A2">
      <w:pPr>
        <w:widowControl/>
        <w:spacing w:line="560" w:lineRule="exact"/>
        <w:ind w:firstLine="640" w:firstLineChars="200"/>
        <w:jc w:val="both"/>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lang w:eastAsia="zh-CN"/>
        </w:rPr>
        <w:t>第一师阿拉尔市2022年一团集中隔离点建设项目</w:t>
      </w:r>
      <w:r>
        <w:rPr>
          <w:rFonts w:hint="default" w:eastAsia="方正仿宋简体"/>
          <w:sz w:val="32"/>
          <w:szCs w:val="32"/>
          <w:lang w:eastAsia="zh-CN"/>
        </w:rPr>
        <w:t>环境影响报告</w:t>
      </w:r>
      <w:r>
        <w:rPr>
          <w:rFonts w:hint="eastAsia" w:eastAsia="方正仿宋简体"/>
          <w:sz w:val="32"/>
          <w:szCs w:val="32"/>
          <w:lang w:val="en-US" w:eastAsia="zh-CN"/>
        </w:rPr>
        <w:t>书</w:t>
      </w:r>
      <w:r>
        <w:rPr>
          <w:rFonts w:eastAsia="方正仿宋简体"/>
          <w:kern w:val="0"/>
          <w:sz w:val="32"/>
          <w:szCs w:val="32"/>
        </w:rPr>
        <w:t>的请示</w:t>
      </w:r>
      <w:r>
        <w:rPr>
          <w:rFonts w:eastAsia="方正仿宋简体"/>
          <w:sz w:val="32"/>
          <w:szCs w:val="32"/>
        </w:rPr>
        <w:t>》及《</w:t>
      </w:r>
      <w:r>
        <w:rPr>
          <w:rFonts w:hint="eastAsia" w:eastAsia="方正仿宋简体"/>
          <w:sz w:val="32"/>
          <w:szCs w:val="32"/>
          <w:lang w:eastAsia="zh-CN"/>
        </w:rPr>
        <w:t>第一师阿拉尔市2022年一团集中隔离点建设项目</w:t>
      </w:r>
      <w:r>
        <w:rPr>
          <w:rFonts w:hint="default" w:eastAsia="方正仿宋简体"/>
          <w:sz w:val="32"/>
          <w:szCs w:val="32"/>
          <w:lang w:eastAsia="zh-CN"/>
        </w:rPr>
        <w:t>环境影响报告</w:t>
      </w:r>
      <w:r>
        <w:rPr>
          <w:rFonts w:hint="eastAsia" w:eastAsia="方正仿宋简体"/>
          <w:sz w:val="32"/>
          <w:szCs w:val="32"/>
          <w:lang w:val="en-US" w:eastAsia="zh-CN"/>
        </w:rPr>
        <w:t>书</w:t>
      </w:r>
      <w:r>
        <w:rPr>
          <w:rFonts w:eastAsia="方正仿宋简体"/>
          <w:sz w:val="32"/>
          <w:szCs w:val="32"/>
        </w:rPr>
        <w:t>》</w:t>
      </w:r>
      <w:r>
        <w:rPr>
          <w:rFonts w:hint="eastAsia" w:eastAsia="方正仿宋简体"/>
          <w:sz w:val="32"/>
          <w:szCs w:val="32"/>
          <w:lang w:eastAsia="zh-CN"/>
        </w:rPr>
        <w:t>（</w:t>
      </w:r>
      <w:r>
        <w:rPr>
          <w:rFonts w:eastAsia="方正仿宋简体"/>
          <w:sz w:val="32"/>
          <w:szCs w:val="32"/>
        </w:rPr>
        <w:t>以下简称《报告</w:t>
      </w:r>
      <w:r>
        <w:rPr>
          <w:rFonts w:hint="eastAsia" w:eastAsia="方正仿宋简体"/>
          <w:sz w:val="32"/>
          <w:szCs w:val="32"/>
          <w:lang w:val="en-US" w:eastAsia="zh-CN"/>
        </w:rPr>
        <w:t>书</w:t>
      </w:r>
      <w:r>
        <w:rPr>
          <w:rFonts w:eastAsia="方正仿宋简体"/>
          <w:sz w:val="32"/>
          <w:szCs w:val="32"/>
        </w:rPr>
        <w:t>》）已收悉。经专家审查和研究，现批复如下：</w:t>
      </w:r>
    </w:p>
    <w:p w14:paraId="3D17C82D">
      <w:pPr>
        <w:pStyle w:val="6"/>
        <w:numPr>
          <w:ilvl w:val="0"/>
          <w:numId w:val="0"/>
        </w:numPr>
        <w:spacing w:line="560" w:lineRule="exact"/>
        <w:ind w:firstLine="640" w:firstLineChars="200"/>
        <w:jc w:val="both"/>
        <w:rPr>
          <w:rFonts w:hint="eastAsia" w:eastAsia="方正仿宋简体"/>
          <w:kern w:val="0"/>
          <w:sz w:val="32"/>
          <w:szCs w:val="32"/>
          <w:lang w:val="en-US" w:eastAsia="zh-CN"/>
        </w:rPr>
      </w:pPr>
      <w:r>
        <w:rPr>
          <w:rFonts w:hint="eastAsia" w:ascii="方正黑体简体" w:hAnsi="方正黑体简体" w:eastAsia="方正黑体简体" w:cs="方正黑体简体"/>
          <w:kern w:val="0"/>
          <w:sz w:val="32"/>
          <w:szCs w:val="32"/>
          <w:lang w:val="en-US" w:eastAsia="zh-CN" w:bidi="ar-SA"/>
        </w:rPr>
        <w:t>一</w:t>
      </w:r>
      <w:r>
        <w:rPr>
          <w:rFonts w:hint="eastAsia" w:ascii="Times New Roman" w:hAnsi="Times New Roman" w:eastAsia="方正仿宋简体" w:cs="Times New Roman"/>
          <w:kern w:val="0"/>
          <w:sz w:val="32"/>
          <w:szCs w:val="32"/>
          <w:lang w:val="en-US" w:eastAsia="zh-CN" w:bidi="ar-SA"/>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lang w:val="en-US" w:eastAsia="zh-CN"/>
        </w:rPr>
        <w:t>一团九连，占地面积47175平方米，项目区北侧为农用地，东侧、西侧、南侧为戈壁荒地，项目地理位置坐标为东经</w:t>
      </w:r>
      <w:r>
        <w:rPr>
          <w:rFonts w:hint="eastAsia" w:ascii="Times New Roman" w:hAnsi="Times New Roman" w:eastAsia="方正仿宋简体" w:cs="Times New Roman"/>
          <w:kern w:val="0"/>
          <w:sz w:val="32"/>
          <w:szCs w:val="32"/>
          <w:lang w:val="en-US" w:eastAsia="zh-CN"/>
        </w:rPr>
        <w:t>80</w:t>
      </w:r>
      <w:r>
        <w:rPr>
          <w:rFonts w:hint="eastAsia" w:ascii="Times New Roman" w:hAnsi="Times New Roman" w:eastAsia="方正仿宋简体" w:cs="Times New Roman"/>
          <w:kern w:val="0"/>
          <w:sz w:val="32"/>
          <w:szCs w:val="32"/>
          <w:vertAlign w:val="superscript"/>
          <w:lang w:val="en-US" w:eastAsia="zh-CN"/>
        </w:rPr>
        <w:t>°</w:t>
      </w:r>
      <w:r>
        <w:rPr>
          <w:rFonts w:hint="eastAsia" w:ascii="Times New Roman" w:hAnsi="Times New Roman" w:eastAsia="方正仿宋简体" w:cs="Times New Roman"/>
          <w:kern w:val="0"/>
          <w:sz w:val="32"/>
          <w:szCs w:val="32"/>
          <w:lang w:val="en-US" w:eastAsia="zh-CN"/>
        </w:rPr>
        <w:t>0′15.592″，北纬40</w:t>
      </w:r>
      <w:r>
        <w:rPr>
          <w:rFonts w:hint="eastAsia" w:ascii="Times New Roman" w:hAnsi="Times New Roman" w:eastAsia="方正仿宋简体" w:cs="Times New Roman"/>
          <w:kern w:val="0"/>
          <w:sz w:val="32"/>
          <w:szCs w:val="32"/>
          <w:vertAlign w:val="superscript"/>
          <w:lang w:val="en-US" w:eastAsia="zh-CN"/>
        </w:rPr>
        <w:t>°</w:t>
      </w:r>
      <w:r>
        <w:rPr>
          <w:rFonts w:hint="eastAsia" w:ascii="Times New Roman" w:hAnsi="Times New Roman" w:eastAsia="方正仿宋简体" w:cs="Times New Roman"/>
          <w:kern w:val="0"/>
          <w:sz w:val="32"/>
          <w:szCs w:val="32"/>
          <w:lang w:val="en-US" w:eastAsia="zh-CN"/>
        </w:rPr>
        <w:t>36′</w:t>
      </w:r>
      <w:r>
        <w:rPr>
          <w:rFonts w:hint="default" w:ascii="Times New Roman" w:hAnsi="Times New Roman" w:eastAsia="方正仿宋简体" w:cs="Times New Roman"/>
          <w:kern w:val="0"/>
          <w:sz w:val="32"/>
          <w:szCs w:val="32"/>
          <w:lang w:val="en-US" w:eastAsia="zh-CN"/>
        </w:rPr>
        <w:t>46.479</w:t>
      </w:r>
      <w:r>
        <w:rPr>
          <w:rFonts w:hint="eastAsia" w:ascii="Times New Roman" w:hAnsi="Times New Roman" w:eastAsia="方正仿宋简体" w:cs="Times New Roman"/>
          <w:kern w:val="0"/>
          <w:sz w:val="32"/>
          <w:szCs w:val="32"/>
          <w:lang w:val="en-US" w:eastAsia="zh-CN"/>
        </w:rPr>
        <w:t>″</w:t>
      </w:r>
      <w:r>
        <w:rPr>
          <w:rFonts w:hint="eastAsia" w:eastAsia="方正仿宋简体" w:cs="Times New Roman"/>
          <w:kern w:val="0"/>
          <w:sz w:val="32"/>
          <w:szCs w:val="32"/>
          <w:lang w:val="en-US" w:eastAsia="zh-CN"/>
        </w:rPr>
        <w:t>。</w:t>
      </w:r>
      <w:r>
        <w:rPr>
          <w:rFonts w:eastAsia="方正仿宋简体"/>
          <w:kern w:val="0"/>
          <w:sz w:val="32"/>
          <w:szCs w:val="32"/>
        </w:rPr>
        <w:t>该项目已于</w:t>
      </w:r>
      <w:r>
        <w:rPr>
          <w:rFonts w:hint="eastAsia" w:eastAsia="方正仿宋简体"/>
          <w:kern w:val="0"/>
          <w:sz w:val="32"/>
          <w:szCs w:val="32"/>
          <w:lang w:val="en-US" w:eastAsia="zh-CN"/>
        </w:rPr>
        <w:t>2022年8月建成并投入使用</w:t>
      </w:r>
      <w:r>
        <w:rPr>
          <w:rFonts w:eastAsia="方正仿宋简体"/>
          <w:kern w:val="0"/>
          <w:sz w:val="32"/>
          <w:szCs w:val="32"/>
        </w:rPr>
        <w:t>，项目已建设内容有</w:t>
      </w:r>
      <w:r>
        <w:rPr>
          <w:rFonts w:hint="eastAsia" w:eastAsia="方正仿宋简体"/>
          <w:kern w:val="0"/>
          <w:sz w:val="32"/>
          <w:szCs w:val="32"/>
          <w:lang w:val="en-US" w:eastAsia="zh-CN"/>
        </w:rPr>
        <w:t>医学观察用房共600间及医技用房、业务用房、物资用房等配套用房，污水处理设施、垃圾暂存间、洗消间、发电机房以及室外附属设施。项目总投资3400万元，其中环保投资110万元，占总投资的3.24%。</w:t>
      </w:r>
    </w:p>
    <w:p w14:paraId="64376400">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kern w:val="0"/>
          <w:sz w:val="32"/>
          <w:szCs w:val="32"/>
          <w:lang w:val="en-US" w:eastAsia="zh-CN" w:bidi="ar-SA"/>
        </w:rPr>
        <w:t>二</w:t>
      </w:r>
      <w:r>
        <w:rPr>
          <w:rFonts w:eastAsia="方正仿宋简体"/>
          <w:color w:val="000000"/>
          <w:kern w:val="0"/>
          <w:sz w:val="32"/>
          <w:szCs w:val="32"/>
        </w:rPr>
        <w:t>、根据兵团环境工程评估中心</w:t>
      </w:r>
      <w:r>
        <w:rPr>
          <w:rFonts w:eastAsia="方正仿宋简体"/>
          <w:color w:val="000000"/>
          <w:sz w:val="32"/>
          <w:szCs w:val="32"/>
        </w:rPr>
        <w:t>对《报告</w:t>
      </w:r>
      <w:r>
        <w:rPr>
          <w:rFonts w:hint="eastAsia" w:eastAsia="方正仿宋简体"/>
          <w:color w:val="000000"/>
          <w:sz w:val="32"/>
          <w:szCs w:val="32"/>
          <w:lang w:val="en-US" w:eastAsia="zh-CN"/>
        </w:rPr>
        <w:t>书</w:t>
      </w:r>
      <w:r>
        <w:rPr>
          <w:rFonts w:eastAsia="方正仿宋简体"/>
          <w:color w:val="000000"/>
          <w:sz w:val="32"/>
          <w:szCs w:val="32"/>
        </w:rPr>
        <w:t>》的技术评估意见</w:t>
      </w:r>
      <w:r>
        <w:rPr>
          <w:rFonts w:eastAsia="方正仿宋简体"/>
          <w:color w:val="000000"/>
          <w:kern w:val="0"/>
          <w:sz w:val="32"/>
          <w:szCs w:val="32"/>
        </w:rPr>
        <w:t>（兵环评估〔2025〕</w:t>
      </w:r>
      <w:r>
        <w:rPr>
          <w:rFonts w:hint="eastAsia" w:eastAsia="方正仿宋简体"/>
          <w:color w:val="000000"/>
          <w:kern w:val="0"/>
          <w:sz w:val="32"/>
          <w:szCs w:val="32"/>
          <w:lang w:val="en-US" w:eastAsia="zh-CN"/>
        </w:rPr>
        <w:t>116</w:t>
      </w:r>
      <w:r>
        <w:rPr>
          <w:rFonts w:eastAsia="方正仿宋简体"/>
          <w:color w:val="000000"/>
          <w:kern w:val="0"/>
          <w:sz w:val="32"/>
          <w:szCs w:val="32"/>
        </w:rPr>
        <w:t>号）和阿克苏律天环保工程有限公司编制的</w:t>
      </w:r>
      <w:r>
        <w:rPr>
          <w:rFonts w:hint="eastAsia" w:eastAsia="方正仿宋简体"/>
          <w:color w:val="000000"/>
          <w:kern w:val="0"/>
          <w:sz w:val="32"/>
          <w:szCs w:val="32"/>
          <w:lang w:eastAsia="zh-CN"/>
        </w:rPr>
        <w:t>《报告书》</w:t>
      </w:r>
      <w:r>
        <w:rPr>
          <w:rFonts w:eastAsia="方正仿宋简体"/>
          <w:color w:val="000000"/>
          <w:kern w:val="0"/>
          <w:sz w:val="32"/>
          <w:szCs w:val="32"/>
        </w:rPr>
        <w:t>评价结论，该项目为</w:t>
      </w:r>
      <w:r>
        <w:rPr>
          <w:rFonts w:hint="eastAsia" w:eastAsia="方正仿宋简体"/>
          <w:color w:val="auto"/>
          <w:kern w:val="0"/>
          <w:sz w:val="32"/>
          <w:szCs w:val="32"/>
          <w:lang w:val="en-US" w:eastAsia="zh-CN"/>
        </w:rPr>
        <w:t>疾病预防控制中心</w:t>
      </w:r>
      <w:r>
        <w:rPr>
          <w:rFonts w:eastAsia="方正仿宋简体"/>
          <w:color w:val="000000"/>
          <w:kern w:val="0"/>
          <w:sz w:val="32"/>
          <w:szCs w:val="32"/>
        </w:rPr>
        <w:t>建设项目，在符合产业政策、选址符合国土空间规划等相关规划的前提下，从环境保护的角度，我局原则同意</w:t>
      </w:r>
      <w:r>
        <w:rPr>
          <w:rFonts w:hint="eastAsia" w:eastAsia="方正仿宋简体"/>
          <w:color w:val="000000"/>
          <w:kern w:val="0"/>
          <w:sz w:val="32"/>
          <w:szCs w:val="32"/>
          <w:lang w:eastAsia="zh-CN"/>
        </w:rPr>
        <w:t>《报告书》</w:t>
      </w:r>
      <w:r>
        <w:rPr>
          <w:rFonts w:eastAsia="方正仿宋简体"/>
          <w:color w:val="000000"/>
          <w:kern w:val="0"/>
          <w:sz w:val="32"/>
          <w:szCs w:val="32"/>
        </w:rPr>
        <w:t>结论。</w:t>
      </w:r>
    </w:p>
    <w:p w14:paraId="2A56AD7A">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lang w:val="en-US" w:eastAsia="zh-CN" w:bidi="ar-SA"/>
        </w:rPr>
        <w:t>三</w:t>
      </w:r>
      <w:r>
        <w:rPr>
          <w:rFonts w:eastAsia="方正仿宋简体"/>
          <w:color w:val="000000"/>
          <w:kern w:val="0"/>
          <w:sz w:val="32"/>
          <w:szCs w:val="32"/>
        </w:rPr>
        <w:t>、</w:t>
      </w:r>
      <w:r>
        <w:rPr>
          <w:rFonts w:eastAsia="方正仿宋简体"/>
          <w:kern w:val="0"/>
          <w:sz w:val="32"/>
          <w:szCs w:val="32"/>
        </w:rPr>
        <w:t>你单位在项目运营中，应严格执行有关环境质量标准和污染物排放标准，认真、全面落实</w:t>
      </w:r>
      <w:r>
        <w:rPr>
          <w:rFonts w:hint="eastAsia" w:eastAsia="方正仿宋简体"/>
          <w:kern w:val="0"/>
          <w:sz w:val="32"/>
          <w:szCs w:val="32"/>
          <w:lang w:eastAsia="zh-CN"/>
        </w:rPr>
        <w:t>报告书</w:t>
      </w:r>
      <w:r>
        <w:rPr>
          <w:rFonts w:eastAsia="方正仿宋简体"/>
          <w:kern w:val="0"/>
          <w:sz w:val="32"/>
          <w:szCs w:val="32"/>
        </w:rPr>
        <w:t>提出的各项环保对策措施和要求，确保污染物达标排放和各环境敏感点满足相应功能要求。重点做好以下工作：</w:t>
      </w:r>
    </w:p>
    <w:p w14:paraId="1F1D2510">
      <w:pPr>
        <w:spacing w:line="560" w:lineRule="exact"/>
        <w:ind w:firstLine="640"/>
        <w:rPr>
          <w:rFonts w:eastAsia="方正仿宋简体"/>
          <w:kern w:val="0"/>
          <w:sz w:val="32"/>
          <w:szCs w:val="32"/>
        </w:rPr>
      </w:pPr>
      <w:r>
        <w:rPr>
          <w:rFonts w:eastAsia="方正楷体简体"/>
          <w:kern w:val="0"/>
          <w:sz w:val="32"/>
          <w:szCs w:val="32"/>
        </w:rPr>
        <w:t>（一）严格落实大气污染防治措施。</w:t>
      </w:r>
      <w:r>
        <w:rPr>
          <w:rFonts w:eastAsia="方正仿宋简体"/>
          <w:kern w:val="0"/>
          <w:sz w:val="32"/>
          <w:szCs w:val="32"/>
        </w:rPr>
        <w:t>该项目运营期产生的废气主要为</w:t>
      </w:r>
      <w:r>
        <w:rPr>
          <w:rFonts w:hint="eastAsia" w:eastAsia="方正仿宋简体"/>
          <w:color w:val="auto"/>
          <w:kern w:val="0"/>
          <w:sz w:val="32"/>
          <w:szCs w:val="32"/>
          <w:lang w:val="en-US" w:eastAsia="zh-CN"/>
        </w:rPr>
        <w:t>柴油发电机废气、</w:t>
      </w:r>
      <w:r>
        <w:rPr>
          <w:rFonts w:eastAsia="方正仿宋简体"/>
          <w:color w:val="auto"/>
          <w:kern w:val="0"/>
          <w:sz w:val="32"/>
          <w:szCs w:val="32"/>
        </w:rPr>
        <w:t>医疗废物暂存间</w:t>
      </w:r>
      <w:r>
        <w:rPr>
          <w:rFonts w:hint="eastAsia" w:eastAsia="方正仿宋简体"/>
          <w:color w:val="auto"/>
          <w:kern w:val="0"/>
          <w:sz w:val="32"/>
          <w:szCs w:val="32"/>
          <w:lang w:eastAsia="zh-CN"/>
        </w:rPr>
        <w:t>、</w:t>
      </w:r>
      <w:r>
        <w:rPr>
          <w:rFonts w:eastAsia="方正仿宋简体"/>
          <w:color w:val="auto"/>
          <w:kern w:val="0"/>
          <w:sz w:val="32"/>
          <w:szCs w:val="32"/>
        </w:rPr>
        <w:t>污水处理设施</w:t>
      </w:r>
      <w:r>
        <w:rPr>
          <w:rFonts w:hint="eastAsia" w:eastAsia="方正仿宋简体"/>
          <w:kern w:val="0"/>
          <w:sz w:val="32"/>
          <w:szCs w:val="32"/>
          <w:lang w:val="en-US" w:eastAsia="zh-CN"/>
        </w:rPr>
        <w:t>产生的</w:t>
      </w:r>
      <w:r>
        <w:rPr>
          <w:rFonts w:eastAsia="方正仿宋简体"/>
          <w:kern w:val="0"/>
          <w:sz w:val="32"/>
          <w:szCs w:val="32"/>
        </w:rPr>
        <w:t>恶臭气体。</w:t>
      </w:r>
      <w:r>
        <w:rPr>
          <w:rFonts w:hint="eastAsia" w:eastAsia="方正仿宋简体"/>
          <w:kern w:val="0"/>
          <w:sz w:val="32"/>
          <w:szCs w:val="32"/>
          <w:lang w:val="en-US" w:eastAsia="zh-CN"/>
        </w:rPr>
        <w:t>柴油发电机燃烧废气通过设备自带的净化装置处理后由排烟井引至屋顶排放；</w:t>
      </w:r>
      <w:r>
        <w:rPr>
          <w:rFonts w:eastAsia="方正仿宋简体"/>
          <w:kern w:val="0"/>
          <w:sz w:val="32"/>
          <w:szCs w:val="32"/>
        </w:rPr>
        <w:t>医疗废物暂存间封闭，周围设置绿化带；加强污水处理站的运行操作管理，污泥及时外运，防止恶臭形成，污水处理站密闭，周边定期喷洒除臭剂等措施，确保污水处理站周边氨、硫化氢、臭气浓度、甲烷、氯气无组织排放满足《医疗机构水污染物排放标准》（GB18466</w:t>
      </w:r>
      <w:r>
        <w:rPr>
          <w:rFonts w:hint="eastAsia" w:eastAsia="方正仿宋简体"/>
          <w:kern w:val="0"/>
          <w:sz w:val="32"/>
          <w:szCs w:val="32"/>
          <w:lang w:val="en-US" w:eastAsia="zh-CN"/>
        </w:rPr>
        <w:t xml:space="preserve"> </w:t>
      </w:r>
      <w:r>
        <w:rPr>
          <w:rFonts w:eastAsia="方正仿宋简体"/>
          <w:kern w:val="0"/>
          <w:sz w:val="32"/>
          <w:szCs w:val="32"/>
        </w:rPr>
        <w:t>-2005）表3中标准要求。</w:t>
      </w:r>
    </w:p>
    <w:p w14:paraId="3A25E723">
      <w:pPr>
        <w:spacing w:line="560" w:lineRule="exact"/>
        <w:ind w:firstLine="640"/>
        <w:rPr>
          <w:rFonts w:hint="eastAsia" w:eastAsia="方正仿宋简体"/>
          <w:kern w:val="0"/>
          <w:sz w:val="32"/>
          <w:szCs w:val="32"/>
          <w:lang w:val="en-US" w:eastAsia="zh-CN"/>
        </w:rPr>
      </w:pPr>
      <w:r>
        <w:rPr>
          <w:rFonts w:eastAsia="方正楷体简体"/>
          <w:kern w:val="0"/>
          <w:sz w:val="32"/>
          <w:szCs w:val="32"/>
        </w:rPr>
        <w:t>（二）严格落实水污染防治措施。</w:t>
      </w:r>
      <w:r>
        <w:rPr>
          <w:rFonts w:eastAsia="方正仿宋简体"/>
          <w:kern w:val="0"/>
          <w:sz w:val="32"/>
          <w:szCs w:val="32"/>
        </w:rPr>
        <w:t>该项目运营期产生的废水主要</w:t>
      </w:r>
      <w:r>
        <w:rPr>
          <w:rFonts w:hint="default" w:eastAsia="方正仿宋简体"/>
          <w:kern w:val="0"/>
          <w:sz w:val="32"/>
          <w:szCs w:val="32"/>
        </w:rPr>
        <w:t>为医疗废水（隔离人员用水）、职工生活污水、救护车清洗废水、地面清洁废水、被服洗涤废水</w:t>
      </w:r>
      <w:r>
        <w:rPr>
          <w:rFonts w:eastAsia="方正仿宋简体"/>
          <w:kern w:val="0"/>
          <w:sz w:val="32"/>
          <w:szCs w:val="32"/>
        </w:rPr>
        <w:t>。</w:t>
      </w:r>
      <w:r>
        <w:rPr>
          <w:rFonts w:hint="eastAsia" w:eastAsia="方正仿宋简体"/>
          <w:kern w:val="0"/>
          <w:sz w:val="32"/>
          <w:szCs w:val="32"/>
          <w:lang w:val="en-US" w:eastAsia="zh-CN"/>
        </w:rPr>
        <w:t>隔离点医疗废水经“预处理系统（化粪池+预消毒池）后同其他废水经污水处理站（格栅池+调节池+A池+O池+MBR池+消毒池）</w:t>
      </w:r>
      <w:r>
        <w:rPr>
          <w:rFonts w:eastAsia="方正仿宋简体"/>
          <w:kern w:val="0"/>
          <w:sz w:val="32"/>
          <w:szCs w:val="32"/>
        </w:rPr>
        <w:t>处理，确保出水水质满足</w:t>
      </w:r>
      <w:r>
        <w:rPr>
          <w:rFonts w:eastAsia="方正仿宋简体"/>
          <w:color w:val="auto"/>
          <w:kern w:val="0"/>
          <w:sz w:val="32"/>
          <w:szCs w:val="32"/>
        </w:rPr>
        <w:t>《医疗机构水污染物排放标准》（GB18466-2005）表</w:t>
      </w:r>
      <w:r>
        <w:rPr>
          <w:rFonts w:hint="eastAsia" w:eastAsia="方正仿宋简体"/>
          <w:color w:val="auto"/>
          <w:kern w:val="0"/>
          <w:sz w:val="32"/>
          <w:szCs w:val="32"/>
          <w:lang w:val="en-US" w:eastAsia="zh-CN"/>
        </w:rPr>
        <w:t>1传染病、结核病医疗机构水污染物排放限值</w:t>
      </w:r>
      <w:r>
        <w:rPr>
          <w:rFonts w:eastAsia="方正仿宋简体"/>
          <w:color w:val="auto"/>
          <w:kern w:val="0"/>
          <w:sz w:val="32"/>
          <w:szCs w:val="32"/>
        </w:rPr>
        <w:t>要求，</w:t>
      </w:r>
      <w:r>
        <w:rPr>
          <w:rFonts w:eastAsia="方正仿宋简体"/>
          <w:kern w:val="0"/>
          <w:sz w:val="32"/>
          <w:szCs w:val="32"/>
        </w:rPr>
        <w:t>最终</w:t>
      </w:r>
      <w:r>
        <w:rPr>
          <w:rFonts w:hint="eastAsia" w:eastAsia="方正仿宋简体"/>
          <w:kern w:val="0"/>
          <w:sz w:val="32"/>
          <w:szCs w:val="32"/>
          <w:lang w:val="en-US" w:eastAsia="zh-CN"/>
        </w:rPr>
        <w:t>由</w:t>
      </w:r>
      <w:r>
        <w:rPr>
          <w:rFonts w:hint="default" w:eastAsia="方正仿宋简体"/>
          <w:kern w:val="0"/>
          <w:sz w:val="32"/>
          <w:szCs w:val="32"/>
          <w:lang w:val="zh-CN"/>
        </w:rPr>
        <w:t>吸污车</w:t>
      </w:r>
      <w:r>
        <w:rPr>
          <w:rFonts w:hint="eastAsia" w:eastAsia="方正仿宋简体"/>
          <w:kern w:val="0"/>
          <w:sz w:val="32"/>
          <w:szCs w:val="32"/>
          <w:lang w:val="en-US" w:eastAsia="zh-CN"/>
        </w:rPr>
        <w:t>拉运</w:t>
      </w:r>
      <w:r>
        <w:rPr>
          <w:rFonts w:hint="default" w:eastAsia="方正仿宋简体"/>
          <w:kern w:val="0"/>
          <w:sz w:val="32"/>
          <w:szCs w:val="32"/>
          <w:lang w:val="zh-CN"/>
        </w:rPr>
        <w:t>至一团生活污水处理</w:t>
      </w:r>
      <w:r>
        <w:rPr>
          <w:rFonts w:hint="eastAsia" w:eastAsia="方正仿宋简体"/>
          <w:kern w:val="0"/>
          <w:sz w:val="32"/>
          <w:szCs w:val="32"/>
          <w:lang w:val="en-US" w:eastAsia="zh-CN"/>
        </w:rPr>
        <w:t>厂处理。</w:t>
      </w:r>
    </w:p>
    <w:p w14:paraId="5DF0C721">
      <w:pPr>
        <w:pStyle w:val="5"/>
        <w:adjustRightInd w:val="0"/>
        <w:snapToGrid w:val="0"/>
        <w:spacing w:line="560" w:lineRule="exact"/>
        <w:ind w:firstLine="640" w:firstLineChars="200"/>
      </w:pPr>
      <w:r>
        <w:rPr>
          <w:rFonts w:eastAsia="方正楷体简体"/>
          <w:kern w:val="0"/>
          <w:sz w:val="32"/>
          <w:szCs w:val="32"/>
        </w:rPr>
        <w:t>（三）严格落实噪声污染防治措施。</w:t>
      </w:r>
      <w:r>
        <w:rPr>
          <w:rFonts w:eastAsia="方正仿宋简体"/>
          <w:kern w:val="0"/>
          <w:sz w:val="32"/>
          <w:szCs w:val="32"/>
        </w:rPr>
        <w:t>项目噪声主要来自通风设备、污水处理站运行等噪声。通过合理布局设备，将产生强噪声的设备与厂界保持足够距离；选择先进可靠的低噪声设备，对高噪声设备采取安装减振垫、用弹性连接代替设备与地面刚性连接，在噪声源强较大的设备处设置围护；定期维护设备等措施，确保厂界四周噪声排放满足《工业企业厂界环境噪声排放标准》（GB12348-2008）中1类标准要求。</w:t>
      </w:r>
    </w:p>
    <w:p w14:paraId="4AEFAEAC">
      <w:pPr>
        <w:keepNext w:val="0"/>
        <w:keepLines w:val="0"/>
        <w:pageBreakBefore w:val="0"/>
        <w:widowControl w:val="0"/>
        <w:shd w:val="clear"/>
        <w:kinsoku/>
        <w:wordWrap/>
        <w:overflowPunct/>
        <w:topLinePunct w:val="0"/>
        <w:autoSpaceDE/>
        <w:autoSpaceDN/>
        <w:bidi w:val="0"/>
        <w:adjustRightInd/>
        <w:snapToGrid/>
        <w:spacing w:line="540" w:lineRule="exact"/>
        <w:ind w:firstLine="640"/>
        <w:textAlignment w:val="auto"/>
        <w:rPr>
          <w:rFonts w:hint="default" w:eastAsia="方正仿宋简体"/>
          <w:kern w:val="0"/>
          <w:sz w:val="32"/>
          <w:szCs w:val="32"/>
          <w:lang w:val="zh-CN"/>
        </w:rPr>
      </w:pPr>
      <w:r>
        <w:rPr>
          <w:rFonts w:eastAsia="方正楷体简体"/>
          <w:kern w:val="0"/>
          <w:sz w:val="32"/>
          <w:szCs w:val="32"/>
        </w:rPr>
        <w:t>（四）严格落实固体废物分类处置措施。</w:t>
      </w:r>
      <w:r>
        <w:rPr>
          <w:rFonts w:eastAsia="方正仿宋简体"/>
          <w:kern w:val="0"/>
          <w:sz w:val="32"/>
          <w:szCs w:val="32"/>
        </w:rPr>
        <w:t>该项目运营期产生的固废主要为</w:t>
      </w:r>
      <w:r>
        <w:rPr>
          <w:rFonts w:hint="eastAsia" w:eastAsia="方正仿宋简体"/>
          <w:kern w:val="0"/>
          <w:sz w:val="32"/>
          <w:szCs w:val="32"/>
          <w:lang w:val="en-US" w:eastAsia="zh-CN"/>
        </w:rPr>
        <w:t>隔离人员生活垃圾、一次性防护用品等感染性废物</w:t>
      </w:r>
      <w:r>
        <w:rPr>
          <w:rFonts w:eastAsia="方正仿宋简体"/>
          <w:kern w:val="0"/>
          <w:sz w:val="32"/>
          <w:szCs w:val="32"/>
        </w:rPr>
        <w:t>，污水处理站污泥</w:t>
      </w:r>
      <w:r>
        <w:rPr>
          <w:rFonts w:hint="eastAsia" w:eastAsia="方正仿宋简体"/>
          <w:kern w:val="0"/>
          <w:sz w:val="32"/>
          <w:szCs w:val="32"/>
          <w:lang w:eastAsia="zh-CN"/>
        </w:rPr>
        <w:t>，</w:t>
      </w:r>
      <w:r>
        <w:rPr>
          <w:rFonts w:hint="eastAsia" w:eastAsia="方正仿宋简体"/>
          <w:kern w:val="0"/>
          <w:sz w:val="32"/>
          <w:szCs w:val="32"/>
          <w:lang w:val="en-US" w:eastAsia="zh-CN"/>
        </w:rPr>
        <w:t>废活性炭，废药物、药品</w:t>
      </w:r>
      <w:r>
        <w:rPr>
          <w:rFonts w:eastAsia="方正仿宋简体"/>
          <w:kern w:val="0"/>
          <w:sz w:val="32"/>
          <w:szCs w:val="32"/>
        </w:rPr>
        <w:t>等危险废物</w:t>
      </w:r>
      <w:r>
        <w:rPr>
          <w:rFonts w:hint="eastAsia" w:eastAsia="方正仿宋简体"/>
          <w:kern w:val="0"/>
          <w:sz w:val="32"/>
          <w:szCs w:val="32"/>
          <w:lang w:eastAsia="zh-CN"/>
        </w:rPr>
        <w:t>及</w:t>
      </w:r>
      <w:r>
        <w:rPr>
          <w:rFonts w:eastAsia="方正仿宋简体"/>
          <w:kern w:val="0"/>
          <w:sz w:val="32"/>
          <w:szCs w:val="32"/>
        </w:rPr>
        <w:t>生活垃圾。</w:t>
      </w:r>
      <w:r>
        <w:rPr>
          <w:rFonts w:hint="eastAsia" w:eastAsia="方正仿宋简体"/>
          <w:kern w:val="0"/>
          <w:sz w:val="32"/>
          <w:szCs w:val="32"/>
          <w:lang w:val="en-US" w:eastAsia="zh-CN"/>
        </w:rPr>
        <w:t>隔离人员生活垃圾、一次性防护用品暂存于医疗废物暂存间，废药物、药品、废活性炭暂存于危险废物暂存间，定期交由有危险废物处置资质单位处置，医疗废物暂存间和</w:t>
      </w:r>
      <w:r>
        <w:rPr>
          <w:rFonts w:hint="default" w:eastAsia="方正仿宋简体"/>
          <w:kern w:val="0"/>
          <w:sz w:val="32"/>
          <w:szCs w:val="32"/>
          <w:lang w:val="en-US" w:eastAsia="zh-CN"/>
        </w:rPr>
        <w:t>危险废物暂存间的设置</w:t>
      </w:r>
      <w:r>
        <w:rPr>
          <w:rFonts w:hint="eastAsia" w:eastAsia="方正仿宋简体"/>
          <w:kern w:val="0"/>
          <w:sz w:val="32"/>
          <w:szCs w:val="32"/>
          <w:lang w:val="en-US" w:eastAsia="zh-CN"/>
        </w:rPr>
        <w:t>须</w:t>
      </w:r>
      <w:r>
        <w:rPr>
          <w:rFonts w:eastAsia="方正仿宋简体"/>
          <w:kern w:val="0"/>
          <w:sz w:val="32"/>
          <w:szCs w:val="32"/>
        </w:rPr>
        <w:t>严格按照《危险废物贮存污染控制标准》</w:t>
      </w:r>
      <w:r>
        <w:rPr>
          <w:rFonts w:eastAsiaTheme="minorEastAsia"/>
          <w:kern w:val="0"/>
          <w:sz w:val="32"/>
          <w:szCs w:val="32"/>
        </w:rPr>
        <w:t>（GB 18597-2023）</w:t>
      </w:r>
      <w:r>
        <w:rPr>
          <w:rFonts w:eastAsia="方正仿宋简体"/>
          <w:kern w:val="0"/>
          <w:sz w:val="32"/>
          <w:szCs w:val="32"/>
        </w:rPr>
        <w:t>建设，危险废物的收集、贮存、运输须符合《危险废物收集 贮存 运输技术规范》</w:t>
      </w:r>
      <w:r>
        <w:rPr>
          <w:rFonts w:eastAsiaTheme="minorEastAsia"/>
          <w:kern w:val="0"/>
          <w:sz w:val="32"/>
          <w:szCs w:val="32"/>
        </w:rPr>
        <w:t>（HJ 2025-2012）</w:t>
      </w:r>
      <w:r>
        <w:rPr>
          <w:rFonts w:eastAsia="方正仿宋简体"/>
          <w:kern w:val="0"/>
          <w:sz w:val="32"/>
          <w:szCs w:val="32"/>
        </w:rPr>
        <w:t>及《危险废物贮存污染控制标准》</w:t>
      </w:r>
      <w:r>
        <w:rPr>
          <w:rFonts w:eastAsiaTheme="minorEastAsia"/>
          <w:kern w:val="0"/>
          <w:sz w:val="32"/>
          <w:szCs w:val="32"/>
        </w:rPr>
        <w:t>（GB 18597-2023）</w:t>
      </w:r>
      <w:r>
        <w:rPr>
          <w:rFonts w:eastAsia="方正仿宋简体"/>
          <w:kern w:val="0"/>
          <w:sz w:val="32"/>
          <w:szCs w:val="32"/>
        </w:rPr>
        <w:t>的相关要求；</w:t>
      </w:r>
      <w:r>
        <w:rPr>
          <w:rFonts w:hint="default" w:eastAsia="方正仿宋简体"/>
          <w:kern w:val="0"/>
          <w:sz w:val="32"/>
          <w:szCs w:val="32"/>
          <w:lang w:val="zh-CN"/>
        </w:rPr>
        <w:t>污水处理站污泥清掏前加入石灰消毒灭菌进行无害化处理，委托有资质的单位进行污泥检测，达到《医疗机构水污染物排放标准》（GB18466-2005）中表4医疗机构污泥控制标准后再进行清掏</w:t>
      </w:r>
      <w:r>
        <w:rPr>
          <w:rFonts w:hint="default" w:eastAsia="方正仿宋简体"/>
          <w:kern w:val="0"/>
          <w:sz w:val="32"/>
          <w:szCs w:val="32"/>
          <w:lang w:val="en-US" w:eastAsia="zh-CN"/>
        </w:rPr>
        <w:t>，最终由有</w:t>
      </w:r>
      <w:r>
        <w:rPr>
          <w:rFonts w:hint="default" w:eastAsia="方正仿宋简体"/>
          <w:kern w:val="0"/>
          <w:sz w:val="32"/>
          <w:szCs w:val="32"/>
          <w:lang w:val="zh-CN"/>
        </w:rPr>
        <w:t>相应资质的单位进行处置</w:t>
      </w:r>
      <w:r>
        <w:rPr>
          <w:rFonts w:hint="eastAsia" w:eastAsia="方正仿宋简体"/>
          <w:kern w:val="0"/>
          <w:sz w:val="32"/>
          <w:szCs w:val="32"/>
          <w:lang w:val="zh-CN"/>
        </w:rPr>
        <w:t>；</w:t>
      </w:r>
      <w:r>
        <w:rPr>
          <w:rFonts w:hint="default" w:eastAsia="方正仿宋简体"/>
          <w:kern w:val="0"/>
          <w:sz w:val="32"/>
          <w:szCs w:val="32"/>
          <w:lang w:val="zh-CN"/>
        </w:rPr>
        <w:t>生活垃圾由当地环卫部门定期收集清运至</w:t>
      </w:r>
      <w:r>
        <w:rPr>
          <w:rFonts w:hint="eastAsia" w:eastAsia="方正仿宋简体"/>
          <w:kern w:val="0"/>
          <w:sz w:val="32"/>
          <w:szCs w:val="32"/>
          <w:lang w:val="en-US" w:eastAsia="zh-CN"/>
        </w:rPr>
        <w:t>一团垃圾填埋场</w:t>
      </w:r>
      <w:r>
        <w:rPr>
          <w:rFonts w:hint="default" w:eastAsia="方正仿宋简体"/>
          <w:kern w:val="0"/>
          <w:sz w:val="32"/>
          <w:szCs w:val="32"/>
          <w:lang w:val="zh-CN"/>
        </w:rPr>
        <w:t>。</w:t>
      </w:r>
    </w:p>
    <w:p w14:paraId="572B3DB0">
      <w:pPr>
        <w:pStyle w:val="5"/>
        <w:adjustRightInd w:val="0"/>
        <w:snapToGrid w:val="0"/>
        <w:spacing w:line="560" w:lineRule="exact"/>
        <w:ind w:firstLine="640" w:firstLineChars="200"/>
      </w:pPr>
      <w:r>
        <w:rPr>
          <w:rFonts w:eastAsia="方正楷体简体"/>
          <w:kern w:val="0"/>
          <w:sz w:val="32"/>
          <w:szCs w:val="32"/>
        </w:rPr>
        <w:t>（五）加强项目环境风险防范。</w:t>
      </w:r>
      <w:r>
        <w:rPr>
          <w:rFonts w:eastAsia="方正仿宋简体"/>
          <w:kern w:val="0"/>
          <w:sz w:val="32"/>
          <w:szCs w:val="32"/>
        </w:rPr>
        <w:t>建立严格的环境风险管理制度，认真落实</w:t>
      </w:r>
      <w:r>
        <w:rPr>
          <w:rFonts w:hint="eastAsia" w:eastAsia="方正仿宋简体"/>
          <w:kern w:val="0"/>
          <w:sz w:val="32"/>
          <w:szCs w:val="32"/>
          <w:lang w:eastAsia="zh-CN"/>
        </w:rPr>
        <w:t>报告书</w:t>
      </w:r>
      <w:r>
        <w:rPr>
          <w:rFonts w:eastAsia="方正仿宋简体"/>
          <w:kern w:val="0"/>
          <w:sz w:val="32"/>
          <w:szCs w:val="32"/>
        </w:rPr>
        <w:t>提出的各项风险防范措施；制定相关应急预案，编制《突发环境事件应急预案》报生态环境主管部门备案，确保不发生环境污染事故；做好和</w:t>
      </w:r>
      <w:r>
        <w:rPr>
          <w:rFonts w:hint="eastAsia" w:eastAsia="方正仿宋简体"/>
          <w:kern w:val="0"/>
          <w:sz w:val="32"/>
          <w:szCs w:val="32"/>
          <w:lang w:eastAsia="zh-CN"/>
        </w:rPr>
        <w:t>阿拉尔市</w:t>
      </w:r>
      <w:r>
        <w:rPr>
          <w:rFonts w:eastAsia="方正仿宋简体"/>
          <w:kern w:val="0"/>
          <w:sz w:val="32"/>
          <w:szCs w:val="32"/>
        </w:rPr>
        <w:t>环境应急预案的衔接，定期开展突发环境事件应急演练，及时对环境应急预案进行完善。</w:t>
      </w:r>
    </w:p>
    <w:p w14:paraId="3D1E111A">
      <w:pPr>
        <w:spacing w:line="560" w:lineRule="exact"/>
        <w:ind w:firstLine="640" w:firstLineChars="200"/>
        <w:rPr>
          <w:rFonts w:hint="eastAsia" w:eastAsia="方正仿宋简体"/>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hint="default" w:eastAsia="方正仿宋简体"/>
          <w:bCs/>
          <w:color w:val="000000"/>
          <w:sz w:val="32"/>
          <w:szCs w:val="48"/>
          <w:lang w:val="zh-CN"/>
        </w:rPr>
        <w:t>重点防渗区主要包括</w:t>
      </w:r>
      <w:r>
        <w:rPr>
          <w:rFonts w:hint="eastAsia" w:eastAsia="方正仿宋简体"/>
          <w:bCs/>
          <w:color w:val="000000"/>
          <w:sz w:val="32"/>
          <w:szCs w:val="48"/>
          <w:lang w:val="zh-CN"/>
        </w:rPr>
        <w:t>污水处理站、救护车洗消间、柴油发电机房、生活垃圾收集点、隔离病房内卫生间</w:t>
      </w:r>
      <w:r>
        <w:rPr>
          <w:rFonts w:hint="eastAsia" w:eastAsia="方正仿宋简体"/>
          <w:bCs/>
          <w:color w:val="000000"/>
          <w:sz w:val="32"/>
          <w:szCs w:val="48"/>
          <w:lang w:val="zh-CN" w:eastAsia="zh-CN"/>
        </w:rPr>
        <w:t>、</w:t>
      </w:r>
      <w:r>
        <w:rPr>
          <w:rFonts w:hint="eastAsia" w:eastAsia="方正仿宋简体"/>
          <w:bCs/>
          <w:color w:val="000000"/>
          <w:sz w:val="32"/>
          <w:szCs w:val="48"/>
          <w:lang w:val="en-US" w:eastAsia="zh-CN"/>
        </w:rPr>
        <w:t>医疗废物</w:t>
      </w:r>
      <w:r>
        <w:rPr>
          <w:rFonts w:hint="eastAsia" w:eastAsia="方正仿宋简体"/>
          <w:bCs/>
          <w:color w:val="000000"/>
          <w:sz w:val="32"/>
          <w:szCs w:val="48"/>
          <w:lang w:val="zh-CN" w:eastAsia="zh-CN"/>
        </w:rPr>
        <w:t>暂存间、</w:t>
      </w:r>
      <w:r>
        <w:rPr>
          <w:rFonts w:hint="eastAsia" w:eastAsia="方正仿宋简体"/>
          <w:bCs/>
          <w:color w:val="000000"/>
          <w:sz w:val="32"/>
          <w:szCs w:val="48"/>
          <w:lang w:val="en-US" w:eastAsia="zh-CN"/>
        </w:rPr>
        <w:t>危险废物暂存间，危险废物暂存间和医疗废物暂存间</w:t>
      </w:r>
      <w:r>
        <w:rPr>
          <w:rFonts w:hint="eastAsia" w:eastAsia="方正仿宋简体"/>
          <w:bCs/>
          <w:color w:val="000000"/>
          <w:sz w:val="32"/>
          <w:szCs w:val="48"/>
          <w:lang w:val="zh-CN"/>
        </w:rPr>
        <w:t>按照《危险废物贮存污染控制标准》（GB18597-2023）的防渗要求执行，其余重点防渗区的防渗要求为等效黏土防渗层Mb≥6.0米，防渗系数K≤1×10</w:t>
      </w:r>
      <w:r>
        <w:rPr>
          <w:rFonts w:hint="eastAsia" w:eastAsia="方正仿宋简体"/>
          <w:bCs/>
          <w:color w:val="000000"/>
          <w:sz w:val="32"/>
          <w:szCs w:val="48"/>
          <w:vertAlign w:val="superscript"/>
          <w:lang w:val="zh-CN"/>
        </w:rPr>
        <w:t>-7</w:t>
      </w:r>
      <w:r>
        <w:rPr>
          <w:rFonts w:hint="eastAsia" w:eastAsia="方正仿宋简体"/>
          <w:bCs/>
          <w:color w:val="000000"/>
          <w:sz w:val="32"/>
          <w:szCs w:val="48"/>
          <w:lang w:val="zh-CN"/>
        </w:rPr>
        <w:t>厘米/秒；</w:t>
      </w:r>
      <w:r>
        <w:rPr>
          <w:rFonts w:hint="eastAsia" w:eastAsia="方正仿宋简体"/>
          <w:bCs/>
          <w:color w:val="000000"/>
          <w:sz w:val="32"/>
          <w:szCs w:val="48"/>
          <w:lang w:val="en-US" w:eastAsia="zh-CN"/>
        </w:rPr>
        <w:t>一般防渗区主要为隔离病房、卫生通过区，</w:t>
      </w:r>
      <w:r>
        <w:rPr>
          <w:rFonts w:hint="eastAsia" w:eastAsia="方正仿宋简体"/>
          <w:bCs/>
          <w:color w:val="000000"/>
          <w:sz w:val="32"/>
          <w:szCs w:val="48"/>
          <w:lang w:val="zh-CN"/>
        </w:rPr>
        <w:t>防渗要求为等效黏土防渗层Mb≥1.5米，防渗系数K≤1×10</w:t>
      </w:r>
      <w:r>
        <w:rPr>
          <w:rFonts w:hint="eastAsia" w:eastAsia="方正仿宋简体"/>
          <w:bCs/>
          <w:color w:val="000000"/>
          <w:sz w:val="32"/>
          <w:szCs w:val="48"/>
          <w:vertAlign w:val="superscript"/>
          <w:lang w:val="zh-CN"/>
        </w:rPr>
        <w:t>-7</w:t>
      </w:r>
      <w:r>
        <w:rPr>
          <w:rFonts w:hint="eastAsia" w:eastAsia="方正仿宋简体"/>
          <w:bCs/>
          <w:color w:val="000000"/>
          <w:sz w:val="32"/>
          <w:szCs w:val="48"/>
          <w:lang w:val="zh-CN"/>
        </w:rPr>
        <w:t>厘米/秒；</w:t>
      </w:r>
      <w:r>
        <w:rPr>
          <w:rFonts w:hint="eastAsia" w:eastAsia="方正仿宋简体"/>
          <w:bCs/>
          <w:color w:val="000000"/>
          <w:sz w:val="32"/>
          <w:szCs w:val="48"/>
          <w:lang w:val="en-US" w:eastAsia="zh-CN"/>
        </w:rPr>
        <w:t>其余部位</w:t>
      </w:r>
      <w:r>
        <w:rPr>
          <w:rFonts w:hint="eastAsia" w:eastAsia="方正仿宋简体"/>
          <w:bCs/>
          <w:color w:val="000000"/>
          <w:sz w:val="32"/>
          <w:szCs w:val="48"/>
          <w:lang w:val="zh-CN"/>
        </w:rPr>
        <w:t>为简单防渗区，仅进行地面硬化。</w:t>
      </w:r>
    </w:p>
    <w:p w14:paraId="78611E16">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kern w:val="0"/>
          <w:sz w:val="32"/>
          <w:szCs w:val="32"/>
          <w:lang w:val="en-US" w:eastAsia="zh-CN" w:bidi="ar-SA"/>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AAD8039">
      <w:pPr>
        <w:pStyle w:val="10"/>
        <w:spacing w:after="0" w:line="560" w:lineRule="exact"/>
        <w:ind w:left="0" w:leftChars="0" w:firstLine="640"/>
        <w:rPr>
          <w:rFonts w:eastAsia="方正仿宋简体"/>
          <w:color w:val="000000"/>
          <w:kern w:val="0"/>
          <w:sz w:val="32"/>
          <w:szCs w:val="32"/>
        </w:rPr>
      </w:pPr>
      <w:r>
        <w:rPr>
          <w:rFonts w:hint="eastAsia" w:ascii="方正黑体简体" w:hAnsi="方正黑体简体" w:eastAsia="方正黑体简体" w:cs="方正黑体简体"/>
          <w:kern w:val="0"/>
          <w:sz w:val="32"/>
          <w:szCs w:val="32"/>
          <w:lang w:val="en-US" w:eastAsia="zh-CN" w:bidi="ar-SA"/>
        </w:rPr>
        <w:t>五</w:t>
      </w:r>
      <w:r>
        <w:rPr>
          <w:rFonts w:eastAsia="方正仿宋简体"/>
          <w:color w:val="000000"/>
          <w:kern w:val="0"/>
          <w:sz w:val="32"/>
          <w:szCs w:val="32"/>
        </w:rPr>
        <w:t>、</w:t>
      </w:r>
      <w:r>
        <w:rPr>
          <w:rFonts w:hint="default" w:ascii="宋体" w:hAnsi="宋体" w:eastAsia="方正仿宋_GB2312" w:cs="Times New Roman"/>
          <w:color w:val="auto"/>
          <w:kern w:val="0"/>
          <w:sz w:val="32"/>
          <w:szCs w:val="32"/>
        </w:rPr>
        <w:t>在启动生产设施或者在实际排污之前，按照经批准的环境影响评价文件认真梳理并确认各项环境保护措施落实后，依法</w:t>
      </w:r>
      <w:r>
        <w:rPr>
          <w:rFonts w:hint="default" w:ascii="宋体" w:hAnsi="宋体" w:eastAsia="方正仿宋_GB2312" w:cs="Times New Roman"/>
          <w:color w:val="auto"/>
          <w:kern w:val="0"/>
          <w:sz w:val="32"/>
          <w:szCs w:val="32"/>
          <w:highlight w:val="none"/>
        </w:rPr>
        <w:t>申领</w:t>
      </w:r>
      <w:r>
        <w:rPr>
          <w:rFonts w:hint="default" w:ascii="宋体" w:hAnsi="宋体" w:eastAsia="方正仿宋_GB2312" w:cs="Times New Roman"/>
          <w:color w:val="auto"/>
          <w:kern w:val="0"/>
          <w:sz w:val="32"/>
          <w:szCs w:val="32"/>
          <w:highlight w:val="none"/>
          <w:lang w:eastAsia="zh-CN"/>
        </w:rPr>
        <w:t>或变更</w:t>
      </w:r>
      <w:r>
        <w:rPr>
          <w:rFonts w:hint="default" w:ascii="宋体" w:hAnsi="宋体" w:eastAsia="方正仿宋_GB2312" w:cs="Times New Roman"/>
          <w:color w:val="auto"/>
          <w:kern w:val="0"/>
          <w:sz w:val="32"/>
          <w:szCs w:val="32"/>
          <w:highlight w:val="none"/>
        </w:rPr>
        <w:t>排污许可</w:t>
      </w:r>
      <w:r>
        <w:rPr>
          <w:rFonts w:hint="default" w:ascii="宋体" w:hAnsi="宋体" w:eastAsia="方正仿宋_GB2312" w:cs="Times New Roman"/>
          <w:color w:val="auto"/>
          <w:kern w:val="0"/>
          <w:sz w:val="32"/>
          <w:szCs w:val="32"/>
        </w:rPr>
        <w:t>，按照排污许可要求制定自行监测制度。</w:t>
      </w:r>
    </w:p>
    <w:p w14:paraId="20561367">
      <w:pPr>
        <w:pStyle w:val="10"/>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kern w:val="0"/>
          <w:sz w:val="32"/>
          <w:szCs w:val="32"/>
          <w:lang w:val="en-US" w:eastAsia="zh-CN" w:bidi="ar-SA"/>
        </w:rPr>
        <w:t>六</w:t>
      </w:r>
      <w:r>
        <w:rPr>
          <w:rFonts w:eastAsia="方正仿宋简体"/>
          <w:color w:val="000000"/>
          <w:kern w:val="0"/>
          <w:sz w:val="32"/>
          <w:szCs w:val="32"/>
        </w:rPr>
        <w:t>、</w:t>
      </w:r>
      <w:r>
        <w:rPr>
          <w:rFonts w:hint="eastAsia" w:eastAsia="方正仿宋简体"/>
          <w:color w:val="000000"/>
          <w:kern w:val="0"/>
          <w:sz w:val="32"/>
          <w:szCs w:val="32"/>
          <w:lang w:eastAsia="zh-CN"/>
        </w:rPr>
        <w:t>一团金银川镇</w:t>
      </w:r>
      <w:r>
        <w:rPr>
          <w:rFonts w:eastAsia="方正仿宋简体"/>
          <w:color w:val="000000"/>
          <w:kern w:val="0"/>
          <w:sz w:val="32"/>
          <w:szCs w:val="32"/>
        </w:rPr>
        <w:t>积极发挥政府职能，做好该项目环境保护管理工作，师市</w:t>
      </w:r>
      <w:r>
        <w:rPr>
          <w:rFonts w:eastAsia="方正仿宋简体"/>
          <w:kern w:val="0"/>
          <w:sz w:val="32"/>
          <w:szCs w:val="32"/>
        </w:rPr>
        <w:t>生态环境保护综合行政执法支队做好该项目的抽查日常监督管理工作。</w:t>
      </w:r>
    </w:p>
    <w:p w14:paraId="51782322">
      <w:pPr>
        <w:pStyle w:val="10"/>
        <w:spacing w:after="0" w:line="560" w:lineRule="exact"/>
        <w:ind w:left="0" w:leftChars="0" w:firstLine="640"/>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EB81932">
      <w:pPr>
        <w:pStyle w:val="2"/>
        <w:spacing w:before="0" w:after="0" w:line="560" w:lineRule="exact"/>
        <w:rPr>
          <w:rFonts w:ascii="Times New Roman" w:hAnsi="Times New Roman"/>
        </w:rPr>
      </w:pPr>
    </w:p>
    <w:p w14:paraId="0FE89A52">
      <w:pPr>
        <w:spacing w:line="560" w:lineRule="exact"/>
      </w:pPr>
    </w:p>
    <w:p w14:paraId="771F8443">
      <w:pPr>
        <w:widowControl/>
        <w:spacing w:line="560" w:lineRule="exact"/>
        <w:ind w:firstLine="4800" w:firstLineChars="1500"/>
        <w:rPr>
          <w:rFonts w:eastAsia="方正仿宋简体"/>
          <w:kern w:val="0"/>
          <w:sz w:val="32"/>
          <w:szCs w:val="32"/>
        </w:rPr>
      </w:pPr>
      <w:r>
        <w:rPr>
          <w:rFonts w:eastAsia="方正仿宋简体"/>
          <w:kern w:val="0"/>
          <w:sz w:val="32"/>
          <w:szCs w:val="32"/>
        </w:rPr>
        <w:t>第一师阿拉尔市生态环境局</w:t>
      </w:r>
    </w:p>
    <w:p w14:paraId="34C7A67A">
      <w:pPr>
        <w:widowControl/>
        <w:spacing w:line="560" w:lineRule="exact"/>
        <w:ind w:firstLine="5600" w:firstLineChars="1750"/>
        <w:rPr>
          <w:rFonts w:eastAsia="方正仿宋简体"/>
          <w:kern w:val="0"/>
          <w:sz w:val="32"/>
          <w:szCs w:val="32"/>
        </w:rPr>
      </w:pPr>
      <w:r>
        <w:rPr>
          <w:rFonts w:eastAsia="方正仿宋简体"/>
          <w:kern w:val="0"/>
          <w:sz w:val="32"/>
          <w:szCs w:val="32"/>
        </w:rPr>
        <w:t>2025年</w:t>
      </w:r>
      <w:r>
        <w:rPr>
          <w:rFonts w:hint="eastAsia" w:eastAsia="方正仿宋简体"/>
          <w:kern w:val="0"/>
          <w:sz w:val="32"/>
          <w:szCs w:val="32"/>
          <w:lang w:val="en-US" w:eastAsia="zh-CN"/>
        </w:rPr>
        <w:t>5</w:t>
      </w:r>
      <w:r>
        <w:rPr>
          <w:rFonts w:eastAsia="方正仿宋简体"/>
          <w:kern w:val="0"/>
          <w:sz w:val="32"/>
          <w:szCs w:val="32"/>
        </w:rPr>
        <w:t>月</w:t>
      </w:r>
      <w:r>
        <w:rPr>
          <w:rFonts w:hint="eastAsia" w:eastAsia="方正仿宋简体"/>
          <w:kern w:val="0"/>
          <w:sz w:val="32"/>
          <w:szCs w:val="32"/>
          <w:lang w:val="en-US" w:eastAsia="zh-CN"/>
        </w:rPr>
        <w:t>15</w:t>
      </w:r>
      <w:r>
        <w:rPr>
          <w:rFonts w:eastAsia="方正仿宋简体"/>
          <w:kern w:val="0"/>
          <w:sz w:val="32"/>
          <w:szCs w:val="32"/>
        </w:rPr>
        <w:t>日</w:t>
      </w:r>
    </w:p>
    <w:p w14:paraId="67570075">
      <w:pPr>
        <w:pStyle w:val="2"/>
        <w:spacing w:before="0" w:after="0" w:line="560" w:lineRule="exact"/>
        <w:rPr>
          <w:rFonts w:ascii="Times New Roman" w:hAnsi="Times New Roman"/>
        </w:rPr>
      </w:pPr>
    </w:p>
    <w:p w14:paraId="1B25BF3F">
      <w:pPr>
        <w:spacing w:line="560" w:lineRule="exact"/>
      </w:pPr>
    </w:p>
    <w:p w14:paraId="36879BA8">
      <w:pPr>
        <w:spacing w:line="560" w:lineRule="exact"/>
      </w:pPr>
    </w:p>
    <w:p w14:paraId="4E8C2D84">
      <w:pPr>
        <w:spacing w:line="560" w:lineRule="exact"/>
      </w:pPr>
    </w:p>
    <w:p w14:paraId="19922B51">
      <w:pPr>
        <w:spacing w:line="560" w:lineRule="exact"/>
      </w:pPr>
    </w:p>
    <w:p w14:paraId="4FDB6D4F">
      <w:pPr>
        <w:spacing w:line="560" w:lineRule="exact"/>
      </w:pPr>
    </w:p>
    <w:p w14:paraId="714EC369">
      <w:pPr>
        <w:spacing w:line="560" w:lineRule="exact"/>
      </w:pPr>
    </w:p>
    <w:p w14:paraId="5A7BB268">
      <w:pPr>
        <w:spacing w:line="560" w:lineRule="exact"/>
      </w:pPr>
    </w:p>
    <w:p w14:paraId="49E1C78B">
      <w:pPr>
        <w:spacing w:line="560" w:lineRule="exact"/>
      </w:pPr>
    </w:p>
    <w:p w14:paraId="04537820">
      <w:pPr>
        <w:spacing w:line="560" w:lineRule="exact"/>
      </w:pPr>
    </w:p>
    <w:p w14:paraId="690FD397">
      <w:pPr>
        <w:spacing w:line="560" w:lineRule="exact"/>
      </w:pPr>
    </w:p>
    <w:p w14:paraId="696AFAB4">
      <w:pPr>
        <w:spacing w:line="560" w:lineRule="exact"/>
      </w:pPr>
    </w:p>
    <w:p w14:paraId="28218050">
      <w:pPr>
        <w:spacing w:line="560" w:lineRule="exact"/>
      </w:pPr>
    </w:p>
    <w:p w14:paraId="1A3F9699">
      <w:pPr>
        <w:spacing w:line="560" w:lineRule="exact"/>
      </w:pPr>
    </w:p>
    <w:p w14:paraId="4FE83D58">
      <w:pPr>
        <w:spacing w:line="560" w:lineRule="exact"/>
      </w:pPr>
    </w:p>
    <w:p w14:paraId="7046C647">
      <w:pPr>
        <w:spacing w:line="560" w:lineRule="exact"/>
      </w:pPr>
    </w:p>
    <w:p w14:paraId="4BBA36DA">
      <w:pPr>
        <w:spacing w:line="560" w:lineRule="exact"/>
      </w:pPr>
    </w:p>
    <w:p w14:paraId="0E3795F1">
      <w:pPr>
        <w:spacing w:line="560" w:lineRule="exact"/>
      </w:pPr>
    </w:p>
    <w:p w14:paraId="79079C1E">
      <w:pPr>
        <w:spacing w:line="560" w:lineRule="exact"/>
      </w:pPr>
    </w:p>
    <w:p w14:paraId="6E003A7B">
      <w:pPr>
        <w:spacing w:line="560" w:lineRule="exact"/>
      </w:pPr>
    </w:p>
    <w:p w14:paraId="7DC39DAC">
      <w:pPr>
        <w:spacing w:line="560" w:lineRule="exact"/>
      </w:pPr>
    </w:p>
    <w:p w14:paraId="108B0088">
      <w:pPr>
        <w:spacing w:line="560" w:lineRule="exact"/>
      </w:pPr>
    </w:p>
    <w:p w14:paraId="7E4BCBC8">
      <w:pPr>
        <w:spacing w:line="560" w:lineRule="exact"/>
      </w:pPr>
    </w:p>
    <w:p w14:paraId="6FD486ED">
      <w:pPr>
        <w:spacing w:line="560" w:lineRule="exact"/>
      </w:pPr>
    </w:p>
    <w:p w14:paraId="6A3D1A2A">
      <w:pPr>
        <w:spacing w:line="560" w:lineRule="exact"/>
      </w:pPr>
    </w:p>
    <w:p w14:paraId="7975B8EC">
      <w:pPr>
        <w:spacing w:line="560" w:lineRule="exact"/>
      </w:pPr>
    </w:p>
    <w:p w14:paraId="215F7352">
      <w:pPr>
        <w:topLinePunct/>
        <w:adjustRightInd w:val="0"/>
        <w:snapToGrid w:val="0"/>
        <w:spacing w:line="560" w:lineRule="exact"/>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lang w:eastAsia="zh-CN"/>
        </w:rPr>
        <w:t>一团金银川镇</w:t>
      </w:r>
      <w:r>
        <w:rPr>
          <w:rFonts w:eastAsia="方正仿宋简体"/>
          <w:color w:val="000000"/>
          <w:spacing w:val="-28"/>
          <w:sz w:val="28"/>
          <w:szCs w:val="28"/>
        </w:rPr>
        <w:t>，生态环境保护综合行政执法支队，阿克苏律天环保工程有限公司。</w:t>
      </w:r>
    </w:p>
    <w:p w14:paraId="38103123">
      <w:pPr>
        <w:spacing w:line="560" w:lineRule="exact"/>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2025年</w:t>
      </w:r>
      <w:r>
        <w:rPr>
          <w:rFonts w:hint="eastAsia" w:eastAsia="方正仿宋简体"/>
          <w:sz w:val="28"/>
          <w:szCs w:val="28"/>
          <w:lang w:val="en-US" w:eastAsia="zh-CN"/>
        </w:rPr>
        <w:t>5</w:t>
      </w:r>
      <w:r>
        <w:rPr>
          <w:rFonts w:eastAsia="方正仿宋简体"/>
          <w:sz w:val="28"/>
          <w:szCs w:val="28"/>
        </w:rPr>
        <w:t>月</w:t>
      </w:r>
      <w:r>
        <w:rPr>
          <w:rFonts w:hint="eastAsia" w:eastAsia="方正仿宋简体"/>
          <w:sz w:val="28"/>
          <w:szCs w:val="28"/>
          <w:lang w:val="en-US" w:eastAsia="zh-CN"/>
        </w:rPr>
        <w:t>19</w:t>
      </w:r>
      <w:bookmarkStart w:id="0" w:name="_GoBack"/>
      <w:bookmarkEnd w:id="0"/>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F1D8423-A802-4C7C-BC87-D312D8D4F53F}"/>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171E2694-1EE2-43EE-A1F9-59EBAA224D2B}"/>
  </w:font>
  <w:font w:name="方正仿宋_GB2312">
    <w:panose1 w:val="02000000000000000000"/>
    <w:charset w:val="86"/>
    <w:family w:val="auto"/>
    <w:pitch w:val="default"/>
    <w:sig w:usb0="A00002BF" w:usb1="184F6CFA" w:usb2="00000012" w:usb3="00000000" w:csb0="00040001" w:csb1="00000000"/>
    <w:embedRegular r:id="rId3" w:fontKey="{C7F2F554-7C52-4A80-A97B-06E657C6AB5F}"/>
  </w:font>
  <w:font w:name="方正小标宋简体">
    <w:panose1 w:val="03000509000000000000"/>
    <w:charset w:val="86"/>
    <w:family w:val="auto"/>
    <w:pitch w:val="default"/>
    <w:sig w:usb0="00000001" w:usb1="080E0000" w:usb2="00000000" w:usb3="00000000" w:csb0="00040000" w:csb1="00000000"/>
    <w:embedRegular r:id="rId4" w:fontKey="{DD12729A-A7EA-4F1C-AD86-533976EF040F}"/>
  </w:font>
  <w:font w:name="方正仿宋简体">
    <w:panose1 w:val="02000000000000000000"/>
    <w:charset w:val="86"/>
    <w:family w:val="auto"/>
    <w:pitch w:val="default"/>
    <w:sig w:usb0="00000001" w:usb1="080E0000" w:usb2="00000000" w:usb3="00000000" w:csb0="00040000" w:csb1="00000000"/>
    <w:embedRegular r:id="rId5" w:fontKey="{AF69F2D8-4EE2-41C0-895F-6D89E895F6A9}"/>
  </w:font>
  <w:font w:name="方正黑体简体">
    <w:panose1 w:val="03000509000000000000"/>
    <w:charset w:val="86"/>
    <w:family w:val="auto"/>
    <w:pitch w:val="default"/>
    <w:sig w:usb0="00000001" w:usb1="080E0000" w:usb2="00000000" w:usb3="00000000" w:csb0="00040000" w:csb1="00000000"/>
    <w:embedRegular r:id="rId6" w:fontKey="{E1C7A12B-8A45-435F-B1D3-C1CE61715AA5}"/>
  </w:font>
  <w:font w:name="方正楷体简体">
    <w:panose1 w:val="02000000000000000000"/>
    <w:charset w:val="86"/>
    <w:family w:val="auto"/>
    <w:pitch w:val="default"/>
    <w:sig w:usb0="00000001" w:usb1="080E0000" w:usb2="00000000" w:usb3="00000000" w:csb0="00040000" w:csb1="00000000"/>
    <w:embedRegular r:id="rId7" w:fontKey="{D69A64EB-1A67-46FE-80DB-F93575A72C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D99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F2696">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9AF2696">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47EB">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8A3AF5"/>
    <w:rsid w:val="00B96D33"/>
    <w:rsid w:val="0258757B"/>
    <w:rsid w:val="029C7664"/>
    <w:rsid w:val="044C1B0E"/>
    <w:rsid w:val="04A71486"/>
    <w:rsid w:val="052A7359"/>
    <w:rsid w:val="06B55198"/>
    <w:rsid w:val="0885646B"/>
    <w:rsid w:val="0A7C794A"/>
    <w:rsid w:val="0BB73761"/>
    <w:rsid w:val="0BF73B5D"/>
    <w:rsid w:val="10CE2621"/>
    <w:rsid w:val="137912FC"/>
    <w:rsid w:val="13BF1F8A"/>
    <w:rsid w:val="141352AC"/>
    <w:rsid w:val="153F4CE5"/>
    <w:rsid w:val="15C30939"/>
    <w:rsid w:val="15D4540B"/>
    <w:rsid w:val="1917400D"/>
    <w:rsid w:val="1B8F3DB2"/>
    <w:rsid w:val="1C3B7A96"/>
    <w:rsid w:val="1C7A43F5"/>
    <w:rsid w:val="22F86A81"/>
    <w:rsid w:val="243F3E9B"/>
    <w:rsid w:val="257165ED"/>
    <w:rsid w:val="257C1059"/>
    <w:rsid w:val="26756728"/>
    <w:rsid w:val="296B4E82"/>
    <w:rsid w:val="2BE41278"/>
    <w:rsid w:val="30DC3C7C"/>
    <w:rsid w:val="33030EB6"/>
    <w:rsid w:val="34DF294B"/>
    <w:rsid w:val="355157DD"/>
    <w:rsid w:val="36212FD7"/>
    <w:rsid w:val="36D80028"/>
    <w:rsid w:val="37BC7885"/>
    <w:rsid w:val="3868666B"/>
    <w:rsid w:val="394C16B1"/>
    <w:rsid w:val="39963C41"/>
    <w:rsid w:val="3A5706CA"/>
    <w:rsid w:val="3ABD4DD7"/>
    <w:rsid w:val="3C100794"/>
    <w:rsid w:val="3C9F0607"/>
    <w:rsid w:val="3D561E3B"/>
    <w:rsid w:val="3E865B19"/>
    <w:rsid w:val="40815A2C"/>
    <w:rsid w:val="428138DE"/>
    <w:rsid w:val="42B513E5"/>
    <w:rsid w:val="42C622A5"/>
    <w:rsid w:val="4359242C"/>
    <w:rsid w:val="435B574F"/>
    <w:rsid w:val="44805202"/>
    <w:rsid w:val="46671304"/>
    <w:rsid w:val="487C4EE8"/>
    <w:rsid w:val="496F2A1D"/>
    <w:rsid w:val="4A3459A1"/>
    <w:rsid w:val="4AF13073"/>
    <w:rsid w:val="4B9C2E95"/>
    <w:rsid w:val="4C63200B"/>
    <w:rsid w:val="4CB27486"/>
    <w:rsid w:val="4CBB5F06"/>
    <w:rsid w:val="4D485021"/>
    <w:rsid w:val="509C7DFC"/>
    <w:rsid w:val="509F53B9"/>
    <w:rsid w:val="51B353FD"/>
    <w:rsid w:val="530B4ED2"/>
    <w:rsid w:val="54676AEB"/>
    <w:rsid w:val="57B67C8D"/>
    <w:rsid w:val="58B27195"/>
    <w:rsid w:val="5D9500AD"/>
    <w:rsid w:val="5E6D5D9C"/>
    <w:rsid w:val="5FDE16C9"/>
    <w:rsid w:val="63237783"/>
    <w:rsid w:val="683657FD"/>
    <w:rsid w:val="68BE34BE"/>
    <w:rsid w:val="6A260FAC"/>
    <w:rsid w:val="6AE17106"/>
    <w:rsid w:val="6AE667E3"/>
    <w:rsid w:val="6B214C20"/>
    <w:rsid w:val="6C710C57"/>
    <w:rsid w:val="6C735E16"/>
    <w:rsid w:val="6C9577F7"/>
    <w:rsid w:val="6CDE0BF2"/>
    <w:rsid w:val="6DA576C9"/>
    <w:rsid w:val="6F284E93"/>
    <w:rsid w:val="6F766674"/>
    <w:rsid w:val="70153E50"/>
    <w:rsid w:val="713D3551"/>
    <w:rsid w:val="719B7332"/>
    <w:rsid w:val="720C27E4"/>
    <w:rsid w:val="73F76F74"/>
    <w:rsid w:val="77707AEA"/>
    <w:rsid w:val="786B4159"/>
    <w:rsid w:val="78736567"/>
    <w:rsid w:val="796C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0"/>
    <w:pPr>
      <w:ind w:firstLine="420" w:firstLineChars="200"/>
    </w:pPr>
  </w:style>
  <w:style w:type="paragraph" w:styleId="11">
    <w:name w:val="Plain Text"/>
    <w:basedOn w:val="1"/>
    <w:next w:val="12"/>
    <w:qFormat/>
    <w:uiPriority w:val="0"/>
    <w:pPr>
      <w:spacing w:line="500" w:lineRule="exact"/>
    </w:pPr>
    <w:rPr>
      <w:rFonts w:ascii="宋体" w:hAnsi="Courier New"/>
      <w:sz w:val="28"/>
      <w:szCs w:val="21"/>
    </w:rPr>
  </w:style>
  <w:style w:type="paragraph" w:styleId="12">
    <w:name w:val="List Number 5"/>
    <w:basedOn w:val="1"/>
    <w:qFormat/>
    <w:uiPriority w:val="0"/>
    <w:pPr>
      <w:numPr>
        <w:ilvl w:val="0"/>
        <w:numId w:val="1"/>
      </w:numPr>
    </w:pPr>
  </w:style>
  <w:style w:type="paragraph" w:styleId="13">
    <w:name w:val="footer"/>
    <w:basedOn w:val="1"/>
    <w:qFormat/>
    <w:uiPriority w:val="0"/>
    <w:pPr>
      <w:tabs>
        <w:tab w:val="center" w:pos="4153"/>
        <w:tab w:val="right" w:pos="8306"/>
      </w:tabs>
      <w:snapToGrid w:val="0"/>
      <w:jc w:val="left"/>
    </w:pPr>
    <w:rPr>
      <w:sz w:val="2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unhideWhenUsed/>
    <w:qFormat/>
    <w:uiPriority w:val="99"/>
    <w:pPr>
      <w:spacing w:after="120" w:line="480" w:lineRule="auto"/>
    </w:pPr>
  </w:style>
  <w:style w:type="paragraph" w:customStyle="1" w:styleId="18">
    <w:name w:val="Default"/>
    <w:basedOn w:val="19"/>
    <w:qFormat/>
    <w:uiPriority w:val="0"/>
    <w:pPr>
      <w:autoSpaceDE w:val="0"/>
      <w:autoSpaceDN w:val="0"/>
    </w:pPr>
    <w:rPr>
      <w:sz w:val="24"/>
      <w:szCs w:val="24"/>
    </w:rPr>
  </w:style>
  <w:style w:type="paragraph" w:customStyle="1" w:styleId="19">
    <w:name w:val="1 表头"/>
    <w:basedOn w:val="1"/>
    <w:qFormat/>
    <w:uiPriority w:val="0"/>
    <w:pPr>
      <w:adjustRightInd w:val="0"/>
      <w:snapToGrid w:val="0"/>
      <w:jc w:val="center"/>
    </w:pPr>
    <w:rPr>
      <w:b/>
      <w:color w:val="000000"/>
      <w:szCs w:val="21"/>
    </w:rPr>
  </w:style>
  <w:style w:type="paragraph" w:customStyle="1" w:styleId="20">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2325</Words>
  <Characters>2482</Characters>
  <Lines>17</Lines>
  <Paragraphs>4</Paragraphs>
  <TotalTime>27</TotalTime>
  <ScaleCrop>false</ScaleCrop>
  <LinksUpToDate>false</LinksUpToDate>
  <CharactersWithSpaces>2508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明月清风晓星尘</cp:lastModifiedBy>
  <cp:lastPrinted>2025-05-19T02:55:00Z</cp:lastPrinted>
  <dcterms:modified xsi:type="dcterms:W3CDTF">2025-05-19T08:47:39Z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07CE399624DA4F729A7DDD030D7C848A_13</vt:lpwstr>
  </property>
  <property fmtid="{D5CDD505-2E9C-101B-9397-08002B2CF9AE}" pid="4" name="KSOTemplateDocerSaveRecord">
    <vt:lpwstr>eyJoZGlkIjoiZjEzODdhZDFmYzk5ODE2MmE3OTk4OTBkMjc2NjcxZTIiLCJ1c2VySWQiOiIzNTY3MzA4ODIifQ==</vt:lpwstr>
  </property>
</Properties>
</file>