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rPr>
          <w:rFonts w:hint="eastAsia"/>
          <w:lang w:val="en-US"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方正小标宋简体" w:hAnsi="楷体" w:eastAsia="方正小标宋简体" w:cs="Tahoma"/>
          <w:b w:val="0"/>
          <w:bCs w:val="0"/>
          <w:sz w:val="44"/>
          <w:szCs w:val="44"/>
        </w:rPr>
      </w:pPr>
      <w:bookmarkStart w:id="0" w:name="_GoBack"/>
      <w:r>
        <w:rPr>
          <w:rStyle w:val="6"/>
          <w:rFonts w:hint="eastAsia" w:ascii="方正小标宋简体" w:hAnsi="楷体" w:eastAsia="方正小标宋简体" w:cs="Tahoma"/>
          <w:b w:val="0"/>
          <w:bCs w:val="0"/>
          <w:sz w:val="44"/>
          <w:szCs w:val="44"/>
        </w:rPr>
        <w:t>第一师阿拉尔市</w:t>
      </w:r>
      <w:r>
        <w:rPr>
          <w:rStyle w:val="6"/>
          <w:rFonts w:hint="eastAsia" w:ascii="方正小标宋简体" w:hAnsi="楷体" w:eastAsia="方正小标宋简体" w:cs="Tahoma"/>
          <w:b w:val="0"/>
          <w:bCs w:val="0"/>
          <w:sz w:val="44"/>
          <w:szCs w:val="44"/>
          <w:lang w:val="en-US" w:eastAsia="zh-CN"/>
        </w:rPr>
        <w:t>2021年</w:t>
      </w:r>
      <w:r>
        <w:rPr>
          <w:rStyle w:val="6"/>
          <w:rFonts w:hint="eastAsia" w:ascii="方正小标宋简体" w:hAnsi="楷体" w:eastAsia="方正小标宋简体" w:cs="Tahoma"/>
          <w:b w:val="0"/>
          <w:bCs w:val="0"/>
          <w:sz w:val="44"/>
          <w:szCs w:val="44"/>
        </w:rPr>
        <w:t>促进“四上企业”</w:t>
      </w:r>
    </w:p>
    <w:p>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方正小标宋简体" w:hAnsi="楷体" w:eastAsia="方正小标宋简体" w:cs="Tahoma"/>
          <w:b w:val="0"/>
          <w:bCs w:val="0"/>
          <w:sz w:val="44"/>
          <w:szCs w:val="44"/>
          <w:lang w:eastAsia="zh-CN"/>
        </w:rPr>
      </w:pPr>
      <w:r>
        <w:rPr>
          <w:rStyle w:val="6"/>
          <w:rFonts w:hint="eastAsia" w:ascii="方正小标宋简体" w:hAnsi="楷体" w:eastAsia="方正小标宋简体" w:cs="Tahoma"/>
          <w:b w:val="0"/>
          <w:bCs w:val="0"/>
          <w:sz w:val="44"/>
          <w:szCs w:val="44"/>
          <w:lang w:eastAsia="zh-CN"/>
        </w:rPr>
        <w:t>发展</w:t>
      </w:r>
      <w:r>
        <w:rPr>
          <w:rStyle w:val="6"/>
          <w:rFonts w:hint="eastAsia" w:ascii="方正小标宋简体" w:hAnsi="楷体" w:eastAsia="方正小标宋简体" w:cs="Tahoma"/>
          <w:b w:val="0"/>
          <w:bCs w:val="0"/>
          <w:sz w:val="44"/>
          <w:szCs w:val="44"/>
        </w:rPr>
        <w:t>奖励办法</w:t>
      </w:r>
      <w:r>
        <w:rPr>
          <w:rStyle w:val="6"/>
          <w:rFonts w:hint="eastAsia" w:ascii="方正小标宋简体" w:hAnsi="楷体" w:eastAsia="方正小标宋简体" w:cs="Tahoma"/>
          <w:b w:val="0"/>
          <w:bCs w:val="0"/>
          <w:sz w:val="44"/>
          <w:szCs w:val="44"/>
          <w:lang w:eastAsia="zh-CN"/>
        </w:rPr>
        <w:t>（修订稿）</w:t>
      </w:r>
    </w:p>
    <w:bookmarkEnd w:id="0"/>
    <w:p>
      <w:pPr>
        <w:keepNext w:val="0"/>
        <w:keepLines w:val="0"/>
        <w:pageBreakBefore w:val="0"/>
        <w:kinsoku/>
        <w:wordWrap/>
        <w:overflowPunct/>
        <w:topLinePunct w:val="0"/>
        <w:autoSpaceDE/>
        <w:autoSpaceDN/>
        <w:bidi w:val="0"/>
        <w:adjustRightInd/>
        <w:snapToGrid/>
        <w:spacing w:line="520" w:lineRule="exact"/>
        <w:ind w:firstLine="627" w:firstLineChars="196"/>
        <w:jc w:val="both"/>
        <w:textAlignment w:val="auto"/>
        <w:rPr>
          <w:rStyle w:val="6"/>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jc w:val="both"/>
        <w:textAlignment w:val="auto"/>
        <w:rPr>
          <w:rFonts w:hint="eastAsia" w:ascii="仿宋_GB2312" w:hAnsi="仿宋_GB2312" w:eastAsia="仿宋_GB2312" w:cs="仿宋_GB2312"/>
          <w:kern w:val="0"/>
          <w:sz w:val="32"/>
          <w:szCs w:val="32"/>
        </w:rPr>
      </w:pPr>
      <w:r>
        <w:rPr>
          <w:rFonts w:hint="eastAsia" w:ascii="黑体" w:hAnsi="黑体" w:eastAsia="黑体" w:cs="黑体"/>
          <w:b w:val="0"/>
          <w:bCs/>
          <w:color w:val="auto"/>
          <w:kern w:val="0"/>
          <w:sz w:val="32"/>
          <w:szCs w:val="32"/>
          <w:lang w:val="en-US" w:eastAsia="zh-CN" w:bidi="ar-SA"/>
        </w:rPr>
        <w:t>第一条</w:t>
      </w:r>
      <w:r>
        <w:rPr>
          <w:rStyle w:val="6"/>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kern w:val="0"/>
          <w:sz w:val="32"/>
          <w:szCs w:val="32"/>
        </w:rPr>
        <w:t>为加快转变经济发展方式，</w:t>
      </w:r>
      <w:r>
        <w:rPr>
          <w:rFonts w:hint="eastAsia" w:ascii="仿宋_GB2312" w:hAnsi="宋体" w:eastAsia="仿宋_GB2312"/>
          <w:color w:val="1A1A1A"/>
          <w:sz w:val="32"/>
          <w:szCs w:val="32"/>
        </w:rPr>
        <w:t>积极</w:t>
      </w:r>
      <w:r>
        <w:rPr>
          <w:rFonts w:hint="eastAsia" w:ascii="仿宋_GB2312" w:hAnsi="宋体" w:eastAsia="仿宋_GB2312"/>
          <w:sz w:val="32"/>
          <w:szCs w:val="32"/>
        </w:rPr>
        <w:t>培育扶持企业及</w:t>
      </w:r>
      <w:r>
        <w:rPr>
          <w:rFonts w:hint="eastAsia" w:ascii="仿宋_GB2312" w:hAnsi="宋体" w:eastAsia="仿宋_GB2312"/>
          <w:sz w:val="32"/>
          <w:szCs w:val="32"/>
          <w:lang w:eastAsia="zh-CN"/>
        </w:rPr>
        <w:t>大型</w:t>
      </w:r>
      <w:r>
        <w:rPr>
          <w:rFonts w:hint="eastAsia" w:ascii="仿宋_GB2312" w:hAnsi="宋体" w:eastAsia="仿宋_GB2312"/>
          <w:sz w:val="32"/>
          <w:szCs w:val="32"/>
        </w:rPr>
        <w:t>个体</w:t>
      </w:r>
      <w:r>
        <w:rPr>
          <w:rFonts w:hint="eastAsia" w:ascii="仿宋_GB2312" w:hAnsi="宋体" w:eastAsia="仿宋_GB2312"/>
          <w:sz w:val="32"/>
          <w:szCs w:val="32"/>
          <w:lang w:eastAsia="zh-CN"/>
        </w:rPr>
        <w:t>工商</w:t>
      </w:r>
      <w:r>
        <w:rPr>
          <w:rFonts w:hint="eastAsia" w:ascii="仿宋_GB2312" w:hAnsi="宋体" w:eastAsia="仿宋_GB2312"/>
          <w:sz w:val="32"/>
          <w:szCs w:val="32"/>
        </w:rPr>
        <w:t>户发展</w:t>
      </w:r>
      <w:r>
        <w:rPr>
          <w:rFonts w:hint="eastAsia" w:ascii="仿宋_GB2312" w:hAnsi="宋体" w:eastAsia="仿宋_GB2312"/>
          <w:sz w:val="32"/>
          <w:szCs w:val="32"/>
          <w:lang w:eastAsia="zh-CN"/>
        </w:rPr>
        <w:t>，</w:t>
      </w:r>
      <w:r>
        <w:rPr>
          <w:rFonts w:hint="eastAsia" w:ascii="仿宋_GB2312" w:hAnsi="仿宋_GB2312" w:eastAsia="仿宋_GB2312" w:cs="仿宋_GB2312"/>
          <w:kern w:val="0"/>
          <w:sz w:val="32"/>
          <w:szCs w:val="32"/>
          <w:lang w:eastAsia="zh-CN"/>
        </w:rPr>
        <w:t>不断增加“四上企业”数量，提高师市限额（规模）以上企业的引领示范作用，</w:t>
      </w:r>
      <w:r>
        <w:rPr>
          <w:rFonts w:hint="eastAsia" w:ascii="仿宋_GB2312" w:hAnsi="仿宋_GB2312" w:eastAsia="仿宋_GB2312" w:cs="仿宋_GB2312"/>
          <w:kern w:val="0"/>
          <w:sz w:val="32"/>
          <w:szCs w:val="32"/>
        </w:rPr>
        <w:t>结合师市</w:t>
      </w:r>
      <w:r>
        <w:rPr>
          <w:rFonts w:hint="eastAsia" w:ascii="仿宋_GB2312" w:hAnsi="仿宋_GB2312" w:eastAsia="仿宋_GB2312" w:cs="仿宋_GB2312"/>
          <w:kern w:val="0"/>
          <w:sz w:val="32"/>
          <w:szCs w:val="32"/>
          <w:lang w:eastAsia="zh-CN"/>
        </w:rPr>
        <w:t>实际</w:t>
      </w:r>
      <w:r>
        <w:rPr>
          <w:rFonts w:hint="eastAsia" w:ascii="仿宋_GB2312" w:hAnsi="仿宋_GB2312" w:eastAsia="仿宋_GB2312" w:cs="仿宋_GB2312"/>
          <w:kern w:val="0"/>
          <w:sz w:val="32"/>
          <w:szCs w:val="32"/>
        </w:rPr>
        <w:t>，特制定本办法。</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jc w:val="both"/>
        <w:textAlignment w:val="auto"/>
        <w:rPr>
          <w:rStyle w:val="6"/>
          <w:rFonts w:hint="eastAsia" w:ascii="仿宋_GB2312" w:hAnsi="仿宋_GB2312" w:eastAsia="仿宋_GB2312" w:cs="仿宋_GB2312"/>
          <w:sz w:val="32"/>
          <w:szCs w:val="32"/>
        </w:rPr>
      </w:pPr>
      <w:r>
        <w:rPr>
          <w:rFonts w:hint="eastAsia" w:ascii="黑体" w:hAnsi="黑体" w:eastAsia="黑体" w:cs="黑体"/>
          <w:b w:val="0"/>
          <w:bCs/>
          <w:color w:val="auto"/>
          <w:kern w:val="0"/>
          <w:sz w:val="32"/>
          <w:szCs w:val="32"/>
          <w:lang w:val="en-US" w:eastAsia="zh-CN" w:bidi="ar-SA"/>
        </w:rPr>
        <w:t>第二条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kern w:val="0"/>
          <w:sz w:val="32"/>
          <w:szCs w:val="32"/>
          <w:lang w:eastAsia="zh-CN"/>
        </w:rPr>
        <w:t>“四上企业”是指规模以上工业企业、资质内建筑业和房地产开发经营企业、限额以上批发零售住宿餐饮业和规模以上服务业企业。</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jc w:val="both"/>
        <w:textAlignment w:val="auto"/>
        <w:rPr>
          <w:rFonts w:hint="eastAsia" w:ascii="仿宋_GB2312" w:hAnsi="仿宋_GB2312" w:eastAsia="仿宋_GB2312" w:cs="仿宋_GB2312"/>
          <w:kern w:val="0"/>
          <w:sz w:val="32"/>
          <w:szCs w:val="32"/>
        </w:rPr>
      </w:pPr>
      <w:r>
        <w:rPr>
          <w:rFonts w:hint="eastAsia" w:ascii="黑体" w:hAnsi="黑体" w:eastAsia="黑体" w:cs="黑体"/>
          <w:b w:val="0"/>
          <w:bCs/>
          <w:color w:val="auto"/>
          <w:kern w:val="0"/>
          <w:sz w:val="32"/>
          <w:szCs w:val="32"/>
          <w:lang w:val="en-US" w:eastAsia="zh-CN" w:bidi="ar-SA"/>
        </w:rPr>
        <w:t>第三条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本办法</w:t>
      </w:r>
      <w:r>
        <w:rPr>
          <w:rFonts w:hint="eastAsia" w:ascii="仿宋_GB2312" w:hAnsi="仿宋_GB2312" w:eastAsia="仿宋_GB2312" w:cs="仿宋_GB2312"/>
          <w:kern w:val="0"/>
          <w:sz w:val="32"/>
          <w:szCs w:val="32"/>
          <w:lang w:eastAsia="zh-CN"/>
        </w:rPr>
        <w:t>中用于</w:t>
      </w:r>
      <w:r>
        <w:rPr>
          <w:rFonts w:hint="eastAsia" w:ascii="仿宋_GB2312" w:hAnsi="仿宋_GB2312" w:eastAsia="仿宋_GB2312" w:cs="仿宋_GB2312"/>
          <w:kern w:val="0"/>
          <w:sz w:val="32"/>
          <w:szCs w:val="32"/>
        </w:rPr>
        <w:t>促进</w:t>
      </w:r>
      <w:r>
        <w:rPr>
          <w:rFonts w:hint="eastAsia" w:ascii="仿宋_GB2312" w:hAnsi="仿宋_GB2312" w:eastAsia="仿宋_GB2312" w:cs="仿宋_GB2312"/>
          <w:kern w:val="0"/>
          <w:sz w:val="32"/>
          <w:szCs w:val="32"/>
          <w:lang w:eastAsia="zh-CN"/>
        </w:rPr>
        <w:t>“四上企业”</w:t>
      </w:r>
      <w:r>
        <w:rPr>
          <w:rFonts w:hint="eastAsia" w:ascii="仿宋_GB2312" w:hAnsi="仿宋_GB2312" w:eastAsia="仿宋_GB2312" w:cs="仿宋_GB2312"/>
          <w:kern w:val="0"/>
          <w:sz w:val="32"/>
          <w:szCs w:val="32"/>
        </w:rPr>
        <w:t>发展奖励</w:t>
      </w:r>
      <w:r>
        <w:rPr>
          <w:rFonts w:hint="eastAsia" w:ascii="仿宋_GB2312" w:hAnsi="仿宋_GB2312" w:eastAsia="仿宋_GB2312" w:cs="仿宋_GB2312"/>
          <w:kern w:val="0"/>
          <w:sz w:val="32"/>
          <w:szCs w:val="32"/>
          <w:lang w:eastAsia="zh-CN"/>
        </w:rPr>
        <w:t>资金</w:t>
      </w:r>
      <w:r>
        <w:rPr>
          <w:rFonts w:hint="eastAsia" w:ascii="仿宋_GB2312" w:hAnsi="仿宋_GB2312" w:eastAsia="仿宋_GB2312" w:cs="仿宋_GB2312"/>
          <w:kern w:val="0"/>
          <w:sz w:val="32"/>
          <w:szCs w:val="32"/>
        </w:rPr>
        <w:t>由师市</w:t>
      </w:r>
      <w:r>
        <w:rPr>
          <w:rFonts w:hint="eastAsia" w:ascii="仿宋_GB2312" w:hAnsi="仿宋_GB2312" w:eastAsia="仿宋_GB2312" w:cs="仿宋_GB2312"/>
          <w:kern w:val="0"/>
          <w:sz w:val="32"/>
          <w:szCs w:val="32"/>
          <w:lang w:eastAsia="zh-CN"/>
        </w:rPr>
        <w:t>财政</w:t>
      </w:r>
      <w:r>
        <w:rPr>
          <w:rFonts w:hint="eastAsia" w:ascii="仿宋_GB2312" w:hAnsi="仿宋_GB2312" w:eastAsia="仿宋_GB2312" w:cs="仿宋_GB2312"/>
          <w:kern w:val="0"/>
          <w:sz w:val="32"/>
          <w:szCs w:val="32"/>
        </w:rPr>
        <w:t>统筹安排，用于促进</w:t>
      </w:r>
      <w:r>
        <w:rPr>
          <w:rFonts w:hint="eastAsia" w:ascii="仿宋_GB2312" w:hAnsi="仿宋_GB2312" w:eastAsia="仿宋_GB2312" w:cs="仿宋_GB2312"/>
          <w:kern w:val="0"/>
          <w:sz w:val="32"/>
          <w:szCs w:val="32"/>
          <w:lang w:eastAsia="zh-CN"/>
        </w:rPr>
        <w:t>企业</w:t>
      </w:r>
      <w:r>
        <w:rPr>
          <w:rFonts w:hint="eastAsia" w:ascii="仿宋_GB2312" w:hAnsi="仿宋_GB2312" w:eastAsia="仿宋_GB2312" w:cs="仿宋_GB2312"/>
          <w:kern w:val="0"/>
          <w:sz w:val="32"/>
          <w:szCs w:val="32"/>
        </w:rPr>
        <w:t>发展，不断壮大</w:t>
      </w:r>
      <w:r>
        <w:rPr>
          <w:rFonts w:hint="eastAsia" w:ascii="仿宋_GB2312" w:hAnsi="仿宋_GB2312" w:eastAsia="仿宋_GB2312" w:cs="仿宋_GB2312"/>
          <w:kern w:val="0"/>
          <w:sz w:val="32"/>
          <w:szCs w:val="32"/>
          <w:lang w:eastAsia="zh-CN"/>
        </w:rPr>
        <w:t>“四上企业”</w:t>
      </w:r>
      <w:r>
        <w:rPr>
          <w:rFonts w:hint="eastAsia" w:ascii="仿宋_GB2312" w:hAnsi="仿宋_GB2312" w:eastAsia="仿宋_GB2312" w:cs="仿宋_GB2312"/>
          <w:kern w:val="0"/>
          <w:sz w:val="32"/>
          <w:szCs w:val="32"/>
        </w:rPr>
        <w:t>规模和实力，逐步优化三次产业结构，推动</w:t>
      </w:r>
      <w:r>
        <w:rPr>
          <w:rFonts w:hint="eastAsia" w:ascii="仿宋_GB2312" w:hAnsi="仿宋_GB2312" w:eastAsia="仿宋_GB2312" w:cs="仿宋_GB2312"/>
          <w:kern w:val="0"/>
          <w:sz w:val="32"/>
          <w:szCs w:val="32"/>
          <w:lang w:eastAsia="zh-CN"/>
        </w:rPr>
        <w:t>社会经济</w:t>
      </w:r>
      <w:r>
        <w:rPr>
          <w:rFonts w:hint="eastAsia" w:ascii="仿宋_GB2312" w:hAnsi="仿宋_GB2312" w:eastAsia="仿宋_GB2312" w:cs="仿宋_GB2312"/>
          <w:kern w:val="0"/>
          <w:sz w:val="32"/>
          <w:szCs w:val="32"/>
        </w:rPr>
        <w:t>持续健康发展。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kern w:val="2"/>
          <w:sz w:val="32"/>
          <w:szCs w:val="32"/>
        </w:rPr>
        <w:t xml:space="preserve">   </w:t>
      </w:r>
      <w:r>
        <w:rPr>
          <w:rStyle w:val="6"/>
          <w:rFonts w:hint="eastAsia" w:ascii="仿宋_GB2312" w:hAnsi="仿宋_GB2312" w:eastAsia="仿宋_GB2312" w:cs="仿宋_GB2312"/>
          <w:kern w:val="2"/>
          <w:sz w:val="32"/>
          <w:szCs w:val="32"/>
          <w:lang w:val="en-US" w:eastAsia="zh-CN"/>
        </w:rPr>
        <w:t xml:space="preserve"> </w:t>
      </w: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条</w:t>
      </w:r>
      <w:r>
        <w:rPr>
          <w:rStyle w:val="6"/>
          <w:rFonts w:hint="eastAsia" w:ascii="仿宋_GB2312" w:hAnsi="仿宋_GB2312" w:eastAsia="仿宋_GB2312" w:cs="仿宋_GB2312"/>
          <w:b w:val="0"/>
          <w:bCs w:val="0"/>
          <w:kern w:val="2"/>
          <w:sz w:val="32"/>
          <w:szCs w:val="32"/>
        </w:rPr>
        <w:t xml:space="preserve"> </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资金的使用和管理坚持“扶优扶强、突出重点、优化结构、公开透明、专款专用”的原则，并按国家有关财务制度规定进行会计核算处理。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条</w:t>
      </w:r>
      <w:r>
        <w:rPr>
          <w:rStyle w:val="7"/>
          <w:rFonts w:hint="eastAsia" w:ascii="楷体_GB2312" w:hAnsi="楷体_GB2312" w:eastAsia="楷体_GB2312" w:cs="楷体_GB2312"/>
          <w:b/>
          <w:bCs/>
          <w:sz w:val="32"/>
          <w:szCs w:val="32"/>
        </w:rPr>
        <w:t xml:space="preserve"> </w:t>
      </w:r>
      <w:r>
        <w:rPr>
          <w:rStyle w:val="7"/>
          <w:rFonts w:hint="eastAsia" w:ascii="仿宋_GB2312" w:hAnsi="仿宋_GB2312" w:eastAsia="仿宋_GB2312" w:cs="仿宋_GB2312"/>
          <w:sz w:val="32"/>
          <w:szCs w:val="32"/>
        </w:rPr>
        <w:t>重点奖励方向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（一）限额（规模）以下企业申报为限额（规模）以上企业</w:t>
      </w:r>
      <w:r>
        <w:rPr>
          <w:rStyle w:val="7"/>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lang w:eastAsia="zh-CN"/>
        </w:rPr>
        <w:t>（二）</w:t>
      </w:r>
      <w:r>
        <w:rPr>
          <w:rStyle w:val="7"/>
          <w:rFonts w:hint="eastAsia" w:ascii="仿宋_GB2312" w:hAnsi="仿宋_GB2312" w:eastAsia="仿宋_GB2312" w:cs="仿宋_GB2312"/>
          <w:sz w:val="32"/>
          <w:szCs w:val="32"/>
        </w:rPr>
        <w:t>个体工商户</w:t>
      </w:r>
      <w:r>
        <w:rPr>
          <w:rStyle w:val="7"/>
          <w:rFonts w:hint="eastAsia" w:ascii="仿宋_GB2312" w:hAnsi="仿宋_GB2312" w:eastAsia="仿宋_GB2312" w:cs="仿宋_GB2312"/>
          <w:sz w:val="32"/>
          <w:szCs w:val="32"/>
          <w:lang w:eastAsia="zh-CN"/>
        </w:rPr>
        <w:t>重新登记注册</w:t>
      </w:r>
      <w:r>
        <w:rPr>
          <w:rStyle w:val="7"/>
          <w:rFonts w:hint="eastAsia" w:ascii="仿宋_GB2312" w:hAnsi="仿宋_GB2312" w:eastAsia="仿宋_GB2312" w:cs="仿宋_GB2312"/>
          <w:sz w:val="32"/>
          <w:szCs w:val="32"/>
        </w:rPr>
        <w:t>为独立法人企业</w:t>
      </w:r>
      <w:r>
        <w:rPr>
          <w:rStyle w:val="7"/>
          <w:rFonts w:hint="eastAsia" w:ascii="仿宋_GB2312" w:hAnsi="仿宋_GB2312" w:eastAsia="仿宋_GB2312" w:cs="仿宋_GB2312"/>
          <w:sz w:val="32"/>
          <w:szCs w:val="32"/>
          <w:lang w:eastAsia="zh-CN"/>
        </w:rPr>
        <w:t>，且年内申报为</w:t>
      </w:r>
      <w:r>
        <w:rPr>
          <w:rStyle w:val="7"/>
          <w:rFonts w:hint="eastAsia" w:ascii="仿宋_GB2312" w:hAnsi="仿宋_GB2312" w:eastAsia="仿宋_GB2312" w:cs="仿宋_GB2312"/>
          <w:sz w:val="32"/>
          <w:szCs w:val="32"/>
        </w:rPr>
        <w:t>限额（规模）以上企业</w:t>
      </w:r>
      <w:r>
        <w:rPr>
          <w:rStyle w:val="7"/>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color w:val="auto"/>
          <w:sz w:val="32"/>
          <w:szCs w:val="32"/>
        </w:rPr>
      </w:pPr>
      <w:r>
        <w:rPr>
          <w:rStyle w:val="7"/>
          <w:rFonts w:hint="eastAsia" w:ascii="仿宋_GB2312" w:hAnsi="仿宋_GB2312" w:eastAsia="仿宋_GB2312" w:cs="仿宋_GB2312"/>
          <w:sz w:val="32"/>
          <w:szCs w:val="32"/>
        </w:rPr>
        <w:t>（</w:t>
      </w:r>
      <w:r>
        <w:rPr>
          <w:rStyle w:val="7"/>
          <w:rFonts w:hint="eastAsia" w:ascii="仿宋_GB2312" w:hAnsi="仿宋_GB2312" w:eastAsia="仿宋_GB2312" w:cs="仿宋_GB2312"/>
          <w:sz w:val="32"/>
          <w:szCs w:val="32"/>
          <w:lang w:eastAsia="zh-CN"/>
        </w:rPr>
        <w:t>三</w:t>
      </w:r>
      <w:r>
        <w:rPr>
          <w:rStyle w:val="7"/>
          <w:rFonts w:hint="eastAsia" w:ascii="仿宋_GB2312" w:hAnsi="仿宋_GB2312" w:eastAsia="仿宋_GB2312" w:cs="仿宋_GB2312"/>
          <w:sz w:val="32"/>
          <w:szCs w:val="32"/>
        </w:rPr>
        <w:t>）个体工</w:t>
      </w:r>
      <w:r>
        <w:rPr>
          <w:rStyle w:val="7"/>
          <w:rFonts w:hint="eastAsia" w:ascii="仿宋_GB2312" w:hAnsi="仿宋_GB2312" w:eastAsia="仿宋_GB2312" w:cs="仿宋_GB2312"/>
          <w:color w:val="auto"/>
          <w:sz w:val="32"/>
          <w:szCs w:val="32"/>
        </w:rPr>
        <w:t>商户申报为大型个体工商户</w:t>
      </w:r>
      <w:r>
        <w:rPr>
          <w:rStyle w:val="7"/>
          <w:rFonts w:hint="eastAsia" w:ascii="仿宋_GB2312" w:hAnsi="仿宋_GB2312" w:eastAsia="仿宋_GB2312" w:cs="仿宋_GB2312"/>
          <w:color w:val="auto"/>
          <w:sz w:val="32"/>
          <w:szCs w:val="32"/>
          <w:lang w:eastAsia="zh-CN"/>
        </w:rPr>
        <w:t>；</w:t>
      </w:r>
      <w:r>
        <w:rPr>
          <w:rStyle w:val="7"/>
          <w:rFonts w:hint="eastAsia" w:ascii="仿宋_GB2312" w:hAnsi="仿宋_GB2312" w:eastAsia="仿宋_GB2312" w:cs="仿宋_GB2312"/>
          <w:color w:val="auto"/>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textAlignment w:val="auto"/>
        <w:rPr>
          <w:rStyle w:val="7"/>
          <w:rFonts w:hint="eastAsia" w:ascii="仿宋_GB2312" w:hAnsi="仿宋_GB2312" w:eastAsia="仿宋_GB2312" w:cs="仿宋_GB2312"/>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条</w:t>
      </w:r>
      <w:r>
        <w:rPr>
          <w:rFonts w:hint="eastAsia" w:ascii="楷体_GB2312" w:hAnsi="楷体_GB2312" w:eastAsia="楷体_GB2312" w:cs="楷体_GB2312"/>
          <w:color w:val="auto"/>
          <w:sz w:val="32"/>
          <w:szCs w:val="32"/>
        </w:rPr>
        <w:t xml:space="preserve"> </w:t>
      </w:r>
      <w:r>
        <w:rPr>
          <w:rStyle w:val="7"/>
          <w:rFonts w:hint="eastAsia" w:ascii="仿宋_GB2312" w:hAnsi="仿宋_GB2312" w:eastAsia="仿宋_GB2312" w:cs="仿宋_GB2312"/>
          <w:sz w:val="32"/>
          <w:szCs w:val="32"/>
        </w:rPr>
        <w:t>申报条件</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（一）在师市范围内登记注册的</w:t>
      </w:r>
      <w:r>
        <w:rPr>
          <w:rFonts w:hint="eastAsia" w:ascii="仿宋_GB2312" w:hAnsi="仿宋_GB2312" w:eastAsia="仿宋_GB2312" w:cs="仿宋_GB2312"/>
          <w:color w:val="auto"/>
          <w:sz w:val="32"/>
          <w:szCs w:val="32"/>
        </w:rPr>
        <w:t>具备独立法人资格的企业和大型个体工商户；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具有健全的财务与管理制度；</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信誉及经营状况良好，具有相应的资金筹措能力</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经济效益和社会效益显著</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同一年度，同一</w:t>
      </w:r>
      <w:r>
        <w:rPr>
          <w:rFonts w:hint="eastAsia" w:ascii="仿宋_GB2312" w:hAnsi="仿宋_GB2312" w:eastAsia="仿宋_GB2312" w:cs="仿宋_GB2312"/>
          <w:color w:val="auto"/>
          <w:sz w:val="32"/>
          <w:szCs w:val="32"/>
          <w:lang w:eastAsia="zh-CN"/>
        </w:rPr>
        <w:t>经济组织</w:t>
      </w:r>
      <w:r>
        <w:rPr>
          <w:rFonts w:hint="eastAsia" w:ascii="仿宋_GB2312" w:hAnsi="仿宋_GB2312" w:eastAsia="仿宋_GB2312" w:cs="仿宋_GB2312"/>
          <w:color w:val="auto"/>
          <w:sz w:val="32"/>
          <w:szCs w:val="32"/>
        </w:rPr>
        <w:t>按就高原则不重复享受。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当年发生较大安全生产责任事故的；拖欠员工工资等造成群体性上访或不良影响事件的；近三年在税务部门有违法违规行为记录、在</w:t>
      </w:r>
      <w:r>
        <w:rPr>
          <w:rFonts w:hint="eastAsia" w:ascii="仿宋_GB2312" w:hAnsi="仿宋_GB2312" w:eastAsia="仿宋_GB2312" w:cs="仿宋_GB2312"/>
          <w:color w:val="auto"/>
          <w:sz w:val="32"/>
          <w:szCs w:val="32"/>
          <w:lang w:eastAsia="zh-CN"/>
        </w:rPr>
        <w:t>市场监督管理</w:t>
      </w:r>
      <w:r>
        <w:rPr>
          <w:rFonts w:hint="eastAsia" w:ascii="仿宋_GB2312" w:hAnsi="仿宋_GB2312" w:eastAsia="仿宋_GB2312" w:cs="仿宋_GB2312"/>
          <w:color w:val="auto"/>
          <w:sz w:val="32"/>
          <w:szCs w:val="32"/>
        </w:rPr>
        <w:t>等部门被全国企业信用信息公示系统列入企业经营异常管理名录或严重违法企业名单的，一律不得申报。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条</w:t>
      </w:r>
      <w:r>
        <w:rPr>
          <w:rFonts w:hint="eastAsia" w:ascii="楷体_GB2312" w:hAnsi="楷体_GB2312" w:eastAsia="楷体_GB2312" w:cs="楷体_GB2312"/>
          <w:b/>
          <w:color w:val="auto"/>
          <w:sz w:val="32"/>
          <w:szCs w:val="32"/>
        </w:rPr>
        <w:t xml:space="preserve"> </w:t>
      </w:r>
      <w:r>
        <w:rPr>
          <w:rFonts w:hint="eastAsia" w:ascii="仿宋_GB2312" w:hAnsi="仿宋_GB2312" w:eastAsia="仿宋_GB2312" w:cs="仿宋_GB2312"/>
          <w:color w:val="auto"/>
          <w:kern w:val="0"/>
          <w:sz w:val="32"/>
          <w:szCs w:val="32"/>
          <w:lang w:val="en-US" w:eastAsia="zh-CN" w:bidi="ar-SA"/>
        </w:rPr>
        <w:t>奖励标准</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Style w:val="7"/>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lang w:eastAsia="zh-CN"/>
        </w:rPr>
        <w:t>（一）</w:t>
      </w:r>
      <w:r>
        <w:rPr>
          <w:rStyle w:val="7"/>
          <w:rFonts w:hint="eastAsia" w:ascii="仿宋_GB2312" w:hAnsi="仿宋_GB2312" w:eastAsia="仿宋_GB2312" w:cs="仿宋_GB2312"/>
          <w:b w:val="0"/>
          <w:bCs/>
          <w:color w:val="auto"/>
          <w:sz w:val="32"/>
          <w:szCs w:val="32"/>
        </w:rPr>
        <w:t>限额（规模）以下企业申报为限额（规模）以上企业</w:t>
      </w:r>
      <w:r>
        <w:rPr>
          <w:rStyle w:val="7"/>
          <w:rFonts w:hint="eastAsia" w:ascii="仿宋_GB2312" w:hAnsi="仿宋_GB2312" w:eastAsia="仿宋_GB2312" w:cs="仿宋_GB2312"/>
          <w:b w:val="0"/>
          <w:bCs/>
          <w:color w:val="auto"/>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1、全年主营业务收入2000万元及以上的工业法人企业；</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营业收入务</w:t>
      </w:r>
      <w:r>
        <w:rPr>
          <w:rFonts w:hint="eastAsia" w:ascii="仿宋_GB2312" w:hAnsi="仿宋_GB2312" w:eastAsia="仿宋_GB2312" w:cs="仿宋_GB2312"/>
          <w:color w:val="auto"/>
          <w:kern w:val="0"/>
          <w:sz w:val="32"/>
          <w:szCs w:val="32"/>
        </w:rPr>
        <w:t>2000万元及以上的批发业</w:t>
      </w:r>
      <w:r>
        <w:rPr>
          <w:rFonts w:hint="eastAsia" w:ascii="仿宋_GB2312" w:hAnsi="仿宋_GB2312" w:eastAsia="仿宋_GB2312" w:cs="仿宋_GB2312"/>
          <w:color w:val="auto"/>
          <w:kern w:val="0"/>
          <w:sz w:val="32"/>
          <w:szCs w:val="32"/>
          <w:lang w:eastAsia="zh-CN"/>
        </w:rPr>
        <w:t>法人</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营业收入务</w:t>
      </w:r>
      <w:r>
        <w:rPr>
          <w:rFonts w:hint="eastAsia" w:ascii="仿宋_GB2312" w:hAnsi="仿宋_GB2312" w:eastAsia="仿宋_GB2312" w:cs="仿宋_GB2312"/>
          <w:color w:val="auto"/>
          <w:kern w:val="0"/>
          <w:sz w:val="32"/>
          <w:szCs w:val="32"/>
        </w:rPr>
        <w:t>2000万元及以上的</w:t>
      </w:r>
      <w:r>
        <w:rPr>
          <w:rFonts w:hint="eastAsia" w:ascii="仿宋_GB2312" w:hAnsi="仿宋_GB2312" w:eastAsia="仿宋_GB2312" w:cs="仿宋_GB2312"/>
          <w:color w:val="auto"/>
          <w:kern w:val="0"/>
          <w:sz w:val="32"/>
          <w:szCs w:val="32"/>
          <w:lang w:val="en-US" w:eastAsia="zh-CN" w:bidi="ar-SA"/>
        </w:rPr>
        <w:t>交通运输、仓储</w:t>
      </w:r>
      <w:r>
        <w:rPr>
          <w:rFonts w:hint="eastAsia" w:ascii="仿宋_GB2312" w:hAnsi="仿宋_GB2312" w:eastAsia="仿宋_GB2312" w:cs="仿宋_GB2312"/>
          <w:color w:val="auto"/>
          <w:kern w:val="0"/>
          <w:sz w:val="32"/>
          <w:szCs w:val="32"/>
          <w:lang w:val="en-US" w:eastAsia="zh-CN"/>
        </w:rPr>
        <w:t>和邮政业，信息传输、软件和信息技术服务业，水利、环境和公共设施管理业，卫生行业法人企业。</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以上三类企业</w:t>
      </w:r>
      <w:r>
        <w:rPr>
          <w:rFonts w:hint="eastAsia" w:ascii="仿宋_GB2312" w:hAnsi="仿宋_GB2312" w:eastAsia="仿宋_GB2312" w:cs="仿宋_GB2312"/>
          <w:b w:val="0"/>
          <w:bCs w:val="0"/>
          <w:color w:val="auto"/>
          <w:kern w:val="0"/>
          <w:sz w:val="32"/>
          <w:szCs w:val="32"/>
        </w:rPr>
        <w:t>到统计部门</w:t>
      </w:r>
      <w:r>
        <w:rPr>
          <w:rFonts w:hint="eastAsia" w:ascii="仿宋_GB2312" w:hAnsi="仿宋_GB2312" w:eastAsia="仿宋_GB2312" w:cs="仿宋_GB2312"/>
          <w:b w:val="0"/>
          <w:bCs w:val="0"/>
          <w:color w:val="auto"/>
          <w:kern w:val="0"/>
          <w:sz w:val="32"/>
          <w:szCs w:val="32"/>
          <w:lang w:eastAsia="zh-CN"/>
        </w:rPr>
        <w:t>首次</w:t>
      </w:r>
      <w:r>
        <w:rPr>
          <w:rFonts w:hint="eastAsia" w:ascii="仿宋_GB2312" w:hAnsi="仿宋_GB2312" w:eastAsia="仿宋_GB2312" w:cs="仿宋_GB2312"/>
          <w:b w:val="0"/>
          <w:bCs w:val="0"/>
          <w:color w:val="auto"/>
          <w:kern w:val="0"/>
          <w:sz w:val="32"/>
          <w:szCs w:val="32"/>
        </w:rPr>
        <w:t>申报</w:t>
      </w:r>
      <w:r>
        <w:rPr>
          <w:rFonts w:hint="eastAsia" w:ascii="仿宋_GB2312" w:hAnsi="仿宋_GB2312" w:eastAsia="仿宋_GB2312" w:cs="仿宋_GB2312"/>
          <w:b w:val="0"/>
          <w:bCs w:val="0"/>
          <w:color w:val="auto"/>
          <w:kern w:val="0"/>
          <w:sz w:val="32"/>
          <w:szCs w:val="32"/>
          <w:lang w:eastAsia="zh-CN"/>
        </w:rPr>
        <w:t>成</w:t>
      </w:r>
      <w:r>
        <w:rPr>
          <w:rFonts w:hint="eastAsia" w:ascii="仿宋_GB2312" w:hAnsi="仿宋_GB2312" w:eastAsia="仿宋_GB2312" w:cs="仿宋_GB2312"/>
          <w:b w:val="0"/>
          <w:bCs w:val="0"/>
          <w:color w:val="auto"/>
          <w:kern w:val="0"/>
          <w:sz w:val="32"/>
          <w:szCs w:val="32"/>
        </w:rPr>
        <w:t>为限额（规模）以上</w:t>
      </w:r>
      <w:r>
        <w:rPr>
          <w:rFonts w:hint="eastAsia" w:ascii="仿宋_GB2312" w:hAnsi="仿宋_GB2312" w:eastAsia="仿宋_GB2312" w:cs="仿宋_GB2312"/>
          <w:b w:val="0"/>
          <w:bCs w:val="0"/>
          <w:color w:val="auto"/>
          <w:kern w:val="0"/>
          <w:sz w:val="32"/>
          <w:szCs w:val="32"/>
          <w:lang w:eastAsia="zh-CN"/>
        </w:rPr>
        <w:t>企业的，每个给予一次性奖励</w:t>
      </w:r>
      <w:r>
        <w:rPr>
          <w:rFonts w:hint="eastAsia" w:ascii="仿宋_GB2312" w:hAnsi="仿宋_GB2312" w:eastAsia="仿宋_GB2312" w:cs="仿宋_GB2312"/>
          <w:b w:val="0"/>
          <w:bCs w:val="0"/>
          <w:color w:val="auto"/>
          <w:kern w:val="0"/>
          <w:sz w:val="32"/>
          <w:szCs w:val="32"/>
          <w:lang w:val="en-US" w:eastAsia="zh-CN"/>
        </w:rPr>
        <w:t>15万元；</w:t>
      </w:r>
      <w:r>
        <w:rPr>
          <w:rFonts w:hint="eastAsia" w:ascii="仿宋_GB2312" w:hAnsi="仿宋_GB2312" w:eastAsia="仿宋_GB2312" w:cs="仿宋_GB2312"/>
          <w:b w:val="0"/>
          <w:bCs w:val="0"/>
          <w:color w:val="auto"/>
          <w:kern w:val="0"/>
          <w:sz w:val="32"/>
          <w:szCs w:val="32"/>
          <w:lang w:eastAsia="zh-CN"/>
        </w:rPr>
        <w:t>已退出</w:t>
      </w:r>
      <w:r>
        <w:rPr>
          <w:rFonts w:hint="eastAsia" w:ascii="仿宋_GB2312" w:hAnsi="仿宋_GB2312" w:eastAsia="仿宋_GB2312" w:cs="仿宋_GB2312"/>
          <w:b w:val="0"/>
          <w:bCs w:val="0"/>
          <w:color w:val="auto"/>
          <w:kern w:val="0"/>
          <w:sz w:val="32"/>
          <w:szCs w:val="32"/>
        </w:rPr>
        <w:t>限额（规模）</w:t>
      </w:r>
      <w:r>
        <w:rPr>
          <w:rFonts w:hint="eastAsia" w:ascii="仿宋_GB2312" w:hAnsi="仿宋_GB2312" w:eastAsia="仿宋_GB2312" w:cs="仿宋_GB2312"/>
          <w:b w:val="0"/>
          <w:bCs w:val="0"/>
          <w:color w:val="auto"/>
          <w:kern w:val="0"/>
          <w:sz w:val="32"/>
          <w:szCs w:val="32"/>
          <w:lang w:eastAsia="zh-CN"/>
        </w:rPr>
        <w:t>的企业进行二次申报的，且符合相关标准申报成功的每个给予一次性奖励</w:t>
      </w:r>
      <w:r>
        <w:rPr>
          <w:rFonts w:hint="eastAsia" w:ascii="仿宋_GB2312" w:hAnsi="仿宋_GB2312" w:eastAsia="仿宋_GB2312" w:cs="仿宋_GB2312"/>
          <w:b w:val="0"/>
          <w:bCs w:val="0"/>
          <w:color w:val="auto"/>
          <w:kern w:val="0"/>
          <w:sz w:val="32"/>
          <w:szCs w:val="32"/>
          <w:lang w:val="en-US" w:eastAsia="zh-CN"/>
        </w:rPr>
        <w:t>10万元。</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主营业务收入</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00万元及以上的</w:t>
      </w:r>
      <w:r>
        <w:rPr>
          <w:rFonts w:hint="eastAsia" w:ascii="仿宋_GB2312" w:hAnsi="仿宋_GB2312" w:eastAsia="仿宋_GB2312" w:cs="仿宋_GB2312"/>
          <w:color w:val="auto"/>
          <w:kern w:val="0"/>
          <w:sz w:val="32"/>
          <w:szCs w:val="32"/>
          <w:lang w:eastAsia="zh-CN"/>
        </w:rPr>
        <w:t>租赁和商业服务业，科学研究和技术服务业，教育，物业管理、房地产中介服务、自由房地产经营活动和其他房地产业法人</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主营业务收入</w:t>
      </w:r>
      <w:r>
        <w:rPr>
          <w:rFonts w:hint="eastAsia" w:ascii="仿宋_GB2312" w:hAnsi="仿宋_GB2312" w:eastAsia="仿宋_GB2312" w:cs="仿宋_GB2312"/>
          <w:color w:val="auto"/>
          <w:kern w:val="0"/>
          <w:sz w:val="32"/>
          <w:szCs w:val="32"/>
        </w:rPr>
        <w:t>500万元及以上的零售业</w:t>
      </w:r>
      <w:r>
        <w:rPr>
          <w:rFonts w:hint="eastAsia" w:ascii="仿宋_GB2312" w:hAnsi="仿宋_GB2312" w:eastAsia="仿宋_GB2312" w:cs="仿宋_GB2312"/>
          <w:color w:val="auto"/>
          <w:kern w:val="0"/>
          <w:sz w:val="32"/>
          <w:szCs w:val="32"/>
          <w:lang w:eastAsia="zh-CN"/>
        </w:rPr>
        <w:t>法人</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主营业务收入</w:t>
      </w:r>
      <w:r>
        <w:rPr>
          <w:rFonts w:hint="eastAsia" w:ascii="仿宋_GB2312" w:hAnsi="仿宋_GB2312" w:eastAsia="仿宋_GB2312" w:cs="仿宋_GB2312"/>
          <w:color w:val="auto"/>
          <w:kern w:val="0"/>
          <w:sz w:val="32"/>
          <w:szCs w:val="32"/>
          <w:lang w:val="en-US" w:eastAsia="zh-CN"/>
        </w:rPr>
        <w:t>500</w:t>
      </w:r>
      <w:r>
        <w:rPr>
          <w:rFonts w:hint="eastAsia" w:ascii="仿宋_GB2312" w:hAnsi="仿宋_GB2312" w:eastAsia="仿宋_GB2312" w:cs="仿宋_GB2312"/>
          <w:color w:val="auto"/>
          <w:kern w:val="0"/>
          <w:sz w:val="32"/>
          <w:szCs w:val="32"/>
        </w:rPr>
        <w:t>万元及以上的</w:t>
      </w:r>
      <w:r>
        <w:rPr>
          <w:rFonts w:hint="eastAsia" w:ascii="仿宋_GB2312" w:hAnsi="仿宋_GB2312" w:eastAsia="仿宋_GB2312" w:cs="仿宋_GB2312"/>
          <w:color w:val="auto"/>
          <w:sz w:val="32"/>
          <w:szCs w:val="32"/>
        </w:rPr>
        <w:t>文化、体育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娱乐业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居民服务、修理和其他服务业</w:t>
      </w:r>
      <w:r>
        <w:rPr>
          <w:rFonts w:hint="eastAsia" w:ascii="仿宋_GB2312" w:hAnsi="仿宋_GB2312" w:eastAsia="仿宋_GB2312" w:cs="仿宋_GB2312"/>
          <w:color w:val="auto"/>
          <w:sz w:val="32"/>
          <w:szCs w:val="32"/>
          <w:lang w:eastAsia="zh-CN"/>
        </w:rPr>
        <w:t>、社会工作法人企业；</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主营业务收入</w:t>
      </w:r>
      <w:r>
        <w:rPr>
          <w:rFonts w:hint="eastAsia" w:ascii="仿宋_GB2312" w:hAnsi="仿宋_GB2312" w:eastAsia="仿宋_GB2312" w:cs="仿宋_GB2312"/>
          <w:color w:val="auto"/>
          <w:kern w:val="0"/>
          <w:sz w:val="32"/>
          <w:szCs w:val="32"/>
        </w:rPr>
        <w:t>200万元及以上的住宿餐饮业</w:t>
      </w:r>
      <w:r>
        <w:rPr>
          <w:rFonts w:hint="eastAsia" w:ascii="仿宋_GB2312" w:hAnsi="仿宋_GB2312" w:eastAsia="仿宋_GB2312" w:cs="仿宋_GB2312"/>
          <w:color w:val="auto"/>
          <w:kern w:val="0"/>
          <w:sz w:val="32"/>
          <w:szCs w:val="32"/>
          <w:lang w:eastAsia="zh-CN"/>
        </w:rPr>
        <w:t>法人</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以上四类企业</w:t>
      </w:r>
      <w:r>
        <w:rPr>
          <w:rFonts w:hint="eastAsia" w:ascii="仿宋_GB2312" w:hAnsi="仿宋_GB2312" w:eastAsia="仿宋_GB2312" w:cs="仿宋_GB2312"/>
          <w:b w:val="0"/>
          <w:bCs w:val="0"/>
          <w:color w:val="auto"/>
          <w:kern w:val="0"/>
          <w:sz w:val="32"/>
          <w:szCs w:val="32"/>
        </w:rPr>
        <w:t>到统计部门</w:t>
      </w:r>
      <w:r>
        <w:rPr>
          <w:rFonts w:hint="eastAsia" w:ascii="仿宋_GB2312" w:hAnsi="仿宋_GB2312" w:eastAsia="仿宋_GB2312" w:cs="仿宋_GB2312"/>
          <w:b w:val="0"/>
          <w:bCs w:val="0"/>
          <w:color w:val="auto"/>
          <w:kern w:val="0"/>
          <w:sz w:val="32"/>
          <w:szCs w:val="32"/>
          <w:lang w:eastAsia="zh-CN"/>
        </w:rPr>
        <w:t>首次</w:t>
      </w:r>
      <w:r>
        <w:rPr>
          <w:rFonts w:hint="eastAsia" w:ascii="仿宋_GB2312" w:hAnsi="仿宋_GB2312" w:eastAsia="仿宋_GB2312" w:cs="仿宋_GB2312"/>
          <w:b w:val="0"/>
          <w:bCs w:val="0"/>
          <w:color w:val="auto"/>
          <w:kern w:val="0"/>
          <w:sz w:val="32"/>
          <w:szCs w:val="32"/>
        </w:rPr>
        <w:t>申报</w:t>
      </w:r>
      <w:r>
        <w:rPr>
          <w:rFonts w:hint="eastAsia" w:ascii="仿宋_GB2312" w:hAnsi="仿宋_GB2312" w:eastAsia="仿宋_GB2312" w:cs="仿宋_GB2312"/>
          <w:b w:val="0"/>
          <w:bCs w:val="0"/>
          <w:color w:val="auto"/>
          <w:kern w:val="0"/>
          <w:sz w:val="32"/>
          <w:szCs w:val="32"/>
          <w:lang w:eastAsia="zh-CN"/>
        </w:rPr>
        <w:t>成</w:t>
      </w:r>
      <w:r>
        <w:rPr>
          <w:rFonts w:hint="eastAsia" w:ascii="仿宋_GB2312" w:hAnsi="仿宋_GB2312" w:eastAsia="仿宋_GB2312" w:cs="仿宋_GB2312"/>
          <w:b w:val="0"/>
          <w:bCs w:val="0"/>
          <w:color w:val="auto"/>
          <w:kern w:val="0"/>
          <w:sz w:val="32"/>
          <w:szCs w:val="32"/>
        </w:rPr>
        <w:t>为限额（规模）以上</w:t>
      </w:r>
      <w:r>
        <w:rPr>
          <w:rFonts w:hint="eastAsia" w:ascii="仿宋_GB2312" w:hAnsi="仿宋_GB2312" w:eastAsia="仿宋_GB2312" w:cs="仿宋_GB2312"/>
          <w:b w:val="0"/>
          <w:bCs w:val="0"/>
          <w:color w:val="auto"/>
          <w:kern w:val="0"/>
          <w:sz w:val="32"/>
          <w:szCs w:val="32"/>
          <w:lang w:eastAsia="zh-CN"/>
        </w:rPr>
        <w:t>企业的，每个给予一次性奖励</w:t>
      </w:r>
      <w:r>
        <w:rPr>
          <w:rFonts w:hint="eastAsia" w:ascii="仿宋_GB2312" w:hAnsi="仿宋_GB2312" w:eastAsia="仿宋_GB2312" w:cs="仿宋_GB2312"/>
          <w:b w:val="0"/>
          <w:bCs w:val="0"/>
          <w:color w:val="auto"/>
          <w:kern w:val="0"/>
          <w:sz w:val="32"/>
          <w:szCs w:val="32"/>
          <w:lang w:val="en-US" w:eastAsia="zh-CN"/>
        </w:rPr>
        <w:t>10万元</w:t>
      </w:r>
      <w:r>
        <w:rPr>
          <w:rFonts w:hint="eastAsia" w:ascii="仿宋_GB2312" w:hAnsi="仿宋_GB2312" w:eastAsia="仿宋_GB2312" w:cs="仿宋_GB2312"/>
          <w:b w:val="0"/>
          <w:bCs w:val="0"/>
          <w:color w:val="auto"/>
          <w:kern w:val="0"/>
          <w:sz w:val="32"/>
          <w:szCs w:val="32"/>
          <w:lang w:eastAsia="zh-CN"/>
        </w:rPr>
        <w:t>；已退出</w:t>
      </w:r>
      <w:r>
        <w:rPr>
          <w:rFonts w:hint="eastAsia" w:ascii="仿宋_GB2312" w:hAnsi="仿宋_GB2312" w:eastAsia="仿宋_GB2312" w:cs="仿宋_GB2312"/>
          <w:b w:val="0"/>
          <w:bCs w:val="0"/>
          <w:color w:val="auto"/>
          <w:kern w:val="0"/>
          <w:sz w:val="32"/>
          <w:szCs w:val="32"/>
        </w:rPr>
        <w:t>限额（规模）</w:t>
      </w:r>
      <w:r>
        <w:rPr>
          <w:rFonts w:hint="eastAsia" w:ascii="仿宋_GB2312" w:hAnsi="仿宋_GB2312" w:eastAsia="仿宋_GB2312" w:cs="仿宋_GB2312"/>
          <w:b w:val="0"/>
          <w:bCs w:val="0"/>
          <w:color w:val="auto"/>
          <w:kern w:val="0"/>
          <w:sz w:val="32"/>
          <w:szCs w:val="32"/>
          <w:lang w:eastAsia="zh-CN"/>
        </w:rPr>
        <w:t>企业进行二次申报的，且符合相关标准申报成功的每个给予一次性奖励</w:t>
      </w:r>
      <w:r>
        <w:rPr>
          <w:rFonts w:hint="eastAsia" w:ascii="仿宋_GB2312" w:hAnsi="仿宋_GB2312" w:eastAsia="仿宋_GB2312" w:cs="仿宋_GB2312"/>
          <w:b w:val="0"/>
          <w:bCs w:val="0"/>
          <w:color w:val="auto"/>
          <w:kern w:val="0"/>
          <w:sz w:val="32"/>
          <w:szCs w:val="32"/>
          <w:lang w:val="en-US" w:eastAsia="zh-CN"/>
        </w:rPr>
        <w:t>7万元。</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b w:val="0"/>
          <w:bCs w:val="0"/>
          <w:color w:val="auto"/>
          <w:kern w:val="2"/>
          <w:sz w:val="32"/>
          <w:szCs w:val="32"/>
          <w:lang w:eastAsia="zh-CN"/>
        </w:rPr>
      </w:pPr>
      <w:r>
        <w:rPr>
          <w:rStyle w:val="7"/>
          <w:rFonts w:hint="eastAsia" w:ascii="仿宋_GB2312" w:hAnsi="仿宋_GB2312" w:eastAsia="仿宋_GB2312" w:cs="仿宋_GB2312"/>
          <w:b w:val="0"/>
          <w:bCs w:val="0"/>
          <w:color w:val="auto"/>
          <w:kern w:val="2"/>
          <w:sz w:val="32"/>
          <w:szCs w:val="32"/>
          <w:lang w:eastAsia="zh-CN"/>
        </w:rPr>
        <w:t>个体工商户重新登记注册为独立法人企业，且年内申报为限额（规模）以上企业。</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全年主营业务收入2000万元及以上的批发业，交通运输、仓储和邮政业，信息传输、软件和信息技术服务业，水利、环境和公共设施管理业个体工商户；</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全年主营业务收入1000万元及以上的租赁和商业服务业，科学研究和技术服务业，教育，物业管理、房地产中介服务、自由房地产经营活动和其他房地产业个体工商户；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以上两类企业到市场监督管理部门重新登记注册为独立法人企业，且年内到统计部门申报为限额（规模）以上法人企业，每个给予一次性奖励8万元。</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全年主营业务收入500万元及以上的零售业个体工商户；</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全年主营业务收入200万元及以上的住宿餐饮业个体工商户；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以上两类企业到市场监督管理部门重新登记注册为独立法人企业，且年内到统计部门申报为限额（规模）以上法人企业，每个给予一次性奖励5万元。</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Style w:val="7"/>
          <w:rFonts w:hint="eastAsia" w:ascii="仿宋_GB2312" w:hAnsi="仿宋_GB2312" w:eastAsia="仿宋_GB2312" w:cs="仿宋_GB2312"/>
          <w:b w:val="0"/>
          <w:bCs w:val="0"/>
          <w:color w:val="auto"/>
          <w:kern w:val="2"/>
          <w:sz w:val="32"/>
          <w:szCs w:val="32"/>
        </w:rPr>
      </w:pPr>
      <w:r>
        <w:rPr>
          <w:rStyle w:val="7"/>
          <w:rFonts w:hint="eastAsia" w:ascii="仿宋_GB2312" w:hAnsi="仿宋_GB2312" w:eastAsia="仿宋_GB2312" w:cs="仿宋_GB2312"/>
          <w:b w:val="0"/>
          <w:bCs w:val="0"/>
          <w:color w:val="auto"/>
          <w:kern w:val="2"/>
          <w:sz w:val="32"/>
          <w:szCs w:val="32"/>
          <w:lang w:eastAsia="zh-CN"/>
        </w:rPr>
        <w:t>（三）</w:t>
      </w:r>
      <w:r>
        <w:rPr>
          <w:rStyle w:val="7"/>
          <w:rFonts w:hint="eastAsia" w:ascii="仿宋_GB2312" w:hAnsi="仿宋_GB2312" w:eastAsia="仿宋_GB2312" w:cs="仿宋_GB2312"/>
          <w:b w:val="0"/>
          <w:bCs w:val="0"/>
          <w:color w:val="auto"/>
          <w:kern w:val="2"/>
          <w:sz w:val="32"/>
          <w:szCs w:val="32"/>
        </w:rPr>
        <w:t>个体工商户申报为大型个体工商户。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3"/>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对全年</w:t>
      </w:r>
      <w:r>
        <w:rPr>
          <w:rFonts w:hint="eastAsia" w:ascii="仿宋_GB2312" w:hAnsi="仿宋_GB2312" w:eastAsia="仿宋_GB2312" w:cs="仿宋_GB2312"/>
          <w:color w:val="auto"/>
          <w:kern w:val="0"/>
          <w:sz w:val="32"/>
          <w:szCs w:val="32"/>
          <w:lang w:eastAsia="zh-CN"/>
        </w:rPr>
        <w:t>主</w:t>
      </w:r>
      <w:r>
        <w:rPr>
          <w:rFonts w:hint="eastAsia" w:ascii="仿宋_GB2312" w:hAnsi="仿宋_GB2312" w:eastAsia="仿宋_GB2312" w:cs="仿宋_GB2312"/>
          <w:color w:val="auto"/>
          <w:kern w:val="0"/>
          <w:sz w:val="32"/>
          <w:szCs w:val="32"/>
        </w:rPr>
        <w:t>营业</w:t>
      </w:r>
      <w:r>
        <w:rPr>
          <w:rFonts w:hint="eastAsia" w:ascii="仿宋_GB2312" w:hAnsi="仿宋_GB2312" w:eastAsia="仿宋_GB2312" w:cs="仿宋_GB2312"/>
          <w:color w:val="auto"/>
          <w:kern w:val="0"/>
          <w:sz w:val="32"/>
          <w:szCs w:val="32"/>
          <w:lang w:eastAsia="zh-CN"/>
        </w:rPr>
        <w:t>务</w:t>
      </w:r>
      <w:r>
        <w:rPr>
          <w:rFonts w:hint="eastAsia" w:ascii="仿宋_GB2312" w:hAnsi="仿宋_GB2312" w:eastAsia="仿宋_GB2312" w:cs="仿宋_GB2312"/>
          <w:color w:val="auto"/>
          <w:kern w:val="0"/>
          <w:sz w:val="32"/>
          <w:szCs w:val="32"/>
        </w:rPr>
        <w:t>收入2000万元及以上的批发业</w:t>
      </w:r>
      <w:r>
        <w:rPr>
          <w:rFonts w:hint="eastAsia" w:ascii="仿宋_GB2312" w:hAnsi="仿宋_GB2312" w:eastAsia="仿宋_GB2312" w:cs="仿宋_GB2312"/>
          <w:color w:val="auto"/>
          <w:kern w:val="0"/>
          <w:sz w:val="32"/>
          <w:szCs w:val="32"/>
          <w:lang w:eastAsia="zh-CN"/>
        </w:rPr>
        <w:t>，交通运输、仓储和邮政业，信息传输、软件和信息技术服务业，水利、环境和公共设施管理业</w:t>
      </w:r>
      <w:r>
        <w:rPr>
          <w:rFonts w:hint="eastAsia" w:ascii="仿宋_GB2312" w:hAnsi="仿宋_GB2312" w:eastAsia="仿宋_GB2312" w:cs="仿宋_GB2312"/>
          <w:color w:val="auto"/>
          <w:kern w:val="0"/>
          <w:sz w:val="32"/>
          <w:szCs w:val="32"/>
        </w:rPr>
        <w:t>个体工商户</w:t>
      </w:r>
      <w:r>
        <w:rPr>
          <w:rFonts w:hint="eastAsia" w:ascii="仿宋_GB2312" w:hAnsi="仿宋_GB2312" w:eastAsia="仿宋_GB2312" w:cs="仿宋_GB2312"/>
          <w:color w:val="auto"/>
          <w:kern w:val="0"/>
          <w:sz w:val="32"/>
          <w:szCs w:val="32"/>
          <w:lang w:eastAsia="zh-CN"/>
        </w:rPr>
        <w:t>；全年主营业务收入1000万元及以上的租赁和商业服务业，科学研究和技术服务业，教育，物业管理、房地产中介服务、自由房地产经营活动和其他房地产业</w:t>
      </w:r>
      <w:r>
        <w:rPr>
          <w:rFonts w:hint="eastAsia" w:ascii="仿宋_GB2312" w:hAnsi="仿宋_GB2312" w:eastAsia="仿宋_GB2312" w:cs="仿宋_GB2312"/>
          <w:color w:val="auto"/>
          <w:kern w:val="0"/>
          <w:sz w:val="32"/>
          <w:szCs w:val="32"/>
        </w:rPr>
        <w:t>个体工商户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w:t>
      </w:r>
      <w:r>
        <w:rPr>
          <w:rFonts w:hint="eastAsia" w:ascii="仿宋_GB2312" w:hAnsi="仿宋_GB2312" w:eastAsia="仿宋_GB2312" w:cs="仿宋_GB2312"/>
          <w:color w:val="auto"/>
          <w:kern w:val="0"/>
          <w:sz w:val="32"/>
          <w:szCs w:val="32"/>
        </w:rPr>
        <w:t>营业</w:t>
      </w:r>
      <w:r>
        <w:rPr>
          <w:rFonts w:hint="eastAsia" w:ascii="仿宋_GB2312" w:hAnsi="仿宋_GB2312" w:eastAsia="仿宋_GB2312" w:cs="仿宋_GB2312"/>
          <w:color w:val="auto"/>
          <w:kern w:val="0"/>
          <w:sz w:val="32"/>
          <w:szCs w:val="32"/>
          <w:lang w:eastAsia="zh-CN"/>
        </w:rPr>
        <w:t>务</w:t>
      </w:r>
      <w:r>
        <w:rPr>
          <w:rFonts w:hint="eastAsia" w:ascii="仿宋_GB2312" w:hAnsi="仿宋_GB2312" w:eastAsia="仿宋_GB2312" w:cs="仿宋_GB2312"/>
          <w:color w:val="auto"/>
          <w:kern w:val="0"/>
          <w:sz w:val="32"/>
          <w:szCs w:val="32"/>
        </w:rPr>
        <w:t>收入500万元及以上的零售业个体工商户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全年</w:t>
      </w:r>
      <w:r>
        <w:rPr>
          <w:rFonts w:hint="eastAsia" w:ascii="仿宋_GB2312" w:hAnsi="仿宋_GB2312" w:eastAsia="仿宋_GB2312" w:cs="仿宋_GB2312"/>
          <w:color w:val="auto"/>
          <w:kern w:val="0"/>
          <w:sz w:val="32"/>
          <w:szCs w:val="32"/>
          <w:lang w:eastAsia="zh-CN"/>
        </w:rPr>
        <w:t>主</w:t>
      </w:r>
      <w:r>
        <w:rPr>
          <w:rFonts w:hint="eastAsia" w:ascii="仿宋_GB2312" w:hAnsi="仿宋_GB2312" w:eastAsia="仿宋_GB2312" w:cs="仿宋_GB2312"/>
          <w:color w:val="auto"/>
          <w:kern w:val="0"/>
          <w:sz w:val="32"/>
          <w:szCs w:val="32"/>
        </w:rPr>
        <w:t>营业</w:t>
      </w:r>
      <w:r>
        <w:rPr>
          <w:rFonts w:hint="eastAsia" w:ascii="仿宋_GB2312" w:hAnsi="仿宋_GB2312" w:eastAsia="仿宋_GB2312" w:cs="仿宋_GB2312"/>
          <w:color w:val="auto"/>
          <w:kern w:val="0"/>
          <w:sz w:val="32"/>
          <w:szCs w:val="32"/>
          <w:lang w:eastAsia="zh-CN"/>
        </w:rPr>
        <w:t>务</w:t>
      </w:r>
      <w:r>
        <w:rPr>
          <w:rFonts w:hint="eastAsia" w:ascii="仿宋_GB2312" w:hAnsi="仿宋_GB2312" w:eastAsia="仿宋_GB2312" w:cs="仿宋_GB2312"/>
          <w:color w:val="auto"/>
          <w:kern w:val="0"/>
          <w:sz w:val="32"/>
          <w:szCs w:val="32"/>
        </w:rPr>
        <w:t>收入200万元及以上的住宿餐饮业个体工商户，到统计部门申报为大型个体工商户的</w:t>
      </w:r>
      <w:r>
        <w:rPr>
          <w:rFonts w:hint="eastAsia" w:ascii="仿宋_GB2312" w:hAnsi="仿宋_GB2312" w:eastAsia="仿宋_GB2312" w:cs="仿宋_GB2312"/>
          <w:color w:val="auto"/>
          <w:kern w:val="0"/>
          <w:sz w:val="32"/>
          <w:szCs w:val="32"/>
          <w:lang w:eastAsia="zh-CN"/>
        </w:rPr>
        <w:t>，每个一次性奖励</w:t>
      </w:r>
      <w:r>
        <w:rPr>
          <w:rFonts w:hint="eastAsia" w:ascii="仿宋_GB2312" w:hAnsi="仿宋_GB2312" w:eastAsia="仿宋_GB2312" w:cs="仿宋_GB2312"/>
          <w:color w:val="auto"/>
          <w:kern w:val="0"/>
          <w:sz w:val="32"/>
          <w:szCs w:val="32"/>
          <w:lang w:val="en-US" w:eastAsia="zh-CN"/>
        </w:rPr>
        <w:t>3万元</w:t>
      </w:r>
      <w:r>
        <w:rPr>
          <w:rFonts w:hint="eastAsia" w:ascii="仿宋_GB2312" w:hAnsi="仿宋_GB2312" w:eastAsia="仿宋_GB2312" w:cs="仿宋_GB2312"/>
          <w:color w:val="auto"/>
          <w:kern w:val="0"/>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color w:val="auto"/>
          <w:sz w:val="32"/>
          <w:szCs w:val="32"/>
          <w:lang w:eastAsia="zh-CN"/>
        </w:rPr>
        <w:t>第八条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bidi="ar-SA"/>
        </w:rPr>
        <w:t>申报时间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企业及个体工商户登记注册时间、全年主营业务收入等统计时间为当</w:t>
      </w:r>
      <w:r>
        <w:rPr>
          <w:rFonts w:hint="eastAsia" w:ascii="仿宋_GB2312" w:hAnsi="仿宋_GB2312" w:eastAsia="仿宋_GB2312" w:cs="仿宋_GB2312"/>
          <w:color w:val="auto"/>
          <w:sz w:val="32"/>
          <w:szCs w:val="32"/>
        </w:rPr>
        <w:t>年1月1日至12月31日。符合</w:t>
      </w:r>
      <w:r>
        <w:rPr>
          <w:rFonts w:hint="eastAsia" w:ascii="仿宋_GB2312" w:hAnsi="仿宋_GB2312" w:eastAsia="仿宋_GB2312" w:cs="仿宋_GB2312"/>
          <w:color w:val="auto"/>
          <w:sz w:val="32"/>
          <w:szCs w:val="32"/>
          <w:lang w:eastAsia="zh-CN"/>
        </w:rPr>
        <w:t>奖励</w:t>
      </w:r>
      <w:r>
        <w:rPr>
          <w:rFonts w:hint="eastAsia" w:ascii="仿宋_GB2312" w:hAnsi="仿宋_GB2312" w:eastAsia="仿宋_GB2312" w:cs="仿宋_GB2312"/>
          <w:color w:val="auto"/>
          <w:sz w:val="32"/>
          <w:szCs w:val="32"/>
        </w:rPr>
        <w:t>条件的</w:t>
      </w:r>
      <w:r>
        <w:rPr>
          <w:rFonts w:hint="eastAsia" w:ascii="仿宋_GB2312" w:hAnsi="仿宋_GB2312" w:eastAsia="仿宋_GB2312" w:cs="仿宋_GB2312"/>
          <w:color w:val="auto"/>
          <w:sz w:val="32"/>
          <w:szCs w:val="32"/>
          <w:lang w:eastAsia="zh-CN"/>
        </w:rPr>
        <w:t>经济组织于下一年度</w:t>
      </w:r>
      <w:r>
        <w:rPr>
          <w:rFonts w:hint="eastAsia" w:ascii="仿宋_GB2312" w:hAnsi="仿宋_GB2312" w:eastAsia="仿宋_GB2312" w:cs="仿宋_GB2312"/>
          <w:color w:val="auto"/>
          <w:sz w:val="32"/>
          <w:szCs w:val="32"/>
          <w:lang w:val="en-US" w:eastAsia="zh-CN"/>
        </w:rPr>
        <w:t>1月份申报上一年度</w:t>
      </w:r>
      <w:r>
        <w:rPr>
          <w:rFonts w:hint="eastAsia" w:ascii="仿宋_GB2312" w:hAnsi="仿宋_GB2312" w:eastAsia="仿宋_GB2312" w:cs="仿宋_GB2312"/>
          <w:color w:val="auto"/>
          <w:sz w:val="32"/>
          <w:szCs w:val="32"/>
        </w:rPr>
        <w:t>的奖励资金，按照规定程序和要求申报。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1"/>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eastAsia="zh-CN"/>
        </w:rPr>
        <w:t xml:space="preserve">第九条 </w:t>
      </w:r>
      <w:r>
        <w:rPr>
          <w:rFonts w:hint="eastAsia" w:ascii="仿宋_GB2312" w:hAnsi="仿宋_GB2312" w:eastAsia="仿宋_GB2312" w:cs="仿宋_GB2312"/>
          <w:color w:val="auto"/>
          <w:sz w:val="32"/>
          <w:szCs w:val="32"/>
          <w:lang w:val="en-US" w:eastAsia="zh-CN"/>
        </w:rPr>
        <w:t>兑现奖励程序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符合条件的</w:t>
      </w:r>
      <w:r>
        <w:rPr>
          <w:rFonts w:hint="eastAsia" w:ascii="仿宋_GB2312" w:hAnsi="仿宋_GB2312" w:eastAsia="仿宋_GB2312" w:cs="仿宋_GB2312"/>
          <w:color w:val="auto"/>
          <w:sz w:val="32"/>
          <w:szCs w:val="32"/>
          <w:lang w:eastAsia="zh-CN"/>
        </w:rPr>
        <w:t>企业及个体工商户向其所属师市行业主管部门</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并填写申请表（见附件）</w:t>
      </w:r>
      <w:r>
        <w:rPr>
          <w:rFonts w:hint="eastAsia" w:ascii="仿宋_GB2312" w:hAnsi="仿宋_GB2312" w:eastAsia="仿宋_GB2312" w:cs="仿宋_GB2312"/>
          <w:color w:val="auto"/>
          <w:sz w:val="32"/>
          <w:szCs w:val="32"/>
          <w:lang w:eastAsia="zh-CN"/>
        </w:rPr>
        <w:t>及相关印证材料（</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营业收入</w:t>
      </w:r>
      <w:r>
        <w:rPr>
          <w:rFonts w:hint="eastAsia" w:ascii="仿宋_GB2312" w:hAnsi="仿宋_GB2312" w:eastAsia="仿宋_GB2312" w:cs="仿宋_GB2312"/>
          <w:color w:val="auto"/>
          <w:sz w:val="32"/>
          <w:szCs w:val="32"/>
        </w:rPr>
        <w:t>证明、纳税证明</w:t>
      </w:r>
      <w:r>
        <w:rPr>
          <w:rFonts w:hint="eastAsia" w:ascii="仿宋_GB2312" w:hAnsi="仿宋_GB2312" w:eastAsia="仿宋_GB2312" w:cs="仿宋_GB2312"/>
          <w:color w:val="auto"/>
          <w:sz w:val="32"/>
          <w:szCs w:val="32"/>
          <w:lang w:eastAsia="zh-CN"/>
        </w:rPr>
        <w:t>、开户许可证）</w:t>
      </w:r>
      <w:r>
        <w:rPr>
          <w:rFonts w:hint="eastAsia" w:ascii="仿宋_GB2312" w:hAnsi="仿宋_GB2312" w:eastAsia="仿宋_GB2312" w:cs="仿宋_GB2312"/>
          <w:color w:val="auto"/>
          <w:sz w:val="32"/>
          <w:szCs w:val="32"/>
        </w:rPr>
        <w:t>，本年度申报上一年度的奖励资金</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（二）师市行业主管部门对提出申报的企业及个体工商户实际运行情况、是否符合申报条件等进行初审；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师市行业主管部门将初审后的企业及个体工商户申报材料推荐至师市三产服务业领导小组办公室（发改委），由师市统计局进一步核实企业“升规达限”情况，并将年度符合奖励的企业名单推送至师市三产服务业领导小组办公室（发改委）；</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（四）师市三产服务业领导小组办公室（发改委）将审核后确定可享受奖励的企业及个体工商户名单报师市相关会议审定后，对“升规达限”企业进行通报表彰并发放奖励资金。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eastAsia="zh-CN"/>
        </w:rPr>
        <w:t xml:space="preserve">第十条 </w:t>
      </w:r>
      <w:r>
        <w:rPr>
          <w:rFonts w:hint="eastAsia" w:ascii="仿宋_GB2312" w:hAnsi="仿宋_GB2312" w:eastAsia="仿宋_GB2312" w:cs="仿宋_GB2312"/>
          <w:color w:val="auto"/>
          <w:sz w:val="32"/>
          <w:szCs w:val="32"/>
          <w:lang w:val="en-US" w:eastAsia="zh-CN"/>
        </w:rPr>
        <w:t>责任分工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color w:val="0000FF"/>
          <w:sz w:val="32"/>
          <w:szCs w:val="32"/>
          <w:u w:val="single"/>
        </w:rPr>
      </w:pPr>
      <w:r>
        <w:rPr>
          <w:rFonts w:hint="eastAsia" w:ascii="仿宋_GB2312" w:hAnsi="仿宋_GB2312" w:eastAsia="仿宋_GB2312" w:cs="仿宋_GB2312"/>
          <w:color w:val="auto"/>
          <w:sz w:val="32"/>
          <w:szCs w:val="32"/>
          <w:u w:val="none"/>
          <w:lang w:eastAsia="zh-CN"/>
        </w:rPr>
        <w:t>师市行业主管部门负责组织所属行业企业及个体工商户进行申报和基本情况核实；师市统计局负责协助企业及个体工商户开展“升规入统”工作、对其“升规入统”情况进行认定并提供相关统计数据；师市三产服务业领导小组办公室（发改委）负责组织对行业主管部门推荐的企业及个体工商户进一步审核、奖励资金预算编制、奖励分配方案等工作；</w:t>
      </w:r>
      <w:r>
        <w:rPr>
          <w:rFonts w:hint="eastAsia" w:ascii="仿宋_GB2312" w:hAnsi="仿宋_GB2312" w:eastAsia="仿宋_GB2312" w:cs="仿宋_GB2312"/>
          <w:color w:val="auto"/>
          <w:sz w:val="32"/>
          <w:szCs w:val="32"/>
          <w:lang w:eastAsia="zh-CN"/>
        </w:rPr>
        <w:t>师市市场监督管理局负责提供企业及个体工商户信息；阿拉尔税务局负责提供企业及个体工商户纳税信息；</w:t>
      </w:r>
      <w:r>
        <w:rPr>
          <w:rFonts w:hint="eastAsia" w:ascii="仿宋_GB2312" w:hAnsi="仿宋_GB2312" w:eastAsia="仿宋_GB2312" w:cs="仿宋_GB2312"/>
          <w:color w:val="auto"/>
          <w:sz w:val="32"/>
          <w:szCs w:val="32"/>
        </w:rPr>
        <w:t>师市财政局负责</w:t>
      </w:r>
      <w:r>
        <w:rPr>
          <w:rFonts w:hint="eastAsia" w:ascii="仿宋_GB2312" w:hAnsi="仿宋_GB2312" w:eastAsia="仿宋_GB2312" w:cs="仿宋_GB2312"/>
          <w:color w:val="auto"/>
          <w:sz w:val="32"/>
          <w:szCs w:val="32"/>
          <w:lang w:eastAsia="zh-CN"/>
        </w:rPr>
        <w:t>奖励资金筹集工作；师市审计局对资金分配方案执行、资金使用情况进行监督审计。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奖励资金管理实行责任追究机制。获得奖励资金的企业及</w:t>
      </w:r>
      <w:r>
        <w:rPr>
          <w:rFonts w:hint="eastAsia" w:ascii="仿宋_GB2312" w:hAnsi="仿宋_GB2312" w:eastAsia="仿宋_GB2312" w:cs="仿宋_GB2312"/>
          <w:bCs/>
          <w:color w:val="auto"/>
          <w:sz w:val="32"/>
          <w:szCs w:val="32"/>
          <w:lang w:eastAsia="zh-CN"/>
        </w:rPr>
        <w:t>个体工商户所提供的资料、数据必须</w:t>
      </w:r>
      <w:r>
        <w:rPr>
          <w:rFonts w:hint="eastAsia" w:ascii="仿宋_GB2312" w:hAnsi="仿宋_GB2312" w:eastAsia="仿宋_GB2312" w:cs="仿宋_GB2312"/>
          <w:bCs/>
          <w:color w:val="auto"/>
          <w:sz w:val="32"/>
          <w:szCs w:val="32"/>
        </w:rPr>
        <w:t>真实</w:t>
      </w:r>
      <w:r>
        <w:rPr>
          <w:rFonts w:hint="eastAsia" w:ascii="仿宋_GB2312" w:hAnsi="仿宋_GB2312" w:eastAsia="仿宋_GB2312" w:cs="仿宋_GB2312"/>
          <w:bCs/>
          <w:color w:val="auto"/>
          <w:sz w:val="32"/>
          <w:szCs w:val="32"/>
          <w:lang w:eastAsia="zh-CN"/>
        </w:rPr>
        <w:t>有效</w:t>
      </w:r>
      <w:r>
        <w:rPr>
          <w:rFonts w:hint="eastAsia" w:ascii="仿宋_GB2312" w:hAnsi="仿宋_GB2312" w:eastAsia="仿宋_GB2312" w:cs="仿宋_GB2312"/>
          <w:bCs/>
          <w:color w:val="auto"/>
          <w:sz w:val="32"/>
          <w:szCs w:val="32"/>
        </w:rPr>
        <w:t>，严禁弄虚作假。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Cs/>
          <w:color w:val="auto"/>
          <w:sz w:val="32"/>
          <w:szCs w:val="32"/>
        </w:rPr>
        <w:t>对弄虚作假，套取、骗取资金的</w:t>
      </w:r>
      <w:r>
        <w:rPr>
          <w:rFonts w:hint="eastAsia" w:ascii="仿宋_GB2312" w:hAnsi="仿宋_GB2312" w:eastAsia="仿宋_GB2312" w:cs="仿宋_GB2312"/>
          <w:bCs/>
          <w:color w:val="auto"/>
          <w:sz w:val="32"/>
          <w:szCs w:val="32"/>
          <w:lang w:eastAsia="zh-CN"/>
        </w:rPr>
        <w:t>企业及个体工商户，</w:t>
      </w:r>
      <w:r>
        <w:rPr>
          <w:rFonts w:hint="eastAsia" w:ascii="仿宋_GB2312" w:hAnsi="仿宋_GB2312" w:eastAsia="仿宋_GB2312" w:cs="仿宋_GB2312"/>
          <w:bCs/>
          <w:color w:val="auto"/>
          <w:sz w:val="32"/>
          <w:szCs w:val="32"/>
        </w:rPr>
        <w:t>一经查实，根据具体情节给予以下处罚：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收回奖励资金；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27" w:firstLineChars="196"/>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（二）纳入师市信用管理</w:t>
      </w:r>
      <w:r>
        <w:rPr>
          <w:rFonts w:hint="eastAsia" w:ascii="仿宋_GB2312" w:hAnsi="仿宋_GB2312" w:eastAsia="仿宋_GB2312" w:cs="仿宋_GB2312"/>
          <w:bCs/>
          <w:color w:val="auto"/>
          <w:sz w:val="32"/>
          <w:szCs w:val="32"/>
        </w:rPr>
        <w:t>黑名单，</w:t>
      </w:r>
      <w:r>
        <w:rPr>
          <w:rFonts w:hint="eastAsia" w:ascii="仿宋_GB2312" w:hAnsi="仿宋_GB2312" w:eastAsia="仿宋_GB2312" w:cs="仿宋_GB2312"/>
          <w:bCs/>
          <w:color w:val="auto"/>
          <w:sz w:val="32"/>
          <w:szCs w:val="32"/>
          <w:lang w:eastAsia="zh-CN"/>
        </w:rPr>
        <w:t>由师市相关部门采取联合惩戒措施。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2"/>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本办法所规定奖励条款如与师市出台的其他奖励政策出现重复，由企业及个体工商户自行选择并决定遵照具体政策文件执行，不得多头申报。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2"/>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lang w:eastAsia="zh-CN"/>
        </w:rPr>
        <w:t>第十四条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本办法由师市</w:t>
      </w:r>
      <w:r>
        <w:rPr>
          <w:rFonts w:hint="eastAsia" w:ascii="仿宋_GB2312" w:hAnsi="仿宋_GB2312" w:eastAsia="仿宋_GB2312" w:cs="仿宋_GB2312"/>
          <w:bCs/>
          <w:color w:val="auto"/>
          <w:sz w:val="32"/>
          <w:szCs w:val="32"/>
          <w:lang w:eastAsia="zh-CN"/>
        </w:rPr>
        <w:t>发改委</w:t>
      </w:r>
      <w:r>
        <w:rPr>
          <w:rFonts w:hint="eastAsia" w:ascii="仿宋_GB2312" w:hAnsi="仿宋_GB2312" w:eastAsia="仿宋_GB2312" w:cs="仿宋_GB2312"/>
          <w:color w:val="auto"/>
          <w:sz w:val="32"/>
          <w:szCs w:val="32"/>
        </w:rPr>
        <w:t>负责解释。</w:t>
      </w:r>
    </w:p>
    <w:p>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仿宋_GB2312" w:eastAsia="仿宋_GB2312" w:cs="仿宋_GB2312"/>
          <w:color w:val="auto"/>
          <w:spacing w:val="-2"/>
          <w:sz w:val="32"/>
          <w:szCs w:val="32"/>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left="1586" w:leftChars="304" w:hanging="948" w:hangingChars="300"/>
        <w:jc w:val="both"/>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附件：第一师阿拉尔市</w:t>
      </w:r>
      <w:r>
        <w:rPr>
          <w:rFonts w:hint="eastAsia" w:ascii="仿宋_GB2312" w:hAnsi="仿宋_GB2312" w:eastAsia="仿宋_GB2312" w:cs="仿宋_GB2312"/>
          <w:color w:val="auto"/>
          <w:spacing w:val="-2"/>
          <w:sz w:val="32"/>
          <w:szCs w:val="32"/>
          <w:lang w:val="en-US" w:eastAsia="zh-CN"/>
        </w:rPr>
        <w:t>2021年</w:t>
      </w:r>
      <w:r>
        <w:rPr>
          <w:rFonts w:hint="eastAsia" w:ascii="仿宋_GB2312" w:hAnsi="仿宋_GB2312" w:eastAsia="仿宋_GB2312" w:cs="仿宋_GB2312"/>
          <w:color w:val="auto"/>
          <w:spacing w:val="-2"/>
          <w:sz w:val="32"/>
          <w:szCs w:val="32"/>
        </w:rPr>
        <w:t>促进“四上企业”发展奖励资金申请表</w:t>
      </w:r>
    </w:p>
    <w:p>
      <w:pP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2DCC2"/>
    <w:multiLevelType w:val="singleLevel"/>
    <w:tmpl w:val="ED62DCC2"/>
    <w:lvl w:ilvl="0" w:tentative="0">
      <w:start w:val="2"/>
      <w:numFmt w:val="chineseCounting"/>
      <w:suff w:val="nothing"/>
      <w:lvlText w:val="（%1）"/>
      <w:lvlJc w:val="left"/>
      <w:rPr>
        <w:rFonts w:hint="eastAsia"/>
      </w:rPr>
    </w:lvl>
  </w:abstractNum>
  <w:abstractNum w:abstractNumId="1">
    <w:nsid w:val="273B5BD3"/>
    <w:multiLevelType w:val="singleLevel"/>
    <w:tmpl w:val="273B5BD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zkwYzRiYzAwM2IyMjkwM2VkMzk3Zjg2MWI2NWMifQ=="/>
  </w:docVars>
  <w:rsids>
    <w:rsidRoot w:val="00000000"/>
    <w:rsid w:val="558F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4"/>
    <w:basedOn w:val="1"/>
    <w:next w:val="1"/>
    <w:qFormat/>
    <w:uiPriority w:val="99"/>
    <w:pPr>
      <w:ind w:firstLine="880"/>
    </w:p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customStyle="1" w:styleId="7">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2023-08-08T08:47:08Z</dcterms:created>
  <dc:creator>Administrator</dc:creator>
  <cp:lastModifiedBy>Administrator</cp:lastModifiedBy>
  <dcterms:modified xsi:type="dcterms:W3CDTF">2023-08-08T08:47:30Z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F36F28E28C874981A4886EC87B954E9C_12</vt:lpwstr>
  </property>
</Properties>
</file>