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B72CD">
      <w:pPr>
        <w:keepNext w:val="0"/>
        <w:keepLines w:val="0"/>
        <w:pageBreakBefore w:val="0"/>
        <w:widowControl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eastAsia="宋体" w:cs="Times New Roman"/>
          <w:color w:val="auto"/>
          <w:sz w:val="44"/>
          <w:szCs w:val="44"/>
          <w:lang w:val="en-US" w:eastAsia="zh-CN"/>
        </w:rPr>
      </w:pPr>
    </w:p>
    <w:p w14:paraId="48F5F272">
      <w:pPr>
        <w:keepNext w:val="0"/>
        <w:keepLines w:val="0"/>
        <w:pageBreakBefore w:val="0"/>
        <w:widowControl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eastAsia="宋体" w:cs="Times New Roman"/>
          <w:color w:val="auto"/>
          <w:sz w:val="44"/>
          <w:szCs w:val="44"/>
          <w:lang w:val="en-US" w:eastAsia="zh-CN"/>
        </w:rPr>
      </w:pPr>
    </w:p>
    <w:p w14:paraId="75AF2C3C">
      <w:pPr>
        <w:keepNext w:val="0"/>
        <w:keepLines w:val="0"/>
        <w:pageBreakBefore w:val="0"/>
        <w:widowControl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cs="Times New Roman"/>
          <w:color w:val="auto"/>
          <w:sz w:val="44"/>
          <w:szCs w:val="44"/>
        </w:rPr>
      </w:pPr>
    </w:p>
    <w:p w14:paraId="5D8A3BE9">
      <w:pPr>
        <w:keepNext w:val="0"/>
        <w:keepLines w:val="0"/>
        <w:pageBreakBefore w:val="0"/>
        <w:widowControl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cs="Times New Roman"/>
          <w:color w:val="auto"/>
          <w:sz w:val="44"/>
          <w:szCs w:val="44"/>
        </w:rPr>
      </w:pPr>
    </w:p>
    <w:p w14:paraId="50CA3B00">
      <w:pPr>
        <w:keepNext w:val="0"/>
        <w:keepLines w:val="0"/>
        <w:pageBreakBefore w:val="0"/>
        <w:widowControl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cs="Times New Roman"/>
          <w:color w:val="auto"/>
          <w:sz w:val="72"/>
          <w:szCs w:val="72"/>
        </w:rPr>
      </w:pPr>
    </w:p>
    <w:p w14:paraId="0ECA0A28">
      <w:pPr>
        <w:keepNext w:val="0"/>
        <w:keepLines w:val="0"/>
        <w:pageBreakBefore w:val="0"/>
        <w:widowControl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eastAsia="仿宋_GB2312" w:cs="Times New Roman"/>
          <w:color w:val="auto"/>
          <w:sz w:val="32"/>
          <w:szCs w:val="32"/>
        </w:rPr>
      </w:pPr>
    </w:p>
    <w:p w14:paraId="6F914460">
      <w:pPr>
        <w:keepNext w:val="0"/>
        <w:keepLines w:val="0"/>
        <w:pageBreakBefore w:val="0"/>
        <w:widowControl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eastAsia="仿宋_GB2312" w:cs="Times New Roman"/>
          <w:color w:val="auto"/>
          <w:sz w:val="32"/>
          <w:szCs w:val="32"/>
        </w:rPr>
      </w:pPr>
    </w:p>
    <w:p w14:paraId="50E361E8">
      <w:pPr>
        <w:keepNext w:val="0"/>
        <w:keepLines w:val="0"/>
        <w:pageBreakBefore w:val="0"/>
        <w:widowControl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eastAsia="仿宋_GB2312" w:cs="Times New Roman"/>
          <w:color w:val="auto"/>
          <w:sz w:val="32"/>
          <w:szCs w:val="32"/>
        </w:rPr>
      </w:pPr>
    </w:p>
    <w:p w14:paraId="3A958A71">
      <w:pPr>
        <w:keepNext w:val="0"/>
        <w:keepLines w:val="0"/>
        <w:pageBreakBefore w:val="0"/>
        <w:widowControl w:val="0"/>
        <w:kinsoku/>
        <w:wordWrap/>
        <w:overflowPunct/>
        <w:topLinePunct w:val="0"/>
        <w:autoSpaceDE/>
        <w:autoSpaceDN/>
        <w:bidi w:val="0"/>
        <w:adjustRightInd/>
        <w:snapToGrid/>
        <w:spacing w:line="540" w:lineRule="exact"/>
        <w:ind w:left="0" w:right="0"/>
        <w:jc w:val="center"/>
        <w:textAlignment w:val="auto"/>
        <w:rPr>
          <w:rFonts w:hint="default" w:ascii="Times New Roman" w:hAnsi="Times New Roman" w:eastAsia="仿宋_GB2312" w:cs="Times New Roman"/>
          <w:color w:val="auto"/>
          <w:szCs w:val="21"/>
        </w:rPr>
      </w:pPr>
      <w:r>
        <w:rPr>
          <w:rFonts w:hint="default" w:ascii="Times New Roman" w:hAnsi="Times New Roman" w:eastAsia="方正仿宋_GB2312" w:cs="Times New Roman"/>
          <w:color w:val="auto"/>
          <w:sz w:val="32"/>
          <w:szCs w:val="32"/>
        </w:rPr>
        <w:t>师</w:t>
      </w:r>
      <w:r>
        <w:rPr>
          <w:rFonts w:hint="default" w:ascii="Times New Roman" w:hAnsi="Times New Roman" w:eastAsia="方正仿宋_GB2312" w:cs="Times New Roman"/>
          <w:color w:val="auto"/>
          <w:sz w:val="32"/>
          <w:szCs w:val="32"/>
          <w:lang w:val="en-US" w:eastAsia="zh-CN"/>
        </w:rPr>
        <w:t>市</w:t>
      </w:r>
      <w:r>
        <w:rPr>
          <w:rFonts w:hint="default" w:ascii="Times New Roman" w:hAnsi="Times New Roman" w:eastAsia="方正仿宋_GB2312" w:cs="Times New Roman"/>
          <w:color w:val="auto"/>
          <w:sz w:val="32"/>
          <w:szCs w:val="32"/>
        </w:rPr>
        <w:t>环审〔202</w:t>
      </w:r>
      <w:r>
        <w:rPr>
          <w:rFonts w:hint="default" w:ascii="Times New Roman" w:hAnsi="Times New Roman" w:eastAsia="方正仿宋_GB2312" w:cs="Times New Roman"/>
          <w:color w:val="auto"/>
          <w:sz w:val="32"/>
          <w:szCs w:val="32"/>
          <w:lang w:val="en-US" w:eastAsia="zh-CN"/>
        </w:rPr>
        <w:t>6</w:t>
      </w:r>
      <w:r>
        <w:rPr>
          <w:rFonts w:hint="default" w:ascii="Times New Roman" w:hAnsi="Times New Roman" w:eastAsia="方正仿宋_GB2312" w:cs="Times New Roman"/>
          <w:color w:val="auto"/>
          <w:sz w:val="32"/>
          <w:szCs w:val="32"/>
        </w:rPr>
        <w:t>〕</w:t>
      </w:r>
      <w:r>
        <w:rPr>
          <w:rFonts w:hint="default" w:ascii="Times New Roman" w:hAnsi="Times New Roman" w:eastAsia="方正仿宋_GB2312" w:cs="Times New Roman"/>
          <w:color w:val="auto"/>
          <w:sz w:val="32"/>
          <w:szCs w:val="32"/>
          <w:lang w:val="en-US" w:eastAsia="zh-CN"/>
        </w:rPr>
        <w:t>66</w:t>
      </w:r>
      <w:r>
        <w:rPr>
          <w:rFonts w:hint="default" w:ascii="Times New Roman" w:hAnsi="Times New Roman" w:eastAsia="方正仿宋_GB2312" w:cs="Times New Roman"/>
          <w:color w:val="auto"/>
          <w:sz w:val="32"/>
          <w:szCs w:val="32"/>
        </w:rPr>
        <w:t>号</w:t>
      </w:r>
    </w:p>
    <w:p w14:paraId="6FFD3E9D">
      <w:pPr>
        <w:keepNext w:val="0"/>
        <w:keepLines w:val="0"/>
        <w:pageBreakBefore w:val="0"/>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eastAsia="仿宋_GB2312" w:cs="Times New Roman"/>
          <w:color w:val="auto"/>
          <w:szCs w:val="21"/>
        </w:rPr>
      </w:pPr>
    </w:p>
    <w:p w14:paraId="42417251">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color w:val="auto"/>
          <w:spacing w:val="-20"/>
          <w:kern w:val="2"/>
          <w:sz w:val="44"/>
          <w:szCs w:val="44"/>
          <w:highlight w:val="none"/>
          <w:lang w:val="zh-CN"/>
        </w:rPr>
      </w:pPr>
      <w:r>
        <w:rPr>
          <w:rFonts w:hint="default" w:ascii="Times New Roman" w:hAnsi="Times New Roman" w:eastAsia="方正小标宋简体" w:cs="Times New Roman"/>
          <w:color w:val="auto"/>
          <w:spacing w:val="-23"/>
          <w:kern w:val="2"/>
          <w:sz w:val="44"/>
          <w:szCs w:val="44"/>
          <w:highlight w:val="none"/>
          <w:lang w:val="zh-CN"/>
        </w:rPr>
        <w:t>关于新疆坤振泰洗煤供应链有限责任公司阿拉尔市</w:t>
      </w:r>
      <w:r>
        <w:rPr>
          <w:rFonts w:hint="default" w:ascii="Times New Roman" w:hAnsi="Times New Roman" w:eastAsia="方正小标宋简体" w:cs="Times New Roman"/>
          <w:color w:val="auto"/>
          <w:spacing w:val="-20"/>
          <w:kern w:val="2"/>
          <w:sz w:val="44"/>
          <w:szCs w:val="44"/>
          <w:highlight w:val="none"/>
          <w:lang w:val="zh-CN"/>
        </w:rPr>
        <w:t>库沙新拜产业园煤专线煤炭加工配套改建</w:t>
      </w:r>
    </w:p>
    <w:p w14:paraId="5754FC13">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auto"/>
          <w:spacing w:val="-20"/>
          <w:sz w:val="44"/>
          <w:szCs w:val="44"/>
        </w:rPr>
      </w:pPr>
      <w:r>
        <w:rPr>
          <w:rFonts w:hint="default" w:ascii="Times New Roman" w:hAnsi="Times New Roman" w:eastAsia="方正小标宋简体" w:cs="Times New Roman"/>
          <w:color w:val="auto"/>
          <w:spacing w:val="-20"/>
          <w:kern w:val="2"/>
          <w:sz w:val="44"/>
          <w:szCs w:val="44"/>
          <w:highlight w:val="none"/>
          <w:lang w:val="zh-CN"/>
        </w:rPr>
        <w:t>项目</w:t>
      </w:r>
      <w:r>
        <w:rPr>
          <w:rFonts w:hint="default" w:ascii="Times New Roman" w:hAnsi="Times New Roman" w:eastAsia="方正小标宋简体" w:cs="Times New Roman"/>
          <w:color w:val="auto"/>
          <w:spacing w:val="-20"/>
          <w:kern w:val="2"/>
          <w:sz w:val="44"/>
          <w:szCs w:val="44"/>
          <w:highlight w:val="none"/>
          <w:lang w:val="en-US" w:eastAsia="zh-CN"/>
        </w:rPr>
        <w:t>生态</w:t>
      </w:r>
      <w:r>
        <w:rPr>
          <w:rFonts w:hint="default" w:ascii="Times New Roman" w:hAnsi="Times New Roman" w:eastAsia="方正小标宋简体" w:cs="Times New Roman"/>
          <w:color w:val="auto"/>
          <w:spacing w:val="-20"/>
          <w:kern w:val="2"/>
          <w:sz w:val="44"/>
          <w:szCs w:val="44"/>
          <w:highlight w:val="none"/>
          <w:lang w:val="zh-CN"/>
        </w:rPr>
        <w:t>环境影响报告表的</w:t>
      </w:r>
      <w:r>
        <w:rPr>
          <w:rFonts w:hint="default" w:ascii="Times New Roman" w:hAnsi="Times New Roman" w:eastAsia="方正小标宋简体" w:cs="Times New Roman"/>
          <w:bCs/>
          <w:color w:val="auto"/>
          <w:spacing w:val="-20"/>
          <w:sz w:val="44"/>
          <w:szCs w:val="44"/>
        </w:rPr>
        <w:t>批复</w:t>
      </w:r>
    </w:p>
    <w:p w14:paraId="2780C707">
      <w:pPr>
        <w:keepNext w:val="0"/>
        <w:keepLines w:val="0"/>
        <w:pageBreakBefore w:val="0"/>
        <w:widowControl/>
        <w:kinsoku/>
        <w:wordWrap/>
        <w:overflowPunct/>
        <w:topLinePunct w:val="0"/>
        <w:autoSpaceDE/>
        <w:autoSpaceDN/>
        <w:bidi w:val="0"/>
        <w:adjustRightInd/>
        <w:snapToGrid/>
        <w:spacing w:line="540" w:lineRule="exact"/>
        <w:ind w:left="0" w:right="0"/>
        <w:jc w:val="both"/>
        <w:textAlignment w:val="auto"/>
        <w:rPr>
          <w:rFonts w:hint="default" w:ascii="Times New Roman" w:hAnsi="Times New Roman" w:eastAsia="方正小标宋简体" w:cs="Times New Roman"/>
          <w:bCs/>
          <w:color w:val="auto"/>
          <w:sz w:val="44"/>
          <w:szCs w:val="44"/>
        </w:rPr>
      </w:pPr>
    </w:p>
    <w:p w14:paraId="01A3E51F">
      <w:pPr>
        <w:keepNext w:val="0"/>
        <w:keepLines w:val="0"/>
        <w:pageBreakBefore w:val="0"/>
        <w:widowControl/>
        <w:kinsoku/>
        <w:wordWrap/>
        <w:overflowPunct/>
        <w:topLinePunct w:val="0"/>
        <w:autoSpaceDE/>
        <w:autoSpaceDN/>
        <w:bidi w:val="0"/>
        <w:spacing w:line="560" w:lineRule="exact"/>
        <w:ind w:left="0" w:right="0" w:hanging="640" w:hangingChars="200"/>
        <w:jc w:val="both"/>
        <w:textAlignment w:val="auto"/>
        <w:rPr>
          <w:rFonts w:hint="default" w:ascii="Times New Roman" w:hAnsi="Times New Roman" w:eastAsia="方正仿宋简体" w:cs="Times New Roman"/>
          <w:color w:val="auto"/>
          <w:kern w:val="0"/>
          <w:sz w:val="32"/>
          <w:szCs w:val="32"/>
          <w:lang w:val="en-US" w:eastAsia="zh-CN"/>
        </w:rPr>
      </w:pPr>
      <w:r>
        <w:rPr>
          <w:rFonts w:hint="default" w:ascii="Times New Roman" w:hAnsi="Times New Roman" w:eastAsia="方正仿宋简体" w:cs="Times New Roman"/>
          <w:color w:val="auto"/>
          <w:kern w:val="0"/>
          <w:sz w:val="32"/>
          <w:szCs w:val="32"/>
          <w:lang w:val="en-US" w:eastAsia="zh-CN" w:bidi="ar-SA"/>
        </w:rPr>
        <w:t>新疆坤振泰洗煤供应链有限责任公司</w:t>
      </w:r>
      <w:r>
        <w:rPr>
          <w:rFonts w:hint="default" w:ascii="Times New Roman" w:hAnsi="Times New Roman" w:eastAsia="方正仿宋简体" w:cs="Times New Roman"/>
          <w:color w:val="auto"/>
          <w:kern w:val="0"/>
          <w:sz w:val="32"/>
          <w:szCs w:val="32"/>
          <w:lang w:val="en-US" w:eastAsia="zh-CN"/>
        </w:rPr>
        <w:t>：</w:t>
      </w:r>
    </w:p>
    <w:p w14:paraId="30AC31D1">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仿宋简体" w:cs="Times New Roman"/>
          <w:color w:val="auto"/>
          <w:sz w:val="32"/>
          <w:szCs w:val="32"/>
        </w:rPr>
        <w:t>你单位报送的《关于</w:t>
      </w:r>
      <w:r>
        <w:rPr>
          <w:rFonts w:hint="default" w:ascii="Times New Roman" w:hAnsi="Times New Roman" w:eastAsia="方正仿宋简体" w:cs="Times New Roman"/>
          <w:color w:val="auto"/>
          <w:sz w:val="32"/>
          <w:szCs w:val="32"/>
          <w:lang w:val="en-US" w:eastAsia="zh-CN"/>
        </w:rPr>
        <w:t>送审</w:t>
      </w:r>
      <w:r>
        <w:rPr>
          <w:rFonts w:hint="default" w:ascii="Times New Roman" w:hAnsi="Times New Roman" w:eastAsia="方正仿宋简体" w:cs="Times New Roman"/>
          <w:color w:val="auto"/>
          <w:kern w:val="2"/>
          <w:sz w:val="32"/>
          <w:szCs w:val="32"/>
          <w:lang w:val="en-US" w:eastAsia="zh-CN" w:bidi="ar-SA"/>
        </w:rPr>
        <w:t>新疆坤振泰洗煤供应链有限责任公司阿拉尔市库沙新拜产业园煤专线煤炭加工配套改建项目生态环境影响报告表</w:t>
      </w:r>
      <w:r>
        <w:rPr>
          <w:rFonts w:hint="default" w:ascii="Times New Roman" w:hAnsi="Times New Roman" w:eastAsia="方正仿宋简体" w:cs="Times New Roman"/>
          <w:color w:val="auto"/>
          <w:kern w:val="0"/>
          <w:sz w:val="32"/>
          <w:szCs w:val="32"/>
          <w:lang w:val="en-US" w:eastAsia="zh-CN"/>
        </w:rPr>
        <w:t>的请示</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及</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kern w:val="2"/>
          <w:sz w:val="32"/>
          <w:szCs w:val="32"/>
          <w:lang w:val="en-US" w:eastAsia="zh-CN" w:bidi="ar-SA"/>
        </w:rPr>
        <w:t>新疆坤振泰洗煤供应链有限责任公司阿拉尔市库沙新拜产业园煤专线煤炭加工配套改建项目生态环境影响报告表</w:t>
      </w:r>
      <w:r>
        <w:rPr>
          <w:rFonts w:hint="default" w:ascii="Times New Roman" w:hAnsi="Times New Roman" w:eastAsia="方正仿宋简体" w:cs="Times New Roman"/>
          <w:color w:val="auto"/>
          <w:sz w:val="32"/>
          <w:szCs w:val="32"/>
        </w:rPr>
        <w:t>》（以下简称《报告</w:t>
      </w:r>
      <w:r>
        <w:rPr>
          <w:rFonts w:hint="default" w:ascii="Times New Roman" w:hAnsi="Times New Roman" w:eastAsia="方正仿宋简体" w:cs="Times New Roman"/>
          <w:color w:val="auto"/>
          <w:sz w:val="32"/>
          <w:szCs w:val="32"/>
          <w:lang w:val="en-US" w:eastAsia="zh-CN"/>
        </w:rPr>
        <w:t>表</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eastAsia="zh-CN"/>
        </w:rPr>
        <w:t>已</w:t>
      </w:r>
      <w:r>
        <w:rPr>
          <w:rFonts w:hint="default" w:ascii="Times New Roman" w:hAnsi="Times New Roman" w:eastAsia="方正仿宋简体" w:cs="Times New Roman"/>
          <w:color w:val="auto"/>
          <w:sz w:val="32"/>
          <w:szCs w:val="32"/>
        </w:rPr>
        <w:t>收悉。经研究，现批复如下：</w:t>
      </w:r>
    </w:p>
    <w:p w14:paraId="75C850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kern w:val="2"/>
          <w:sz w:val="32"/>
          <w:szCs w:val="32"/>
          <w:lang w:val="en-US" w:eastAsia="zh-CN" w:bidi="ar-SA"/>
        </w:rPr>
      </w:pPr>
      <w:r>
        <w:rPr>
          <w:rFonts w:hint="default" w:ascii="Times New Roman" w:hAnsi="Times New Roman" w:eastAsia="方正黑体简体" w:cs="Times New Roman"/>
          <w:color w:val="auto"/>
          <w:sz w:val="32"/>
          <w:szCs w:val="32"/>
          <w:lang w:val="en-US" w:eastAsia="zh-CN"/>
        </w:rPr>
        <w:t>一、</w:t>
      </w:r>
      <w:r>
        <w:rPr>
          <w:rFonts w:hint="default" w:ascii="Times New Roman" w:hAnsi="Times New Roman" w:eastAsia="方正仿宋简体" w:cs="Times New Roman"/>
          <w:color w:val="auto"/>
          <w:sz w:val="32"/>
          <w:szCs w:val="32"/>
          <w:lang w:val="en-US" w:eastAsia="zh-CN"/>
        </w:rPr>
        <w:t>该项目位于</w:t>
      </w:r>
      <w:r>
        <w:rPr>
          <w:rFonts w:hint="default" w:ascii="Times New Roman" w:hAnsi="Times New Roman" w:eastAsia="方正仿宋简体" w:cs="Times New Roman"/>
          <w:color w:val="auto"/>
          <w:kern w:val="2"/>
          <w:sz w:val="32"/>
          <w:szCs w:val="32"/>
          <w:lang w:val="en-US" w:eastAsia="zh-CN" w:bidi="ar-SA"/>
        </w:rPr>
        <w:t>库车火车站铁道南面煤炭专用线院内</w:t>
      </w:r>
      <w:r>
        <w:rPr>
          <w:rFonts w:hint="default" w:ascii="Times New Roman" w:hAnsi="Times New Roman" w:eastAsia="方正仿宋简体" w:cs="Times New Roman"/>
          <w:color w:val="auto"/>
          <w:sz w:val="32"/>
          <w:szCs w:val="32"/>
          <w:lang w:val="en-US" w:eastAsia="zh-CN"/>
        </w:rPr>
        <w:t>，占地面积</w:t>
      </w:r>
      <w:r>
        <w:rPr>
          <w:rFonts w:hint="default" w:ascii="Times New Roman" w:hAnsi="Times New Roman" w:eastAsia="方正仿宋简体" w:cs="Times New Roman"/>
          <w:color w:val="auto"/>
          <w:sz w:val="32"/>
          <w:szCs w:val="32"/>
          <w:highlight w:val="none"/>
          <w:lang w:val="en-US" w:eastAsia="zh-CN"/>
        </w:rPr>
        <w:t>13920.71</w:t>
      </w:r>
      <w:r>
        <w:rPr>
          <w:rFonts w:hint="default" w:ascii="Times New Roman" w:hAnsi="Times New Roman" w:eastAsia="方正仿宋简体" w:cs="Times New Roman"/>
          <w:color w:val="auto"/>
          <w:sz w:val="32"/>
          <w:szCs w:val="32"/>
          <w:lang w:val="en-US" w:eastAsia="zh-CN"/>
        </w:rPr>
        <w:t>平方米</w:t>
      </w:r>
      <w:r>
        <w:rPr>
          <w:rFonts w:hint="default" w:ascii="Times New Roman" w:hAnsi="Times New Roman" w:eastAsia="方正仿宋简体" w:cs="Times New Roman"/>
          <w:color w:val="auto"/>
          <w:kern w:val="2"/>
          <w:sz w:val="32"/>
          <w:szCs w:val="32"/>
          <w:lang w:val="en-US" w:eastAsia="zh-CN" w:bidi="ar-SA"/>
        </w:rPr>
        <w:t>（不新增占地）</w:t>
      </w:r>
      <w:r>
        <w:rPr>
          <w:rFonts w:hint="default" w:ascii="Times New Roman" w:hAnsi="Times New Roman" w:eastAsia="方正仿宋简体" w:cs="Times New Roman"/>
          <w:color w:val="auto"/>
          <w:sz w:val="32"/>
          <w:szCs w:val="32"/>
          <w:lang w:val="en-US" w:eastAsia="zh-CN"/>
        </w:rPr>
        <w:t>，</w:t>
      </w:r>
      <w:r>
        <w:rPr>
          <w:rFonts w:hint="default" w:ascii="Times New Roman" w:hAnsi="Times New Roman" w:eastAsia="方正仿宋简体" w:cs="Times New Roman"/>
          <w:color w:val="auto"/>
          <w:kern w:val="2"/>
          <w:sz w:val="32"/>
          <w:szCs w:val="32"/>
          <w:lang w:val="en-US" w:eastAsia="zh-CN" w:bidi="ar-SA"/>
        </w:rPr>
        <w:t>项目区北侧为铁路，南侧及西侧均为煤专线货场，东侧为空地。项目区中心地理坐标为东经83°0′53.737″，北纬41°41′29.001″。项目建设内容为改建现有煤炭加工作业生产线一条及</w:t>
      </w:r>
      <w:r>
        <w:rPr>
          <w:rFonts w:hint="default" w:ascii="Times New Roman" w:hAnsi="Times New Roman" w:eastAsia="方正仿宋简体" w:cs="Times New Roman"/>
          <w:color w:val="auto"/>
          <w:kern w:val="2"/>
          <w:sz w:val="32"/>
          <w:szCs w:val="32"/>
          <w:lang w:val="en-US" w:eastAsia="zh-CN" w:bidi="ar-SA"/>
        </w:rPr>
        <w:t>原煤场地、精煤场地</w:t>
      </w:r>
      <w:r>
        <w:rPr>
          <w:rFonts w:hint="default" w:ascii="Times New Roman" w:hAnsi="Times New Roman" w:eastAsia="方正仿宋简体" w:cs="Times New Roman"/>
          <w:color w:val="auto"/>
          <w:kern w:val="2"/>
          <w:sz w:val="32"/>
          <w:szCs w:val="32"/>
          <w:lang w:val="en-US" w:eastAsia="zh-CN" w:bidi="ar-SA"/>
        </w:rPr>
        <w:t>等配套设施，生产工艺为原煤准备→跳汰洗选→浓缩压滤→产品储运。项目建成后年产</w:t>
      </w:r>
      <w:r>
        <w:rPr>
          <w:rFonts w:hint="default" w:ascii="Times New Roman" w:hAnsi="Times New Roman" w:eastAsia="方正仿宋简体" w:cs="Times New Roman"/>
          <w:b w:val="0"/>
          <w:bCs w:val="0"/>
          <w:color w:val="auto"/>
          <w:kern w:val="2"/>
          <w:sz w:val="32"/>
          <w:szCs w:val="32"/>
          <w:lang w:val="en-US" w:eastAsia="zh-CN" w:bidi="ar-SA"/>
        </w:rPr>
        <w:t>精</w:t>
      </w:r>
      <w:r>
        <w:rPr>
          <w:rFonts w:hint="default" w:ascii="Times New Roman" w:hAnsi="Times New Roman" w:eastAsia="方正仿宋简体" w:cs="Times New Roman"/>
          <w:color w:val="auto"/>
          <w:kern w:val="2"/>
          <w:sz w:val="32"/>
          <w:szCs w:val="32"/>
          <w:lang w:val="en-US" w:eastAsia="zh-CN" w:bidi="ar-SA"/>
        </w:rPr>
        <w:t>煤12.8万吨、中煤4万吨。项目总</w:t>
      </w:r>
      <w:r>
        <w:rPr>
          <w:rFonts w:hint="default" w:ascii="Times New Roman" w:hAnsi="Times New Roman" w:eastAsia="方正仿宋简体" w:cs="Times New Roman"/>
          <w:b w:val="0"/>
          <w:bCs w:val="0"/>
          <w:color w:val="auto"/>
          <w:kern w:val="2"/>
          <w:sz w:val="32"/>
          <w:szCs w:val="32"/>
          <w:lang w:val="en-US" w:eastAsia="zh-CN" w:bidi="ar-SA"/>
        </w:rPr>
        <w:t>投资</w:t>
      </w:r>
      <w:r>
        <w:rPr>
          <w:rFonts w:hint="default" w:ascii="Times New Roman" w:hAnsi="Times New Roman" w:eastAsia="方正仿宋简体" w:cs="Times New Roman"/>
          <w:color w:val="auto"/>
          <w:kern w:val="2"/>
          <w:sz w:val="32"/>
          <w:szCs w:val="32"/>
          <w:lang w:val="en-US" w:eastAsia="zh-CN" w:bidi="ar-SA"/>
        </w:rPr>
        <w:t>为150万，其中环保投资55万元，占总投资的36.67%。</w:t>
      </w:r>
    </w:p>
    <w:p w14:paraId="75AA7899">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方正仿宋简体" w:cs="Times New Roman"/>
          <w:color w:val="auto"/>
          <w:sz w:val="32"/>
          <w:szCs w:val="32"/>
          <w:lang w:val="zh-CN" w:eastAsia="zh-CN"/>
        </w:rPr>
      </w:pPr>
      <w:r>
        <w:rPr>
          <w:rFonts w:hint="default" w:ascii="Times New Roman" w:hAnsi="Times New Roman" w:eastAsia="方正黑体简体" w:cs="Times New Roman"/>
          <w:color w:val="auto"/>
          <w:sz w:val="32"/>
          <w:szCs w:val="32"/>
          <w:lang w:val="zh-CN" w:eastAsia="zh-CN"/>
        </w:rPr>
        <w:t>二、</w:t>
      </w:r>
      <w:r>
        <w:rPr>
          <w:rFonts w:hint="default" w:ascii="Times New Roman" w:hAnsi="Times New Roman" w:eastAsia="方正仿宋简体" w:cs="Times New Roman"/>
          <w:color w:val="auto"/>
          <w:sz w:val="32"/>
          <w:szCs w:val="32"/>
          <w:highlight w:val="none"/>
          <w:lang w:val="en-US" w:eastAsia="zh-CN"/>
        </w:rPr>
        <w:t>根据兵团环境工程评估中心对《报告表》的技术评估意见（兵环评估〔2026〕66号）及乌鲁木齐天辰创展工程咨询有限公司编制的《报告表》评价结论，该项目属于煤炭洗选业，</w:t>
      </w:r>
      <w:r>
        <w:rPr>
          <w:rFonts w:hint="default" w:ascii="Times New Roman" w:hAnsi="Times New Roman" w:eastAsia="方正仿宋简体" w:cs="Times New Roman"/>
          <w:color w:val="auto"/>
          <w:sz w:val="32"/>
          <w:szCs w:val="32"/>
          <w:lang w:val="en-US" w:eastAsia="zh-CN"/>
        </w:rPr>
        <w:t>在符合产业政策、选址符合国土空间规划等相关规划的前提下，从环境保护的角度，我局原则同意《报告表》结论。</w:t>
      </w:r>
    </w:p>
    <w:p w14:paraId="6FD6E210">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黑体简体" w:cs="Times New Roman"/>
          <w:color w:val="auto"/>
          <w:sz w:val="32"/>
          <w:szCs w:val="32"/>
          <w:lang w:val="zh-CN" w:eastAsia="zh-CN"/>
        </w:rPr>
        <w:t>三、</w:t>
      </w:r>
      <w:r>
        <w:rPr>
          <w:rFonts w:hint="default" w:ascii="Times New Roman" w:hAnsi="Times New Roman" w:eastAsia="方正仿宋简体" w:cs="Times New Roman"/>
          <w:color w:val="auto"/>
          <w:sz w:val="32"/>
          <w:szCs w:val="32"/>
          <w:lang w:val="en-US" w:eastAsia="zh-CN"/>
        </w:rPr>
        <w:t>你单位在项目建设和运营中，应严格执行有关环境质量标准和污染物排放标准，认真、全面落实报告表提出的各项环保对策措施和要求，确保污染物达标排放和各环境敏感点满足相应功能要求。重点做好以下工作：</w:t>
      </w:r>
    </w:p>
    <w:p w14:paraId="5408668B">
      <w:pPr>
        <w:keepNext w:val="0"/>
        <w:keepLines w:val="0"/>
        <w:pageBreakBefore w:val="0"/>
        <w:kinsoku/>
        <w:wordWrap/>
        <w:autoSpaceDE/>
        <w:autoSpaceDN/>
        <w:bidi w:val="0"/>
        <w:spacing w:line="56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lang w:val="zh-CN"/>
        </w:rPr>
        <w:t>（一）</w:t>
      </w:r>
      <w:r>
        <w:rPr>
          <w:rFonts w:hint="default" w:ascii="Times New Roman" w:hAnsi="Times New Roman" w:eastAsia="方正楷体简体" w:cs="Times New Roman"/>
          <w:color w:val="auto"/>
          <w:kern w:val="0"/>
          <w:sz w:val="32"/>
          <w:szCs w:val="32"/>
        </w:rPr>
        <w:t>认真落实施工期</w:t>
      </w:r>
      <w:r>
        <w:rPr>
          <w:rFonts w:hint="default" w:ascii="Times New Roman" w:hAnsi="Times New Roman" w:eastAsia="方正楷体简体" w:cs="Times New Roman"/>
          <w:color w:val="auto"/>
          <w:kern w:val="0"/>
          <w:sz w:val="32"/>
          <w:szCs w:val="32"/>
          <w:lang w:val="en-US" w:eastAsia="zh-CN"/>
        </w:rPr>
        <w:t>生态</w:t>
      </w:r>
      <w:r>
        <w:rPr>
          <w:rFonts w:hint="default" w:ascii="Times New Roman" w:hAnsi="Times New Roman" w:eastAsia="方正楷体简体" w:cs="Times New Roman"/>
          <w:color w:val="auto"/>
          <w:kern w:val="0"/>
          <w:sz w:val="32"/>
          <w:szCs w:val="32"/>
        </w:rPr>
        <w:t>环境保护</w:t>
      </w:r>
      <w:r>
        <w:rPr>
          <w:rFonts w:hint="default" w:ascii="Times New Roman" w:hAnsi="Times New Roman" w:eastAsia="方正楷体简体" w:cs="Times New Roman"/>
          <w:color w:val="auto"/>
          <w:kern w:val="0"/>
          <w:sz w:val="32"/>
          <w:szCs w:val="32"/>
          <w:lang w:val="en-US" w:eastAsia="zh-CN"/>
        </w:rPr>
        <w:t>和防沙治沙</w:t>
      </w:r>
      <w:r>
        <w:rPr>
          <w:rFonts w:hint="default" w:ascii="Times New Roman" w:hAnsi="Times New Roman" w:eastAsia="方正楷体简体" w:cs="Times New Roman"/>
          <w:color w:val="auto"/>
          <w:kern w:val="0"/>
          <w:sz w:val="32"/>
          <w:szCs w:val="32"/>
        </w:rPr>
        <w:t>措施。</w:t>
      </w:r>
      <w:r>
        <w:rPr>
          <w:rFonts w:hint="default" w:ascii="Times New Roman" w:hAnsi="Times New Roman" w:eastAsia="方正仿宋简体" w:cs="Times New Roman"/>
          <w:color w:val="auto"/>
          <w:kern w:val="0"/>
          <w:sz w:val="32"/>
          <w:szCs w:val="32"/>
        </w:rPr>
        <w:t>做好施工过程中的降噪、防尘、施工固废清理</w:t>
      </w:r>
      <w:r>
        <w:rPr>
          <w:rFonts w:hint="default" w:ascii="Times New Roman" w:hAnsi="Times New Roman" w:eastAsia="方正仿宋简体" w:cs="Times New Roman"/>
          <w:color w:val="auto"/>
          <w:kern w:val="0"/>
          <w:sz w:val="32"/>
          <w:szCs w:val="32"/>
          <w:lang w:val="en-US" w:eastAsia="zh-CN"/>
        </w:rPr>
        <w:t>和水土保持、防沙治沙</w:t>
      </w:r>
      <w:r>
        <w:rPr>
          <w:rFonts w:hint="default" w:ascii="Times New Roman" w:hAnsi="Times New Roman" w:eastAsia="方正仿宋简体" w:cs="Times New Roman"/>
          <w:color w:val="auto"/>
          <w:kern w:val="0"/>
          <w:sz w:val="32"/>
          <w:szCs w:val="32"/>
        </w:rPr>
        <w:t>等</w:t>
      </w:r>
      <w:r>
        <w:rPr>
          <w:rFonts w:hint="default" w:ascii="Times New Roman" w:hAnsi="Times New Roman" w:eastAsia="方正仿宋简体" w:cs="Times New Roman"/>
          <w:color w:val="auto"/>
          <w:kern w:val="0"/>
          <w:sz w:val="32"/>
          <w:szCs w:val="32"/>
          <w:lang w:val="en-US" w:eastAsia="zh-CN"/>
        </w:rPr>
        <w:t>生态</w:t>
      </w:r>
      <w:r>
        <w:rPr>
          <w:rFonts w:hint="default" w:ascii="Times New Roman" w:hAnsi="Times New Roman" w:eastAsia="方正仿宋简体" w:cs="Times New Roman"/>
          <w:color w:val="auto"/>
          <w:kern w:val="0"/>
          <w:sz w:val="32"/>
          <w:szCs w:val="32"/>
        </w:rPr>
        <w:t>环境保护措施，妥善处置施工废弃物、生活垃圾及生活污水。</w:t>
      </w:r>
    </w:p>
    <w:p w14:paraId="5A7CC3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kern w:val="2"/>
          <w:sz w:val="32"/>
          <w:szCs w:val="32"/>
          <w:lang w:val="en-US" w:eastAsia="zh-CN" w:bidi="ar-SA"/>
        </w:rPr>
      </w:pP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二</w:t>
      </w: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严格落实大气污染防治措施。</w:t>
      </w:r>
      <w:r>
        <w:rPr>
          <w:rFonts w:hint="default" w:ascii="Times New Roman" w:hAnsi="Times New Roman" w:eastAsia="方正仿宋简体" w:cs="Times New Roman"/>
          <w:color w:val="auto"/>
          <w:kern w:val="0"/>
          <w:sz w:val="32"/>
          <w:szCs w:val="32"/>
        </w:rPr>
        <w:t>该项目</w:t>
      </w:r>
      <w:r>
        <w:rPr>
          <w:rFonts w:hint="default" w:ascii="Times New Roman" w:hAnsi="Times New Roman" w:eastAsia="方正仿宋简体" w:cs="Times New Roman"/>
          <w:color w:val="auto"/>
          <w:kern w:val="0"/>
          <w:sz w:val="32"/>
          <w:szCs w:val="32"/>
          <w:lang w:val="en-US" w:eastAsia="zh-CN"/>
        </w:rPr>
        <w:t>运营期产生的废气主要为</w:t>
      </w:r>
      <w:r>
        <w:rPr>
          <w:rFonts w:hint="default" w:ascii="Times New Roman" w:hAnsi="Times New Roman" w:eastAsia="方正仿宋简体" w:cs="Times New Roman"/>
          <w:color w:val="auto"/>
          <w:kern w:val="2"/>
          <w:sz w:val="32"/>
          <w:szCs w:val="32"/>
          <w:lang w:val="en-US" w:eastAsia="zh-CN" w:bidi="ar-SA"/>
        </w:rPr>
        <w:t>原煤破碎筛分粉尘、原煤装卸、堆放扬尘、物料运输粉尘、道路运输扬尘、运输车辆尾气</w:t>
      </w:r>
      <w:r>
        <w:rPr>
          <w:rFonts w:hint="default" w:ascii="Times New Roman" w:hAnsi="Times New Roman" w:eastAsia="方正仿宋简体" w:cs="Times New Roman"/>
          <w:color w:val="auto"/>
          <w:kern w:val="2"/>
          <w:sz w:val="32"/>
          <w:szCs w:val="32"/>
          <w:lang w:val="en-US" w:eastAsia="zh-CN" w:bidi="ar-SA"/>
        </w:rPr>
        <w:t>及食堂油烟</w:t>
      </w:r>
      <w:r>
        <w:rPr>
          <w:rFonts w:hint="default" w:ascii="Times New Roman" w:hAnsi="Times New Roman" w:eastAsia="方正仿宋简体" w:cs="Times New Roman"/>
          <w:color w:val="auto"/>
          <w:kern w:val="2"/>
          <w:sz w:val="32"/>
          <w:szCs w:val="32"/>
          <w:lang w:val="en-US" w:eastAsia="zh-CN" w:bidi="ar-SA"/>
        </w:rPr>
        <w:t>。原煤破碎筛分粉尘经集气罩收集+布袋除尘器处理，废气中颗粒物排放须满足《煤炭工业污染物排放标准》（GB20426-2006）表4煤炭工业大气污染物排放限值要求后，通过一根15米高的排气筒排放（DA001）。食堂油烟经引风机收集后通过一套油烟净化装置进行处理，须满足《饮食油烟排放标准》（GB18483-2001）表2排放标准（≤2.0mg/m</w:t>
      </w:r>
      <w:r>
        <w:rPr>
          <w:rFonts w:hint="default" w:ascii="Times New Roman" w:hAnsi="Times New Roman" w:eastAsia="方正仿宋简体" w:cs="Times New Roman"/>
          <w:color w:val="auto"/>
          <w:kern w:val="2"/>
          <w:sz w:val="32"/>
          <w:szCs w:val="32"/>
          <w:vertAlign w:val="superscript"/>
          <w:lang w:val="en-US" w:eastAsia="zh-CN" w:bidi="ar-SA"/>
        </w:rPr>
        <w:t>3</w:t>
      </w:r>
      <w:r>
        <w:rPr>
          <w:rFonts w:hint="default" w:ascii="Times New Roman" w:hAnsi="Times New Roman" w:eastAsia="方正仿宋简体" w:cs="Times New Roman"/>
          <w:color w:val="auto"/>
          <w:kern w:val="2"/>
          <w:sz w:val="32"/>
          <w:szCs w:val="32"/>
          <w:lang w:val="en-US" w:eastAsia="zh-CN" w:bidi="ar-SA"/>
        </w:rPr>
        <w:t>）后，通过排烟烟道引至楼顶排放。</w:t>
      </w:r>
    </w:p>
    <w:p w14:paraId="6C1374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仿宋简体" w:cs="Times New Roman"/>
          <w:color w:val="auto"/>
          <w:kern w:val="2"/>
          <w:sz w:val="32"/>
          <w:szCs w:val="32"/>
          <w:lang w:val="en-US" w:eastAsia="zh-CN" w:bidi="ar-SA"/>
        </w:rPr>
        <w:t>通过采取全封闭式洗煤车间、</w:t>
      </w:r>
      <w:r>
        <w:rPr>
          <w:rFonts w:hint="default" w:ascii="Times New Roman" w:hAnsi="Times New Roman" w:eastAsia="方正仿宋简体" w:cs="Times New Roman"/>
          <w:color w:val="auto"/>
          <w:kern w:val="2"/>
          <w:sz w:val="32"/>
          <w:szCs w:val="32"/>
          <w:lang w:val="en-US" w:eastAsia="zh-CN" w:bidi="ar-SA"/>
        </w:rPr>
        <w:t>原煤场地和精煤场地</w:t>
      </w:r>
      <w:r>
        <w:rPr>
          <w:rFonts w:hint="default" w:ascii="Times New Roman" w:hAnsi="Times New Roman" w:eastAsia="方正仿宋简体" w:cs="Times New Roman"/>
          <w:color w:val="auto"/>
          <w:kern w:val="2"/>
          <w:sz w:val="32"/>
          <w:szCs w:val="32"/>
          <w:lang w:val="en-US" w:eastAsia="zh-CN" w:bidi="ar-SA"/>
        </w:rPr>
        <w:t>，设置微雾除尘系统降尘，原煤及产品运输过程由密闭廊道输送；路面定期采用洒水车辆进行冲洗，运输车辆限速限行，加盖篷布，禁止无防尘设施车辆运输；厂区绿化等措施，确保厂界颗粒物无组织排放满足《煤炭工业污染物排放标准》（GB20426-2006）表5煤炭工业无组织排放限值要求。</w:t>
      </w:r>
    </w:p>
    <w:p w14:paraId="244235D7">
      <w:pPr>
        <w:keepNext w:val="0"/>
        <w:keepLines w:val="0"/>
        <w:pageBreakBefore w:val="0"/>
        <w:kinsoku/>
        <w:wordWrap/>
        <w:overflowPunct w:val="0"/>
        <w:topLinePunct/>
        <w:autoSpaceDE/>
        <w:autoSpaceDN/>
        <w:bidi w:val="0"/>
        <w:spacing w:line="56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rPr>
        <w:t>（三）严格落实水污染防治措施。</w:t>
      </w:r>
      <w:r>
        <w:rPr>
          <w:rFonts w:hint="default" w:ascii="Times New Roman" w:hAnsi="Times New Roman" w:eastAsia="方正仿宋简体" w:cs="Times New Roman"/>
          <w:color w:val="auto"/>
          <w:kern w:val="0"/>
          <w:sz w:val="32"/>
          <w:szCs w:val="32"/>
        </w:rPr>
        <w:t>该项目运营期产生的废水主要是</w:t>
      </w:r>
      <w:r>
        <w:rPr>
          <w:rFonts w:hint="default" w:ascii="Times New Roman" w:hAnsi="Times New Roman" w:eastAsia="方正仿宋简体" w:cs="Times New Roman"/>
          <w:color w:val="auto"/>
          <w:kern w:val="0"/>
          <w:sz w:val="32"/>
          <w:szCs w:val="32"/>
          <w:lang w:val="en-US" w:eastAsia="zh-CN"/>
        </w:rPr>
        <w:t>洗选工艺废水、洗车废水及生活污水。洗选工艺废水经浓缩池、清水池沉淀后循环使用，不外排；洗车废水</w:t>
      </w:r>
      <w:r>
        <w:rPr>
          <w:rFonts w:hint="default" w:ascii="Times New Roman" w:hAnsi="Times New Roman" w:eastAsia="方正仿宋简体" w:cs="Times New Roman"/>
          <w:color w:val="auto"/>
          <w:sz w:val="32"/>
          <w:szCs w:val="32"/>
          <w:lang w:val="en-US" w:eastAsia="zh-CN"/>
        </w:rPr>
        <w:t>经沉淀池沉淀后循环利用，不外排；</w:t>
      </w:r>
      <w:r>
        <w:rPr>
          <w:rFonts w:hint="default" w:ascii="Times New Roman" w:hAnsi="Times New Roman" w:eastAsia="方正仿宋简体" w:cs="Times New Roman"/>
          <w:color w:val="auto"/>
          <w:kern w:val="0"/>
          <w:sz w:val="32"/>
          <w:szCs w:val="32"/>
          <w:lang w:val="en-US" w:eastAsia="zh-CN"/>
        </w:rPr>
        <w:t>生活污水经化粪池收集处理达到《污水综合排放标准》（GB8978-1996）中三级标准限值要求后，由吸污车清运至库车经济技术开发区工业污水处理厂处理。</w:t>
      </w:r>
    </w:p>
    <w:p w14:paraId="2C03C3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rPr>
        <w:t>（四）严格落实噪声污染防治措施。</w:t>
      </w:r>
      <w:r>
        <w:rPr>
          <w:rFonts w:hint="default" w:ascii="Times New Roman" w:hAnsi="Times New Roman" w:eastAsia="方正仿宋简体" w:cs="Times New Roman"/>
          <w:color w:val="auto"/>
          <w:kern w:val="0"/>
          <w:sz w:val="32"/>
          <w:szCs w:val="32"/>
        </w:rPr>
        <w:t>该项目运营期产生的噪声主要为生产装置区</w:t>
      </w:r>
      <w:r>
        <w:rPr>
          <w:rFonts w:hint="default" w:ascii="Times New Roman" w:hAnsi="Times New Roman" w:eastAsia="方正仿宋简体" w:cs="Times New Roman"/>
          <w:color w:val="auto"/>
          <w:kern w:val="0"/>
          <w:sz w:val="32"/>
          <w:szCs w:val="32"/>
          <w:lang w:val="en-US" w:eastAsia="zh-CN"/>
        </w:rPr>
        <w:t>破碎机、分级筛、跳汰洗煤机等设备运行</w:t>
      </w:r>
      <w:r>
        <w:rPr>
          <w:rFonts w:hint="default" w:ascii="Times New Roman" w:hAnsi="Times New Roman" w:eastAsia="方正仿宋简体" w:cs="Times New Roman"/>
          <w:color w:val="auto"/>
          <w:kern w:val="0"/>
          <w:sz w:val="32"/>
          <w:szCs w:val="32"/>
        </w:rPr>
        <w:t>产生的噪声。</w:t>
      </w:r>
      <w:r>
        <w:rPr>
          <w:rFonts w:hint="default" w:ascii="Times New Roman" w:hAnsi="Times New Roman" w:eastAsia="方正仿宋简体" w:cs="Times New Roman"/>
          <w:color w:val="auto"/>
          <w:kern w:val="0"/>
          <w:sz w:val="32"/>
          <w:szCs w:val="32"/>
          <w:lang w:eastAsia="zh-CN"/>
        </w:rPr>
        <w:t>通过</w:t>
      </w:r>
      <w:r>
        <w:rPr>
          <w:rFonts w:hint="default" w:ascii="Times New Roman" w:hAnsi="Times New Roman" w:eastAsia="方正仿宋简体" w:cs="Times New Roman"/>
          <w:color w:val="auto"/>
          <w:kern w:val="0"/>
          <w:sz w:val="32"/>
          <w:szCs w:val="32"/>
        </w:rPr>
        <w:t>采取合理布局产噪设备，选择低噪声设备，对大功率噪声设备采取安装减振垫、管道和风机口采用软连接、风机加装消声器</w:t>
      </w:r>
      <w:r>
        <w:rPr>
          <w:rFonts w:hint="default" w:ascii="Times New Roman" w:hAnsi="Times New Roman" w:eastAsia="方正仿宋简体" w:cs="Times New Roman"/>
          <w:color w:val="auto"/>
          <w:kern w:val="0"/>
          <w:sz w:val="32"/>
          <w:szCs w:val="32"/>
          <w:lang w:eastAsia="zh-CN"/>
        </w:rPr>
        <w:t>、将</w:t>
      </w:r>
      <w:r>
        <w:rPr>
          <w:rFonts w:hint="default" w:ascii="Times New Roman" w:hAnsi="Times New Roman" w:eastAsia="方正仿宋简体" w:cs="Times New Roman"/>
          <w:color w:val="auto"/>
          <w:kern w:val="0"/>
          <w:sz w:val="32"/>
          <w:szCs w:val="32"/>
        </w:rPr>
        <w:t>噪声设备置于室内，并采用隔声、吸音材料制作门窗、砌体</w:t>
      </w:r>
      <w:r>
        <w:rPr>
          <w:rFonts w:hint="default" w:ascii="Times New Roman" w:hAnsi="Times New Roman" w:eastAsia="方正仿宋简体" w:cs="Times New Roman"/>
          <w:color w:val="auto"/>
          <w:kern w:val="0"/>
          <w:sz w:val="32"/>
          <w:szCs w:val="32"/>
          <w:lang w:eastAsia="zh-CN"/>
        </w:rPr>
        <w:t>、</w:t>
      </w:r>
      <w:r>
        <w:rPr>
          <w:rFonts w:hint="default" w:ascii="Times New Roman" w:hAnsi="Times New Roman" w:eastAsia="方正仿宋简体" w:cs="Times New Roman"/>
          <w:color w:val="auto"/>
          <w:kern w:val="0"/>
          <w:sz w:val="32"/>
          <w:szCs w:val="32"/>
        </w:rPr>
        <w:t>对设备进行定期维护，确保设备运行状态良好；加强厂区绿化</w:t>
      </w:r>
      <w:r>
        <w:rPr>
          <w:rFonts w:hint="default" w:ascii="Times New Roman" w:hAnsi="Times New Roman" w:eastAsia="方正仿宋简体" w:cs="Times New Roman"/>
          <w:color w:val="auto"/>
          <w:kern w:val="0"/>
          <w:sz w:val="32"/>
          <w:szCs w:val="32"/>
          <w:lang w:eastAsia="zh-CN"/>
        </w:rPr>
        <w:t>等措施，</w:t>
      </w:r>
      <w:r>
        <w:rPr>
          <w:rFonts w:hint="default" w:ascii="Times New Roman" w:hAnsi="Times New Roman" w:eastAsia="方正仿宋简体" w:cs="Times New Roman"/>
          <w:color w:val="auto"/>
          <w:kern w:val="0"/>
          <w:sz w:val="32"/>
          <w:szCs w:val="32"/>
          <w:lang w:val="en-US" w:eastAsia="zh-CN"/>
        </w:rPr>
        <w:t>确保</w:t>
      </w:r>
      <w:r>
        <w:rPr>
          <w:rFonts w:hint="default" w:ascii="Times New Roman" w:hAnsi="Times New Roman" w:eastAsia="方正仿宋简体" w:cs="Times New Roman"/>
          <w:color w:val="auto"/>
          <w:kern w:val="0"/>
          <w:sz w:val="32"/>
          <w:szCs w:val="32"/>
        </w:rPr>
        <w:t>厂界北侧噪声排放满足《工业企业厂界环境噪声排放标准》（GB12348-2008）中4类标准限值要求；厂界东侧、西侧及南侧噪声</w:t>
      </w:r>
      <w:r>
        <w:rPr>
          <w:rFonts w:hint="default" w:ascii="Times New Roman" w:hAnsi="Times New Roman" w:eastAsia="方正仿宋简体" w:cs="Times New Roman"/>
          <w:color w:val="auto"/>
          <w:kern w:val="0"/>
          <w:sz w:val="32"/>
          <w:szCs w:val="32"/>
          <w:lang w:val="en-US" w:eastAsia="zh-CN"/>
        </w:rPr>
        <w:t>排放</w:t>
      </w:r>
      <w:r>
        <w:rPr>
          <w:rFonts w:hint="default" w:ascii="Times New Roman" w:hAnsi="Times New Roman" w:eastAsia="方正仿宋简体" w:cs="Times New Roman"/>
          <w:color w:val="auto"/>
          <w:kern w:val="0"/>
          <w:sz w:val="32"/>
          <w:szCs w:val="32"/>
        </w:rPr>
        <w:t>满足《工业企业厂界环境噪声排放标准》（GB12348-2008）中3类标准</w:t>
      </w:r>
      <w:r>
        <w:rPr>
          <w:rFonts w:hint="default" w:ascii="Times New Roman" w:hAnsi="Times New Roman" w:eastAsia="方正仿宋简体" w:cs="Times New Roman"/>
          <w:color w:val="auto"/>
          <w:kern w:val="0"/>
          <w:sz w:val="32"/>
          <w:szCs w:val="32"/>
          <w:lang w:val="en-US" w:eastAsia="zh-CN"/>
        </w:rPr>
        <w:t>限值</w:t>
      </w:r>
      <w:r>
        <w:rPr>
          <w:rFonts w:hint="default" w:ascii="Times New Roman" w:hAnsi="Times New Roman" w:eastAsia="方正仿宋简体" w:cs="Times New Roman"/>
          <w:color w:val="auto"/>
          <w:kern w:val="0"/>
          <w:sz w:val="32"/>
          <w:szCs w:val="32"/>
        </w:rPr>
        <w:t>要求。</w:t>
      </w:r>
    </w:p>
    <w:p w14:paraId="3F0C43D0">
      <w:pPr>
        <w:pStyle w:val="19"/>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rPr>
        <w:t>（五）严格落实固体废物分类处置措施。</w:t>
      </w:r>
      <w:r>
        <w:rPr>
          <w:rFonts w:hint="default" w:ascii="Times New Roman" w:hAnsi="Times New Roman" w:eastAsia="方正仿宋简体" w:cs="Times New Roman"/>
          <w:color w:val="auto"/>
          <w:kern w:val="0"/>
          <w:sz w:val="32"/>
          <w:szCs w:val="32"/>
        </w:rPr>
        <w:t>该项目运营期固废主要为</w:t>
      </w:r>
      <w:r>
        <w:rPr>
          <w:rFonts w:hint="default" w:ascii="Times New Roman" w:hAnsi="Times New Roman" w:eastAsia="方正仿宋简体" w:cs="Times New Roman"/>
          <w:color w:val="auto"/>
          <w:kern w:val="0"/>
          <w:sz w:val="32"/>
          <w:szCs w:val="32"/>
          <w:lang w:eastAsia="zh-CN"/>
        </w:rPr>
        <w:t>废</w:t>
      </w:r>
      <w:r>
        <w:rPr>
          <w:rFonts w:hint="default" w:ascii="Times New Roman" w:hAnsi="Times New Roman" w:eastAsia="方正仿宋简体" w:cs="Times New Roman"/>
          <w:color w:val="auto"/>
          <w:kern w:val="0"/>
          <w:sz w:val="32"/>
          <w:szCs w:val="32"/>
          <w:lang w:val="en-US" w:eastAsia="zh-CN"/>
        </w:rPr>
        <w:t>机</w:t>
      </w:r>
      <w:r>
        <w:rPr>
          <w:rFonts w:hint="default" w:ascii="Times New Roman" w:hAnsi="Times New Roman" w:eastAsia="方正仿宋简体" w:cs="Times New Roman"/>
          <w:color w:val="auto"/>
          <w:kern w:val="0"/>
          <w:sz w:val="32"/>
          <w:szCs w:val="32"/>
          <w:lang w:eastAsia="zh-CN"/>
        </w:rPr>
        <w:t>油等危险废物和</w:t>
      </w:r>
      <w:r>
        <w:rPr>
          <w:rFonts w:hint="default" w:ascii="Times New Roman" w:hAnsi="Times New Roman" w:eastAsia="方正仿宋简体" w:cs="Times New Roman"/>
          <w:color w:val="auto"/>
          <w:kern w:val="0"/>
          <w:sz w:val="32"/>
          <w:szCs w:val="32"/>
          <w:lang w:val="en-US" w:eastAsia="zh-CN"/>
        </w:rPr>
        <w:t>煤矸石、煤泥、沉淀池底泥等一般固废及生活垃圾。</w:t>
      </w:r>
      <w:r>
        <w:rPr>
          <w:rFonts w:hint="default" w:ascii="Times New Roman" w:hAnsi="Times New Roman" w:eastAsia="方正仿宋简体" w:cs="Times New Roman"/>
          <w:color w:val="auto"/>
          <w:kern w:val="0"/>
          <w:sz w:val="32"/>
          <w:szCs w:val="32"/>
          <w:lang w:eastAsia="zh-CN"/>
        </w:rPr>
        <w:t>废</w:t>
      </w:r>
      <w:r>
        <w:rPr>
          <w:rFonts w:hint="default" w:ascii="Times New Roman" w:hAnsi="Times New Roman" w:eastAsia="方正仿宋简体" w:cs="Times New Roman"/>
          <w:color w:val="auto"/>
          <w:kern w:val="0"/>
          <w:sz w:val="32"/>
          <w:szCs w:val="32"/>
          <w:lang w:val="en-US" w:eastAsia="zh-CN"/>
        </w:rPr>
        <w:t>机油收集后暂存于厂内危险废物贮存点，定期委托有资质的危险废物经营单位处置，严格执行危险废物转移联单制度，按照《危险废物贮存污染控制标准》（GB 18597-2023）建设和管理危险废物贮存点。矸石、煤泥、除尘灰及沉淀池底泥暂存于原煤仓定期外售给建材企业；</w:t>
      </w:r>
      <w:r>
        <w:rPr>
          <w:rFonts w:hint="default" w:ascii="Times New Roman" w:hAnsi="Times New Roman" w:eastAsia="方正仿宋简体" w:cs="Times New Roman"/>
          <w:bCs/>
          <w:color w:val="auto"/>
          <w:kern w:val="2"/>
          <w:sz w:val="32"/>
          <w:szCs w:val="32"/>
          <w:lang w:val="en-US" w:eastAsia="zh-CN" w:bidi="ar-SA"/>
        </w:rPr>
        <w:t>生活垃圾收集后定期由环卫部门清运处理。</w:t>
      </w:r>
    </w:p>
    <w:p w14:paraId="602AF8F4">
      <w:pPr>
        <w:pStyle w:val="4"/>
        <w:keepNext w:val="0"/>
        <w:keepLines w:val="0"/>
        <w:pageBreakBefore w:val="0"/>
        <w:kinsoku/>
        <w:wordWrap/>
        <w:autoSpaceDE/>
        <w:autoSpaceDN/>
        <w:bidi w:val="0"/>
        <w:adjustRightInd w:val="0"/>
        <w:snapToGrid w:val="0"/>
        <w:spacing w:line="560" w:lineRule="exact"/>
        <w:ind w:firstLine="640" w:firstLineChars="200"/>
        <w:textAlignment w:val="auto"/>
        <w:rPr>
          <w:rFonts w:hint="default" w:ascii="Times New Roman" w:hAnsi="Times New Roman" w:eastAsia="方正仿宋简体" w:cs="Times New Roman"/>
          <w:color w:val="auto"/>
          <w:kern w:val="0"/>
          <w:sz w:val="32"/>
          <w:szCs w:val="32"/>
          <w:highlight w:val="none"/>
          <w:lang w:val="en-US" w:eastAsia="zh-CN"/>
        </w:rPr>
      </w:pP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六</w:t>
      </w: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严格落实地下水和土壤污染防治措施。</w:t>
      </w:r>
      <w:r>
        <w:rPr>
          <w:rFonts w:hint="default" w:ascii="Times New Roman" w:hAnsi="Times New Roman" w:eastAsia="方正仿宋简体" w:cs="Times New Roman"/>
          <w:color w:val="auto"/>
          <w:kern w:val="0"/>
          <w:sz w:val="32"/>
          <w:szCs w:val="32"/>
          <w:highlight w:val="none"/>
        </w:rPr>
        <w:t>项目厂区划分为重点防渗区、一般防渗区、简单防渗区。重点防渗区</w:t>
      </w:r>
      <w:r>
        <w:rPr>
          <w:rFonts w:hint="default" w:ascii="Times New Roman" w:hAnsi="Times New Roman" w:eastAsia="方正仿宋简体" w:cs="Times New Roman"/>
          <w:color w:val="auto"/>
          <w:kern w:val="0"/>
          <w:sz w:val="32"/>
          <w:szCs w:val="32"/>
          <w:highlight w:val="none"/>
          <w:lang w:val="en-US" w:eastAsia="zh-CN"/>
        </w:rPr>
        <w:t>为危险废物贮存点，须满足《危险废物贮存污染控制标准》（GB18597-2023）的相关防渗要求；一般防渗区为厂房、原煤场地、精煤场地、洗煤车间，防渗要求为等效黏</w:t>
      </w:r>
      <w:r>
        <w:rPr>
          <w:rFonts w:hint="default" w:ascii="Times New Roman" w:hAnsi="Times New Roman" w:eastAsia="方正仿宋简体" w:cs="Times New Roman"/>
          <w:color w:val="auto"/>
          <w:kern w:val="0"/>
          <w:sz w:val="32"/>
          <w:szCs w:val="32"/>
          <w:highlight w:val="none"/>
        </w:rPr>
        <w:t>土防渗层Mb≥1.5米，渗透系数≤1×10</w:t>
      </w:r>
      <w:r>
        <w:rPr>
          <w:rFonts w:hint="default" w:ascii="Times New Roman" w:hAnsi="Times New Roman" w:eastAsia="方正仿宋简体" w:cs="Times New Roman"/>
          <w:color w:val="auto"/>
          <w:kern w:val="0"/>
          <w:sz w:val="32"/>
          <w:szCs w:val="32"/>
          <w:highlight w:val="none"/>
          <w:vertAlign w:val="superscript"/>
        </w:rPr>
        <w:t>-7</w:t>
      </w:r>
      <w:r>
        <w:rPr>
          <w:rFonts w:hint="default" w:ascii="Times New Roman" w:hAnsi="Times New Roman" w:eastAsia="方正仿宋简体" w:cs="Times New Roman"/>
          <w:color w:val="auto"/>
          <w:kern w:val="0"/>
          <w:sz w:val="32"/>
          <w:szCs w:val="32"/>
          <w:highlight w:val="none"/>
        </w:rPr>
        <w:t>厘米/秒；其余部位为简单防渗</w:t>
      </w:r>
      <w:r>
        <w:rPr>
          <w:rFonts w:hint="default" w:ascii="Times New Roman" w:hAnsi="Times New Roman" w:eastAsia="方正仿宋简体" w:cs="Times New Roman"/>
          <w:color w:val="auto"/>
          <w:kern w:val="0"/>
          <w:sz w:val="32"/>
          <w:szCs w:val="32"/>
          <w:highlight w:val="none"/>
          <w:lang w:val="en-US" w:eastAsia="zh-CN"/>
        </w:rPr>
        <w:t>区</w:t>
      </w:r>
      <w:r>
        <w:rPr>
          <w:rFonts w:hint="default" w:ascii="Times New Roman" w:hAnsi="Times New Roman" w:eastAsia="方正仿宋简体" w:cs="Times New Roman"/>
          <w:color w:val="auto"/>
          <w:kern w:val="0"/>
          <w:sz w:val="32"/>
          <w:szCs w:val="32"/>
          <w:highlight w:val="none"/>
        </w:rPr>
        <w:t>，仅进行地面硬化</w:t>
      </w:r>
      <w:r>
        <w:rPr>
          <w:rFonts w:hint="default" w:ascii="Times New Roman" w:hAnsi="Times New Roman" w:eastAsia="方正仿宋简体" w:cs="Times New Roman"/>
          <w:color w:val="auto"/>
          <w:kern w:val="0"/>
          <w:sz w:val="32"/>
          <w:szCs w:val="32"/>
          <w:highlight w:val="none"/>
          <w:lang w:eastAsia="zh-CN"/>
        </w:rPr>
        <w:t>。</w:t>
      </w:r>
    </w:p>
    <w:p w14:paraId="782822B0">
      <w:pPr>
        <w:pStyle w:val="4"/>
        <w:keepNext w:val="0"/>
        <w:keepLines w:val="0"/>
        <w:pageBreakBefore w:val="0"/>
        <w:kinsoku/>
        <w:wordWrap/>
        <w:autoSpaceDE/>
        <w:autoSpaceDN/>
        <w:bidi w:val="0"/>
        <w:adjustRightInd w:val="0"/>
        <w:snapToGrid w:val="0"/>
        <w:spacing w:line="56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楷体简体" w:cs="Times New Roman"/>
          <w:color w:val="auto"/>
          <w:kern w:val="0"/>
          <w:sz w:val="32"/>
          <w:szCs w:val="32"/>
        </w:rPr>
        <w:t>（七）加强项目环境风险防范。</w:t>
      </w:r>
      <w:r>
        <w:rPr>
          <w:rFonts w:hint="default" w:ascii="Times New Roman" w:hAnsi="Times New Roman" w:eastAsia="方正仿宋简体" w:cs="Times New Roman"/>
          <w:color w:val="auto"/>
          <w:kern w:val="0"/>
          <w:sz w:val="32"/>
          <w:szCs w:val="32"/>
          <w:lang w:val="zh-CN" w:eastAsia="zh-CN" w:bidi="ar-SA"/>
        </w:rPr>
        <w:t>建立严格的环境风险管理制度，认真落实《报告表》提出的各项风险防范措施；制定相关应急预案，编制《突发</w:t>
      </w:r>
      <w:r>
        <w:rPr>
          <w:rFonts w:hint="default" w:ascii="Times New Roman" w:hAnsi="Times New Roman" w:eastAsia="方正仿宋简体" w:cs="Times New Roman"/>
          <w:color w:val="auto"/>
          <w:kern w:val="0"/>
          <w:sz w:val="32"/>
          <w:szCs w:val="32"/>
          <w:lang w:val="en-US" w:eastAsia="zh-CN" w:bidi="ar-SA"/>
        </w:rPr>
        <w:t>生态</w:t>
      </w:r>
      <w:r>
        <w:rPr>
          <w:rFonts w:hint="default" w:ascii="Times New Roman" w:hAnsi="Times New Roman" w:eastAsia="方正仿宋简体" w:cs="Times New Roman"/>
          <w:color w:val="auto"/>
          <w:kern w:val="0"/>
          <w:sz w:val="32"/>
          <w:szCs w:val="32"/>
          <w:lang w:val="zh-CN" w:eastAsia="zh-CN" w:bidi="ar-SA"/>
        </w:rPr>
        <w:t>环境事件应急预案》报生态环境主管部门备案，定期开展环境风险应急培训和突发</w:t>
      </w:r>
      <w:r>
        <w:rPr>
          <w:rFonts w:hint="default" w:ascii="Times New Roman" w:hAnsi="Times New Roman" w:eastAsia="方正仿宋简体" w:cs="Times New Roman"/>
          <w:color w:val="auto"/>
          <w:kern w:val="0"/>
          <w:sz w:val="32"/>
          <w:szCs w:val="32"/>
          <w:lang w:val="en-US" w:eastAsia="zh-CN" w:bidi="ar-SA"/>
        </w:rPr>
        <w:t>生态</w:t>
      </w:r>
      <w:r>
        <w:rPr>
          <w:rFonts w:hint="default" w:ascii="Times New Roman" w:hAnsi="Times New Roman" w:eastAsia="方正仿宋简体" w:cs="Times New Roman"/>
          <w:color w:val="auto"/>
          <w:kern w:val="0"/>
          <w:sz w:val="32"/>
          <w:szCs w:val="32"/>
          <w:lang w:val="zh-CN" w:eastAsia="zh-CN" w:bidi="ar-SA"/>
        </w:rPr>
        <w:t>环境事件应急演练，有效防控环境风险。一旦发生突发</w:t>
      </w:r>
      <w:r>
        <w:rPr>
          <w:rFonts w:hint="default" w:ascii="Times New Roman" w:hAnsi="Times New Roman" w:eastAsia="方正仿宋简体" w:cs="Times New Roman"/>
          <w:color w:val="auto"/>
          <w:kern w:val="0"/>
          <w:sz w:val="32"/>
          <w:szCs w:val="32"/>
          <w:lang w:val="en-US" w:eastAsia="zh-CN" w:bidi="ar-SA"/>
        </w:rPr>
        <w:t>生态</w:t>
      </w:r>
      <w:r>
        <w:rPr>
          <w:rFonts w:hint="default" w:ascii="Times New Roman" w:hAnsi="Times New Roman" w:eastAsia="方正仿宋简体" w:cs="Times New Roman"/>
          <w:color w:val="auto"/>
          <w:kern w:val="0"/>
          <w:sz w:val="32"/>
          <w:szCs w:val="32"/>
          <w:lang w:val="zh-CN" w:eastAsia="zh-CN" w:bidi="ar-SA"/>
        </w:rPr>
        <w:t>环境事件，立即启动应急预案，采取有效措施控制、减轻或消除对大气、土壤、地下水环境的污染。</w:t>
      </w:r>
    </w:p>
    <w:p w14:paraId="191A6F91">
      <w:pPr>
        <w:keepNext w:val="0"/>
        <w:keepLines w:val="0"/>
        <w:pageBreakBefore w:val="0"/>
        <w:kinsoku/>
        <w:wordWrap/>
        <w:autoSpaceDE/>
        <w:autoSpaceDN/>
        <w:bidi w:val="0"/>
        <w:spacing w:line="56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黑体简体" w:cs="Times New Roman"/>
          <w:color w:val="auto"/>
          <w:kern w:val="0"/>
          <w:sz w:val="32"/>
          <w:szCs w:val="32"/>
          <w:lang w:val="zh-CN"/>
        </w:rPr>
        <w:t>四、</w:t>
      </w:r>
      <w:r>
        <w:rPr>
          <w:rFonts w:hint="default" w:ascii="Times New Roman" w:hAnsi="Times New Roman" w:eastAsia="方正仿宋简体" w:cs="Times New Roman"/>
          <w:color w:val="auto"/>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w:t>
      </w:r>
    </w:p>
    <w:p w14:paraId="66291B01">
      <w:pPr>
        <w:pStyle w:val="14"/>
        <w:keepNext w:val="0"/>
        <w:keepLines w:val="0"/>
        <w:pageBreakBefore w:val="0"/>
        <w:kinsoku/>
        <w:wordWrap/>
        <w:autoSpaceDE/>
        <w:autoSpaceDN/>
        <w:bidi w:val="0"/>
        <w:spacing w:after="0" w:line="560" w:lineRule="exact"/>
        <w:ind w:left="0" w:leftChars="0" w:firstLine="64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黑体简体" w:cs="Times New Roman"/>
          <w:color w:val="auto"/>
          <w:kern w:val="0"/>
          <w:sz w:val="32"/>
          <w:szCs w:val="32"/>
          <w:lang w:val="zh-CN" w:eastAsia="zh-CN" w:bidi="ar-SA"/>
        </w:rPr>
        <w:t>五、</w:t>
      </w:r>
      <w:r>
        <w:rPr>
          <w:rFonts w:hint="default" w:ascii="Times New Roman" w:hAnsi="Times New Roman" w:eastAsia="方正仿宋简体" w:cs="Times New Roman"/>
          <w:color w:val="auto"/>
          <w:kern w:val="0"/>
          <w:sz w:val="32"/>
          <w:szCs w:val="32"/>
        </w:rPr>
        <w:t>根据《中华人民共和国</w:t>
      </w:r>
      <w:r>
        <w:rPr>
          <w:rFonts w:hint="default" w:ascii="Times New Roman" w:hAnsi="Times New Roman" w:eastAsia="方正仿宋简体" w:cs="Times New Roman"/>
          <w:color w:val="auto"/>
          <w:kern w:val="0"/>
          <w:sz w:val="32"/>
          <w:szCs w:val="32"/>
          <w:lang w:val="en-US" w:eastAsia="zh-CN"/>
        </w:rPr>
        <w:t>生态环境法典</w:t>
      </w:r>
      <w:r>
        <w:rPr>
          <w:rFonts w:hint="default" w:ascii="Times New Roman" w:hAnsi="Times New Roman" w:eastAsia="方正仿宋简体" w:cs="Times New Roman"/>
          <w:color w:val="auto"/>
          <w:kern w:val="0"/>
          <w:sz w:val="32"/>
          <w:szCs w:val="32"/>
        </w:rPr>
        <w:t>》等相关环保法律法规的规定，若项目性质、规模、地点、采用的防治污染、防止生态破坏的措施等发生重大变化的，应依法重新报批环评文件。自批准之日起超过5年方决定该项目开工建设的，其环评文件应当报我局重新审核。</w:t>
      </w:r>
    </w:p>
    <w:p w14:paraId="57C3BF1D">
      <w:pPr>
        <w:pStyle w:val="14"/>
        <w:keepNext w:val="0"/>
        <w:keepLines w:val="0"/>
        <w:pageBreakBefore w:val="0"/>
        <w:kinsoku/>
        <w:wordWrap/>
        <w:autoSpaceDE/>
        <w:autoSpaceDN/>
        <w:bidi w:val="0"/>
        <w:spacing w:after="0" w:line="560" w:lineRule="exact"/>
        <w:ind w:left="0" w:leftChars="0" w:firstLine="64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黑体简体" w:cs="Times New Roman"/>
          <w:color w:val="auto"/>
          <w:kern w:val="0"/>
          <w:sz w:val="32"/>
          <w:szCs w:val="32"/>
          <w:lang w:val="zh-CN" w:eastAsia="zh-CN" w:bidi="ar-SA"/>
        </w:rPr>
        <w:t>六、</w:t>
      </w:r>
      <w:r>
        <w:rPr>
          <w:rFonts w:hint="default" w:ascii="Times New Roman" w:hAnsi="Times New Roman" w:eastAsia="方正仿宋简体" w:cs="Times New Roman"/>
          <w:color w:val="auto"/>
          <w:kern w:val="0"/>
          <w:sz w:val="32"/>
          <w:szCs w:val="32"/>
        </w:rPr>
        <w:t>在启动生产设施或者在实际排污之前，按照经批准的环境影响评价文件认真梳理并确认各项环境保护措施落实后，依法</w:t>
      </w:r>
      <w:r>
        <w:rPr>
          <w:rFonts w:hint="default" w:ascii="Times New Roman" w:hAnsi="Times New Roman" w:eastAsia="方正仿宋简体" w:cs="Times New Roman"/>
          <w:color w:val="auto"/>
          <w:kern w:val="0"/>
          <w:sz w:val="32"/>
          <w:szCs w:val="32"/>
          <w:highlight w:val="none"/>
        </w:rPr>
        <w:t>申领</w:t>
      </w:r>
      <w:r>
        <w:rPr>
          <w:rFonts w:hint="default" w:ascii="Times New Roman" w:hAnsi="Times New Roman" w:eastAsia="方正仿宋简体" w:cs="Times New Roman"/>
          <w:color w:val="auto"/>
          <w:kern w:val="0"/>
          <w:sz w:val="32"/>
          <w:szCs w:val="32"/>
          <w:highlight w:val="none"/>
          <w:lang w:eastAsia="zh-CN"/>
        </w:rPr>
        <w:t>或变更</w:t>
      </w:r>
      <w:r>
        <w:rPr>
          <w:rFonts w:hint="default" w:ascii="Times New Roman" w:hAnsi="Times New Roman" w:eastAsia="方正仿宋简体" w:cs="Times New Roman"/>
          <w:color w:val="auto"/>
          <w:kern w:val="0"/>
          <w:sz w:val="32"/>
          <w:szCs w:val="32"/>
          <w:highlight w:val="none"/>
        </w:rPr>
        <w:t>排污许可</w:t>
      </w:r>
      <w:r>
        <w:rPr>
          <w:rFonts w:hint="default" w:ascii="Times New Roman" w:hAnsi="Times New Roman" w:eastAsia="方正仿宋简体" w:cs="Times New Roman"/>
          <w:color w:val="auto"/>
          <w:kern w:val="0"/>
          <w:sz w:val="32"/>
          <w:szCs w:val="32"/>
        </w:rPr>
        <w:t>，按照排污许可要求制定自行监测制度。</w:t>
      </w:r>
    </w:p>
    <w:p w14:paraId="19340BB8">
      <w:pPr>
        <w:pStyle w:val="4"/>
        <w:keepNext w:val="0"/>
        <w:keepLines w:val="0"/>
        <w:pageBreakBefore w:val="0"/>
        <w:kinsoku/>
        <w:wordWrap/>
        <w:overflowPunct/>
        <w:topLinePunct w:val="0"/>
        <w:autoSpaceDE/>
        <w:autoSpaceDN/>
        <w:bidi w:val="0"/>
        <w:adjustRightInd w:val="0"/>
        <w:snapToGrid w:val="0"/>
        <w:spacing w:line="53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黑体简体" w:cs="Times New Roman"/>
          <w:color w:val="auto"/>
          <w:kern w:val="0"/>
          <w:sz w:val="32"/>
          <w:szCs w:val="32"/>
          <w:lang w:val="zh-CN" w:eastAsia="zh-CN" w:bidi="ar-SA"/>
        </w:rPr>
        <w:t>七、</w:t>
      </w:r>
      <w:r>
        <w:rPr>
          <w:rFonts w:hint="default" w:ascii="Times New Roman" w:hAnsi="Times New Roman" w:eastAsia="方正仿宋简体" w:cs="Times New Roman"/>
          <w:color w:val="auto"/>
          <w:sz w:val="32"/>
          <w:szCs w:val="32"/>
          <w:lang w:val="en-US" w:eastAsia="zh-CN"/>
        </w:rPr>
        <w:t>建立严格的环境风险管理制度，认真落实《报告表》提出的各项风险防范措施；制定相关应急预案，编制《突发生态环境事件应急预案》报生态环境主管部门备案，定期开展环境风险应急培训和突发生态环境事件应急演练，有效防控环境风险。一旦发生突发生态环境事件，立即启动应急预案，采取有效措施控制、减轻或消除对大气、土壤、地下水环境的污染。</w:t>
      </w:r>
    </w:p>
    <w:p w14:paraId="78FFEB69">
      <w:pPr>
        <w:pStyle w:val="14"/>
        <w:keepNext w:val="0"/>
        <w:keepLines w:val="0"/>
        <w:pageBreakBefore w:val="0"/>
        <w:kinsoku/>
        <w:wordWrap/>
        <w:autoSpaceDE/>
        <w:autoSpaceDN/>
        <w:bidi w:val="0"/>
        <w:spacing w:after="0" w:line="560" w:lineRule="exact"/>
        <w:ind w:left="0" w:leftChars="0" w:firstLine="64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仿宋简体" w:cs="Times New Roman"/>
          <w:color w:val="auto"/>
          <w:kern w:val="0"/>
          <w:sz w:val="32"/>
          <w:szCs w:val="32"/>
        </w:rPr>
        <w:t>如你单位对本审批决定有不同意见，可在接到本决定书之日起六十日内向阿拉尔市人民政府申请行政复议，也可在六个月内依法向阿拉尔垦区人民法院起诉。</w:t>
      </w:r>
    </w:p>
    <w:p w14:paraId="2C6D8845">
      <w:pPr>
        <w:keepNext w:val="0"/>
        <w:keepLines w:val="0"/>
        <w:pageBreakBefore w:val="0"/>
        <w:widowControl/>
        <w:kinsoku/>
        <w:wordWrap/>
        <w:autoSpaceDE/>
        <w:autoSpaceDN/>
        <w:bidi w:val="0"/>
        <w:spacing w:line="560" w:lineRule="exact"/>
        <w:ind w:firstLine="4800" w:firstLineChars="1500"/>
        <w:textAlignment w:val="auto"/>
        <w:rPr>
          <w:rFonts w:hint="default" w:ascii="Times New Roman" w:hAnsi="Times New Roman" w:eastAsia="方正仿宋简体" w:cs="Times New Roman"/>
          <w:color w:val="auto"/>
          <w:kern w:val="0"/>
          <w:sz w:val="32"/>
          <w:szCs w:val="32"/>
        </w:rPr>
      </w:pPr>
    </w:p>
    <w:p w14:paraId="3518B9D5">
      <w:pPr>
        <w:keepNext w:val="0"/>
        <w:keepLines w:val="0"/>
        <w:pageBreakBefore w:val="0"/>
        <w:widowControl/>
        <w:kinsoku/>
        <w:wordWrap/>
        <w:autoSpaceDE/>
        <w:autoSpaceDN/>
        <w:bidi w:val="0"/>
        <w:spacing w:line="560" w:lineRule="exact"/>
        <w:textAlignment w:val="auto"/>
        <w:rPr>
          <w:rFonts w:hint="default" w:ascii="Times New Roman" w:hAnsi="Times New Roman" w:eastAsia="方正仿宋简体" w:cs="Times New Roman"/>
          <w:color w:val="auto"/>
          <w:kern w:val="0"/>
          <w:sz w:val="32"/>
          <w:szCs w:val="32"/>
        </w:rPr>
      </w:pPr>
    </w:p>
    <w:p w14:paraId="363B7199">
      <w:pPr>
        <w:keepNext w:val="0"/>
        <w:keepLines w:val="0"/>
        <w:pageBreakBefore w:val="0"/>
        <w:widowControl/>
        <w:kinsoku/>
        <w:wordWrap/>
        <w:autoSpaceDE/>
        <w:autoSpaceDN/>
        <w:bidi w:val="0"/>
        <w:spacing w:line="560" w:lineRule="exact"/>
        <w:ind w:firstLine="4800" w:firstLineChars="15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仿宋简体" w:cs="Times New Roman"/>
          <w:color w:val="auto"/>
          <w:kern w:val="0"/>
          <w:sz w:val="32"/>
          <w:szCs w:val="32"/>
        </w:rPr>
        <w:t>第一师阿拉尔市生态环境局</w:t>
      </w:r>
    </w:p>
    <w:p w14:paraId="6CC76D44">
      <w:pPr>
        <w:keepNext w:val="0"/>
        <w:keepLines w:val="0"/>
        <w:pageBreakBefore w:val="0"/>
        <w:widowControl/>
        <w:kinsoku/>
        <w:wordWrap/>
        <w:overflowPunct/>
        <w:topLinePunct w:val="0"/>
        <w:autoSpaceDE/>
        <w:autoSpaceDN/>
        <w:bidi w:val="0"/>
        <w:spacing w:line="560" w:lineRule="exact"/>
        <w:ind w:left="0" w:right="0" w:firstLine="5600" w:firstLineChars="1750"/>
        <w:jc w:val="both"/>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仿宋简体" w:cs="Times New Roman"/>
          <w:color w:val="auto"/>
          <w:kern w:val="0"/>
          <w:sz w:val="32"/>
          <w:szCs w:val="32"/>
        </w:rPr>
        <w:t>202</w:t>
      </w:r>
      <w:r>
        <w:rPr>
          <w:rFonts w:hint="default" w:ascii="Times New Roman" w:hAnsi="Times New Roman" w:eastAsia="方正仿宋简体" w:cs="Times New Roman"/>
          <w:color w:val="auto"/>
          <w:kern w:val="0"/>
          <w:sz w:val="32"/>
          <w:szCs w:val="32"/>
          <w:lang w:val="en-US" w:eastAsia="zh-CN"/>
        </w:rPr>
        <w:t>6</w:t>
      </w:r>
      <w:r>
        <w:rPr>
          <w:rFonts w:hint="default" w:ascii="Times New Roman" w:hAnsi="Times New Roman" w:eastAsia="方正仿宋简体" w:cs="Times New Roman"/>
          <w:color w:val="auto"/>
          <w:kern w:val="0"/>
          <w:sz w:val="32"/>
          <w:szCs w:val="32"/>
        </w:rPr>
        <w:t>年</w:t>
      </w:r>
      <w:r>
        <w:rPr>
          <w:rFonts w:hint="default" w:ascii="Times New Roman" w:hAnsi="Times New Roman" w:eastAsia="方正仿宋简体" w:cs="Times New Roman"/>
          <w:color w:val="auto"/>
          <w:kern w:val="0"/>
          <w:sz w:val="32"/>
          <w:szCs w:val="32"/>
          <w:lang w:val="en-US" w:eastAsia="zh-CN"/>
        </w:rPr>
        <w:t>9</w:t>
      </w:r>
      <w:r>
        <w:rPr>
          <w:rFonts w:hint="default" w:ascii="Times New Roman" w:hAnsi="Times New Roman" w:eastAsia="方正仿宋简体" w:cs="Times New Roman"/>
          <w:color w:val="auto"/>
          <w:kern w:val="0"/>
          <w:sz w:val="32"/>
          <w:szCs w:val="32"/>
        </w:rPr>
        <w:t>月</w:t>
      </w:r>
      <w:r>
        <w:rPr>
          <w:rFonts w:hint="default" w:ascii="Times New Roman" w:hAnsi="Times New Roman" w:eastAsia="方正仿宋简体" w:cs="Times New Roman"/>
          <w:color w:val="auto"/>
          <w:kern w:val="0"/>
          <w:sz w:val="32"/>
          <w:szCs w:val="32"/>
          <w:lang w:val="en-US" w:eastAsia="zh-CN"/>
        </w:rPr>
        <w:t>10</w:t>
      </w:r>
      <w:r>
        <w:rPr>
          <w:rFonts w:hint="default" w:ascii="Times New Roman" w:hAnsi="Times New Roman" w:eastAsia="方正仿宋简体" w:cs="Times New Roman"/>
          <w:color w:val="auto"/>
          <w:kern w:val="0"/>
          <w:sz w:val="32"/>
          <w:szCs w:val="32"/>
          <w:highlight w:val="none"/>
        </w:rPr>
        <w:t>日</w:t>
      </w:r>
    </w:p>
    <w:p w14:paraId="00CBA908">
      <w:pPr>
        <w:pStyle w:val="3"/>
        <w:pageBreakBefore w:val="0"/>
        <w:widowControl w:val="0"/>
        <w:kinsoku/>
        <w:wordWrap/>
        <w:overflowPunct/>
        <w:topLinePunct w:val="0"/>
        <w:autoSpaceDE/>
        <w:autoSpaceDN/>
        <w:bidi w:val="0"/>
        <w:adjustRightInd/>
        <w:snapToGrid/>
        <w:spacing w:before="0" w:after="0" w:line="560" w:lineRule="exact"/>
        <w:ind w:left="0"/>
        <w:jc w:val="both"/>
        <w:textAlignment w:val="auto"/>
        <w:rPr>
          <w:rFonts w:hint="default" w:ascii="Times New Roman" w:hAnsi="Times New Roman" w:eastAsia="方正仿宋_GB2312" w:cs="Times New Roman"/>
          <w:color w:val="auto"/>
          <w:sz w:val="32"/>
          <w:szCs w:val="32"/>
        </w:rPr>
      </w:pPr>
    </w:p>
    <w:p w14:paraId="6F5E04D2">
      <w:pPr>
        <w:pageBreakBefore w:val="0"/>
        <w:widowControl w:val="0"/>
        <w:kinsoku/>
        <w:wordWrap/>
        <w:overflowPunct/>
        <w:topLinePunct w:val="0"/>
        <w:autoSpaceDE/>
        <w:autoSpaceDN/>
        <w:bidi w:val="0"/>
        <w:adjustRightInd/>
        <w:snapToGrid/>
        <w:spacing w:line="560" w:lineRule="exact"/>
        <w:ind w:left="0"/>
        <w:jc w:val="both"/>
        <w:textAlignment w:val="auto"/>
        <w:rPr>
          <w:rFonts w:hint="default" w:ascii="Times New Roman" w:hAnsi="Times New Roman" w:eastAsia="方正仿宋_GB2312" w:cs="Times New Roman"/>
          <w:color w:val="auto"/>
          <w:sz w:val="32"/>
          <w:szCs w:val="32"/>
        </w:rPr>
      </w:pPr>
    </w:p>
    <w:p w14:paraId="35F63BB6">
      <w:pPr>
        <w:pStyle w:val="18"/>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color w:val="auto"/>
        </w:rPr>
      </w:pPr>
    </w:p>
    <w:p w14:paraId="431BF99E">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rPr>
      </w:pPr>
    </w:p>
    <w:p w14:paraId="5C3E3FEB">
      <w:pPr>
        <w:rPr>
          <w:rFonts w:hint="default" w:ascii="Times New Roman" w:hAnsi="Times New Roman" w:cs="Times New Roman"/>
          <w:color w:val="auto"/>
        </w:rPr>
      </w:pPr>
    </w:p>
    <w:p w14:paraId="59AA1DAD">
      <w:pPr>
        <w:pStyle w:val="2"/>
        <w:rPr>
          <w:rFonts w:hint="default" w:ascii="Times New Roman" w:hAnsi="Times New Roman" w:cs="Times New Roman"/>
          <w:color w:val="auto"/>
        </w:rPr>
      </w:pPr>
    </w:p>
    <w:p w14:paraId="3FD5E647">
      <w:pPr>
        <w:pStyle w:val="2"/>
        <w:rPr>
          <w:rFonts w:hint="default" w:ascii="Times New Roman" w:hAnsi="Times New Roman" w:cs="Times New Roman"/>
          <w:color w:val="auto"/>
        </w:rPr>
      </w:pPr>
    </w:p>
    <w:p w14:paraId="427122EF">
      <w:pPr>
        <w:pStyle w:val="2"/>
        <w:rPr>
          <w:rFonts w:hint="default" w:ascii="Times New Roman" w:hAnsi="Times New Roman" w:cs="Times New Roman"/>
          <w:color w:val="auto"/>
        </w:rPr>
      </w:pPr>
    </w:p>
    <w:p w14:paraId="43006966">
      <w:pPr>
        <w:pStyle w:val="2"/>
        <w:rPr>
          <w:rFonts w:hint="default" w:ascii="Times New Roman" w:hAnsi="Times New Roman" w:cs="Times New Roman"/>
          <w:color w:val="auto"/>
        </w:rPr>
      </w:pPr>
    </w:p>
    <w:p w14:paraId="392D2337">
      <w:pPr>
        <w:pStyle w:val="14"/>
        <w:rPr>
          <w:rFonts w:hint="default" w:ascii="Times New Roman" w:hAnsi="Times New Roman" w:cs="Times New Roman"/>
          <w:color w:val="auto"/>
        </w:rPr>
      </w:pPr>
    </w:p>
    <w:p w14:paraId="19E6536F">
      <w:pPr>
        <w:rPr>
          <w:rFonts w:hint="default" w:ascii="Times New Roman" w:hAnsi="Times New Roman" w:cs="Times New Roman"/>
          <w:color w:val="auto"/>
        </w:rPr>
      </w:pPr>
    </w:p>
    <w:p w14:paraId="63E22BF7">
      <w:pPr>
        <w:pStyle w:val="2"/>
        <w:rPr>
          <w:rFonts w:hint="default" w:ascii="Times New Roman" w:hAnsi="Times New Roman" w:cs="Times New Roman"/>
          <w:color w:val="auto"/>
        </w:rPr>
      </w:pPr>
      <w:bookmarkStart w:id="0" w:name="_GoBack"/>
      <w:bookmarkEnd w:id="0"/>
    </w:p>
    <w:p w14:paraId="5304F01C">
      <w:pPr>
        <w:pStyle w:val="2"/>
        <w:rPr>
          <w:rFonts w:hint="default" w:ascii="Times New Roman" w:hAnsi="Times New Roman" w:cs="Times New Roman"/>
          <w:color w:val="auto"/>
        </w:rPr>
      </w:pPr>
    </w:p>
    <w:p w14:paraId="7BA75763">
      <w:pPr>
        <w:pStyle w:val="2"/>
        <w:rPr>
          <w:rFonts w:hint="default" w:ascii="Times New Roman" w:hAnsi="Times New Roman" w:cs="Times New Roman"/>
          <w:color w:val="auto"/>
        </w:rPr>
      </w:pPr>
    </w:p>
    <w:p w14:paraId="37E7A54D">
      <w:pPr>
        <w:keepNext w:val="0"/>
        <w:keepLines w:val="0"/>
        <w:pageBreakBefore w:val="0"/>
        <w:widowControl w:val="0"/>
        <w:kinsoku/>
        <w:wordWrap/>
        <w:overflowPunct/>
        <w:autoSpaceDE/>
        <w:autoSpaceDN/>
        <w:bidi w:val="0"/>
        <w:spacing w:line="560" w:lineRule="exact"/>
        <w:ind w:left="0" w:right="0"/>
        <w:jc w:val="both"/>
        <w:textAlignment w:val="auto"/>
        <w:rPr>
          <w:rFonts w:hint="default" w:ascii="Times New Roman" w:hAnsi="Times New Roman" w:eastAsia="方正仿宋_GB2312" w:cs="Times New Roman"/>
          <w:color w:val="auto"/>
          <w:sz w:val="28"/>
          <w:szCs w:val="28"/>
          <w:lang w:eastAsia="zh-CN"/>
        </w:rPr>
      </w:pPr>
      <w:r>
        <w:rPr>
          <w:rFonts w:hint="default" w:ascii="Times New Roman" w:hAnsi="Times New Roman" w:eastAsia="方正仿宋_GB2312" w:cs="Times New Roman"/>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CoI9NYAAAAJAQAADwAAAAAAAAABACAAAAAiAAAAZHJzL2Rvd25yZXYueG1sUEsBAhQAFAAA&#10;AAgAh07iQF5pMUfxAQAA5wMAAA4AAAAAAAAAAQAgAAAAJQEAAGRycy9lMm9Eb2MueG1sUEsFBgAA&#10;AAAGAAYAWQEAAIgFAAAAAA==&#10;">
                <v:fill on="f" focussize="0,0"/>
                <v:stroke weight="1.5pt" color="#000000" joinstyle="round"/>
                <v:imagedata o:title=""/>
                <o:lock v:ext="edit" aspectratio="f"/>
              </v:line>
            </w:pict>
          </mc:Fallback>
        </mc:AlternateContent>
      </w:r>
      <w:r>
        <w:rPr>
          <w:rFonts w:hint="default" w:ascii="Times New Roman" w:hAnsi="Times New Roman" w:eastAsia="方正仿宋_GB2312" w:cs="Times New Roman"/>
          <w:color w:val="auto"/>
          <w:sz w:val="28"/>
          <w:szCs w:val="28"/>
        </w:rPr>
        <w:t>抄送：兵地融合发展库沙新拜产业园</w:t>
      </w:r>
      <w:r>
        <w:rPr>
          <w:rFonts w:hint="default" w:ascii="Times New Roman" w:hAnsi="Times New Roman" w:eastAsia="方正仿宋_GB2312" w:cs="Times New Roman"/>
          <w:color w:val="auto"/>
          <w:sz w:val="28"/>
          <w:szCs w:val="28"/>
          <w:lang w:val="en-US" w:eastAsia="zh-CN"/>
        </w:rPr>
        <w:t>，</w:t>
      </w:r>
      <w:r>
        <w:rPr>
          <w:rFonts w:hint="default" w:ascii="Times New Roman" w:hAnsi="Times New Roman" w:eastAsia="方正仿宋_GB2312" w:cs="Times New Roman"/>
          <w:color w:val="auto"/>
          <w:sz w:val="28"/>
          <w:szCs w:val="28"/>
        </w:rPr>
        <w:t>生态环境保护综合行政执法支队</w:t>
      </w:r>
      <w:r>
        <w:rPr>
          <w:rFonts w:hint="default" w:ascii="Times New Roman" w:hAnsi="Times New Roman" w:eastAsia="方正仿宋_GB2312" w:cs="Times New Roman"/>
          <w:color w:val="auto"/>
          <w:sz w:val="28"/>
          <w:szCs w:val="28"/>
          <w:lang w:eastAsia="zh-CN"/>
        </w:rPr>
        <w:t>，</w:t>
      </w:r>
      <w:r>
        <w:rPr>
          <w:rFonts w:hint="default" w:ascii="Times New Roman" w:hAnsi="Times New Roman" w:eastAsia="方正仿宋_GB2312" w:cs="Times New Roman"/>
          <w:color w:val="auto"/>
          <w:sz w:val="28"/>
          <w:szCs w:val="28"/>
        </w:rPr>
        <w:t>乌鲁木齐天辰创展工程咨询有限公司</w:t>
      </w:r>
    </w:p>
    <w:p w14:paraId="5C333F7D">
      <w:pPr>
        <w:keepNext w:val="0"/>
        <w:keepLines w:val="0"/>
        <w:pageBreakBefore w:val="0"/>
        <w:widowControl w:val="0"/>
        <w:kinsoku/>
        <w:wordWrap/>
        <w:overflowPunct/>
        <w:autoSpaceDE/>
        <w:autoSpaceDN/>
        <w:bidi w:val="0"/>
        <w:spacing w:line="560" w:lineRule="exact"/>
        <w:ind w:left="0" w:right="0"/>
        <w:jc w:val="both"/>
        <w:textAlignment w:val="auto"/>
        <w:rPr>
          <w:rFonts w:hint="default" w:ascii="Times New Roman" w:hAnsi="Times New Roman" w:eastAsia="方正仿宋_GB2312" w:cs="Times New Roman"/>
          <w:color w:val="auto"/>
        </w:rPr>
      </w:pPr>
      <w:r>
        <w:rPr>
          <w:rFonts w:hint="default" w:ascii="Times New Roman" w:hAnsi="Times New Roman" w:eastAsia="方正仿宋_GB2312" w:cs="Times New Roman"/>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DoZZdYAAAAIAQAADwAAAAAAAAABACAAAAAiAAAAZHJzL2Rvd25yZXYueG1sUEsBAhQAFAAA&#10;AAgAh07iQPJIL/PxAQAA5wMAAA4AAAAAAAAAAQAgAAAAJQEAAGRycy9lMm9Eb2MueG1sUEsFBgAA&#10;AAAGAAYAWQEAAIgFAAAAAA==&#10;">
                <v:fill on="f" focussize="0,0"/>
                <v:stroke weight="1.5pt" color="#000000" joinstyle="round"/>
                <v:imagedata o:title=""/>
                <o:lock v:ext="edit" aspectratio="f"/>
              </v:line>
            </w:pict>
          </mc:Fallback>
        </mc:AlternateContent>
      </w:r>
      <w:r>
        <w:rPr>
          <w:rFonts w:hint="default" w:ascii="Times New Roman" w:hAnsi="Times New Roman" w:eastAsia="方正仿宋_GB2312" w:cs="Times New Roman"/>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Vjhgg1AAAAAYBAAAPAAAAAAAAAAEAIAAAACIAAABkcnMvZG93bnJldi54bWxQSwECFAAUAAAA&#10;CACHTuJAY4a3K/IBAADmAwAADgAAAAAAAAABACAAAAAjAQAAZHJzL2Uyb0RvYy54bWxQSwUGAAAA&#10;AAYABgBZAQAAhwUAAAAA&#10;">
                <v:fill on="f" focussize="0,0"/>
                <v:stroke color="#000000" joinstyle="round"/>
                <v:imagedata o:title=""/>
                <o:lock v:ext="edit" aspectratio="f"/>
              </v:line>
            </w:pict>
          </mc:Fallback>
        </mc:AlternateContent>
      </w:r>
      <w:r>
        <w:rPr>
          <w:rFonts w:hint="default" w:ascii="Times New Roman" w:hAnsi="Times New Roman" w:eastAsia="方正仿宋_GB2312" w:cs="Times New Roman"/>
          <w:color w:val="auto"/>
          <w:sz w:val="28"/>
          <w:szCs w:val="28"/>
        </w:rPr>
        <w:t xml:space="preserve">第一师阿拉尔市生态环境局        </w:t>
      </w:r>
      <w:r>
        <w:rPr>
          <w:rFonts w:hint="default" w:ascii="Times New Roman" w:hAnsi="Times New Roman" w:eastAsia="方正仿宋_GB2312" w:cs="Times New Roman"/>
          <w:color w:val="auto"/>
          <w:sz w:val="28"/>
          <w:szCs w:val="28"/>
          <w:lang w:val="en-US" w:eastAsia="zh-CN"/>
        </w:rPr>
        <w:t xml:space="preserve"> </w:t>
      </w:r>
      <w:r>
        <w:rPr>
          <w:rFonts w:hint="default" w:ascii="Times New Roman" w:hAnsi="Times New Roman" w:eastAsia="方正仿宋_GB2312" w:cs="Times New Roman"/>
          <w:color w:val="auto"/>
          <w:sz w:val="28"/>
          <w:szCs w:val="28"/>
        </w:rPr>
        <w:t xml:space="preserve">        </w:t>
      </w:r>
      <w:r>
        <w:rPr>
          <w:rFonts w:hint="default" w:ascii="Times New Roman" w:hAnsi="Times New Roman" w:eastAsia="方正仿宋_GB2312" w:cs="Times New Roman"/>
          <w:color w:val="auto"/>
          <w:sz w:val="28"/>
          <w:szCs w:val="28"/>
          <w:lang w:val="en-US" w:eastAsia="zh-CN"/>
        </w:rPr>
        <w:t xml:space="preserve"> </w:t>
      </w:r>
      <w:r>
        <w:rPr>
          <w:rFonts w:hint="default" w:ascii="Times New Roman" w:hAnsi="Times New Roman" w:eastAsia="方正仿宋_GB2312" w:cs="Times New Roman"/>
          <w:color w:val="auto"/>
          <w:sz w:val="28"/>
          <w:szCs w:val="28"/>
        </w:rPr>
        <w:t xml:space="preserve"> 202</w:t>
      </w:r>
      <w:r>
        <w:rPr>
          <w:rFonts w:hint="default" w:ascii="Times New Roman" w:hAnsi="Times New Roman" w:eastAsia="方正仿宋_GB2312" w:cs="Times New Roman"/>
          <w:color w:val="auto"/>
          <w:sz w:val="28"/>
          <w:szCs w:val="28"/>
          <w:lang w:val="en-US" w:eastAsia="zh-CN"/>
        </w:rPr>
        <w:t>6年9月</w:t>
      </w:r>
      <w:r>
        <w:rPr>
          <w:rFonts w:hint="eastAsia" w:ascii="Times New Roman" w:hAnsi="Times New Roman" w:eastAsia="方正仿宋_GB2312" w:cs="Times New Roman"/>
          <w:color w:val="auto"/>
          <w:sz w:val="28"/>
          <w:szCs w:val="28"/>
          <w:lang w:val="en-US" w:eastAsia="zh-CN"/>
        </w:rPr>
        <w:t>18</w:t>
      </w:r>
      <w:r>
        <w:rPr>
          <w:rFonts w:hint="default" w:ascii="Times New Roman" w:hAnsi="Times New Roman" w:eastAsia="方正仿宋_GB2312" w:cs="Times New Roman"/>
          <w:color w:val="auto"/>
          <w:sz w:val="28"/>
          <w:szCs w:val="28"/>
          <w:highlight w:val="none"/>
          <w:lang w:val="en-US" w:eastAsia="zh-CN"/>
        </w:rPr>
        <w:t>日</w:t>
      </w:r>
      <w:r>
        <w:rPr>
          <w:rFonts w:hint="default" w:ascii="Times New Roman" w:hAnsi="Times New Roman" w:eastAsia="方正仿宋_GB2312" w:cs="Times New Roman"/>
          <w:color w:val="auto"/>
          <w:sz w:val="28"/>
          <w:szCs w:val="28"/>
          <w:lang w:val="en-US" w:eastAsia="zh-CN"/>
        </w:rPr>
        <w:t>印发</w:t>
      </w:r>
    </w:p>
    <w:sectPr>
      <w:headerReference r:id="rId3" w:type="default"/>
      <w:footerReference r:id="rId4" w:type="default"/>
      <w:pgSz w:w="11906" w:h="16838"/>
      <w:pgMar w:top="2098" w:right="1474" w:bottom="1985" w:left="1588" w:header="1587" w:footer="124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8236ABB5-198A-4341-9E6D-D2D6D6704C76}"/>
  </w:font>
  <w:font w:name="方正仿宋_GB2312">
    <w:panose1 w:val="02000000000000000000"/>
    <w:charset w:val="86"/>
    <w:family w:val="auto"/>
    <w:pitch w:val="default"/>
    <w:sig w:usb0="A00002BF" w:usb1="184F6CFA" w:usb2="00000012" w:usb3="00000000" w:csb0="00040001" w:csb1="00000000"/>
    <w:embedRegular r:id="rId2" w:fontKey="{F5136BC1-630D-4897-84B4-7E92EE30FD60}"/>
  </w:font>
  <w:font w:name="方正小标宋简体">
    <w:panose1 w:val="02000000000000000000"/>
    <w:charset w:val="86"/>
    <w:family w:val="auto"/>
    <w:pitch w:val="default"/>
    <w:sig w:usb0="00000001" w:usb1="08000000" w:usb2="00000000" w:usb3="00000000" w:csb0="00040000" w:csb1="00000000"/>
    <w:embedRegular r:id="rId3" w:fontKey="{3C8AD5CE-9F94-42E9-9610-BBEE021AAA14}"/>
  </w:font>
  <w:font w:name="方正仿宋简体">
    <w:panose1 w:val="02000000000000000000"/>
    <w:charset w:val="86"/>
    <w:family w:val="auto"/>
    <w:pitch w:val="default"/>
    <w:sig w:usb0="A00002BF" w:usb1="184F6CFA" w:usb2="00000012" w:usb3="00000000" w:csb0="00040001" w:csb1="00000000"/>
    <w:embedRegular r:id="rId4" w:fontKey="{509433BE-4D40-4B5F-8B3A-C3A066608888}"/>
  </w:font>
  <w:font w:name="方正黑体简体">
    <w:panose1 w:val="02000000000000000000"/>
    <w:charset w:val="86"/>
    <w:family w:val="auto"/>
    <w:pitch w:val="default"/>
    <w:sig w:usb0="A00002BF" w:usb1="184F6CFA" w:usb2="00000012" w:usb3="00000000" w:csb0="00040001" w:csb1="00000000"/>
    <w:embedRegular r:id="rId5" w:fontKey="{B4DE0A88-CF1E-4E48-8004-2D80F6BB71F5}"/>
  </w:font>
  <w:font w:name="方正楷体简体">
    <w:panose1 w:val="02000000000000000000"/>
    <w:charset w:val="86"/>
    <w:family w:val="auto"/>
    <w:pitch w:val="default"/>
    <w:sig w:usb0="A00002BF" w:usb1="184F6CFA" w:usb2="00000012" w:usb3="00000000" w:csb0="00040001" w:csb1="00000000"/>
    <w:embedRegular r:id="rId6" w:fontKey="{68AF9186-BBC2-4D4C-9D6E-90C4469B70E2}"/>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FC990">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3D27B1">
                          <w:pPr>
                            <w:pStyle w:val="9"/>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73D27B1">
                    <w:pPr>
                      <w:pStyle w:val="9"/>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AA054">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7D102"/>
    <w:multiLevelType w:val="singleLevel"/>
    <w:tmpl w:val="69F7D102"/>
    <w:lvl w:ilvl="0" w:tentative="0">
      <w:start w:val="1"/>
      <w:numFmt w:val="decimal"/>
      <w:pStyle w:val="8"/>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jMDZlMWUwYjZiYjY4ZWMxYzUzZWZmNjcyNWM1ZTIifQ=="/>
  </w:docVars>
  <w:rsids>
    <w:rsidRoot w:val="6C9577F7"/>
    <w:rsid w:val="008A3AF5"/>
    <w:rsid w:val="01CB28B2"/>
    <w:rsid w:val="01D54B7E"/>
    <w:rsid w:val="02CF517F"/>
    <w:rsid w:val="0A7C794A"/>
    <w:rsid w:val="0B622F82"/>
    <w:rsid w:val="0CF11A5E"/>
    <w:rsid w:val="0E5C209B"/>
    <w:rsid w:val="0EE32B54"/>
    <w:rsid w:val="0FF30C1D"/>
    <w:rsid w:val="11073637"/>
    <w:rsid w:val="13BF1F8A"/>
    <w:rsid w:val="13F50A51"/>
    <w:rsid w:val="18B13BE0"/>
    <w:rsid w:val="1B2D2A19"/>
    <w:rsid w:val="1E6F2A42"/>
    <w:rsid w:val="20654122"/>
    <w:rsid w:val="209E2DAA"/>
    <w:rsid w:val="21E33F56"/>
    <w:rsid w:val="24AE2000"/>
    <w:rsid w:val="262F4CC7"/>
    <w:rsid w:val="282E2F2E"/>
    <w:rsid w:val="298D2871"/>
    <w:rsid w:val="2CD7605E"/>
    <w:rsid w:val="2CF565EF"/>
    <w:rsid w:val="2EC64630"/>
    <w:rsid w:val="2F505B14"/>
    <w:rsid w:val="328330A2"/>
    <w:rsid w:val="33E636E2"/>
    <w:rsid w:val="34B36ABA"/>
    <w:rsid w:val="381D1CB1"/>
    <w:rsid w:val="3DF3675E"/>
    <w:rsid w:val="3FC67A98"/>
    <w:rsid w:val="450D5BD7"/>
    <w:rsid w:val="466751D5"/>
    <w:rsid w:val="49396F88"/>
    <w:rsid w:val="49F02B32"/>
    <w:rsid w:val="4AF13073"/>
    <w:rsid w:val="4B8F0F1D"/>
    <w:rsid w:val="4E5B6391"/>
    <w:rsid w:val="4F790049"/>
    <w:rsid w:val="4F7D59C4"/>
    <w:rsid w:val="51BB6232"/>
    <w:rsid w:val="539A206C"/>
    <w:rsid w:val="53D96FF6"/>
    <w:rsid w:val="547F78C3"/>
    <w:rsid w:val="563620CF"/>
    <w:rsid w:val="57FB18AC"/>
    <w:rsid w:val="586B4248"/>
    <w:rsid w:val="5A7122F9"/>
    <w:rsid w:val="5E3D4714"/>
    <w:rsid w:val="5E6D5D9C"/>
    <w:rsid w:val="603647EF"/>
    <w:rsid w:val="60CE1E21"/>
    <w:rsid w:val="612B3202"/>
    <w:rsid w:val="62854B94"/>
    <w:rsid w:val="64635BCE"/>
    <w:rsid w:val="6727066C"/>
    <w:rsid w:val="682A5991"/>
    <w:rsid w:val="6859222C"/>
    <w:rsid w:val="6ADB5079"/>
    <w:rsid w:val="71E36E7E"/>
    <w:rsid w:val="720C27E4"/>
    <w:rsid w:val="74054864"/>
    <w:rsid w:val="75CB690A"/>
    <w:rsid w:val="75EE5942"/>
    <w:rsid w:val="768371E5"/>
    <w:rsid w:val="7CFE6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eastAsia="宋体"/>
      <w:kern w:val="0"/>
      <w:sz w:val="20"/>
      <w:szCs w:val="24"/>
    </w:rPr>
  </w:style>
  <w:style w:type="paragraph" w:styleId="4">
    <w:name w:val="Normal Indent"/>
    <w:basedOn w:val="1"/>
    <w:next w:val="1"/>
    <w:qFormat/>
    <w:uiPriority w:val="0"/>
    <w:pPr>
      <w:spacing w:line="520" w:lineRule="exact"/>
      <w:ind w:firstLine="624"/>
    </w:pPr>
    <w:rPr>
      <w:rFonts w:eastAsia="宋体"/>
      <w:sz w:val="28"/>
      <w:szCs w:val="20"/>
    </w:rPr>
  </w:style>
  <w:style w:type="paragraph" w:styleId="5">
    <w:name w:val="annotation text"/>
    <w:basedOn w:val="1"/>
    <w:qFormat/>
    <w:uiPriority w:val="0"/>
    <w:pPr>
      <w:jc w:val="left"/>
    </w:pPr>
  </w:style>
  <w:style w:type="paragraph" w:styleId="6">
    <w:name w:val="Body Text Indent"/>
    <w:basedOn w:val="1"/>
    <w:next w:val="2"/>
    <w:qFormat/>
    <w:uiPriority w:val="0"/>
    <w:pPr>
      <w:spacing w:after="120"/>
      <w:ind w:left="420" w:leftChars="200"/>
    </w:pPr>
  </w:style>
  <w:style w:type="paragraph" w:styleId="7">
    <w:name w:val="Plain Text"/>
    <w:basedOn w:val="1"/>
    <w:next w:val="8"/>
    <w:qFormat/>
    <w:uiPriority w:val="0"/>
    <w:pPr>
      <w:spacing w:line="500" w:lineRule="exact"/>
    </w:pPr>
    <w:rPr>
      <w:rFonts w:ascii="宋体" w:hAnsi="Courier New" w:eastAsia="宋体"/>
      <w:sz w:val="28"/>
      <w:szCs w:val="21"/>
    </w:rPr>
  </w:style>
  <w:style w:type="paragraph" w:styleId="8">
    <w:name w:val="List Number 5"/>
    <w:basedOn w:val="1"/>
    <w:qFormat/>
    <w:uiPriority w:val="0"/>
    <w:pPr>
      <w:numPr>
        <w:ilvl w:val="0"/>
        <w:numId w:val="1"/>
      </w:numPr>
    </w:pPr>
  </w:style>
  <w:style w:type="paragraph" w:styleId="9">
    <w:name w:val="footer"/>
    <w:basedOn w:val="1"/>
    <w:qFormat/>
    <w:uiPriority w:val="0"/>
    <w:pPr>
      <w:tabs>
        <w:tab w:val="center" w:pos="4153"/>
        <w:tab w:val="right" w:pos="8306"/>
      </w:tabs>
      <w:snapToGrid w:val="0"/>
      <w:jc w:val="left"/>
    </w:pPr>
    <w:rPr>
      <w:rFonts w:ascii="Times New Roman" w:hAnsi="Times New Roman" w:eastAsia="宋体"/>
      <w:sz w:val="28"/>
      <w:szCs w:val="18"/>
    </w:rPr>
  </w:style>
  <w:style w:type="paragraph" w:styleId="10">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1"/>
  </w:style>
  <w:style w:type="paragraph" w:styleId="12">
    <w:name w:val="Body Text 2"/>
    <w:basedOn w:val="1"/>
    <w:unhideWhenUsed/>
    <w:qFormat/>
    <w:uiPriority w:val="99"/>
    <w:pPr>
      <w:spacing w:after="120" w:line="480" w:lineRule="auto"/>
    </w:pPr>
  </w:style>
  <w:style w:type="paragraph" w:styleId="13">
    <w:name w:val="Body Text First Indent"/>
    <w:basedOn w:val="2"/>
    <w:next w:val="14"/>
    <w:qFormat/>
    <w:uiPriority w:val="0"/>
    <w:pPr>
      <w:ind w:firstLine="420" w:firstLineChars="100"/>
    </w:pPr>
  </w:style>
  <w:style w:type="paragraph" w:styleId="14">
    <w:name w:val="Body Text First Indent 2"/>
    <w:basedOn w:val="6"/>
    <w:next w:val="1"/>
    <w:qFormat/>
    <w:uiPriority w:val="0"/>
    <w:pPr>
      <w:ind w:firstLine="420" w:firstLineChars="200"/>
    </w:pPr>
  </w:style>
  <w:style w:type="character" w:styleId="17">
    <w:name w:val="Strong"/>
    <w:basedOn w:val="16"/>
    <w:qFormat/>
    <w:uiPriority w:val="0"/>
    <w:rPr>
      <w:b/>
    </w:rPr>
  </w:style>
  <w:style w:type="paragraph" w:customStyle="1" w:styleId="18">
    <w:name w:val="表头"/>
    <w:basedOn w:val="13"/>
    <w:next w:val="1"/>
    <w:qFormat/>
    <w:uiPriority w:val="0"/>
    <w:pPr>
      <w:jc w:val="center"/>
    </w:pPr>
    <w:rPr>
      <w:rFonts w:ascii="黑体" w:eastAsia="黑体"/>
      <w:bCs/>
      <w:kern w:val="0"/>
    </w:rPr>
  </w:style>
  <w:style w:type="paragraph" w:customStyle="1" w:styleId="19">
    <w:name w:val="正文（缩进）"/>
    <w:basedOn w:val="20"/>
    <w:next w:val="1"/>
    <w:qFormat/>
    <w:uiPriority w:val="99"/>
    <w:pPr>
      <w:ind w:firstLine="480"/>
    </w:pPr>
  </w:style>
  <w:style w:type="paragraph" w:customStyle="1" w:styleId="20">
    <w:name w:val="正文(首行缩进)"/>
    <w:basedOn w:val="1"/>
    <w:qFormat/>
    <w:uiPriority w:val="0"/>
    <w:pPr>
      <w:spacing w:line="360" w:lineRule="auto"/>
      <w:ind w:firstLine="540" w:firstLineChars="225"/>
    </w:pPr>
    <w:rPr>
      <w:rFonts w:eastAsia="宋体"/>
      <w:color w:val="00000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5235e0fa-198a-4c3f-9a02-28d91396ba62</errorID>
      <errorWord> </errorWord>
      <group>L1_Word</group>
      <groupName>字词问题</groupName>
      <ability>L2_Typo</ability>
      <abilityName>字词错误</abilityName>
      <candidateList>
        <item>°</item>
      </candidateList>
      <explain/>
      <paraID>75C85012</paraID>
      <start>89</start>
      <end>90</end>
      <status>ignored</status>
      <modifiedWord/>
      <trackRevisions>false</trackRevisions>
    </reviewItem>
    <reviewItem>
      <errorID>d69082ba-a296-45c9-a825-f692301535f9</errorID>
      <errorWord> </errorWord>
      <group>L1_Word</group>
      <groupName>字词问题</groupName>
      <ability>L2_Typo</ability>
      <abilityName>字词错误</abilityName>
      <candidateList>
        <item>°</item>
      </candidateList>
      <explain/>
      <paraID>75C85012</paraID>
      <start>104</start>
      <end>105</end>
      <status>ignored</status>
      <modifiedWord/>
      <trackRevisions>false</trackRevisions>
    </reviewItem>
    <reviewItem>
      <errorID>51371f81-f71f-47ed-b3fe-2c53fdbe496d</errorID>
      <errorWord>吸音材料</errorWord>
      <group>L1_Word</group>
      <groupName>字词问题</groupName>
      <ability>L2_Typo</ability>
      <abilityName>字词错误</abilityName>
      <candidateList>
        <item>吸声材料</item>
      </candidateList>
      <explain/>
      <paraID>2C03C316</paraID>
      <start>132</start>
      <end>136</end>
      <status>ignored</status>
      <modifiedWord/>
      <trackRevisions>false</trackRevisions>
    </reviewItem>
    <reviewItem>
      <errorID>3b719d66-0842-4d30-a9ed-048ef5a71383</errorID>
      <errorWord>、</errorWord>
      <group>L1_Punc</group>
      <groupName>标点问题</groupName>
      <ability>L2_Punc_CN</ability>
      <abilityName>标点符号问题</abilityName>
      <candidateList>
        <item>，</item>
      </candidateList>
      <explain/>
      <paraID>2C03C316</paraID>
      <start>143</start>
      <end>144</end>
      <status>ignored</status>
      <modifiedWord/>
      <trackRevisions>false</trackRevisions>
    </reviewItem>
    <reviewItem>
      <errorID>a0372946-3335-4873-91c9-0b7dbe76ddc3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602AF8F4</paraID>
      <start>151</start>
      <end>152</end>
      <status>ignored</status>
      <modifiedWord/>
      <trackRevisions>false</trackRevisions>
    </reviewItem>
    <reviewItem>
      <errorID>14418e11-9583-47b8-83f7-6a156e01f58f</errorID>
      <errorWord>合同招标文件</errorWord>
      <group>L1_Grammar</group>
      <groupName>语法问题</groupName>
      <ability>L2_Grammar</ability>
      <abilityName>语法错误</abilityName>
      <candidateList>
        <item>合同</item>
      </candidateList>
      <explain/>
      <paraID>191A6F91</paraID>
      <start>64</start>
      <end>70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b63e5d-34ec-4bd4-a59b-afb6bd8e5f10}">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2659</Words>
  <Characters>2824</Characters>
  <Lines>0</Lines>
  <Paragraphs>0</Paragraphs>
  <TotalTime>6</TotalTime>
  <ScaleCrop>false</ScaleCrop>
  <LinksUpToDate>false</LinksUpToDate>
  <CharactersWithSpaces>2847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cp:lastModifiedBy>
  <cp:lastPrinted>2025-03-21T03:24:00Z</cp:lastPrinted>
  <dcterms:modified xsi:type="dcterms:W3CDTF">2026-09-18T03:22:25Z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F45D4E8FE14840A5B1BA43CC90456427_13</vt:lpwstr>
  </property>
  <property fmtid="{D5CDD505-2E9C-101B-9397-08002B2CF9AE}" pid="4" name="KSOTemplateDocerSaveRecord">
    <vt:lpwstr>eyJoZGlkIjoiNzkyN2Q3NTJkYzdmNjE3ZGJjOWNiYzc5NjVkOTk4NGIiLCJ1c2VySWQiOiI2NDkyMTQ2MzcifQ==</vt:lpwstr>
  </property>
</Properties>
</file>