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EFB9C">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67A8D610">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432576AE">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7CBED971">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0FE87D13">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72"/>
          <w:szCs w:val="72"/>
        </w:rPr>
      </w:pPr>
    </w:p>
    <w:p w14:paraId="13967F43">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14:paraId="1F8DEDCB">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14:paraId="15F010F0">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14:paraId="4B022140">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师市环审〔202</w:t>
      </w:r>
      <w:r>
        <w:rPr>
          <w:rFonts w:hint="default" w:ascii="Times New Roman" w:hAnsi="Times New Roman" w:eastAsia="方正仿宋_GB2312" w:cs="Times New Roman"/>
          <w:sz w:val="32"/>
          <w:szCs w:val="32"/>
        </w:rPr>
        <w:t>6</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rPr>
        <w:t xml:space="preserve">  </w:t>
      </w:r>
      <w:r>
        <w:rPr>
          <w:rFonts w:hint="default" w:ascii="Times New Roman" w:hAnsi="Times New Roman" w:eastAsia="方正仿宋_GB2312" w:cs="Times New Roman"/>
          <w:sz w:val="32"/>
          <w:szCs w:val="32"/>
        </w:rPr>
        <w:t>号</w:t>
      </w:r>
    </w:p>
    <w:p w14:paraId="2E50DA12">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Cs w:val="21"/>
        </w:rPr>
      </w:pPr>
    </w:p>
    <w:p w14:paraId="2FE58F3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关于塑料涤纶开花建设项目环境影响</w:t>
      </w:r>
    </w:p>
    <w:p w14:paraId="06B1EFF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报告</w:t>
      </w:r>
      <w:r>
        <w:rPr>
          <w:rFonts w:hint="default" w:ascii="Times New Roman" w:hAnsi="Times New Roman" w:eastAsia="方正小标宋_GBK" w:cs="Times New Roman"/>
          <w:bCs/>
          <w:sz w:val="44"/>
          <w:szCs w:val="44"/>
        </w:rPr>
        <w:t>表</w:t>
      </w:r>
      <w:r>
        <w:rPr>
          <w:rFonts w:hint="default" w:ascii="Times New Roman" w:hAnsi="Times New Roman" w:eastAsia="方正小标宋_GBK" w:cs="Times New Roman"/>
          <w:bCs/>
          <w:sz w:val="44"/>
          <w:szCs w:val="44"/>
        </w:rPr>
        <w:t>的批复</w:t>
      </w:r>
    </w:p>
    <w:p w14:paraId="7E9F3500">
      <w:pPr>
        <w:keepNext w:val="0"/>
        <w:keepLines w:val="0"/>
        <w:pageBreakBefore w:val="0"/>
        <w:widowControl/>
        <w:kinsoku/>
        <w:wordWrap/>
        <w:overflowPunct/>
        <w:topLinePunct w:val="0"/>
        <w:autoSpaceDE/>
        <w:autoSpaceDN/>
        <w:bidi w:val="0"/>
        <w:adjustRightInd/>
        <w:snapToGrid/>
        <w:spacing w:line="540" w:lineRule="exact"/>
        <w:textAlignment w:val="auto"/>
        <w:rPr>
          <w:rFonts w:hint="default" w:ascii="Times New Roman" w:hAnsi="Times New Roman" w:eastAsia="方正小标宋简体" w:cs="Times New Roman"/>
          <w:bCs/>
          <w:color w:val="0000FF"/>
          <w:sz w:val="44"/>
          <w:szCs w:val="44"/>
        </w:rPr>
      </w:pPr>
    </w:p>
    <w:p w14:paraId="44F5FB0C">
      <w:pPr>
        <w:widowControl/>
        <w:spacing w:line="540" w:lineRule="exact"/>
        <w:ind w:left="640" w:hanging="640" w:hanging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阿拉尔市三志供应链管理服务有限公司：</w:t>
      </w:r>
    </w:p>
    <w:p w14:paraId="71001CA7">
      <w:pPr>
        <w:widowControl/>
        <w:spacing w:line="54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你单位报送的《关于送审塑料涤纶开花建设项目环境影响报告表</w:t>
      </w:r>
      <w:r>
        <w:rPr>
          <w:rFonts w:hint="default" w:ascii="Times New Roman" w:hAnsi="Times New Roman" w:eastAsia="方正仿宋简体" w:cs="Times New Roman"/>
          <w:kern w:val="0"/>
          <w:sz w:val="32"/>
          <w:szCs w:val="32"/>
        </w:rPr>
        <w:t>的请示</w:t>
      </w:r>
      <w:r>
        <w:rPr>
          <w:rFonts w:hint="default" w:ascii="Times New Roman" w:hAnsi="Times New Roman" w:eastAsia="方正仿宋简体" w:cs="Times New Roman"/>
          <w:sz w:val="32"/>
          <w:szCs w:val="32"/>
        </w:rPr>
        <w:t>》及《塑料涤纶开花建设项目环境影响报告表》（以下简称《报告表》）已收悉。经研究，现批复如下：</w:t>
      </w:r>
    </w:p>
    <w:p w14:paraId="04D1969B">
      <w:pPr>
        <w:widowControl/>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rPr>
        <w:t>一、</w:t>
      </w:r>
      <w:r>
        <w:rPr>
          <w:rFonts w:hint="default" w:ascii="Times New Roman" w:hAnsi="Times New Roman" w:eastAsia="方正仿宋简体" w:cs="Times New Roman"/>
          <w:sz w:val="32"/>
          <w:szCs w:val="32"/>
        </w:rPr>
        <w:t>该项目位于九</w:t>
      </w:r>
      <w:r>
        <w:rPr>
          <w:rFonts w:hint="default" w:ascii="Times New Roman" w:hAnsi="Times New Roman" w:eastAsia="方正仿宋简体" w:cs="Times New Roman"/>
          <w:color w:val="auto"/>
          <w:sz w:val="32"/>
          <w:szCs w:val="32"/>
        </w:rPr>
        <w:t>团职工创业园，用地性质为工业用地，占</w:t>
      </w:r>
      <w:r>
        <w:rPr>
          <w:rFonts w:hint="default" w:ascii="Times New Roman" w:hAnsi="Times New Roman" w:eastAsia="方正仿宋简体" w:cs="Times New Roman"/>
          <w:color w:val="auto"/>
          <w:spacing w:val="-20"/>
          <w:sz w:val="32"/>
          <w:szCs w:val="32"/>
        </w:rPr>
        <w:t>地面积为11663m</w:t>
      </w:r>
      <w:r>
        <w:rPr>
          <w:rFonts w:hint="default" w:ascii="Times New Roman" w:hAnsi="Times New Roman" w:eastAsia="方正仿宋简体" w:cs="Times New Roman"/>
          <w:color w:val="auto"/>
          <w:spacing w:val="-20"/>
          <w:sz w:val="32"/>
          <w:szCs w:val="32"/>
          <w:vertAlign w:val="superscript"/>
        </w:rPr>
        <w:t>2</w:t>
      </w:r>
      <w:r>
        <w:rPr>
          <w:rFonts w:hint="default" w:ascii="Times New Roman" w:hAnsi="Times New Roman" w:eastAsia="方正仿宋简体" w:cs="Times New Roman"/>
          <w:color w:val="auto"/>
          <w:spacing w:val="-20"/>
          <w:sz w:val="32"/>
          <w:szCs w:val="32"/>
        </w:rPr>
        <w:t>。项目区中心地理位置坐标为东经81°7′26.727″</w:t>
      </w:r>
      <w:r>
        <w:rPr>
          <w:rFonts w:hint="default" w:ascii="Times New Roman" w:hAnsi="Times New Roman" w:eastAsia="方正仿宋简体" w:cs="Times New Roman"/>
          <w:color w:val="auto"/>
          <w:sz w:val="32"/>
          <w:szCs w:val="32"/>
        </w:rPr>
        <w:t>，北纬40°33′40.783″。该项目建设内容为2条涤纶再生颗粒生产线，1条聚丙烯再生颗粒生产线，1条开花棉生产线，全部建成后年产涤纶再生颗粒5500t，聚丙烯再生颗粒1200t，开花棉1500t。项目总投资为450万元，其中</w:t>
      </w:r>
      <w:r>
        <w:rPr>
          <w:rFonts w:hint="default" w:ascii="Times New Roman" w:hAnsi="Times New Roman" w:eastAsia="方正仿宋简体" w:cs="Times New Roman"/>
          <w:sz w:val="32"/>
          <w:szCs w:val="32"/>
        </w:rPr>
        <w:t>环保投资55万元，占总投资的12.2％。</w:t>
      </w:r>
    </w:p>
    <w:p w14:paraId="06F2B609">
      <w:pPr>
        <w:widowControl/>
        <w:spacing w:line="540" w:lineRule="exact"/>
        <w:ind w:firstLine="640" w:firstLineChars="200"/>
        <w:rPr>
          <w:rFonts w:hint="default" w:ascii="Times New Roman" w:hAnsi="Times New Roman" w:eastAsia="方正仿宋简体" w:cs="Times New Roman"/>
          <w:sz w:val="32"/>
          <w:szCs w:val="32"/>
          <w:lang w:val="zh-CN"/>
        </w:rPr>
      </w:pPr>
      <w:r>
        <w:rPr>
          <w:rFonts w:hint="default" w:ascii="Times New Roman" w:hAnsi="Times New Roman" w:eastAsia="方正黑体简体" w:cs="Times New Roman"/>
          <w:sz w:val="32"/>
          <w:szCs w:val="32"/>
          <w:lang w:val="zh-CN"/>
        </w:rPr>
        <w:t>二、</w:t>
      </w:r>
      <w:r>
        <w:rPr>
          <w:rFonts w:hint="default" w:ascii="Times New Roman" w:hAnsi="Times New Roman" w:eastAsia="方正仿宋简体" w:cs="Times New Roman"/>
          <w:sz w:val="32"/>
          <w:szCs w:val="32"/>
        </w:rPr>
        <w:t>根据成都新环众科检测技术有限公司编制的《报告表》评价结论及专家意见，该项目属于非金属废料和碎屑加工处理项目，在符合产业政策、选址符合国土空间规划等相关规划的前提下，从环境保护的角度，我局原则同意《报告表》结论。</w:t>
      </w:r>
    </w:p>
    <w:p w14:paraId="074D5521">
      <w:pPr>
        <w:widowControl/>
        <w:spacing w:line="54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lang w:val="zh-CN"/>
        </w:rPr>
        <w:t>三、</w:t>
      </w:r>
      <w:r>
        <w:rPr>
          <w:rFonts w:hint="default" w:ascii="Times New Roman" w:hAnsi="Times New Roman" w:eastAsia="方正仿宋简体" w:cs="Times New Roman"/>
          <w:sz w:val="32"/>
          <w:szCs w:val="32"/>
        </w:rPr>
        <w:t>你单位在项目建设和运营中，应严格执行有关环境质量标准和污染物排放标准，认真、全面落实报告表提出的各项环保对策措施和要求，确保污染物达标排放和各环境敏感点满足相应功能要求。重点做好以下工作：</w:t>
      </w:r>
    </w:p>
    <w:p w14:paraId="62AA8B0B">
      <w:pPr>
        <w:spacing w:line="54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lang w:val="zh-CN"/>
        </w:rPr>
        <w:t>（一）</w:t>
      </w:r>
      <w:r>
        <w:rPr>
          <w:rFonts w:hint="default" w:ascii="Times New Roman" w:hAnsi="Times New Roman" w:eastAsia="方正楷体简体" w:cs="Times New Roman"/>
          <w:kern w:val="0"/>
          <w:sz w:val="32"/>
          <w:szCs w:val="32"/>
        </w:rPr>
        <w:t>认真落实施工期</w:t>
      </w:r>
      <w:r>
        <w:rPr>
          <w:rFonts w:hint="default" w:ascii="Times New Roman" w:hAnsi="Times New Roman" w:eastAsia="方正楷体简体" w:cs="Times New Roman"/>
          <w:kern w:val="0"/>
          <w:sz w:val="32"/>
          <w:szCs w:val="32"/>
        </w:rPr>
        <w:t>生态</w:t>
      </w:r>
      <w:r>
        <w:rPr>
          <w:rFonts w:hint="default" w:ascii="Times New Roman" w:hAnsi="Times New Roman" w:eastAsia="方正楷体简体" w:cs="Times New Roman"/>
          <w:kern w:val="0"/>
          <w:sz w:val="32"/>
          <w:szCs w:val="32"/>
        </w:rPr>
        <w:t>环境保护</w:t>
      </w:r>
      <w:r>
        <w:rPr>
          <w:rFonts w:hint="default" w:ascii="Times New Roman" w:hAnsi="Times New Roman" w:eastAsia="方正楷体简体" w:cs="Times New Roman"/>
          <w:kern w:val="0"/>
          <w:sz w:val="32"/>
          <w:szCs w:val="32"/>
        </w:rPr>
        <w:t>和防沙治沙</w:t>
      </w:r>
      <w:r>
        <w:rPr>
          <w:rFonts w:hint="default" w:ascii="Times New Roman" w:hAnsi="Times New Roman" w:eastAsia="方正楷体简体" w:cs="Times New Roman"/>
          <w:kern w:val="0"/>
          <w:sz w:val="32"/>
          <w:szCs w:val="32"/>
        </w:rPr>
        <w:t>措施。</w:t>
      </w:r>
      <w:r>
        <w:rPr>
          <w:rFonts w:hint="default" w:ascii="Times New Roman" w:hAnsi="Times New Roman" w:eastAsia="方正仿宋简体" w:cs="Times New Roman"/>
          <w:kern w:val="0"/>
          <w:sz w:val="32"/>
          <w:szCs w:val="32"/>
        </w:rPr>
        <w:t>做好施工过程中的降噪、防尘、施工固废清理和水土保持、防沙治沙等生态环境保护措施，妥善处置施工废弃物、生活垃圾及生活污水。</w:t>
      </w:r>
    </w:p>
    <w:p w14:paraId="53F96F01">
      <w:pPr>
        <w:spacing w:line="54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lang w:val="zh-CN"/>
        </w:rPr>
        <w:t>（</w:t>
      </w:r>
      <w:r>
        <w:rPr>
          <w:rFonts w:hint="default" w:ascii="Times New Roman" w:hAnsi="Times New Roman" w:eastAsia="方正楷体简体" w:cs="Times New Roman"/>
          <w:kern w:val="0"/>
          <w:sz w:val="32"/>
          <w:szCs w:val="32"/>
        </w:rPr>
        <w:t>二</w:t>
      </w:r>
      <w:r>
        <w:rPr>
          <w:rFonts w:hint="default" w:ascii="Times New Roman" w:hAnsi="Times New Roman" w:eastAsia="方正楷体简体" w:cs="Times New Roman"/>
          <w:kern w:val="0"/>
          <w:sz w:val="32"/>
          <w:szCs w:val="32"/>
          <w:lang w:val="zh-CN"/>
        </w:rPr>
        <w:t>）</w:t>
      </w:r>
      <w:r>
        <w:rPr>
          <w:rFonts w:hint="default" w:ascii="Times New Roman" w:hAnsi="Times New Roman" w:eastAsia="方正楷体简体" w:cs="Times New Roman"/>
          <w:kern w:val="0"/>
          <w:sz w:val="32"/>
          <w:szCs w:val="32"/>
        </w:rPr>
        <w:t>严格落实大气污染防治措施。</w:t>
      </w:r>
      <w:r>
        <w:rPr>
          <w:rFonts w:hint="default" w:ascii="Times New Roman" w:hAnsi="Times New Roman" w:eastAsia="方正仿宋简体" w:cs="Times New Roman"/>
          <w:kern w:val="0"/>
          <w:sz w:val="32"/>
          <w:szCs w:val="32"/>
        </w:rPr>
        <w:t>该项目运营期产生的废气主要为涤纶再生颗粒生产线团粒废气、再生棉生产线破碎、粗开松、精开松废气、聚丙烯再生颗粒生产</w:t>
      </w:r>
      <w:r>
        <w:rPr>
          <w:rFonts w:hint="eastAsia" w:eastAsia="方正仿宋简体" w:cs="Times New Roman"/>
          <w:kern w:val="0"/>
          <w:sz w:val="32"/>
          <w:szCs w:val="32"/>
          <w:lang w:val="en-US" w:eastAsia="zh-CN"/>
        </w:rPr>
        <w:t>线</w:t>
      </w:r>
      <w:r>
        <w:rPr>
          <w:rFonts w:hint="default" w:ascii="Times New Roman" w:hAnsi="Times New Roman" w:eastAsia="方正仿宋简体" w:cs="Times New Roman"/>
          <w:kern w:val="0"/>
          <w:sz w:val="32"/>
          <w:szCs w:val="32"/>
        </w:rPr>
        <w:t>熔融挤出废气。团粒废气和</w:t>
      </w:r>
      <w:r>
        <w:rPr>
          <w:rFonts w:hint="default" w:ascii="Times New Roman" w:hAnsi="Times New Roman" w:eastAsia="方正仿宋简体" w:cs="Times New Roman"/>
          <w:color w:val="auto"/>
          <w:kern w:val="0"/>
          <w:sz w:val="32"/>
          <w:szCs w:val="32"/>
        </w:rPr>
        <w:t>熔融挤出废气</w:t>
      </w:r>
      <w:r>
        <w:rPr>
          <w:rFonts w:hint="default" w:ascii="Times New Roman" w:hAnsi="Times New Roman" w:eastAsia="方正仿宋简体" w:cs="Times New Roman"/>
          <w:kern w:val="0"/>
          <w:sz w:val="32"/>
          <w:szCs w:val="32"/>
        </w:rPr>
        <w:t>经1套“软帘集气罩+气旋混动喷淋塔+二级活性炭吸附装置”处理，</w:t>
      </w:r>
      <w:r>
        <w:rPr>
          <w:rFonts w:hint="default" w:ascii="Times New Roman" w:hAnsi="Times New Roman" w:eastAsia="方正仿宋简体" w:cs="Times New Roman"/>
          <w:kern w:val="0"/>
          <w:sz w:val="32"/>
          <w:szCs w:val="32"/>
          <w:lang w:val="en-US" w:eastAsia="zh-CN"/>
        </w:rPr>
        <w:t>废气中非甲烷总烃、颗粒物、</w:t>
      </w:r>
      <w:r>
        <w:rPr>
          <w:rFonts w:hint="default" w:ascii="Times New Roman" w:hAnsi="Times New Roman" w:eastAsia="方正仿宋简体" w:cs="Times New Roman"/>
          <w:color w:val="auto"/>
          <w:kern w:val="0"/>
          <w:sz w:val="32"/>
          <w:szCs w:val="32"/>
        </w:rPr>
        <w:t>须满足</w:t>
      </w:r>
      <w:r>
        <w:rPr>
          <w:rFonts w:hint="default" w:ascii="Times New Roman" w:hAnsi="Times New Roman" w:eastAsia="方正仿宋简体" w:cs="Times New Roman"/>
          <w:kern w:val="0"/>
          <w:sz w:val="32"/>
          <w:szCs w:val="32"/>
        </w:rPr>
        <w:t>《合成树脂工业污染物排放标准》（GB31572-2015</w:t>
      </w:r>
      <w:r>
        <w:rPr>
          <w:rFonts w:hint="eastAsia" w:eastAsia="方正仿宋简体" w:cs="Times New Roman"/>
          <w:kern w:val="0"/>
          <w:sz w:val="32"/>
          <w:szCs w:val="32"/>
          <w:lang w:eastAsia="zh-CN"/>
        </w:rPr>
        <w:t>，</w:t>
      </w:r>
      <w:r>
        <w:rPr>
          <w:rFonts w:hint="eastAsia" w:eastAsia="方正仿宋简体" w:cs="Times New Roman"/>
          <w:kern w:val="0"/>
          <w:sz w:val="32"/>
          <w:szCs w:val="32"/>
          <w:lang w:val="en-US" w:eastAsia="zh-CN"/>
        </w:rPr>
        <w:t>含</w:t>
      </w:r>
      <w:r>
        <w:rPr>
          <w:rFonts w:hint="default" w:ascii="Times New Roman" w:hAnsi="Times New Roman" w:eastAsia="方正仿宋简体" w:cs="Times New Roman"/>
          <w:kern w:val="0"/>
          <w:sz w:val="32"/>
          <w:szCs w:val="32"/>
        </w:rPr>
        <w:t>2024年修改单）中表4大气污染物排放限值</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lang w:val="en-US" w:eastAsia="zh-CN"/>
        </w:rPr>
        <w:t>臭气浓度</w:t>
      </w:r>
      <w:r>
        <w:rPr>
          <w:rFonts w:hint="default" w:ascii="Times New Roman" w:hAnsi="Times New Roman" w:eastAsia="方正仿宋简体" w:cs="Times New Roman"/>
          <w:color w:val="auto"/>
          <w:kern w:val="0"/>
          <w:sz w:val="32"/>
          <w:szCs w:val="32"/>
        </w:rPr>
        <w:t>须满足</w:t>
      </w:r>
      <w:r>
        <w:rPr>
          <w:rFonts w:hint="default" w:ascii="Times New Roman" w:hAnsi="Times New Roman" w:eastAsia="方正仿宋简体" w:cs="Times New Roman"/>
          <w:kern w:val="0"/>
          <w:sz w:val="32"/>
          <w:szCs w:val="32"/>
        </w:rPr>
        <w:t>《恶臭污染物排放标准》（GB14554-1993）表2排放限值后，通过1根15m高排气筒（DA001）排放。再生棉生产线破碎、粗开松、精开松废气经“软帘集气罩+二级圆笼式除尘器”处理，</w:t>
      </w:r>
      <w:r>
        <w:rPr>
          <w:rFonts w:hint="default" w:ascii="Times New Roman" w:hAnsi="Times New Roman" w:eastAsia="方正仿宋简体" w:cs="Times New Roman"/>
          <w:color w:val="auto"/>
          <w:kern w:val="0"/>
          <w:sz w:val="32"/>
          <w:szCs w:val="32"/>
          <w:lang w:val="en-US" w:eastAsia="zh-CN"/>
        </w:rPr>
        <w:t>废气中颗粒物</w:t>
      </w:r>
      <w:r>
        <w:rPr>
          <w:rFonts w:hint="default" w:ascii="Times New Roman" w:hAnsi="Times New Roman" w:eastAsia="方正仿宋简体" w:cs="Times New Roman"/>
          <w:color w:val="auto"/>
          <w:kern w:val="0"/>
          <w:sz w:val="32"/>
          <w:szCs w:val="32"/>
        </w:rPr>
        <w:t>须满足《</w:t>
      </w:r>
      <w:r>
        <w:rPr>
          <w:rFonts w:hint="default" w:ascii="Times New Roman" w:hAnsi="Times New Roman" w:eastAsia="方正仿宋简体" w:cs="Times New Roman"/>
          <w:kern w:val="0"/>
          <w:sz w:val="32"/>
          <w:szCs w:val="32"/>
        </w:rPr>
        <w:t>大气污染物综合排放标准》（GB16297-1996）中表 2 中的限值要求后，通过1根15m高排气筒（DA002）排放。</w:t>
      </w:r>
    </w:p>
    <w:p w14:paraId="440880B5">
      <w:pPr>
        <w:spacing w:line="54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通过采取做好设施检修及维护，加强车间通风换气等措施，确保厂界颗粒物及非甲烷总烃无组织排放满足《合成树脂工业污染物排放标准》（GB31572-2015</w:t>
      </w:r>
      <w:r>
        <w:rPr>
          <w:rFonts w:hint="eastAsia" w:eastAsia="方正仿宋简体" w:cs="Times New Roman"/>
          <w:kern w:val="0"/>
          <w:sz w:val="32"/>
          <w:szCs w:val="32"/>
          <w:lang w:eastAsia="zh-CN"/>
        </w:rPr>
        <w:t>，</w:t>
      </w:r>
      <w:r>
        <w:rPr>
          <w:rFonts w:hint="eastAsia" w:eastAsia="方正仿宋简体" w:cs="Times New Roman"/>
          <w:kern w:val="0"/>
          <w:sz w:val="32"/>
          <w:szCs w:val="32"/>
          <w:lang w:val="en-US" w:eastAsia="zh-CN"/>
        </w:rPr>
        <w:t>含</w:t>
      </w:r>
      <w:r>
        <w:rPr>
          <w:rFonts w:hint="default" w:ascii="Times New Roman" w:hAnsi="Times New Roman" w:eastAsia="方正仿宋简体" w:cs="Times New Roman"/>
          <w:kern w:val="0"/>
          <w:sz w:val="32"/>
          <w:szCs w:val="32"/>
        </w:rPr>
        <w:t>2024年修改单）表9企业边界大气污染物浓度限值要求，厂内非甲烷总烃无组织排放须满足《挥发性有机物无组织排放控制标准》（GB37822-2019）中表A.1厂区内VOCs限值要求；臭气浓度须满足《恶臭污染物排放标准》（GB14554-93）表1恶臭污染物厂界标准值二级新扩改建标准要求。</w:t>
      </w:r>
    </w:p>
    <w:p w14:paraId="2128E8AE">
      <w:pPr>
        <w:overflowPunct w:val="0"/>
        <w:topLinePunct/>
        <w:spacing w:line="54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rPr>
        <w:t>（三）严格落实水污染防治措施。</w:t>
      </w:r>
      <w:r>
        <w:rPr>
          <w:rFonts w:hint="default" w:ascii="Times New Roman" w:hAnsi="Times New Roman" w:eastAsia="方正仿宋简体" w:cs="Times New Roman"/>
          <w:kern w:val="0"/>
          <w:sz w:val="32"/>
          <w:szCs w:val="32"/>
        </w:rPr>
        <w:t>该项目运营期产生的废水主要是清洗废水、气旋混动喷淋塔废水和生活污水。清洗废水经</w:t>
      </w:r>
    </w:p>
    <w:p w14:paraId="3E8F4025">
      <w:pPr>
        <w:overflowPunct w:val="0"/>
        <w:topLinePunct/>
        <w:spacing w:line="540" w:lineRule="exac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厂区清洗废水处理站处理（调节沉淀池+石英砂过滤罐）</w:t>
      </w:r>
      <w:r>
        <w:rPr>
          <w:rFonts w:hint="eastAsia" w:eastAsia="方正仿宋简体" w:cs="Times New Roman"/>
          <w:kern w:val="0"/>
          <w:sz w:val="32"/>
          <w:szCs w:val="32"/>
          <w:lang w:val="en-US" w:eastAsia="zh-CN"/>
        </w:rPr>
        <w:t>处理</w:t>
      </w:r>
      <w:r>
        <w:rPr>
          <w:rFonts w:hint="default" w:ascii="Times New Roman" w:hAnsi="Times New Roman" w:eastAsia="方正仿宋简体" w:cs="Times New Roman"/>
          <w:kern w:val="0"/>
          <w:sz w:val="32"/>
          <w:szCs w:val="32"/>
        </w:rPr>
        <w:t>后回用，不外排；气旋混动喷淋塔废水经隔油、沉淀、过滤为一体的集成式水箱处理后回用，不外排；生活污水经厂区三级化粪池处理，须满足《污水综合排放标准》（GB 8978-1996）三级标准及九团生活污水处理厂纳管要求后排入市政污水管网，最终进入九团生活污水处理厂处理。</w:t>
      </w:r>
    </w:p>
    <w:p w14:paraId="53C04F7C">
      <w:pPr>
        <w:pStyle w:val="12"/>
        <w:overflowPunct w:val="0"/>
        <w:topLinePunct/>
        <w:spacing w:line="54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rPr>
        <w:t>（四）严格落实噪声污染防治措施。</w:t>
      </w:r>
      <w:r>
        <w:rPr>
          <w:rFonts w:hint="default" w:ascii="Times New Roman" w:hAnsi="Times New Roman" w:eastAsia="方正仿宋简体" w:cs="Times New Roman"/>
          <w:kern w:val="0"/>
          <w:sz w:val="32"/>
          <w:szCs w:val="32"/>
        </w:rPr>
        <w:t>该项目运营期产生的噪声主噪声主要为风机、挤出机</w:t>
      </w:r>
      <w:r>
        <w:rPr>
          <w:rFonts w:hint="eastAsia" w:eastAsia="方正仿宋简体" w:cs="Times New Roman"/>
          <w:kern w:val="0"/>
          <w:sz w:val="32"/>
          <w:szCs w:val="32"/>
          <w:lang w:eastAsia="zh-CN"/>
        </w:rPr>
        <w:t>、</w:t>
      </w:r>
      <w:r>
        <w:rPr>
          <w:rFonts w:hint="eastAsia" w:eastAsia="方正仿宋简体" w:cs="Times New Roman"/>
          <w:kern w:val="0"/>
          <w:sz w:val="32"/>
          <w:szCs w:val="32"/>
          <w:lang w:val="en-US" w:eastAsia="zh-CN"/>
        </w:rPr>
        <w:t>开松机</w:t>
      </w:r>
      <w:r>
        <w:rPr>
          <w:rFonts w:hint="default" w:ascii="Times New Roman" w:hAnsi="Times New Roman" w:eastAsia="方正仿宋简体" w:cs="Times New Roman"/>
          <w:kern w:val="0"/>
          <w:sz w:val="32"/>
          <w:szCs w:val="32"/>
        </w:rPr>
        <w:t>等设备在运行时产生噪声。通过选用先进可靠的低噪声设备，设备底座或基础加装减振装置</w:t>
      </w:r>
      <w:r>
        <w:rPr>
          <w:rFonts w:hint="eastAsia" w:eastAsia="方正仿宋简体" w:cs="Times New Roman"/>
          <w:kern w:val="0"/>
          <w:sz w:val="32"/>
          <w:szCs w:val="32"/>
          <w:lang w:val="en-US" w:eastAsia="zh-CN"/>
        </w:rPr>
        <w:t>等措施</w:t>
      </w:r>
      <w:r>
        <w:rPr>
          <w:rFonts w:hint="default" w:ascii="Times New Roman" w:hAnsi="Times New Roman" w:eastAsia="方正仿宋简体" w:cs="Times New Roman"/>
          <w:kern w:val="0"/>
          <w:sz w:val="32"/>
          <w:szCs w:val="32"/>
        </w:rPr>
        <w:t>；确保厂界噪声排放满足《工业企业厂界环境噪声排放标准》（GB12348-2008）中2类标准要求。</w:t>
      </w:r>
    </w:p>
    <w:p w14:paraId="3D775881">
      <w:pPr>
        <w:pStyle w:val="12"/>
        <w:spacing w:line="54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rPr>
        <w:t>（五）严格落实固体废物分类处置措施。</w:t>
      </w:r>
      <w:r>
        <w:rPr>
          <w:rFonts w:hint="default" w:ascii="Times New Roman" w:hAnsi="Times New Roman" w:eastAsia="方正仿宋简体" w:cs="Times New Roman"/>
          <w:kern w:val="0"/>
          <w:sz w:val="32"/>
          <w:szCs w:val="32"/>
        </w:rPr>
        <w:t>该项目运营期固废主要为废润滑油、废油桶、废油剂渣、废活性炭等危险废物；废边角料、分拣杂质、除尘器棉尘、</w:t>
      </w:r>
      <w:r>
        <w:rPr>
          <w:rFonts w:hint="default" w:ascii="Times New Roman" w:hAnsi="Times New Roman" w:eastAsia="方正仿宋简体" w:cs="Times New Roman"/>
          <w:color w:val="000000" w:themeColor="text1"/>
          <w:kern w:val="0"/>
          <w:sz w:val="32"/>
          <w:szCs w:val="32"/>
          <w:lang w:val="en-US" w:eastAsia="zh-CN"/>
          <w14:textFill>
            <w14:solidFill>
              <w14:schemeClr w14:val="tx1"/>
            </w14:solidFill>
          </w14:textFill>
        </w:rPr>
        <w:t>清洗废水处理站</w:t>
      </w:r>
      <w:r>
        <w:rPr>
          <w:rFonts w:hint="default" w:ascii="Times New Roman" w:hAnsi="Times New Roman" w:eastAsia="方正仿宋简体" w:cs="Times New Roman"/>
          <w:color w:val="000000" w:themeColor="text1"/>
          <w:kern w:val="0"/>
          <w:sz w:val="32"/>
          <w:szCs w:val="32"/>
          <w14:textFill>
            <w14:solidFill>
              <w14:schemeClr w14:val="tx1"/>
            </w14:solidFill>
          </w14:textFill>
        </w:rPr>
        <w:t>沉渣</w:t>
      </w:r>
      <w:r>
        <w:rPr>
          <w:rFonts w:hint="default" w:ascii="Times New Roman" w:hAnsi="Times New Roman" w:eastAsia="方正仿宋简体" w:cs="Times New Roman"/>
          <w:kern w:val="0"/>
          <w:sz w:val="32"/>
          <w:szCs w:val="32"/>
        </w:rPr>
        <w:t>等一般固废和生活垃圾。危险废物分类暂存于厂区危险废物贮存点内，定期委托有资质的单位处置，严格执行危险废物转移联单制度，按照《危险废物贮存污染控制标准》（GB18597-2023）的相关要求建设和管理危险废物贮存点。废边角料、除尘器棉尘收集后回用于生产，分拣杂质、</w:t>
      </w:r>
      <w:r>
        <w:rPr>
          <w:rFonts w:hint="eastAsia" w:eastAsia="方正仿宋简体" w:cs="Times New Roman"/>
          <w:kern w:val="0"/>
          <w:sz w:val="32"/>
          <w:szCs w:val="32"/>
          <w:lang w:val="en-US" w:eastAsia="zh-CN"/>
        </w:rPr>
        <w:t>清洗废水处理站沉渣</w:t>
      </w:r>
      <w:r>
        <w:rPr>
          <w:rFonts w:hint="default" w:ascii="Times New Roman" w:hAnsi="Times New Roman" w:eastAsia="方正仿宋简体" w:cs="Times New Roman"/>
          <w:kern w:val="0"/>
          <w:sz w:val="32"/>
          <w:szCs w:val="32"/>
        </w:rPr>
        <w:t>及生活垃圾集中收集后交由环卫部门定期清运。</w:t>
      </w:r>
    </w:p>
    <w:p w14:paraId="1D70AA2B">
      <w:pPr>
        <w:spacing w:line="54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lang w:val="zh-CN"/>
        </w:rPr>
        <w:t>（</w:t>
      </w:r>
      <w:r>
        <w:rPr>
          <w:rFonts w:hint="default" w:ascii="Times New Roman" w:hAnsi="Times New Roman" w:eastAsia="方正楷体简体" w:cs="Times New Roman"/>
          <w:kern w:val="0"/>
          <w:sz w:val="32"/>
          <w:szCs w:val="32"/>
        </w:rPr>
        <w:t>六</w:t>
      </w:r>
      <w:r>
        <w:rPr>
          <w:rFonts w:hint="default" w:ascii="Times New Roman" w:hAnsi="Times New Roman" w:eastAsia="方正楷体简体" w:cs="Times New Roman"/>
          <w:kern w:val="0"/>
          <w:sz w:val="32"/>
          <w:szCs w:val="32"/>
          <w:lang w:val="zh-CN"/>
        </w:rPr>
        <w:t>）</w:t>
      </w:r>
      <w:r>
        <w:rPr>
          <w:rFonts w:hint="default" w:ascii="Times New Roman" w:hAnsi="Times New Roman" w:eastAsia="方正楷体简体" w:cs="Times New Roman"/>
          <w:kern w:val="0"/>
          <w:sz w:val="32"/>
          <w:szCs w:val="32"/>
        </w:rPr>
        <w:t>严格落实地下水和土壤污染防治措施</w:t>
      </w:r>
      <w:r>
        <w:rPr>
          <w:rFonts w:hint="default" w:ascii="Times New Roman" w:hAnsi="Times New Roman" w:eastAsia="方正仿宋_GB2312" w:cs="Times New Roman"/>
          <w:kern w:val="0"/>
          <w:sz w:val="32"/>
          <w:szCs w:val="32"/>
        </w:rPr>
        <w:t>。</w:t>
      </w:r>
      <w:r>
        <w:rPr>
          <w:rFonts w:hint="eastAsia" w:eastAsia="方正仿宋_GB2312" w:cs="Times New Roman"/>
          <w:kern w:val="0"/>
          <w:sz w:val="32"/>
          <w:szCs w:val="32"/>
          <w:lang w:val="en-US" w:eastAsia="zh-CN"/>
        </w:rPr>
        <w:t>该</w:t>
      </w:r>
      <w:r>
        <w:rPr>
          <w:rFonts w:hint="default" w:ascii="Times New Roman" w:hAnsi="Times New Roman" w:eastAsia="方正仿宋简体" w:cs="Times New Roman"/>
          <w:kern w:val="0"/>
          <w:sz w:val="32"/>
          <w:szCs w:val="32"/>
        </w:rPr>
        <w:t>项目厂区划分为重点防渗区、一般防渗区、简单防渗区。根据不同的防渗区采取相应的防渗措施。危险废物贮存点为重点防渗区，防渗要求为“等效黏土防渗层Mb≥6.0m，K≤1×10</w:t>
      </w:r>
      <w:r>
        <w:rPr>
          <w:rFonts w:hint="default" w:ascii="Times New Roman" w:hAnsi="Times New Roman" w:eastAsia="方正仿宋简体" w:cs="Times New Roman"/>
          <w:kern w:val="0"/>
          <w:sz w:val="32"/>
          <w:szCs w:val="32"/>
          <w:vertAlign w:val="superscript"/>
        </w:rPr>
        <w:t>-10</w:t>
      </w:r>
      <w:r>
        <w:rPr>
          <w:rFonts w:hint="default" w:ascii="Times New Roman" w:hAnsi="Times New Roman" w:eastAsia="方正仿宋简体" w:cs="Times New Roman"/>
          <w:kern w:val="0"/>
          <w:sz w:val="32"/>
          <w:szCs w:val="32"/>
        </w:rPr>
        <w:t>cm/s”；一般防渗区为生产车间内除危险废物贮存点外的其他区域、化粪池、消防水池，防渗要求为“等效黏土防渗层Mb≥1.5m，K≤1×10</w:t>
      </w:r>
      <w:r>
        <w:rPr>
          <w:rFonts w:hint="default" w:ascii="Times New Roman" w:hAnsi="Times New Roman" w:eastAsia="方正仿宋简体" w:cs="Times New Roman"/>
          <w:kern w:val="0"/>
          <w:sz w:val="32"/>
          <w:szCs w:val="32"/>
          <w:vertAlign w:val="superscript"/>
        </w:rPr>
        <w:t>-7</w:t>
      </w:r>
      <w:r>
        <w:rPr>
          <w:rFonts w:hint="default" w:ascii="Times New Roman" w:hAnsi="Times New Roman" w:eastAsia="方正仿宋简体" w:cs="Times New Roman"/>
          <w:kern w:val="0"/>
          <w:sz w:val="32"/>
          <w:szCs w:val="32"/>
        </w:rPr>
        <w:t>cm/s”；厂区道路、业务用房、值班室、消防泵房进行简单防渗，采取一般性的地面硬化措施。</w:t>
      </w:r>
    </w:p>
    <w:p w14:paraId="4B7A7877">
      <w:pPr>
        <w:pStyle w:val="3"/>
        <w:adjustRightInd w:val="0"/>
        <w:snapToGrid w:val="0"/>
        <w:spacing w:line="54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lang w:val="zh-CN"/>
        </w:rPr>
        <w:t>（七）加强项目环境风险防范。</w:t>
      </w:r>
      <w:r>
        <w:rPr>
          <w:rFonts w:hint="default" w:ascii="Times New Roman" w:hAnsi="Times New Roman" w:eastAsia="方正仿宋简体" w:cs="Times New Roman"/>
          <w:kern w:val="0"/>
          <w:sz w:val="32"/>
          <w:szCs w:val="32"/>
        </w:rPr>
        <w:t>建立严格的环境风险管理制度，认真落实《报告表》提出的各项风险防范措施；制定相关应急预案，编制《突发环境事件应急预案》报生态环境主管部门备案，定期开展环境风险应急培训和突发环境事件应急演练，有效防控环境风险。一旦发生突发环境事件，立即启动应急预案，采取有效措施控制、减轻或消除对大气、土壤、地下水环境的污染。</w:t>
      </w:r>
    </w:p>
    <w:p w14:paraId="10FD3CA5">
      <w:pPr>
        <w:spacing w:line="54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lang w:val="zh-CN"/>
        </w:rPr>
        <w:t>四、</w:t>
      </w:r>
      <w:r>
        <w:rPr>
          <w:rFonts w:hint="default" w:ascii="Times New Roman" w:hAnsi="Times New Roman" w:eastAsia="方正仿宋简体" w:cs="Times New Roman"/>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555ADBDB">
      <w:pPr>
        <w:pStyle w:val="7"/>
        <w:spacing w:after="0" w:line="540" w:lineRule="exact"/>
        <w:ind w:left="0" w:leftChars="0" w:firstLine="64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lang w:val="zh-CN"/>
        </w:rPr>
        <w:t>五、</w:t>
      </w:r>
      <w:r>
        <w:rPr>
          <w:rFonts w:hint="default" w:ascii="Times New Roman" w:hAnsi="Times New Roman" w:eastAsia="方正仿宋简体" w:cs="Times New Roman"/>
          <w:kern w:val="0"/>
          <w:sz w:val="32"/>
          <w:szCs w:val="32"/>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028F3F8D">
      <w:pPr>
        <w:pStyle w:val="7"/>
        <w:spacing w:after="0" w:line="540" w:lineRule="exact"/>
        <w:ind w:left="0" w:leftChars="0" w:firstLine="640"/>
        <w:rPr>
          <w:rFonts w:hint="default" w:ascii="Times New Roman" w:hAnsi="Times New Roman" w:eastAsia="方正仿宋_GB2312" w:cs="Times New Roman"/>
          <w:kern w:val="0"/>
          <w:sz w:val="32"/>
          <w:szCs w:val="32"/>
        </w:rPr>
      </w:pPr>
      <w:r>
        <w:rPr>
          <w:rFonts w:hint="default" w:ascii="Times New Roman" w:hAnsi="Times New Roman" w:eastAsia="方正黑体简体" w:cs="Times New Roman"/>
          <w:kern w:val="0"/>
          <w:sz w:val="32"/>
          <w:szCs w:val="32"/>
          <w:lang w:val="zh-CN"/>
        </w:rPr>
        <w:t>六、</w:t>
      </w:r>
      <w:r>
        <w:rPr>
          <w:rFonts w:hint="default" w:ascii="Times New Roman" w:hAnsi="Times New Roman" w:eastAsia="方正仿宋_GB2312" w:cs="Times New Roman"/>
          <w:kern w:val="0"/>
          <w:sz w:val="32"/>
          <w:szCs w:val="32"/>
        </w:rPr>
        <w:t>在启动生产设施或者在实际排污之前，按照经批准的环境影响评价文件认真梳理并确认各项环境保护措施落实后，依法申领或变更排污许可，按照排污许可要求制定自行监测制度。</w:t>
      </w:r>
    </w:p>
    <w:p w14:paraId="46C8432C">
      <w:pPr>
        <w:pStyle w:val="7"/>
        <w:spacing w:after="0" w:line="540" w:lineRule="exact"/>
        <w:ind w:left="0" w:leftChars="0" w:firstLine="640"/>
        <w:rPr>
          <w:rFonts w:hint="default" w:ascii="Times New Roman" w:hAnsi="Times New Roman" w:eastAsia="方正仿宋_GB2312" w:cs="Times New Roman"/>
          <w:kern w:val="0"/>
          <w:sz w:val="32"/>
          <w:szCs w:val="32"/>
        </w:rPr>
      </w:pPr>
      <w:r>
        <w:rPr>
          <w:rFonts w:hint="default" w:ascii="Times New Roman" w:hAnsi="Times New Roman" w:eastAsia="方正黑体简体" w:cs="Times New Roman"/>
          <w:kern w:val="0"/>
          <w:sz w:val="32"/>
          <w:szCs w:val="32"/>
          <w:lang w:val="zh-CN"/>
        </w:rPr>
        <w:t>七、</w:t>
      </w:r>
      <w:r>
        <w:rPr>
          <w:rFonts w:hint="default" w:ascii="Times New Roman" w:hAnsi="Times New Roman" w:eastAsia="方正仿宋_GB2312" w:cs="Times New Roman"/>
          <w:kern w:val="0"/>
          <w:sz w:val="32"/>
          <w:szCs w:val="32"/>
        </w:rPr>
        <w:t>九团梨花镇</w:t>
      </w:r>
      <w:r>
        <w:rPr>
          <w:rFonts w:hint="default" w:ascii="Times New Roman" w:hAnsi="Times New Roman" w:eastAsia="方正仿宋_GB2312" w:cs="Times New Roman"/>
          <w:kern w:val="0"/>
          <w:sz w:val="32"/>
          <w:szCs w:val="32"/>
          <w:lang w:val="zh-CN"/>
        </w:rPr>
        <w:t>积极发挥政府职能，做好该项目环境保护管理工作，师市生态环境保护综合行政执法支队做好该项目的抽查</w:t>
      </w:r>
      <w:r>
        <w:rPr>
          <w:rFonts w:hint="default" w:ascii="Times New Roman" w:hAnsi="Times New Roman" w:eastAsia="方正仿宋_GB2312" w:cs="Times New Roman"/>
          <w:kern w:val="0"/>
          <w:sz w:val="32"/>
          <w:szCs w:val="32"/>
        </w:rPr>
        <w:t>及</w:t>
      </w:r>
      <w:r>
        <w:rPr>
          <w:rFonts w:hint="default" w:ascii="Times New Roman" w:hAnsi="Times New Roman" w:eastAsia="方正仿宋_GB2312" w:cs="Times New Roman"/>
          <w:kern w:val="0"/>
          <w:sz w:val="32"/>
          <w:szCs w:val="32"/>
          <w:lang w:val="zh-CN"/>
        </w:rPr>
        <w:t>日常监督管理工作</w:t>
      </w:r>
      <w:r>
        <w:rPr>
          <w:rFonts w:hint="default" w:ascii="Times New Roman" w:hAnsi="Times New Roman" w:eastAsia="方正仿宋_GB2312" w:cs="Times New Roman"/>
          <w:kern w:val="0"/>
          <w:sz w:val="32"/>
          <w:szCs w:val="32"/>
        </w:rPr>
        <w:t>。</w:t>
      </w:r>
    </w:p>
    <w:p w14:paraId="28A08380">
      <w:pPr>
        <w:pStyle w:val="7"/>
        <w:spacing w:after="0" w:line="540" w:lineRule="exact"/>
        <w:ind w:left="0" w:leftChars="0" w:firstLine="640"/>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如你单位对本审批决定有不同意见，可在接到本决定书之日起六十日内向</w:t>
      </w:r>
      <w:r>
        <w:rPr>
          <w:rFonts w:hint="default" w:ascii="Times New Roman" w:hAnsi="Times New Roman" w:eastAsia="方正仿宋_GB2312" w:cs="Times New Roman"/>
          <w:kern w:val="0"/>
          <w:sz w:val="30"/>
          <w:szCs w:val="30"/>
        </w:rPr>
        <w:t>阿拉尔市人民政府申请行政复议，也可在六个月内依法向阿拉尔垦区人民法院起诉。</w:t>
      </w:r>
    </w:p>
    <w:p w14:paraId="4055E489">
      <w:pPr>
        <w:widowControl/>
        <w:spacing w:line="540" w:lineRule="exact"/>
        <w:rPr>
          <w:rFonts w:hint="default" w:ascii="Times New Roman" w:hAnsi="Times New Roman" w:eastAsia="方正仿宋_GB2312" w:cs="Times New Roman"/>
          <w:kern w:val="0"/>
          <w:sz w:val="32"/>
          <w:szCs w:val="32"/>
        </w:rPr>
      </w:pPr>
    </w:p>
    <w:p w14:paraId="0B381340">
      <w:pPr>
        <w:widowControl/>
        <w:spacing w:line="540" w:lineRule="exact"/>
        <w:rPr>
          <w:rFonts w:hint="default" w:ascii="Times New Roman" w:hAnsi="Times New Roman" w:eastAsia="方正仿宋_GB2312" w:cs="Times New Roman"/>
          <w:kern w:val="0"/>
          <w:sz w:val="32"/>
          <w:szCs w:val="32"/>
        </w:rPr>
      </w:pPr>
    </w:p>
    <w:p w14:paraId="6901A3DF">
      <w:pPr>
        <w:widowControl/>
        <w:spacing w:line="540" w:lineRule="exact"/>
        <w:ind w:firstLine="4800" w:firstLineChars="1500"/>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第一师阿拉尔市生态环境局</w:t>
      </w:r>
    </w:p>
    <w:p w14:paraId="58919426">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r>
        <w:rPr>
          <w:rFonts w:hint="default" w:ascii="Times New Roman" w:hAnsi="Times New Roman" w:eastAsia="方正仿宋_GB2312" w:cs="Times New Roman"/>
          <w:kern w:val="0"/>
          <w:sz w:val="32"/>
          <w:szCs w:val="32"/>
        </w:rPr>
        <w:t>202</w:t>
      </w:r>
      <w:r>
        <w:rPr>
          <w:rFonts w:hint="default" w:ascii="Times New Roman" w:hAnsi="Times New Roman" w:eastAsia="方正仿宋_GB2312" w:cs="Times New Roman"/>
          <w:kern w:val="0"/>
          <w:sz w:val="32"/>
          <w:szCs w:val="32"/>
        </w:rPr>
        <w:t>6</w:t>
      </w:r>
      <w:r>
        <w:rPr>
          <w:rFonts w:hint="default" w:ascii="Times New Roman" w:hAnsi="Times New Roman" w:eastAsia="方正仿宋_GB2312" w:cs="Times New Roman"/>
          <w:kern w:val="0"/>
          <w:sz w:val="32"/>
          <w:szCs w:val="32"/>
        </w:rPr>
        <w:t>年</w:t>
      </w:r>
      <w:r>
        <w:rPr>
          <w:rFonts w:hint="default" w:ascii="Times New Roman" w:hAnsi="Times New Roman" w:eastAsia="方正仿宋_GB2312" w:cs="Times New Roman"/>
          <w:kern w:val="0"/>
          <w:sz w:val="32"/>
          <w:szCs w:val="32"/>
        </w:rPr>
        <w:t>6</w:t>
      </w:r>
      <w:r>
        <w:rPr>
          <w:rFonts w:hint="default" w:ascii="Times New Roman" w:hAnsi="Times New Roman" w:eastAsia="方正仿宋_GB2312" w:cs="Times New Roman"/>
          <w:kern w:val="0"/>
          <w:sz w:val="32"/>
          <w:szCs w:val="32"/>
        </w:rPr>
        <w:t>月</w:t>
      </w:r>
      <w:r>
        <w:rPr>
          <w:rFonts w:hint="default" w:ascii="Times New Roman" w:hAnsi="Times New Roman" w:eastAsia="方正仿宋_GB2312" w:cs="Times New Roman"/>
          <w:kern w:val="0"/>
          <w:sz w:val="32"/>
          <w:szCs w:val="32"/>
        </w:rPr>
        <w:t>2</w:t>
      </w:r>
      <w:r>
        <w:rPr>
          <w:rFonts w:hint="eastAsia" w:eastAsia="方正仿宋_GB2312" w:cs="Times New Roman"/>
          <w:kern w:val="0"/>
          <w:sz w:val="32"/>
          <w:szCs w:val="32"/>
          <w:lang w:val="en-US" w:eastAsia="zh-CN"/>
        </w:rPr>
        <w:t>4</w:t>
      </w:r>
      <w:r>
        <w:rPr>
          <w:rFonts w:hint="default" w:ascii="Times New Roman" w:hAnsi="Times New Roman" w:eastAsia="方正仿宋_GB2312" w:cs="Times New Roman"/>
          <w:kern w:val="0"/>
          <w:sz w:val="32"/>
          <w:szCs w:val="32"/>
        </w:rPr>
        <w:t>日</w:t>
      </w:r>
    </w:p>
    <w:p w14:paraId="6F8337A9">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248180E1">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3C567CD0">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5262B315">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2B45F3D7">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70A3FFB2">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4F6BB5C8">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236F1DB6">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6D72D105">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100A9A5E">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39484111">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06CF1943">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1114EE6C">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2424CE64">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0D635F3B">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5C2960CB">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0449D5AE">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01DE63C9">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14A7EFA4">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185D3791">
      <w:pPr>
        <w:widowControl/>
        <w:spacing w:line="540" w:lineRule="exact"/>
        <w:ind w:firstLine="5600" w:firstLineChars="1750"/>
        <w:rPr>
          <w:rFonts w:hint="default" w:ascii="Times New Roman" w:hAnsi="Times New Roman" w:eastAsia="方正仿宋_GB2312" w:cs="Times New Roman"/>
          <w:kern w:val="0"/>
          <w:sz w:val="32"/>
          <w:szCs w:val="32"/>
          <w:highlight w:val="yellow"/>
        </w:rPr>
      </w:pPr>
    </w:p>
    <w:p w14:paraId="61790CB6">
      <w:pPr>
        <w:widowControl/>
        <w:spacing w:line="540" w:lineRule="exact"/>
        <w:rPr>
          <w:rFonts w:hint="default" w:ascii="Times New Roman" w:hAnsi="Times New Roman" w:eastAsia="方正仿宋_GB2312" w:cs="Times New Roman"/>
          <w:kern w:val="0"/>
          <w:sz w:val="32"/>
          <w:szCs w:val="32"/>
          <w:highlight w:val="yellow"/>
        </w:rPr>
      </w:pPr>
    </w:p>
    <w:p w14:paraId="2FA89902">
      <w:pPr>
        <w:widowControl/>
        <w:spacing w:line="540" w:lineRule="exact"/>
        <w:rPr>
          <w:rFonts w:hint="default" w:ascii="Times New Roman" w:hAnsi="Times New Roman" w:eastAsia="方正仿宋_GB2312" w:cs="Times New Roman"/>
          <w:kern w:val="0"/>
          <w:sz w:val="32"/>
          <w:szCs w:val="32"/>
          <w:highlight w:val="yellow"/>
        </w:rPr>
      </w:pPr>
    </w:p>
    <w:p w14:paraId="29989D58">
      <w:pPr>
        <w:topLinePunct/>
        <w:adjustRightInd w:val="0"/>
        <w:snapToGrid w:val="0"/>
        <w:spacing w:line="540" w:lineRule="exact"/>
        <w:rPr>
          <w:rFonts w:hint="default" w:ascii="Times New Roman" w:hAnsi="Times New Roman" w:eastAsia="方正仿宋_GB2312" w:cs="Times New Roman"/>
          <w:color w:val="000000"/>
          <w:spacing w:val="-28"/>
          <w:sz w:val="28"/>
          <w:szCs w:val="28"/>
        </w:rPr>
      </w:pPr>
      <w:r>
        <w:rPr>
          <w:rFonts w:hint="default" w:ascii="Times New Roman" w:hAnsi="Times New Roman" w:eastAsia="方正仿宋_GB2312" w:cs="Times New Roman"/>
          <w:color w:val="000000"/>
          <w:spacing w:val="-28"/>
          <w:sz w:val="28"/>
          <w:szCs w:val="28"/>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2312" w:cs="Times New Roman"/>
          <w:color w:val="000000"/>
          <w:spacing w:val="-28"/>
          <w:sz w:val="28"/>
          <w:szCs w:val="28"/>
        </w:rPr>
        <w:t>抄送：</w:t>
      </w:r>
      <w:r>
        <w:rPr>
          <w:rFonts w:hint="default" w:ascii="Times New Roman" w:hAnsi="Times New Roman" w:eastAsia="方正仿宋_GB2312" w:cs="Times New Roman"/>
          <w:color w:val="000000"/>
          <w:spacing w:val="-28"/>
          <w:sz w:val="28"/>
          <w:szCs w:val="28"/>
        </w:rPr>
        <w:t>九</w:t>
      </w:r>
      <w:r>
        <w:rPr>
          <w:rFonts w:hint="default" w:ascii="Times New Roman" w:hAnsi="Times New Roman" w:eastAsia="方正仿宋_GB2312" w:cs="Times New Roman"/>
          <w:color w:val="000000"/>
          <w:spacing w:val="-28"/>
          <w:sz w:val="28"/>
          <w:szCs w:val="28"/>
        </w:rPr>
        <w:t>团</w:t>
      </w:r>
      <w:r>
        <w:rPr>
          <w:rFonts w:hint="default" w:ascii="Times New Roman" w:hAnsi="Times New Roman" w:eastAsia="方正仿宋_GB2312" w:cs="Times New Roman"/>
          <w:color w:val="000000"/>
          <w:spacing w:val="-28"/>
          <w:sz w:val="28"/>
          <w:szCs w:val="28"/>
        </w:rPr>
        <w:t>梨花</w:t>
      </w:r>
      <w:r>
        <w:rPr>
          <w:rFonts w:hint="default" w:ascii="Times New Roman" w:hAnsi="Times New Roman" w:eastAsia="方正仿宋_GB2312" w:cs="Times New Roman"/>
          <w:color w:val="000000"/>
          <w:spacing w:val="-28"/>
          <w:sz w:val="28"/>
          <w:szCs w:val="28"/>
        </w:rPr>
        <w:t>镇</w:t>
      </w:r>
      <w:r>
        <w:rPr>
          <w:rFonts w:hint="default" w:ascii="Times New Roman" w:hAnsi="Times New Roman" w:eastAsia="方正仿宋_GB2312" w:cs="Times New Roman"/>
          <w:color w:val="000000"/>
          <w:spacing w:val="-28"/>
          <w:sz w:val="28"/>
          <w:szCs w:val="28"/>
        </w:rPr>
        <w:t xml:space="preserve"> </w:t>
      </w:r>
      <w:r>
        <w:rPr>
          <w:rFonts w:hint="default" w:ascii="Times New Roman" w:hAnsi="Times New Roman" w:eastAsia="方正仿宋_GB2312" w:cs="Times New Roman"/>
          <w:color w:val="000000"/>
          <w:spacing w:val="-28"/>
          <w:sz w:val="24"/>
        </w:rPr>
        <w:t>，</w:t>
      </w:r>
      <w:r>
        <w:rPr>
          <w:rFonts w:hint="default" w:ascii="Times New Roman" w:hAnsi="Times New Roman" w:eastAsia="方正仿宋_GB2312" w:cs="Times New Roman"/>
          <w:color w:val="000000"/>
          <w:spacing w:val="-28"/>
          <w:sz w:val="28"/>
          <w:szCs w:val="28"/>
        </w:rPr>
        <w:t>生态环境保护综合行政执法支队，成都新环众科检测技术有限公司</w:t>
      </w:r>
    </w:p>
    <w:p w14:paraId="69C8C9F3">
      <w:pPr>
        <w:spacing w:line="540" w:lineRule="exact"/>
        <w:rPr>
          <w:rFonts w:hint="default" w:ascii="Times New Roman" w:hAnsi="Times New Roman" w:eastAsia="方正仿宋_GB2312" w:cs="Times New Roman"/>
        </w:rPr>
      </w:pPr>
      <w:r>
        <w:rPr>
          <w:rFonts w:hint="default" w:ascii="Times New Roman" w:hAnsi="Times New Roman" w:eastAsia="方正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方正仿宋_GB2312" w:cs="Times New Roman"/>
          <w:sz w:val="28"/>
          <w:szCs w:val="28"/>
        </w:rPr>
        <w:t>第一师阿拉尔市生态环境局                   202</w:t>
      </w:r>
      <w:r>
        <w:rPr>
          <w:rFonts w:hint="default" w:ascii="Times New Roman" w:hAnsi="Times New Roman" w:eastAsia="方正仿宋_GB2312" w:cs="Times New Roman"/>
          <w:sz w:val="28"/>
          <w:szCs w:val="28"/>
        </w:rPr>
        <w:t>6</w:t>
      </w:r>
      <w:r>
        <w:rPr>
          <w:rFonts w:hint="default" w:ascii="Times New Roman" w:hAnsi="Times New Roman" w:eastAsia="方正仿宋_GB2312" w:cs="Times New Roman"/>
          <w:sz w:val="28"/>
          <w:szCs w:val="28"/>
        </w:rPr>
        <w:t>年</w:t>
      </w:r>
      <w:r>
        <w:rPr>
          <w:rFonts w:hint="default" w:ascii="Times New Roman" w:hAnsi="Times New Roman" w:eastAsia="方正仿宋_GB2312" w:cs="Times New Roman"/>
          <w:sz w:val="28"/>
          <w:szCs w:val="28"/>
        </w:rPr>
        <w:t>6</w:t>
      </w:r>
      <w:r>
        <w:rPr>
          <w:rFonts w:hint="default" w:ascii="Times New Roman" w:hAnsi="Times New Roman" w:eastAsia="方正仿宋_GB2312" w:cs="Times New Roman"/>
          <w:sz w:val="28"/>
          <w:szCs w:val="28"/>
        </w:rPr>
        <w:t>月</w:t>
      </w:r>
      <w:r>
        <w:rPr>
          <w:rFonts w:hint="eastAsia" w:eastAsia="方正仿宋_GB2312" w:cs="Times New Roman"/>
          <w:sz w:val="28"/>
          <w:szCs w:val="28"/>
          <w:lang w:val="en-US" w:eastAsia="zh-CN"/>
        </w:rPr>
        <w:t xml:space="preserve">  </w:t>
      </w:r>
      <w:bookmarkStart w:id="0" w:name="_GoBack"/>
      <w:bookmarkEnd w:id="0"/>
      <w:r>
        <w:rPr>
          <w:rFonts w:hint="default" w:ascii="Times New Roman" w:hAnsi="Times New Roman" w:eastAsia="方正仿宋_GB2312" w:cs="Times New Roman"/>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1" w:fontKey="{A6BD0A70-CC81-40E1-895D-96E1084D2687}"/>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52B05C87-76E6-46BD-BD19-FF0ACFF13D87}"/>
  </w:font>
  <w:font w:name="方正小标宋_GBK">
    <w:panose1 w:val="02000000000000000000"/>
    <w:charset w:val="86"/>
    <w:family w:val="auto"/>
    <w:pitch w:val="default"/>
    <w:sig w:usb0="A00002BF" w:usb1="38CF7CFA" w:usb2="00082016" w:usb3="00000000" w:csb0="00040001" w:csb1="00000000"/>
    <w:embedRegular r:id="rId3" w:fontKey="{FC6C726A-2337-4B2A-A4B2-3A695F3F9A91}"/>
  </w:font>
  <w:font w:name="方正小标宋简体">
    <w:panose1 w:val="02000000000000000000"/>
    <w:charset w:val="86"/>
    <w:family w:val="auto"/>
    <w:pitch w:val="default"/>
    <w:sig w:usb0="00000001" w:usb1="08000000" w:usb2="00000000" w:usb3="00000000" w:csb0="00040000" w:csb1="00000000"/>
    <w:embedRegular r:id="rId4" w:fontKey="{F98B1E43-649F-4B4C-8845-5BC9A4F75278}"/>
  </w:font>
  <w:font w:name="方正仿宋简体">
    <w:panose1 w:val="02000000000000000000"/>
    <w:charset w:val="86"/>
    <w:family w:val="auto"/>
    <w:pitch w:val="default"/>
    <w:sig w:usb0="A00002BF" w:usb1="184F6CFA" w:usb2="00000012" w:usb3="00000000" w:csb0="00040001" w:csb1="00000000"/>
    <w:embedRegular r:id="rId5" w:fontKey="{EB8DF4C7-C445-4EF0-BB8F-6DD1537CE46C}"/>
  </w:font>
  <w:font w:name="方正黑体简体">
    <w:panose1 w:val="02000000000000000000"/>
    <w:charset w:val="86"/>
    <w:family w:val="auto"/>
    <w:pitch w:val="default"/>
    <w:sig w:usb0="A00002BF" w:usb1="184F6CFA" w:usb2="00000012" w:usb3="00000000" w:csb0="00040001" w:csb1="00000000"/>
    <w:embedRegular r:id="rId6" w:fontKey="{561B2299-9829-4203-ABEC-EC431A04C2F8}"/>
  </w:font>
  <w:font w:name="方正楷体简体">
    <w:panose1 w:val="02000000000000000000"/>
    <w:charset w:val="86"/>
    <w:family w:val="auto"/>
    <w:pitch w:val="default"/>
    <w:sig w:usb0="A00002BF" w:usb1="184F6CFA" w:usb2="00000012" w:usb3="00000000" w:csb0="00040001" w:csb1="00000000"/>
    <w:embedRegular r:id="rId7" w:fontKey="{F4583229-4C58-4D59-AFB9-A181B9F429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A97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011445">
                          <w:pPr>
                            <w:pStyle w:val="10"/>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w:t>
                          </w:r>
                          <w:r>
                            <w:rPr>
                              <w:rFonts w:hint="eastAsia" w:ascii="宋体" w:hAnsi="宋体" w:cs="宋体"/>
                            </w:rPr>
                            <w:fldChar w:fldCharType="end"/>
                          </w:r>
                          <w:r>
                            <w:rPr>
                              <w:rFonts w:hint="eastAsia" w:ascii="宋体" w:hAnsi="宋体" w:cs="宋体"/>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2011445">
                    <w:pPr>
                      <w:pStyle w:val="10"/>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192DD">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7D102"/>
    <w:multiLevelType w:val="singleLevel"/>
    <w:tmpl w:val="69F7D102"/>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577F7"/>
    <w:rsid w:val="00796083"/>
    <w:rsid w:val="008A3AF5"/>
    <w:rsid w:val="00927682"/>
    <w:rsid w:val="00977C47"/>
    <w:rsid w:val="00B40E48"/>
    <w:rsid w:val="00C03096"/>
    <w:rsid w:val="01D54B7E"/>
    <w:rsid w:val="02CF517F"/>
    <w:rsid w:val="02DA7847"/>
    <w:rsid w:val="032D154E"/>
    <w:rsid w:val="040D6820"/>
    <w:rsid w:val="06750F12"/>
    <w:rsid w:val="083916C5"/>
    <w:rsid w:val="09577D60"/>
    <w:rsid w:val="0A7C794A"/>
    <w:rsid w:val="0C167EB5"/>
    <w:rsid w:val="0C8A53CB"/>
    <w:rsid w:val="0E5C209B"/>
    <w:rsid w:val="12CF30B5"/>
    <w:rsid w:val="13BF1F8A"/>
    <w:rsid w:val="13F50A51"/>
    <w:rsid w:val="18923D42"/>
    <w:rsid w:val="18B13BE0"/>
    <w:rsid w:val="18CE20EA"/>
    <w:rsid w:val="1A797E6C"/>
    <w:rsid w:val="20654122"/>
    <w:rsid w:val="21633681"/>
    <w:rsid w:val="24AE2000"/>
    <w:rsid w:val="25272CFC"/>
    <w:rsid w:val="262F4CC7"/>
    <w:rsid w:val="28DB65A4"/>
    <w:rsid w:val="29286271"/>
    <w:rsid w:val="2CF565EF"/>
    <w:rsid w:val="2E563679"/>
    <w:rsid w:val="2F422BC3"/>
    <w:rsid w:val="2F505B14"/>
    <w:rsid w:val="2FF74957"/>
    <w:rsid w:val="30A035BB"/>
    <w:rsid w:val="3171793A"/>
    <w:rsid w:val="328330A2"/>
    <w:rsid w:val="331C3EAF"/>
    <w:rsid w:val="33E636E2"/>
    <w:rsid w:val="37CF27BE"/>
    <w:rsid w:val="381D1CB1"/>
    <w:rsid w:val="3A091273"/>
    <w:rsid w:val="3AA16226"/>
    <w:rsid w:val="3B132C17"/>
    <w:rsid w:val="3B506C62"/>
    <w:rsid w:val="3C762F69"/>
    <w:rsid w:val="3D62710F"/>
    <w:rsid w:val="3D9467B6"/>
    <w:rsid w:val="3DF3675E"/>
    <w:rsid w:val="418C651A"/>
    <w:rsid w:val="468725CC"/>
    <w:rsid w:val="49802948"/>
    <w:rsid w:val="49F02B32"/>
    <w:rsid w:val="4AF13073"/>
    <w:rsid w:val="4B8F0F1D"/>
    <w:rsid w:val="4C8362DC"/>
    <w:rsid w:val="505E7489"/>
    <w:rsid w:val="506727DC"/>
    <w:rsid w:val="53D6683C"/>
    <w:rsid w:val="53D96FF6"/>
    <w:rsid w:val="547F78C3"/>
    <w:rsid w:val="563620CF"/>
    <w:rsid w:val="56463710"/>
    <w:rsid w:val="57FB18AC"/>
    <w:rsid w:val="5B1A029B"/>
    <w:rsid w:val="5B3873D9"/>
    <w:rsid w:val="5E6D5D9C"/>
    <w:rsid w:val="5EB73272"/>
    <w:rsid w:val="5F396EBE"/>
    <w:rsid w:val="60CE1E21"/>
    <w:rsid w:val="612B3202"/>
    <w:rsid w:val="6727066C"/>
    <w:rsid w:val="6859222C"/>
    <w:rsid w:val="6ADB5079"/>
    <w:rsid w:val="6B880A11"/>
    <w:rsid w:val="6C9577F7"/>
    <w:rsid w:val="6DA41A46"/>
    <w:rsid w:val="720C27E4"/>
    <w:rsid w:val="738126E2"/>
    <w:rsid w:val="75CB690A"/>
    <w:rsid w:val="768371E5"/>
    <w:rsid w:val="7A0C775B"/>
    <w:rsid w:val="7BDB726D"/>
    <w:rsid w:val="7CFE6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624"/>
    </w:pPr>
    <w:rPr>
      <w:sz w:val="28"/>
      <w:szCs w:val="20"/>
    </w:rPr>
  </w:style>
  <w:style w:type="paragraph" w:styleId="4">
    <w:name w:val="annotation text"/>
    <w:basedOn w:val="1"/>
    <w:qFormat/>
    <w:uiPriority w:val="0"/>
    <w:pPr>
      <w:jc w:val="left"/>
    </w:pPr>
  </w:style>
  <w:style w:type="paragraph" w:styleId="5">
    <w:name w:val="Body Text"/>
    <w:basedOn w:val="1"/>
    <w:qFormat/>
    <w:uiPriority w:val="0"/>
    <w:pPr>
      <w:spacing w:after="120"/>
    </w:pPr>
    <w:rPr>
      <w:kern w:val="0"/>
      <w:sz w:val="20"/>
    </w:rPr>
  </w:style>
  <w:style w:type="paragraph" w:styleId="6">
    <w:name w:val="Body Text Indent"/>
    <w:basedOn w:val="1"/>
    <w:next w:val="7"/>
    <w:qFormat/>
    <w:uiPriority w:val="0"/>
    <w:pPr>
      <w:spacing w:after="120"/>
      <w:ind w:left="420" w:leftChars="200"/>
    </w:pPr>
  </w:style>
  <w:style w:type="paragraph" w:styleId="7">
    <w:name w:val="Body Text First Indent 2"/>
    <w:basedOn w:val="6"/>
    <w:next w:val="1"/>
    <w:qFormat/>
    <w:uiPriority w:val="0"/>
    <w:pPr>
      <w:ind w:firstLine="420" w:firstLineChars="200"/>
    </w:pPr>
  </w:style>
  <w:style w:type="paragraph" w:styleId="8">
    <w:name w:val="Plain Text"/>
    <w:basedOn w:val="1"/>
    <w:next w:val="9"/>
    <w:qFormat/>
    <w:uiPriority w:val="0"/>
    <w:pPr>
      <w:spacing w:line="500" w:lineRule="exact"/>
    </w:pPr>
    <w:rPr>
      <w:rFonts w:ascii="宋体" w:hAnsi="Courier New"/>
      <w:sz w:val="28"/>
      <w:szCs w:val="21"/>
    </w:rPr>
  </w:style>
  <w:style w:type="paragraph" w:styleId="9">
    <w:name w:val="List Number 5"/>
    <w:basedOn w:val="1"/>
    <w:qFormat/>
    <w:uiPriority w:val="0"/>
    <w:pPr>
      <w:numPr>
        <w:ilvl w:val="0"/>
        <w:numId w:val="1"/>
      </w:numPr>
    </w:pPr>
  </w:style>
  <w:style w:type="paragraph" w:styleId="10">
    <w:name w:val="footer"/>
    <w:basedOn w:val="1"/>
    <w:qFormat/>
    <w:uiPriority w:val="0"/>
    <w:pPr>
      <w:tabs>
        <w:tab w:val="center" w:pos="4153"/>
        <w:tab w:val="right" w:pos="8306"/>
      </w:tabs>
      <w:snapToGrid w:val="0"/>
      <w:jc w:val="left"/>
    </w:pPr>
    <w:rPr>
      <w:sz w:val="28"/>
      <w:szCs w:val="18"/>
    </w:rPr>
  </w:style>
  <w:style w:type="paragraph" w:styleId="11">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1"/>
  </w:style>
  <w:style w:type="paragraph" w:styleId="13">
    <w:name w:val="Body Text 2"/>
    <w:basedOn w:val="1"/>
    <w:unhideWhenUsed/>
    <w:qFormat/>
    <w:uiPriority w:val="99"/>
    <w:pPr>
      <w:spacing w:after="120" w:line="480" w:lineRule="auto"/>
    </w:pPr>
  </w:style>
  <w:style w:type="character" w:styleId="16">
    <w:name w:val="Strong"/>
    <w:basedOn w:val="15"/>
    <w:qFormat/>
    <w:uiPriority w:val="0"/>
    <w:rPr>
      <w:b/>
    </w:rPr>
  </w:style>
  <w:style w:type="paragraph" w:customStyle="1" w:styleId="17">
    <w:name w:val="+++正文啊"/>
    <w:basedOn w:val="1"/>
    <w:qFormat/>
    <w:uiPriority w:val="0"/>
    <w:pPr>
      <w:adjustRightInd w:val="0"/>
      <w:ind w:firstLine="200" w:firstLineChars="200"/>
    </w:pPr>
    <w:rPr>
      <w:sz w:val="24"/>
    </w:rPr>
  </w:style>
  <w:style w:type="paragraph" w:customStyle="1" w:styleId="18">
    <w:name w:val="表格内"/>
    <w:basedOn w:val="1"/>
    <w:qFormat/>
    <w:uiPriority w:val="0"/>
    <w:pPr>
      <w:jc w:val="left"/>
    </w:pPr>
    <w:rPr>
      <w:snapToGrid w:val="0"/>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2478</Words>
  <Characters>2662</Characters>
  <Lines>19</Lines>
  <Paragraphs>5</Paragraphs>
  <TotalTime>1</TotalTime>
  <ScaleCrop>false</ScaleCrop>
  <LinksUpToDate>false</LinksUpToDate>
  <CharactersWithSpaces>2687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2024-12-11T05:42:00Z</dcterms:created>
  <dc:creator></dc:creator>
  <cp:lastModifiedBy></cp:lastModifiedBy>
  <cp:lastPrinted>2026-06-02T04:58:00Z</cp:lastPrinted>
  <dcterms:modified xsi:type="dcterms:W3CDTF">2026-06-24T10:48:10Z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3223D3B5652749C999BF7EA64873565C_13</vt:lpwstr>
  </property>
  <property fmtid="{D5CDD505-2E9C-101B-9397-08002B2CF9AE}" pid="4" name="KSOTemplateDocerSaveRecord">
    <vt:lpwstr>eyJoZGlkIjoiNzkyN2Q3NTJkYzdmNjE3ZGJjOWNiYzc5NjVkOTk4NGIiLCJ1c2VySWQiOiI2NDkyMTQ2MzcifQ==</vt:lpwstr>
  </property>
</Properties>
</file>