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84A78E">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501552C4">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45715747">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210F0298">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44"/>
          <w:szCs w:val="44"/>
        </w:rPr>
      </w:pPr>
    </w:p>
    <w:p w14:paraId="63ADC6A7">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72"/>
          <w:szCs w:val="72"/>
        </w:rPr>
      </w:pPr>
    </w:p>
    <w:p w14:paraId="41F5E266">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32"/>
          <w:szCs w:val="32"/>
        </w:rPr>
      </w:pPr>
    </w:p>
    <w:p w14:paraId="0A10FCAC">
      <w:pPr>
        <w:keepNext w:val="0"/>
        <w:keepLines w:val="0"/>
        <w:pageBreakBefore w:val="0"/>
        <w:widowControl w:val="0"/>
        <w:kinsoku/>
        <w:wordWrap w:val="0"/>
        <w:overflowPunct/>
        <w:topLinePunct w:val="0"/>
        <w:autoSpaceDE/>
        <w:autoSpaceDN/>
        <w:bidi w:val="0"/>
        <w:adjustRightInd/>
        <w:snapToGrid/>
        <w:spacing w:line="540" w:lineRule="exact"/>
        <w:textAlignment w:val="auto"/>
        <w:rPr>
          <w:rFonts w:ascii="Times New Roman" w:hAnsi="Times New Roman" w:cs="方正仿宋简体"/>
          <w:sz w:val="32"/>
          <w:szCs w:val="32"/>
        </w:rPr>
      </w:pPr>
    </w:p>
    <w:p w14:paraId="33C4D109">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eastAsia" w:ascii="Times New Roman" w:hAnsi="Times New Roman" w:eastAsia="方正仿宋简体" w:cs="方正仿宋简体"/>
          <w:sz w:val="32"/>
          <w:szCs w:val="32"/>
        </w:rPr>
      </w:pPr>
    </w:p>
    <w:p w14:paraId="64108598">
      <w:pPr>
        <w:wordWrap w:val="0"/>
        <w:spacing w:line="540" w:lineRule="exact"/>
        <w:jc w:val="center"/>
        <w:rPr>
          <w:rFonts w:ascii="Times New Roman" w:hAnsi="Times New Roman" w:cs="方正仿宋简体"/>
          <w:sz w:val="32"/>
          <w:szCs w:val="32"/>
        </w:rPr>
      </w:pPr>
      <w:r>
        <w:rPr>
          <w:rFonts w:hint="eastAsia" w:ascii="Times New Roman" w:hAnsi="Times New Roman" w:eastAsia="方正仿宋简体" w:cs="方正仿宋简体"/>
          <w:sz w:val="32"/>
          <w:szCs w:val="32"/>
        </w:rPr>
        <w:t>师市环审〔202</w:t>
      </w:r>
      <w:r>
        <w:rPr>
          <w:rFonts w:hint="eastAsia" w:ascii="Times New Roman" w:hAnsi="Times New Roman" w:eastAsia="方正仿宋简体" w:cs="方正仿宋简体"/>
          <w:sz w:val="32"/>
          <w:szCs w:val="32"/>
          <w:lang w:val="en-US" w:eastAsia="zh-CN"/>
        </w:rPr>
        <w:t>6</w:t>
      </w:r>
      <w:r>
        <w:rPr>
          <w:rFonts w:hint="eastAsia" w:ascii="Times New Roman" w:hAnsi="Times New Roman" w:eastAsia="方正仿宋简体" w:cs="方正仿宋简体"/>
          <w:sz w:val="32"/>
          <w:szCs w:val="32"/>
        </w:rPr>
        <w:t>〕</w:t>
      </w:r>
      <w:r>
        <w:rPr>
          <w:rFonts w:hint="eastAsia" w:eastAsia="方正仿宋简体" w:cs="方正仿宋简体"/>
          <w:sz w:val="32"/>
          <w:szCs w:val="32"/>
          <w:lang w:val="en-US" w:eastAsia="zh-CN"/>
        </w:rPr>
        <w:t>6</w:t>
      </w:r>
      <w:r>
        <w:rPr>
          <w:rFonts w:hint="eastAsia" w:ascii="Times New Roman" w:hAnsi="Times New Roman" w:eastAsia="方正仿宋简体" w:cs="方正仿宋简体"/>
          <w:sz w:val="32"/>
          <w:szCs w:val="32"/>
        </w:rPr>
        <w:t>号</w:t>
      </w:r>
    </w:p>
    <w:p w14:paraId="31CD3BA2">
      <w:pPr>
        <w:wordWrap w:val="0"/>
        <w:spacing w:line="540" w:lineRule="exact"/>
        <w:rPr>
          <w:rFonts w:ascii="Times New Roman" w:hAnsi="Times New Roman" w:cs="方正仿宋简体"/>
          <w:szCs w:val="21"/>
        </w:rPr>
      </w:pPr>
    </w:p>
    <w:p w14:paraId="07831680">
      <w:pPr>
        <w:pStyle w:val="6"/>
        <w:wordWrap w:val="0"/>
        <w:spacing w:line="540" w:lineRule="exact"/>
        <w:ind w:firstLine="0"/>
        <w:jc w:val="center"/>
        <w:rPr>
          <w:rFonts w:hint="eastAsia" w:ascii="Times New Roman" w:hAnsi="Times New Roman" w:eastAsia="方正小标宋简体" w:cs="方正小标宋简体"/>
          <w:bCs/>
          <w:color w:val="000000"/>
          <w:spacing w:val="-20"/>
          <w:sz w:val="44"/>
          <w:szCs w:val="44"/>
        </w:rPr>
      </w:pPr>
      <w:r>
        <w:rPr>
          <w:rFonts w:hint="eastAsia" w:ascii="Times New Roman" w:hAnsi="Times New Roman" w:eastAsia="方正小标宋简体" w:cs="方正小标宋简体"/>
          <w:b w:val="0"/>
          <w:bCs/>
          <w:outline w:val="0"/>
          <w:shadow w:val="0"/>
          <w:emboss w:val="0"/>
          <w:imprint w:val="0"/>
          <w:vanish w:val="0"/>
          <w:color w:val="000000"/>
          <w:w w:val="100"/>
          <w:sz w:val="44"/>
          <w:szCs w:val="44"/>
          <w:highlight w:val="none"/>
          <w:u w:val="none"/>
          <w:lang w:val="zh-CN"/>
        </w:rPr>
        <w:t>关于</w:t>
      </w:r>
      <w:r>
        <w:rPr>
          <w:rFonts w:hint="eastAsia" w:ascii="Times New Roman" w:hAnsi="Times New Roman" w:eastAsia="方正小标宋简体"/>
          <w:bCs/>
          <w:sz w:val="44"/>
          <w:szCs w:val="44"/>
        </w:rPr>
        <w:t>新疆生产建设兵团第一师六团建材厂建设项目环境影响报告表的批复</w:t>
      </w:r>
    </w:p>
    <w:p w14:paraId="7C13AC4F">
      <w:pPr>
        <w:widowControl/>
        <w:wordWrap w:val="0"/>
        <w:spacing w:line="540" w:lineRule="exact"/>
        <w:rPr>
          <w:rFonts w:hint="eastAsia" w:ascii="Times New Roman" w:hAnsi="Times New Roman" w:eastAsia="方正小标宋简体" w:cs="方正小标宋简体"/>
          <w:bCs/>
          <w:sz w:val="44"/>
          <w:szCs w:val="44"/>
        </w:rPr>
      </w:pPr>
    </w:p>
    <w:p w14:paraId="1129415D">
      <w:pPr>
        <w:widowControl/>
        <w:spacing w:line="560" w:lineRule="exact"/>
        <w:ind w:left="640" w:hanging="640" w:hangingChars="200"/>
        <w:rPr>
          <w:rFonts w:ascii="Times New Roman" w:hAnsi="Times New Roman" w:eastAsia="方正仿宋简体"/>
          <w:kern w:val="0"/>
          <w:sz w:val="32"/>
          <w:szCs w:val="32"/>
        </w:rPr>
      </w:pPr>
      <w:r>
        <w:rPr>
          <w:rFonts w:hint="eastAsia" w:ascii="Times New Roman" w:hAnsi="Times New Roman" w:eastAsia="方正仿宋简体"/>
          <w:kern w:val="0"/>
          <w:sz w:val="32"/>
          <w:szCs w:val="32"/>
        </w:rPr>
        <w:t>新疆冠顺建材有限公司</w:t>
      </w:r>
      <w:r>
        <w:rPr>
          <w:rFonts w:ascii="Times New Roman" w:hAnsi="Times New Roman" w:eastAsia="方正仿宋简体"/>
          <w:kern w:val="0"/>
          <w:sz w:val="32"/>
          <w:szCs w:val="32"/>
        </w:rPr>
        <w:t>：</w:t>
      </w:r>
    </w:p>
    <w:p w14:paraId="4A78F1B4">
      <w:pPr>
        <w:widowControl/>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cs="Times New Roman"/>
          <w:sz w:val="32"/>
          <w:szCs w:val="32"/>
        </w:rPr>
        <w:t>你单位报送的《关于</w:t>
      </w:r>
      <w:r>
        <w:rPr>
          <w:rFonts w:hint="eastAsia" w:ascii="Times New Roman" w:hAnsi="Times New Roman" w:eastAsia="方正仿宋简体" w:cs="Times New Roman"/>
          <w:sz w:val="32"/>
          <w:szCs w:val="32"/>
          <w:lang w:eastAsia="zh-CN"/>
        </w:rPr>
        <w:t>送审</w:t>
      </w:r>
      <w:r>
        <w:rPr>
          <w:rFonts w:hint="eastAsia" w:ascii="Times New Roman" w:hAnsi="Times New Roman" w:eastAsia="方正仿宋简体" w:cs="Times New Roman"/>
          <w:sz w:val="32"/>
          <w:szCs w:val="32"/>
        </w:rPr>
        <w:t>新疆生产建设兵团第一师六团建材厂建设项目环境影响报告表</w:t>
      </w:r>
      <w:r>
        <w:rPr>
          <w:rFonts w:ascii="Times New Roman" w:hAnsi="Times New Roman" w:eastAsia="方正仿宋简体" w:cs="Times New Roman"/>
          <w:sz w:val="32"/>
          <w:szCs w:val="32"/>
        </w:rPr>
        <w:t>的请示》及《</w:t>
      </w:r>
      <w:r>
        <w:rPr>
          <w:rFonts w:hint="eastAsia" w:ascii="Times New Roman" w:hAnsi="Times New Roman" w:eastAsia="方正仿宋简体" w:cs="Times New Roman"/>
          <w:sz w:val="32"/>
          <w:szCs w:val="32"/>
        </w:rPr>
        <w:t>新疆生产建设兵团第一师六团建材厂建设项目环境影响报告表</w:t>
      </w:r>
      <w:r>
        <w:rPr>
          <w:rFonts w:ascii="Times New Roman" w:hAnsi="Times New Roman" w:eastAsia="方正仿宋简体" w:cs="Times New Roman"/>
          <w:sz w:val="32"/>
          <w:szCs w:val="32"/>
        </w:rPr>
        <w:t>》（以下简称《</w:t>
      </w:r>
      <w:r>
        <w:rPr>
          <w:rFonts w:hint="eastAsia" w:ascii="Times New Roman" w:hAnsi="Times New Roman" w:eastAsia="方正仿宋简体" w:cs="Times New Roman"/>
          <w:sz w:val="32"/>
          <w:szCs w:val="32"/>
          <w:lang w:eastAsia="zh-CN"/>
        </w:rPr>
        <w:t>报告表</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已</w:t>
      </w:r>
      <w:r>
        <w:rPr>
          <w:rFonts w:ascii="Times New Roman" w:hAnsi="Times New Roman" w:eastAsia="方正仿宋简体" w:cs="Times New Roman"/>
          <w:sz w:val="32"/>
          <w:szCs w:val="32"/>
        </w:rPr>
        <w:t>收悉。经研究，现批复如下：</w:t>
      </w:r>
    </w:p>
    <w:p w14:paraId="4A51E107">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kern w:val="0"/>
          <w:sz w:val="32"/>
          <w:szCs w:val="32"/>
        </w:rPr>
      </w:pPr>
      <w:r>
        <w:rPr>
          <w:rFonts w:hint="eastAsia" w:ascii="Times New Roman" w:hAnsi="Times New Roman" w:eastAsia="方正黑体_GBK" w:cs="方正黑体_GBK"/>
          <w:kern w:val="0"/>
          <w:sz w:val="32"/>
          <w:szCs w:val="32"/>
        </w:rPr>
        <w:t>一、</w:t>
      </w:r>
      <w:r>
        <w:rPr>
          <w:rFonts w:ascii="Times New Roman" w:hAnsi="Times New Roman" w:eastAsia="方正仿宋简体"/>
          <w:kern w:val="0"/>
          <w:sz w:val="32"/>
          <w:szCs w:val="32"/>
        </w:rPr>
        <w:t>该项</w:t>
      </w:r>
      <w:r>
        <w:rPr>
          <w:rFonts w:hint="default" w:ascii="Times New Roman" w:hAnsi="Times New Roman" w:eastAsia="方正仿宋简体" w:cs="Times New Roman"/>
          <w:kern w:val="0"/>
          <w:sz w:val="32"/>
          <w:szCs w:val="32"/>
        </w:rPr>
        <w:t>目位于六团职工创业园二区，项目总占地面积42900.21平方米，用地类型为工业用地。项目西侧为新疆崇新管业有限公司及道路，北侧及东侧紧邻道路，南侧为阿拉尔市盛禄和水泥制品有限公司。项目区</w:t>
      </w:r>
      <w:r>
        <w:rPr>
          <w:rFonts w:hint="default" w:ascii="Times New Roman" w:hAnsi="Times New Roman" w:eastAsia="方正仿宋简体" w:cs="Times New Roman"/>
          <w:kern w:val="0"/>
          <w:sz w:val="32"/>
          <w:szCs w:val="32"/>
          <w:lang w:val="en-US" w:eastAsia="zh-CN"/>
        </w:rPr>
        <w:t>中心</w:t>
      </w:r>
      <w:r>
        <w:rPr>
          <w:rFonts w:hint="default" w:ascii="Times New Roman" w:hAnsi="Times New Roman" w:eastAsia="方正仿宋简体" w:cs="Times New Roman"/>
          <w:kern w:val="0"/>
          <w:sz w:val="32"/>
          <w:szCs w:val="32"/>
        </w:rPr>
        <w:t>地理坐标为东经80°26′22.099”,北纬40°59′8.155”。项目建设内容</w:t>
      </w:r>
      <w:r>
        <w:rPr>
          <w:rFonts w:hint="default" w:ascii="Times New Roman" w:hAnsi="Times New Roman" w:eastAsia="方正仿宋简体" w:cs="Times New Roman"/>
          <w:kern w:val="0"/>
          <w:sz w:val="32"/>
          <w:szCs w:val="32"/>
          <w:lang w:val="en-US" w:eastAsia="zh-CN"/>
        </w:rPr>
        <w:t>为</w:t>
      </w:r>
      <w:r>
        <w:rPr>
          <w:rFonts w:hint="default" w:ascii="Times New Roman" w:hAnsi="Times New Roman" w:eastAsia="方正仿宋简体" w:cs="Times New Roman"/>
          <w:sz w:val="32"/>
          <w:szCs w:val="32"/>
          <w:lang w:val="en-US" w:eastAsia="zh-CN"/>
        </w:rPr>
        <w:t>建设1条电线</w:t>
      </w:r>
      <w:r>
        <w:rPr>
          <w:rFonts w:hint="eastAsia" w:ascii="Times New Roman" w:hAnsi="Times New Roman" w:eastAsia="方正仿宋简体" w:cs="方正仿宋简体"/>
          <w:sz w:val="32"/>
          <w:szCs w:val="32"/>
          <w:lang w:val="en-US" w:eastAsia="zh-CN"/>
        </w:rPr>
        <w:t>杆生产线，1条u型渠生</w:t>
      </w:r>
      <w:r>
        <w:rPr>
          <w:rFonts w:hint="default" w:ascii="Times New Roman" w:hAnsi="Times New Roman" w:eastAsia="方正仿宋简体" w:cs="Times New Roman"/>
          <w:sz w:val="32"/>
          <w:szCs w:val="32"/>
          <w:lang w:val="en-US" w:eastAsia="zh-CN"/>
        </w:rPr>
        <w:t>产线，1条水泥房生产线，4t/h的链条炉排式生物质锅炉及相关辅助配套设施。项目建成后年产10000根电线杆、25000米u型渠、100套水泥房的生产能力。</w:t>
      </w:r>
      <w:r>
        <w:rPr>
          <w:rFonts w:hint="default" w:ascii="Times New Roman" w:hAnsi="Times New Roman" w:eastAsia="方正仿宋简体" w:cs="Times New Roman"/>
          <w:kern w:val="0"/>
          <w:sz w:val="32"/>
          <w:szCs w:val="32"/>
        </w:rPr>
        <w:t>项目总投资8250万元，其中环保投资为38.3万元，占总投资0.</w:t>
      </w:r>
      <w:r>
        <w:rPr>
          <w:rFonts w:hint="default" w:ascii="Times New Roman" w:hAnsi="Times New Roman" w:eastAsia="方正仿宋简体" w:cs="Times New Roman"/>
          <w:kern w:val="0"/>
          <w:sz w:val="32"/>
          <w:szCs w:val="32"/>
          <w:lang w:val="en-US" w:eastAsia="zh-CN"/>
        </w:rPr>
        <w:t>46</w:t>
      </w:r>
      <w:r>
        <w:rPr>
          <w:rFonts w:hint="default" w:ascii="Times New Roman" w:hAnsi="Times New Roman" w:eastAsia="方正仿宋简体" w:cs="Times New Roman"/>
          <w:kern w:val="0"/>
          <w:sz w:val="32"/>
          <w:szCs w:val="32"/>
        </w:rPr>
        <w:t>%。</w:t>
      </w:r>
    </w:p>
    <w:p w14:paraId="459124D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方正仿宋简体"/>
          <w:kern w:val="0"/>
          <w:sz w:val="32"/>
          <w:szCs w:val="32"/>
        </w:rPr>
      </w:pPr>
      <w:r>
        <w:rPr>
          <w:rFonts w:ascii="Times New Roman" w:hAnsi="Times New Roman" w:eastAsia="方正黑体_GBK" w:cs="方正黑体_GBK"/>
          <w:kern w:val="0"/>
          <w:sz w:val="32"/>
          <w:szCs w:val="32"/>
          <w:lang w:val="zh-CN"/>
        </w:rPr>
        <w:t>二、</w:t>
      </w:r>
      <w:r>
        <w:rPr>
          <w:rFonts w:ascii="Times New Roman" w:hAnsi="Times New Roman" w:eastAsia="方正仿宋简体"/>
          <w:kern w:val="0"/>
          <w:sz w:val="32"/>
          <w:szCs w:val="32"/>
        </w:rPr>
        <w:t>根据</w:t>
      </w:r>
      <w:r>
        <w:rPr>
          <w:rFonts w:hint="eastAsia" w:ascii="Times New Roman" w:hAnsi="Times New Roman" w:eastAsia="方正仿宋简体"/>
          <w:kern w:val="0"/>
          <w:sz w:val="32"/>
          <w:szCs w:val="32"/>
        </w:rPr>
        <w:t>新疆蓝途环保科技有限公司</w:t>
      </w:r>
      <w:r>
        <w:rPr>
          <w:rFonts w:ascii="Times New Roman" w:hAnsi="Times New Roman" w:eastAsia="方正仿宋简体"/>
          <w:kern w:val="0"/>
          <w:sz w:val="32"/>
          <w:szCs w:val="32"/>
        </w:rPr>
        <w:t>编制的《</w:t>
      </w:r>
      <w:r>
        <w:rPr>
          <w:rFonts w:hint="eastAsia" w:ascii="Times New Roman" w:hAnsi="Times New Roman" w:eastAsia="方正仿宋简体"/>
          <w:kern w:val="0"/>
          <w:sz w:val="32"/>
          <w:szCs w:val="32"/>
          <w:lang w:eastAsia="zh-CN"/>
        </w:rPr>
        <w:t>报告表</w:t>
      </w:r>
      <w:r>
        <w:rPr>
          <w:rFonts w:ascii="Times New Roman" w:hAnsi="Times New Roman" w:eastAsia="方正仿宋简体"/>
          <w:kern w:val="0"/>
          <w:sz w:val="32"/>
          <w:szCs w:val="32"/>
        </w:rPr>
        <w:t>》</w:t>
      </w:r>
      <w:r>
        <w:rPr>
          <w:rFonts w:hint="eastAsia" w:eastAsia="方正仿宋简体"/>
          <w:kern w:val="0"/>
          <w:sz w:val="32"/>
          <w:szCs w:val="32"/>
          <w:lang w:val="en-US" w:eastAsia="zh-CN"/>
        </w:rPr>
        <w:t>评价结论</w:t>
      </w:r>
      <w:r>
        <w:rPr>
          <w:rFonts w:hint="eastAsia" w:ascii="Times New Roman" w:hAnsi="Times New Roman" w:eastAsia="方正仿宋简体"/>
          <w:kern w:val="0"/>
          <w:sz w:val="32"/>
          <w:szCs w:val="32"/>
          <w:lang w:eastAsia="zh-CN"/>
        </w:rPr>
        <w:t>及</w:t>
      </w:r>
      <w:r>
        <w:rPr>
          <w:rFonts w:hint="eastAsia" w:eastAsia="方正仿宋简体"/>
          <w:kern w:val="0"/>
          <w:sz w:val="32"/>
          <w:szCs w:val="32"/>
          <w:lang w:val="en-US" w:eastAsia="zh-CN"/>
        </w:rPr>
        <w:t>专家意见</w:t>
      </w:r>
      <w:r>
        <w:rPr>
          <w:rFonts w:hint="eastAsia" w:eastAsia="方正仿宋简体" w:cs="Times New Roman"/>
          <w:kern w:val="0"/>
          <w:sz w:val="32"/>
          <w:szCs w:val="32"/>
          <w:lang w:eastAsia="zh-CN"/>
        </w:rPr>
        <w:t>，</w:t>
      </w:r>
      <w:r>
        <w:rPr>
          <w:rFonts w:hint="eastAsia" w:ascii="Times New Roman" w:hAnsi="Times New Roman" w:eastAsia="方正仿宋简体"/>
          <w:kern w:val="0"/>
          <w:sz w:val="32"/>
          <w:szCs w:val="32"/>
        </w:rPr>
        <w:t>该项目</w:t>
      </w:r>
      <w:r>
        <w:rPr>
          <w:rFonts w:hint="eastAsia" w:eastAsia="方正仿宋简体"/>
          <w:kern w:val="0"/>
          <w:sz w:val="32"/>
          <w:szCs w:val="32"/>
          <w:lang w:val="en-US" w:eastAsia="zh-CN"/>
        </w:rPr>
        <w:t>属于非金属矿物制品业，</w:t>
      </w:r>
      <w:r>
        <w:rPr>
          <w:rFonts w:hint="eastAsia" w:ascii="Times New Roman" w:hAnsi="Times New Roman" w:eastAsia="方正仿宋简体"/>
          <w:kern w:val="0"/>
          <w:sz w:val="32"/>
          <w:szCs w:val="32"/>
        </w:rPr>
        <w:t>在符合产业政策、选址符合区域</w:t>
      </w:r>
      <w:r>
        <w:rPr>
          <w:rFonts w:hint="eastAsia" w:ascii="Times New Roman" w:hAnsi="Times New Roman" w:eastAsia="方正仿宋简体"/>
          <w:kern w:val="0"/>
          <w:sz w:val="32"/>
          <w:szCs w:val="32"/>
          <w:lang w:eastAsia="zh-CN"/>
        </w:rPr>
        <w:t>国土空间规划</w:t>
      </w:r>
      <w:r>
        <w:rPr>
          <w:rFonts w:hint="eastAsia" w:ascii="Times New Roman" w:hAnsi="Times New Roman" w:eastAsia="方正仿宋简体"/>
          <w:kern w:val="0"/>
          <w:sz w:val="32"/>
          <w:szCs w:val="32"/>
        </w:rPr>
        <w:t>等相关规划</w:t>
      </w:r>
      <w:r>
        <w:rPr>
          <w:rFonts w:ascii="Times New Roman" w:hAnsi="Times New Roman" w:eastAsia="方正仿宋简体"/>
          <w:kern w:val="0"/>
          <w:sz w:val="32"/>
          <w:szCs w:val="32"/>
        </w:rPr>
        <w:t>的前提下，从环境保护的角度，我局原则同意《</w:t>
      </w:r>
      <w:r>
        <w:rPr>
          <w:rFonts w:hint="eastAsia" w:ascii="Times New Roman" w:hAnsi="Times New Roman" w:eastAsia="方正仿宋简体"/>
          <w:kern w:val="0"/>
          <w:sz w:val="32"/>
          <w:szCs w:val="32"/>
          <w:lang w:eastAsia="zh-CN"/>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结论。</w:t>
      </w:r>
    </w:p>
    <w:p w14:paraId="09B43BE7">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方正仿宋简体"/>
          <w:kern w:val="0"/>
          <w:sz w:val="32"/>
          <w:szCs w:val="32"/>
        </w:rPr>
      </w:pPr>
      <w:r>
        <w:rPr>
          <w:rFonts w:hint="eastAsia" w:ascii="Times New Roman" w:hAnsi="Times New Roman" w:eastAsia="方正黑体_GBK" w:cs="方正黑体_GBK"/>
          <w:kern w:val="0"/>
          <w:sz w:val="32"/>
          <w:szCs w:val="32"/>
          <w:lang w:val="zh-CN"/>
        </w:rPr>
        <w:t>三</w:t>
      </w:r>
      <w:r>
        <w:rPr>
          <w:rFonts w:ascii="Times New Roman" w:hAnsi="Times New Roman" w:eastAsia="方正黑体_GBK" w:cs="方正黑体_GBK"/>
          <w:kern w:val="0"/>
          <w:sz w:val="32"/>
          <w:szCs w:val="32"/>
          <w:lang w:val="zh-CN"/>
        </w:rPr>
        <w:t>、</w:t>
      </w:r>
      <w:r>
        <w:rPr>
          <w:rFonts w:ascii="Times New Roman" w:hAnsi="Times New Roman" w:eastAsia="方正仿宋简体"/>
          <w:kern w:val="0"/>
          <w:sz w:val="32"/>
          <w:szCs w:val="32"/>
        </w:rPr>
        <w:t>你单位在项目建设和运营中，应严格执行有关环境质量标准和污染物排放标准，认真、全面落实</w:t>
      </w:r>
      <w:r>
        <w:rPr>
          <w:rFonts w:hint="eastAsia" w:ascii="Times New Roman" w:hAnsi="Times New Roman" w:eastAsia="方正仿宋简体"/>
          <w:kern w:val="0"/>
          <w:sz w:val="32"/>
          <w:szCs w:val="32"/>
          <w:lang w:eastAsia="zh-CN"/>
        </w:rPr>
        <w:t>报告表</w:t>
      </w:r>
      <w:r>
        <w:rPr>
          <w:rFonts w:ascii="Times New Roman" w:hAnsi="Times New Roman" w:eastAsia="方正仿宋简体"/>
          <w:kern w:val="0"/>
          <w:sz w:val="32"/>
          <w:szCs w:val="32"/>
        </w:rPr>
        <w:t>提出的各项环保对策措施和要求，确保污染物达标排放和各环境敏感区满足相应功能要求。重点做好以下工作：</w:t>
      </w:r>
    </w:p>
    <w:p w14:paraId="30C761CF">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方正仿宋简体"/>
          <w:kern w:val="0"/>
          <w:sz w:val="32"/>
          <w:szCs w:val="32"/>
        </w:rPr>
      </w:pPr>
      <w:r>
        <w:rPr>
          <w:rFonts w:hint="eastAsia" w:ascii="Times New Roman" w:hAnsi="Times New Roman" w:eastAsia="方正楷体简体" w:cs="方正楷体简体"/>
          <w:kern w:val="0"/>
          <w:sz w:val="32"/>
          <w:szCs w:val="32"/>
          <w:lang w:val="zh-CN"/>
        </w:rPr>
        <w:t>（一）</w:t>
      </w:r>
      <w:r>
        <w:rPr>
          <w:rFonts w:hint="eastAsia" w:ascii="Times New Roman" w:hAnsi="Times New Roman" w:eastAsia="方正楷体简体" w:cs="方正楷体简体"/>
          <w:kern w:val="0"/>
          <w:sz w:val="32"/>
          <w:szCs w:val="32"/>
        </w:rPr>
        <w:t>认真落实施工期</w:t>
      </w:r>
      <w:r>
        <w:rPr>
          <w:rFonts w:hint="eastAsia" w:eastAsia="方正楷体简体" w:cs="方正楷体简体"/>
          <w:kern w:val="0"/>
          <w:sz w:val="32"/>
          <w:szCs w:val="32"/>
          <w:lang w:val="en-US" w:eastAsia="zh-CN"/>
        </w:rPr>
        <w:t>生态</w:t>
      </w:r>
      <w:r>
        <w:rPr>
          <w:rFonts w:hint="eastAsia" w:ascii="Times New Roman" w:hAnsi="Times New Roman" w:eastAsia="方正楷体简体" w:cs="方正楷体简体"/>
          <w:kern w:val="0"/>
          <w:sz w:val="32"/>
          <w:szCs w:val="32"/>
        </w:rPr>
        <w:t>环境保护</w:t>
      </w:r>
      <w:r>
        <w:rPr>
          <w:rFonts w:hint="eastAsia" w:eastAsia="方正楷体简体" w:cs="方正楷体简体"/>
          <w:kern w:val="0"/>
          <w:sz w:val="32"/>
          <w:szCs w:val="32"/>
          <w:lang w:val="en-US" w:eastAsia="zh-CN"/>
        </w:rPr>
        <w:t>和防沙治沙</w:t>
      </w:r>
      <w:r>
        <w:rPr>
          <w:rFonts w:hint="eastAsia" w:ascii="Times New Roman" w:hAnsi="Times New Roman" w:eastAsia="方正楷体简体" w:cs="方正楷体简体"/>
          <w:kern w:val="0"/>
          <w:sz w:val="32"/>
          <w:szCs w:val="32"/>
        </w:rPr>
        <w:t>措施。</w:t>
      </w:r>
      <w:r>
        <w:rPr>
          <w:rFonts w:ascii="Times New Roman" w:hAnsi="Times New Roman" w:eastAsia="方正仿宋简体"/>
          <w:kern w:val="0"/>
          <w:sz w:val="32"/>
          <w:szCs w:val="32"/>
        </w:rPr>
        <w:t>做好施工过程中的降噪、防尘、施工固废清理和水土保持、防沙治沙等生态保护措施，妥善处置施工废弃物、生活垃圾及生活污水。</w:t>
      </w:r>
    </w:p>
    <w:p w14:paraId="406BB2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kern w:val="0"/>
          <w:sz w:val="32"/>
          <w:szCs w:val="32"/>
        </w:rPr>
      </w:pPr>
      <w:r>
        <w:rPr>
          <w:rFonts w:ascii="Times New Roman" w:hAnsi="Times New Roman" w:eastAsia="方正楷体简体" w:cs="方正楷体简体"/>
          <w:kern w:val="0"/>
          <w:sz w:val="32"/>
          <w:szCs w:val="32"/>
          <w:lang w:val="zh-CN"/>
        </w:rPr>
        <w:t>（</w:t>
      </w:r>
      <w:r>
        <w:rPr>
          <w:rFonts w:ascii="Times New Roman" w:hAnsi="Times New Roman" w:eastAsia="方正楷体简体" w:cs="方正楷体简体"/>
          <w:kern w:val="0"/>
          <w:sz w:val="32"/>
          <w:szCs w:val="32"/>
        </w:rPr>
        <w:t>二</w:t>
      </w:r>
      <w:r>
        <w:rPr>
          <w:rFonts w:ascii="Times New Roman" w:hAnsi="Times New Roman" w:eastAsia="方正楷体简体" w:cs="方正楷体简体"/>
          <w:kern w:val="0"/>
          <w:sz w:val="32"/>
          <w:szCs w:val="32"/>
          <w:lang w:val="zh-CN"/>
        </w:rPr>
        <w:t>）</w:t>
      </w:r>
      <w:r>
        <w:rPr>
          <w:rFonts w:ascii="Times New Roman" w:hAnsi="Times New Roman" w:eastAsia="方正楷体简体" w:cs="方正楷体简体"/>
          <w:kern w:val="0"/>
          <w:sz w:val="32"/>
          <w:szCs w:val="32"/>
        </w:rPr>
        <w:t>严格落实大气污染防治措施。</w:t>
      </w:r>
      <w:r>
        <w:rPr>
          <w:rFonts w:ascii="Times New Roman" w:hAnsi="Times New Roman" w:eastAsia="方正仿宋简体"/>
          <w:kern w:val="0"/>
          <w:sz w:val="32"/>
          <w:szCs w:val="32"/>
        </w:rPr>
        <w:t>该项目运营期产生的</w:t>
      </w:r>
      <w:r>
        <w:rPr>
          <w:rFonts w:hint="eastAsia" w:ascii="Times New Roman" w:hAnsi="Times New Roman" w:eastAsia="方正仿宋简体"/>
          <w:kern w:val="0"/>
          <w:sz w:val="32"/>
          <w:szCs w:val="32"/>
        </w:rPr>
        <w:t>废气</w:t>
      </w:r>
      <w:r>
        <w:rPr>
          <w:rFonts w:hint="eastAsia" w:eastAsia="方正仿宋简体"/>
          <w:kern w:val="0"/>
          <w:sz w:val="32"/>
          <w:szCs w:val="32"/>
          <w:lang w:val="en-US" w:eastAsia="zh-CN"/>
        </w:rPr>
        <w:t>主要为</w:t>
      </w:r>
      <w:r>
        <w:rPr>
          <w:rFonts w:hint="eastAsia" w:ascii="Times New Roman" w:hAnsi="Times New Roman" w:eastAsia="方正仿宋简体"/>
          <w:kern w:val="0"/>
          <w:sz w:val="32"/>
          <w:szCs w:val="32"/>
        </w:rPr>
        <w:t>生物质锅炉燃烧废气</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原料堆存粉尘、原料及产品运输扬尘、生产线上料粉尘、搅拌废气、水泥筒仓废气</w:t>
      </w:r>
      <w:r>
        <w:rPr>
          <w:rFonts w:hint="default" w:ascii="Times New Roman" w:hAnsi="Times New Roman" w:eastAsia="方正仿宋简体" w:cs="Times New Roman"/>
          <w:kern w:val="0"/>
          <w:sz w:val="32"/>
          <w:szCs w:val="32"/>
          <w:lang w:val="en-US" w:eastAsia="zh-CN"/>
        </w:rPr>
        <w:t>及</w:t>
      </w:r>
      <w:r>
        <w:rPr>
          <w:rFonts w:hint="default" w:ascii="Times New Roman" w:hAnsi="Times New Roman" w:eastAsia="方正仿宋简体" w:cs="Times New Roman"/>
          <w:kern w:val="0"/>
          <w:sz w:val="32"/>
          <w:szCs w:val="32"/>
        </w:rPr>
        <w:t>食堂油烟。</w:t>
      </w:r>
      <w:r>
        <w:rPr>
          <w:rFonts w:hint="default" w:ascii="Times New Roman" w:hAnsi="Times New Roman" w:eastAsia="方正仿宋简体" w:cs="Times New Roman"/>
          <w:kern w:val="0"/>
          <w:sz w:val="32"/>
          <w:szCs w:val="32"/>
          <w:lang w:val="en-US" w:eastAsia="zh-CN"/>
        </w:rPr>
        <w:t>生物质锅炉燃烧废气</w:t>
      </w:r>
      <w:r>
        <w:rPr>
          <w:rFonts w:hint="default" w:ascii="Times New Roman" w:hAnsi="Times New Roman" w:eastAsia="方正仿宋简体" w:cs="Times New Roman"/>
          <w:kern w:val="0"/>
          <w:sz w:val="32"/>
          <w:szCs w:val="32"/>
        </w:rPr>
        <w:t>采用低氮燃烧器+旋风除尘器+袋式除尘器进行处理</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lang w:val="en-US" w:eastAsia="zh-CN"/>
        </w:rPr>
        <w:t>确保</w:t>
      </w:r>
      <w:r>
        <w:rPr>
          <w:rFonts w:hint="default" w:ascii="Times New Roman" w:hAnsi="Times New Roman" w:eastAsia="方正仿宋简体" w:cs="Times New Roman"/>
          <w:kern w:val="0"/>
          <w:sz w:val="32"/>
          <w:szCs w:val="32"/>
        </w:rPr>
        <w:t>废气中颗粒物、二氧化硫、氮氧化物、汞及其化合物排放浓度满足</w:t>
      </w:r>
      <w:r>
        <w:rPr>
          <w:rFonts w:hint="default" w:ascii="Times New Roman" w:hAnsi="Times New Roman" w:eastAsia="方正仿宋简体" w:cs="Times New Roman"/>
          <w:color w:val="auto"/>
          <w:kern w:val="0"/>
          <w:sz w:val="32"/>
          <w:szCs w:val="32"/>
        </w:rPr>
        <w:t>《锅炉大气污染物排放标准》（GB13271-2014）表2燃</w:t>
      </w:r>
      <w:r>
        <w:rPr>
          <w:rFonts w:hint="default" w:ascii="Times New Roman" w:hAnsi="Times New Roman" w:eastAsia="方正仿宋简体" w:cs="Times New Roman"/>
          <w:color w:val="auto"/>
          <w:kern w:val="0"/>
          <w:sz w:val="32"/>
          <w:szCs w:val="32"/>
          <w:lang w:val="en-US" w:eastAsia="zh-CN"/>
        </w:rPr>
        <w:t>气</w:t>
      </w:r>
      <w:r>
        <w:rPr>
          <w:rFonts w:hint="default" w:ascii="Times New Roman" w:hAnsi="Times New Roman" w:eastAsia="方正仿宋简体" w:cs="Times New Roman"/>
          <w:color w:val="auto"/>
          <w:kern w:val="0"/>
          <w:sz w:val="32"/>
          <w:szCs w:val="32"/>
        </w:rPr>
        <w:t>锅炉排放限值要求</w:t>
      </w:r>
      <w:r>
        <w:rPr>
          <w:rFonts w:hint="default" w:ascii="Times New Roman" w:hAnsi="Times New Roman" w:eastAsia="方正仿宋简体" w:cs="Times New Roman"/>
          <w:color w:val="auto"/>
          <w:kern w:val="0"/>
          <w:sz w:val="32"/>
          <w:szCs w:val="32"/>
          <w:lang w:val="en-US" w:eastAsia="zh-CN"/>
        </w:rPr>
        <w:t>后</w:t>
      </w:r>
      <w:r>
        <w:rPr>
          <w:rFonts w:hint="default" w:ascii="Times New Roman" w:hAnsi="Times New Roman" w:eastAsia="方正仿宋简体" w:cs="Times New Roman"/>
          <w:color w:val="auto"/>
          <w:kern w:val="0"/>
          <w:sz w:val="32"/>
          <w:szCs w:val="32"/>
          <w:lang w:eastAsia="zh-CN"/>
        </w:rPr>
        <w:t>，</w:t>
      </w:r>
      <w:r>
        <w:rPr>
          <w:rFonts w:hint="default" w:ascii="Times New Roman" w:hAnsi="Times New Roman" w:eastAsia="方正仿宋简体" w:cs="Times New Roman"/>
          <w:kern w:val="0"/>
          <w:sz w:val="32"/>
          <w:szCs w:val="32"/>
          <w:lang w:val="en-US" w:eastAsia="zh-CN"/>
        </w:rPr>
        <w:t>通过</w:t>
      </w:r>
      <w:r>
        <w:rPr>
          <w:rFonts w:hint="default" w:ascii="Times New Roman" w:hAnsi="Times New Roman" w:eastAsia="方正仿宋简体" w:cs="Times New Roman"/>
          <w:kern w:val="0"/>
          <w:sz w:val="32"/>
          <w:szCs w:val="32"/>
        </w:rPr>
        <w:t>1根</w:t>
      </w:r>
      <w:r>
        <w:rPr>
          <w:rFonts w:hint="default" w:ascii="Times New Roman" w:hAnsi="Times New Roman" w:eastAsia="方正仿宋简体" w:cs="Times New Roman"/>
          <w:kern w:val="0"/>
          <w:sz w:val="32"/>
          <w:szCs w:val="32"/>
          <w:lang w:val="en-US" w:eastAsia="zh-CN"/>
        </w:rPr>
        <w:t>1</w:t>
      </w:r>
      <w:r>
        <w:rPr>
          <w:rFonts w:hint="default" w:ascii="Times New Roman" w:hAnsi="Times New Roman" w:eastAsia="方正仿宋简体" w:cs="Times New Roman"/>
          <w:kern w:val="0"/>
          <w:sz w:val="32"/>
          <w:szCs w:val="32"/>
        </w:rPr>
        <w:t>5m排气筒排放</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lang w:val="en-US" w:eastAsia="zh-CN"/>
        </w:rPr>
        <w:t>DA001</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。食堂油烟经油烟净化器处理</w:t>
      </w:r>
      <w:r>
        <w:rPr>
          <w:rFonts w:hint="default" w:ascii="Times New Roman" w:hAnsi="Times New Roman" w:eastAsia="方正仿宋简体" w:cs="Times New Roman"/>
          <w:kern w:val="0"/>
          <w:sz w:val="32"/>
          <w:szCs w:val="32"/>
          <w:lang w:val="en-US" w:eastAsia="zh-CN"/>
        </w:rPr>
        <w:t>,须</w:t>
      </w:r>
      <w:r>
        <w:rPr>
          <w:rFonts w:hint="default" w:ascii="Times New Roman" w:hAnsi="Times New Roman" w:eastAsia="方正仿宋简体" w:cs="Times New Roman"/>
          <w:kern w:val="0"/>
          <w:sz w:val="32"/>
          <w:szCs w:val="32"/>
        </w:rPr>
        <w:t>满足《饮食业油烟排放标准》</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GB18483-2001</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表2小型限值要求</w:t>
      </w:r>
      <w:r>
        <w:rPr>
          <w:rFonts w:hint="default" w:ascii="Times New Roman" w:hAnsi="Times New Roman" w:eastAsia="方正仿宋简体" w:cs="Times New Roman"/>
          <w:kern w:val="0"/>
          <w:sz w:val="32"/>
          <w:szCs w:val="32"/>
          <w:lang w:val="en-US" w:eastAsia="zh-CN"/>
        </w:rPr>
        <w:t>后，通过</w:t>
      </w:r>
      <w:r>
        <w:rPr>
          <w:rFonts w:hint="default" w:ascii="Times New Roman" w:hAnsi="Times New Roman" w:eastAsia="方正仿宋简体" w:cs="Times New Roman"/>
          <w:kern w:val="0"/>
          <w:sz w:val="32"/>
          <w:szCs w:val="32"/>
        </w:rPr>
        <w:t>烟道排放。</w:t>
      </w:r>
    </w:p>
    <w:p w14:paraId="604FDA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lang w:val="en-US" w:eastAsia="zh-CN"/>
        </w:rPr>
        <w:t>通过采取</w:t>
      </w:r>
      <w:r>
        <w:rPr>
          <w:rFonts w:hint="default" w:ascii="Times New Roman" w:hAnsi="Times New Roman" w:eastAsia="方正仿宋简体" w:cs="Times New Roman"/>
          <w:kern w:val="0"/>
          <w:sz w:val="32"/>
          <w:szCs w:val="32"/>
          <w:lang w:eastAsia="zh-CN"/>
        </w:rPr>
        <w:t>原料堆场</w:t>
      </w:r>
      <w:r>
        <w:rPr>
          <w:rFonts w:hint="default" w:ascii="Times New Roman" w:hAnsi="Times New Roman" w:eastAsia="方正仿宋简体" w:cs="Times New Roman"/>
          <w:kern w:val="0"/>
          <w:sz w:val="32"/>
          <w:szCs w:val="32"/>
          <w:lang w:val="en-US" w:eastAsia="zh-CN"/>
        </w:rPr>
        <w:t>建设</w:t>
      </w:r>
      <w:r>
        <w:rPr>
          <w:rFonts w:hint="default" w:ascii="Times New Roman" w:hAnsi="Times New Roman" w:eastAsia="方正仿宋简体" w:cs="Times New Roman"/>
          <w:kern w:val="0"/>
          <w:sz w:val="32"/>
          <w:szCs w:val="32"/>
          <w:lang w:eastAsia="zh-CN"/>
        </w:rPr>
        <w:t>半</w:t>
      </w:r>
      <w:r>
        <w:rPr>
          <w:rFonts w:hint="default" w:ascii="Times New Roman" w:hAnsi="Times New Roman" w:eastAsia="方正仿宋简体" w:cs="Times New Roman"/>
          <w:kern w:val="0"/>
          <w:sz w:val="32"/>
          <w:szCs w:val="32"/>
          <w:lang w:val="en-US" w:eastAsia="zh-CN"/>
        </w:rPr>
        <w:t>封闭</w:t>
      </w:r>
      <w:r>
        <w:rPr>
          <w:rFonts w:hint="default" w:ascii="Times New Roman" w:hAnsi="Times New Roman" w:eastAsia="方正仿宋简体" w:cs="Times New Roman"/>
          <w:kern w:val="0"/>
          <w:sz w:val="32"/>
          <w:szCs w:val="32"/>
          <w:lang w:eastAsia="zh-CN"/>
        </w:rPr>
        <w:t>式料棚，</w:t>
      </w:r>
      <w:r>
        <w:rPr>
          <w:rFonts w:hint="default" w:ascii="Times New Roman" w:hAnsi="Times New Roman" w:eastAsia="方正仿宋简体" w:cs="Times New Roman"/>
          <w:kern w:val="0"/>
          <w:sz w:val="32"/>
          <w:szCs w:val="32"/>
          <w:lang w:val="en-US" w:eastAsia="zh-CN"/>
        </w:rPr>
        <w:t>及时洒水</w:t>
      </w:r>
      <w:r>
        <w:rPr>
          <w:rFonts w:hint="default" w:ascii="Times New Roman" w:hAnsi="Times New Roman" w:eastAsia="方正仿宋简体" w:cs="Times New Roman"/>
          <w:kern w:val="0"/>
          <w:sz w:val="32"/>
          <w:szCs w:val="32"/>
          <w:lang w:eastAsia="zh-CN"/>
        </w:rPr>
        <w:t>抑尘，运输车</w:t>
      </w:r>
      <w:r>
        <w:rPr>
          <w:rFonts w:hint="default" w:ascii="Times New Roman" w:hAnsi="Times New Roman" w:eastAsia="方正仿宋简体" w:cs="Times New Roman"/>
          <w:kern w:val="0"/>
          <w:sz w:val="32"/>
          <w:szCs w:val="32"/>
          <w:lang w:val="en-US" w:eastAsia="zh-CN"/>
        </w:rPr>
        <w:t>辆</w:t>
      </w:r>
      <w:r>
        <w:rPr>
          <w:rFonts w:hint="default" w:ascii="Times New Roman" w:hAnsi="Times New Roman" w:eastAsia="方正仿宋简体" w:cs="Times New Roman"/>
          <w:kern w:val="0"/>
          <w:sz w:val="32"/>
          <w:szCs w:val="32"/>
          <w:lang w:eastAsia="zh-CN"/>
        </w:rPr>
        <w:t>采用篷布遮盖，</w:t>
      </w:r>
      <w:r>
        <w:rPr>
          <w:rFonts w:hint="default" w:ascii="Times New Roman" w:hAnsi="Times New Roman" w:eastAsia="方正仿宋简体" w:cs="Times New Roman"/>
          <w:kern w:val="0"/>
          <w:sz w:val="32"/>
          <w:szCs w:val="32"/>
          <w:lang w:val="en-US" w:eastAsia="zh-CN"/>
        </w:rPr>
        <w:t>车辆限速</w:t>
      </w:r>
      <w:r>
        <w:rPr>
          <w:rFonts w:hint="default" w:ascii="Times New Roman" w:hAnsi="Times New Roman" w:eastAsia="方正仿宋简体" w:cs="Times New Roman"/>
          <w:kern w:val="0"/>
          <w:sz w:val="32"/>
          <w:szCs w:val="32"/>
          <w:lang w:eastAsia="zh-CN"/>
        </w:rPr>
        <w:t>，上料粉尘采用喷水装置（</w:t>
      </w:r>
      <w:r>
        <w:rPr>
          <w:rFonts w:hint="default" w:ascii="Times New Roman" w:hAnsi="Times New Roman" w:eastAsia="方正仿宋简体" w:cs="Times New Roman"/>
          <w:kern w:val="0"/>
          <w:sz w:val="32"/>
          <w:szCs w:val="32"/>
          <w:lang w:val="en-US" w:eastAsia="zh-CN"/>
        </w:rPr>
        <w:t>高压喷雾降尘系统</w:t>
      </w:r>
      <w:r>
        <w:rPr>
          <w:rFonts w:hint="default" w:ascii="Times New Roman" w:hAnsi="Times New Roman" w:eastAsia="方正仿宋简体" w:cs="Times New Roman"/>
          <w:kern w:val="0"/>
          <w:sz w:val="32"/>
          <w:szCs w:val="32"/>
          <w:lang w:eastAsia="zh-CN"/>
        </w:rPr>
        <w:t>）和半封闭上料口，</w:t>
      </w:r>
      <w:r>
        <w:rPr>
          <w:rFonts w:hint="default" w:ascii="Times New Roman" w:hAnsi="Times New Roman" w:eastAsia="方正仿宋简体" w:cs="Times New Roman"/>
          <w:kern w:val="0"/>
          <w:sz w:val="32"/>
          <w:szCs w:val="32"/>
          <w:lang w:val="en-US" w:eastAsia="zh-CN"/>
        </w:rPr>
        <w:t>采用湿式搅拌</w:t>
      </w:r>
      <w:r>
        <w:rPr>
          <w:rFonts w:hint="default" w:ascii="Times New Roman" w:hAnsi="Times New Roman" w:eastAsia="方正仿宋简体" w:cs="Times New Roman"/>
          <w:kern w:val="0"/>
          <w:sz w:val="32"/>
          <w:szCs w:val="32"/>
          <w:lang w:eastAsia="zh-CN"/>
        </w:rPr>
        <w:t>等措施，</w:t>
      </w:r>
      <w:r>
        <w:rPr>
          <w:rFonts w:hint="default" w:ascii="Times New Roman" w:hAnsi="Times New Roman" w:eastAsia="方正仿宋简体" w:cs="Times New Roman"/>
          <w:kern w:val="0"/>
          <w:sz w:val="32"/>
          <w:szCs w:val="32"/>
          <w:lang w:val="en-US" w:eastAsia="zh-CN"/>
        </w:rPr>
        <w:t>确保</w:t>
      </w:r>
      <w:r>
        <w:rPr>
          <w:rFonts w:hint="default" w:ascii="Times New Roman" w:hAnsi="Times New Roman" w:eastAsia="方正仿宋简体" w:cs="Times New Roman"/>
          <w:kern w:val="0"/>
          <w:sz w:val="32"/>
          <w:szCs w:val="32"/>
          <w:lang w:eastAsia="zh-CN"/>
        </w:rPr>
        <w:t>废气颗粒物无组织排放须满足《水泥工业大气污染物排放标准》（GB4915-2013）表3标准排放限值</w:t>
      </w:r>
      <w:r>
        <w:rPr>
          <w:rFonts w:hint="default" w:ascii="Times New Roman" w:hAnsi="Times New Roman" w:eastAsia="方正仿宋简体" w:cs="Times New Roman"/>
          <w:kern w:val="0"/>
          <w:sz w:val="32"/>
          <w:szCs w:val="32"/>
          <w:lang w:val="en-US" w:eastAsia="zh-CN"/>
        </w:rPr>
        <w:t>及其修改单要求</w:t>
      </w:r>
      <w:r>
        <w:rPr>
          <w:rFonts w:hint="default" w:ascii="Times New Roman" w:hAnsi="Times New Roman" w:eastAsia="方正仿宋简体" w:cs="Times New Roman"/>
          <w:kern w:val="0"/>
          <w:sz w:val="32"/>
          <w:szCs w:val="32"/>
          <w:lang w:eastAsia="zh-CN"/>
        </w:rPr>
        <w:t>。水泥筒仓废气通过采用自带脉冲袋式除尘器进行处理，须满足《水泥工业大气污染物排放标准》（GB4915-2013）表1标准排放限值</w:t>
      </w:r>
      <w:r>
        <w:rPr>
          <w:rFonts w:hint="default" w:ascii="Times New Roman" w:hAnsi="Times New Roman" w:eastAsia="方正仿宋简体" w:cs="Times New Roman"/>
          <w:kern w:val="0"/>
          <w:sz w:val="32"/>
          <w:szCs w:val="32"/>
          <w:lang w:val="en-US" w:eastAsia="zh-CN"/>
        </w:rPr>
        <w:t>及其修改单要求后，通过</w:t>
      </w:r>
      <w:r>
        <w:rPr>
          <w:rFonts w:hint="default" w:ascii="Times New Roman" w:hAnsi="Times New Roman" w:eastAsia="方正仿宋简体" w:cs="Times New Roman"/>
          <w:kern w:val="0"/>
          <w:sz w:val="32"/>
          <w:szCs w:val="32"/>
          <w:lang w:eastAsia="zh-CN"/>
        </w:rPr>
        <w:t>仓顶排气口无组织排放</w:t>
      </w:r>
      <w:r>
        <w:rPr>
          <w:rFonts w:hint="default" w:ascii="Times New Roman" w:hAnsi="Times New Roman" w:eastAsia="方正仿宋简体" w:cs="Times New Roman"/>
          <w:kern w:val="0"/>
          <w:sz w:val="32"/>
          <w:szCs w:val="32"/>
        </w:rPr>
        <w:t>。</w:t>
      </w:r>
    </w:p>
    <w:p w14:paraId="272682A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color w:val="auto"/>
          <w:kern w:val="0"/>
          <w:sz w:val="32"/>
          <w:szCs w:val="32"/>
          <w:lang w:val="en-US" w:eastAsia="zh-CN"/>
        </w:rPr>
      </w:pPr>
      <w:r>
        <w:rPr>
          <w:rFonts w:hint="eastAsia" w:ascii="Times New Roman" w:hAnsi="Times New Roman" w:eastAsia="方正楷体简体" w:cs="方正楷体简体"/>
          <w:kern w:val="0"/>
          <w:sz w:val="32"/>
          <w:szCs w:val="32"/>
          <w:lang w:eastAsia="zh-CN"/>
        </w:rPr>
        <w:t>（三）</w:t>
      </w:r>
      <w:r>
        <w:rPr>
          <w:rFonts w:ascii="Times New Roman" w:hAnsi="Times New Roman" w:eastAsia="方正楷体简体" w:cs="方正楷体简体"/>
          <w:kern w:val="0"/>
          <w:sz w:val="32"/>
          <w:szCs w:val="32"/>
        </w:rPr>
        <w:t>严格落实水污染防治措施。</w:t>
      </w:r>
      <w:r>
        <w:rPr>
          <w:rFonts w:hint="eastAsia" w:ascii="Times New Roman" w:hAnsi="Times New Roman" w:eastAsia="方正仿宋简体" w:cs="Times New Roman"/>
          <w:kern w:val="0"/>
          <w:sz w:val="32"/>
          <w:szCs w:val="32"/>
          <w:lang w:eastAsia="zh-CN"/>
        </w:rPr>
        <w:t>项目运营期的</w:t>
      </w:r>
      <w:r>
        <w:rPr>
          <w:rFonts w:hint="eastAsia" w:eastAsia="方正仿宋简体" w:cs="Times New Roman"/>
          <w:kern w:val="0"/>
          <w:sz w:val="32"/>
          <w:szCs w:val="32"/>
          <w:lang w:val="en-US" w:eastAsia="zh-CN"/>
        </w:rPr>
        <w:t>产生的废水</w:t>
      </w:r>
      <w:r>
        <w:rPr>
          <w:rFonts w:hint="eastAsia" w:ascii="Times New Roman" w:hAnsi="Times New Roman" w:eastAsia="方正仿宋简体" w:cs="Times New Roman"/>
          <w:kern w:val="0"/>
          <w:sz w:val="32"/>
          <w:szCs w:val="32"/>
          <w:lang w:eastAsia="zh-CN"/>
        </w:rPr>
        <w:t>主要为</w:t>
      </w:r>
      <w:r>
        <w:rPr>
          <w:rFonts w:hint="eastAsia" w:ascii="Times New Roman" w:hAnsi="Times New Roman" w:eastAsia="方正仿宋简体" w:cs="Times New Roman"/>
          <w:kern w:val="0"/>
          <w:sz w:val="32"/>
          <w:szCs w:val="32"/>
          <w:lang w:val="en-US" w:eastAsia="zh-CN"/>
        </w:rPr>
        <w:t>设备清洗废水、锅炉废水、再生清洗废水</w:t>
      </w:r>
      <w:r>
        <w:rPr>
          <w:rFonts w:hint="eastAsia" w:eastAsia="方正仿宋简体" w:cs="Times New Roman"/>
          <w:kern w:val="0"/>
          <w:sz w:val="32"/>
          <w:szCs w:val="32"/>
          <w:lang w:val="en-US" w:eastAsia="zh-CN"/>
        </w:rPr>
        <w:t>和</w:t>
      </w:r>
      <w:r>
        <w:rPr>
          <w:rFonts w:hint="eastAsia" w:ascii="Times New Roman" w:hAnsi="Times New Roman" w:eastAsia="方正仿宋简体" w:cs="Times New Roman"/>
          <w:kern w:val="0"/>
          <w:sz w:val="32"/>
          <w:szCs w:val="32"/>
          <w:lang w:eastAsia="zh-CN"/>
        </w:rPr>
        <w:t>生活污水</w:t>
      </w:r>
      <w:r>
        <w:rPr>
          <w:rFonts w:hint="eastAsia" w:ascii="宋体" w:hAnsi="宋体" w:eastAsia="方正仿宋简体" w:cs="方正仿宋简体"/>
          <w:outline w:val="0"/>
          <w:shadow w:val="0"/>
          <w:emboss w:val="0"/>
          <w:imprint w:val="0"/>
          <w:vanish w:val="0"/>
          <w:color w:val="auto"/>
          <w:w w:val="100"/>
          <w:kern w:val="2"/>
          <w:sz w:val="32"/>
          <w:szCs w:val="32"/>
          <w:highlight w:val="none"/>
          <w:u w:val="none"/>
          <w:lang w:val="en-US" w:eastAsia="zh-CN" w:bidi="ar-SA"/>
        </w:rPr>
        <w:t>。锅炉废水回用于投料工</w:t>
      </w:r>
      <w:r>
        <w:rPr>
          <w:rFonts w:hint="default" w:ascii="Times New Roman" w:hAnsi="Times New Roman" w:eastAsia="方正仿宋简体" w:cs="Times New Roman"/>
          <w:outline w:val="0"/>
          <w:shadow w:val="0"/>
          <w:emboss w:val="0"/>
          <w:imprint w:val="0"/>
          <w:vanish w:val="0"/>
          <w:color w:val="auto"/>
          <w:w w:val="100"/>
          <w:kern w:val="2"/>
          <w:sz w:val="32"/>
          <w:szCs w:val="32"/>
          <w:highlight w:val="none"/>
          <w:u w:val="none"/>
          <w:lang w:val="en-US" w:eastAsia="zh-CN" w:bidi="ar-SA"/>
        </w:rPr>
        <w:t>序喷淋降尘和洒水抑尘，离子交换树脂再生清洗废水回用于厂区洒水抑尘，设备清洗废水回用于搅拌工序，不外排。生活污水经化粪池处理，满足《污水综合排放标准》（</w:t>
      </w:r>
      <w:r>
        <w:rPr>
          <w:rFonts w:hint="default" w:ascii="Times New Roman" w:hAnsi="Times New Roman" w:eastAsia="方正仿宋简体" w:cs="Times New Roman"/>
          <w:kern w:val="0"/>
          <w:sz w:val="32"/>
          <w:szCs w:val="32"/>
          <w:lang w:val="en-US" w:eastAsia="zh-CN"/>
        </w:rPr>
        <w:t>GB8978-1996）</w:t>
      </w:r>
      <w:r>
        <w:rPr>
          <w:rFonts w:hint="default" w:ascii="Times New Roman" w:hAnsi="Times New Roman" w:eastAsia="方正仿宋简体" w:cs="Times New Roman"/>
          <w:outline w:val="0"/>
          <w:shadow w:val="0"/>
          <w:emboss w:val="0"/>
          <w:imprint w:val="0"/>
          <w:vanish w:val="0"/>
          <w:color w:val="auto"/>
          <w:w w:val="100"/>
          <w:kern w:val="2"/>
          <w:sz w:val="32"/>
          <w:szCs w:val="32"/>
          <w:highlight w:val="none"/>
          <w:u w:val="none"/>
          <w:lang w:val="en-US" w:eastAsia="zh-CN" w:bidi="ar-SA"/>
        </w:rPr>
        <w:t>表4中三级限值要求和六团污水处理厂进水水质要求后，定期拉运至六团污水处理厂处理</w:t>
      </w:r>
      <w:r>
        <w:rPr>
          <w:rFonts w:hint="eastAsia" w:ascii="宋体" w:hAnsi="宋体" w:eastAsia="方正仿宋简体" w:cs="方正仿宋简体"/>
          <w:outline w:val="0"/>
          <w:shadow w:val="0"/>
          <w:emboss w:val="0"/>
          <w:imprint w:val="0"/>
          <w:vanish w:val="0"/>
          <w:color w:val="auto"/>
          <w:w w:val="100"/>
          <w:kern w:val="2"/>
          <w:sz w:val="32"/>
          <w:szCs w:val="32"/>
          <w:highlight w:val="none"/>
          <w:u w:val="none"/>
          <w:lang w:val="en-US" w:eastAsia="zh-CN" w:bidi="ar-SA"/>
        </w:rPr>
        <w:t>。</w:t>
      </w:r>
    </w:p>
    <w:p w14:paraId="558DAFF8">
      <w:pPr>
        <w:pStyle w:val="7"/>
        <w:keepNext w:val="0"/>
        <w:keepLines w:val="0"/>
        <w:pageBreakBefore w:val="0"/>
        <w:widowControl w:val="0"/>
        <w:kinsoku/>
        <w:wordWrap/>
        <w:overflowPunct/>
        <w:topLinePunct w:val="0"/>
        <w:autoSpaceDE/>
        <w:autoSpaceDN/>
        <w:bidi w:val="0"/>
        <w:spacing w:after="0" w:line="540" w:lineRule="exac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ascii="Times New Roman" w:hAnsi="Times New Roman" w:eastAsia="方正楷体简体" w:cs="方正楷体简体"/>
          <w:kern w:val="0"/>
          <w:sz w:val="32"/>
          <w:szCs w:val="32"/>
        </w:rPr>
        <w:t>（四）严格落实噪声污染防治措施。</w:t>
      </w:r>
      <w:r>
        <w:rPr>
          <w:rFonts w:hint="eastAsia" w:ascii="Times New Roman" w:hAnsi="Times New Roman" w:eastAsia="方正仿宋简体" w:cs="Times New Roman"/>
          <w:kern w:val="2"/>
          <w:sz w:val="32"/>
          <w:szCs w:val="32"/>
          <w:lang w:val="en-US" w:eastAsia="zh-CN" w:bidi="ar-SA"/>
        </w:rPr>
        <w:t>项目运营期的噪声主要为配料机、搅拌机、滚焊机、切割机、离心机、生物质锅炉等设备运行产生的噪声。</w:t>
      </w:r>
      <w:r>
        <w:rPr>
          <w:rFonts w:hint="eastAsia" w:eastAsia="方正仿宋简体" w:cs="Times New Roman"/>
          <w:kern w:val="2"/>
          <w:sz w:val="32"/>
          <w:szCs w:val="32"/>
          <w:lang w:val="en-US" w:eastAsia="zh-CN" w:bidi="ar-SA"/>
        </w:rPr>
        <w:t>通过</w:t>
      </w:r>
      <w:r>
        <w:rPr>
          <w:rFonts w:hint="eastAsia" w:ascii="Times New Roman" w:hAnsi="Times New Roman" w:eastAsia="方正仿宋简体" w:cs="Times New Roman"/>
          <w:kern w:val="2"/>
          <w:sz w:val="32"/>
          <w:szCs w:val="32"/>
          <w:lang w:val="en-US" w:eastAsia="zh-CN" w:bidi="ar-SA"/>
        </w:rPr>
        <w:t>选择先进</w:t>
      </w:r>
      <w:r>
        <w:rPr>
          <w:rFonts w:hint="default" w:ascii="Times New Roman" w:hAnsi="Times New Roman" w:eastAsia="方正仿宋简体" w:cs="Times New Roman"/>
          <w:kern w:val="2"/>
          <w:sz w:val="32"/>
          <w:szCs w:val="32"/>
          <w:lang w:val="en-US" w:eastAsia="zh-CN" w:bidi="ar-SA"/>
        </w:rPr>
        <w:t>可靠的低噪声设备，对高噪声设备采取安装减振垫、设备合理布局；定期维护设备等措施，确保厂界四周噪声排放满足《工业企业厂界环境噪声排放标准》(GB12348-2008)中3类标准要求。</w:t>
      </w:r>
    </w:p>
    <w:p w14:paraId="2CF2DCE0">
      <w:pPr>
        <w:pStyle w:val="7"/>
        <w:keepNext w:val="0"/>
        <w:keepLines w:val="0"/>
        <w:pageBreakBefore w:val="0"/>
        <w:widowControl w:val="0"/>
        <w:kinsoku/>
        <w:wordWrap/>
        <w:overflowPunct/>
        <w:topLinePunct w:val="0"/>
        <w:autoSpaceDE/>
        <w:autoSpaceDN/>
        <w:bidi w:val="0"/>
        <w:spacing w:after="0" w:line="540" w:lineRule="exact"/>
        <w:ind w:firstLine="640" w:firstLineChars="200"/>
        <w:textAlignment w:val="auto"/>
        <w:rPr>
          <w:rFonts w:hint="default" w:ascii="Times New Roman" w:hAnsi="Times New Roman" w:eastAsia="方正仿宋简体"/>
          <w:kern w:val="0"/>
          <w:sz w:val="32"/>
          <w:szCs w:val="32"/>
          <w:lang w:val="en-US" w:eastAsia="zh-CN"/>
        </w:rPr>
      </w:pPr>
      <w:r>
        <w:rPr>
          <w:rFonts w:hint="eastAsia" w:ascii="Times New Roman" w:hAnsi="Times New Roman" w:eastAsia="方正楷体简体" w:cs="方正楷体简体"/>
          <w:kern w:val="0"/>
          <w:sz w:val="32"/>
          <w:szCs w:val="32"/>
        </w:rPr>
        <w:t>（五）</w:t>
      </w:r>
      <w:r>
        <w:rPr>
          <w:rFonts w:ascii="Times New Roman" w:hAnsi="Times New Roman" w:eastAsia="方正楷体简体" w:cs="方正楷体简体"/>
          <w:kern w:val="0"/>
          <w:sz w:val="32"/>
          <w:szCs w:val="32"/>
        </w:rPr>
        <w:t>严格落实固体废物分类处置措施。</w:t>
      </w:r>
      <w:r>
        <w:rPr>
          <w:rFonts w:hint="eastAsia" w:ascii="Times New Roman" w:hAnsi="Times New Roman" w:eastAsia="方正仿宋简体" w:cs="Times New Roman"/>
          <w:kern w:val="2"/>
          <w:sz w:val="32"/>
          <w:szCs w:val="32"/>
          <w:lang w:val="en-US" w:eastAsia="zh-CN" w:bidi="ar-SA"/>
        </w:rPr>
        <w:t>该项目运营期固废主要有废润滑油</w:t>
      </w:r>
      <w:r>
        <w:rPr>
          <w:rFonts w:hint="eastAsia" w:eastAsia="方正仿宋简体" w:cs="Times New Roman"/>
          <w:kern w:val="2"/>
          <w:sz w:val="32"/>
          <w:szCs w:val="32"/>
          <w:lang w:val="en-US" w:eastAsia="zh-CN" w:bidi="ar-SA"/>
        </w:rPr>
        <w:t>、废油桶</w:t>
      </w:r>
      <w:r>
        <w:rPr>
          <w:rFonts w:hint="eastAsia" w:ascii="Times New Roman" w:hAnsi="Times New Roman" w:eastAsia="方正仿宋简体" w:cs="Times New Roman"/>
          <w:kern w:val="2"/>
          <w:sz w:val="32"/>
          <w:szCs w:val="32"/>
          <w:lang w:val="en-US" w:eastAsia="zh-CN" w:bidi="ar-SA"/>
        </w:rPr>
        <w:t>等危险废物</w:t>
      </w:r>
      <w:r>
        <w:rPr>
          <w:rFonts w:hint="eastAsia" w:eastAsia="方正仿宋简体" w:cs="Times New Roman"/>
          <w:kern w:val="2"/>
          <w:sz w:val="32"/>
          <w:szCs w:val="32"/>
          <w:lang w:val="en-US" w:eastAsia="zh-CN" w:bidi="ar-SA"/>
        </w:rPr>
        <w:t>；</w:t>
      </w:r>
      <w:r>
        <w:rPr>
          <w:rFonts w:hint="eastAsia" w:ascii="Times New Roman" w:hAnsi="Times New Roman" w:eastAsia="方正仿宋简体" w:cs="Times New Roman"/>
          <w:kern w:val="2"/>
          <w:sz w:val="32"/>
          <w:szCs w:val="32"/>
          <w:lang w:val="en-US" w:eastAsia="zh-CN" w:bidi="ar-SA"/>
        </w:rPr>
        <w:t>废钢筋、锅炉炉渣及除尘灰、水泥筒仓除尘灰、废布袋、废离子交换树脂等一般固</w:t>
      </w:r>
      <w:r>
        <w:rPr>
          <w:rFonts w:hint="eastAsia" w:eastAsia="方正仿宋简体" w:cs="Times New Roman"/>
          <w:kern w:val="2"/>
          <w:sz w:val="32"/>
          <w:szCs w:val="32"/>
          <w:lang w:val="en-US" w:eastAsia="zh-CN" w:bidi="ar-SA"/>
        </w:rPr>
        <w:t>体</w:t>
      </w:r>
      <w:r>
        <w:rPr>
          <w:rFonts w:hint="eastAsia" w:ascii="Times New Roman" w:hAnsi="Times New Roman" w:eastAsia="方正仿宋简体" w:cs="Times New Roman"/>
          <w:kern w:val="2"/>
          <w:sz w:val="32"/>
          <w:szCs w:val="32"/>
          <w:lang w:val="en-US" w:eastAsia="zh-CN" w:bidi="ar-SA"/>
        </w:rPr>
        <w:t>废物</w:t>
      </w:r>
      <w:r>
        <w:rPr>
          <w:rFonts w:hint="eastAsia" w:eastAsia="方正仿宋简体" w:cs="Times New Roman"/>
          <w:kern w:val="2"/>
          <w:sz w:val="32"/>
          <w:szCs w:val="32"/>
          <w:lang w:val="en-US" w:eastAsia="zh-CN" w:bidi="ar-SA"/>
        </w:rPr>
        <w:t>和生活垃圾。废润滑油、废油桶暂存于危险废物暂存间，定期交由有资质单位处置。严格执行危险废物转移联单制度，按照《危险废物贮存污染控制标准》（GB18597-2023）的相关要求建设和管理危险废物暂存间。废钢筋收集后外售；锅炉炉渣及除尘灰收集后外售建材厂；水泥筒仓除尘灰回用于生产；废布袋、废离子交换树脂由厂家上门更换并回收。厂区生活垃圾收集后，由环卫部门统一清运。</w:t>
      </w:r>
    </w:p>
    <w:p w14:paraId="6556EB7C">
      <w:pPr>
        <w:pStyle w:val="4"/>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sz w:val="32"/>
          <w:szCs w:val="32"/>
        </w:rPr>
      </w:pPr>
      <w:r>
        <w:rPr>
          <w:rFonts w:ascii="Times New Roman" w:hAnsi="Times New Roman" w:eastAsia="方正楷体简体" w:cs="方正楷体简体"/>
          <w:kern w:val="0"/>
          <w:sz w:val="32"/>
          <w:szCs w:val="32"/>
        </w:rPr>
        <w:t>（六）</w:t>
      </w:r>
      <w:r>
        <w:rPr>
          <w:rFonts w:hint="eastAsia" w:ascii="Times New Roman" w:hAnsi="Times New Roman" w:eastAsia="方正楷体简体" w:cs="方正楷体简体"/>
          <w:kern w:val="0"/>
          <w:sz w:val="32"/>
          <w:szCs w:val="32"/>
        </w:rPr>
        <w:t>严格落实地下水和土壤污染防治措施。</w:t>
      </w:r>
      <w:r>
        <w:rPr>
          <w:rFonts w:hint="eastAsia" w:ascii="Times New Roman" w:hAnsi="Times New Roman" w:eastAsia="方正仿宋简体" w:cs="Times New Roman"/>
          <w:sz w:val="32"/>
          <w:szCs w:val="32"/>
        </w:rPr>
        <w:t>根</w:t>
      </w:r>
      <w:r>
        <w:rPr>
          <w:rFonts w:hint="default" w:ascii="Times New Roman" w:hAnsi="Times New Roman" w:eastAsia="方正仿宋简体" w:cs="Times New Roman"/>
          <w:sz w:val="32"/>
          <w:szCs w:val="32"/>
        </w:rPr>
        <w:t>据《环境影响评价技术导则 地下水环境》（HJ610-2016）要求，将各功能单元划分为重点防渗区、一般防渗区和简单防渗区。根据不同的污染防治区采取相应的防渗措施，重点防渗区为危险废物暂存间，重点防渗要求为“等效黏土防渗层Mb≥6.0米，K≤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厘米/秒”；一般防渗区为隔油池、化粪池，防渗等级为等效粘土防渗层Mb≥1.5米，K≤1×10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厘米/秒；其余地面为简单防渗区，采取一般地面硬化的措施。</w:t>
      </w:r>
    </w:p>
    <w:p w14:paraId="04BE0EC8">
      <w:pPr>
        <w:pStyle w:val="4"/>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Times New Roman" w:hAnsi="Times New Roman"/>
        </w:rPr>
      </w:pPr>
      <w:r>
        <w:rPr>
          <w:rFonts w:hint="eastAsia" w:ascii="Times New Roman" w:hAnsi="Times New Roman" w:eastAsia="方正楷体简体" w:cs="方正楷体简体"/>
          <w:kern w:val="0"/>
          <w:sz w:val="32"/>
          <w:szCs w:val="32"/>
        </w:rPr>
        <w:t>（七）</w:t>
      </w:r>
      <w:r>
        <w:rPr>
          <w:rFonts w:ascii="Times New Roman" w:hAnsi="Times New Roman" w:eastAsia="方正楷体简体" w:cs="方正楷体简体"/>
          <w:kern w:val="0"/>
          <w:sz w:val="32"/>
          <w:szCs w:val="32"/>
        </w:rPr>
        <w:t>加强项目环境风险防范。</w:t>
      </w:r>
      <w:r>
        <w:rPr>
          <w:rFonts w:ascii="Times New Roman" w:hAnsi="Times New Roman" w:eastAsia="方正仿宋简体"/>
          <w:sz w:val="32"/>
          <w:szCs w:val="32"/>
        </w:rPr>
        <w:t>建立严格的环境风险管理制度，认真落实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提出的各项风险防范措施；制定相关应急预案，编制《突发环境事件应急预案》报</w:t>
      </w:r>
      <w:r>
        <w:rPr>
          <w:rFonts w:hint="eastAsia" w:ascii="Times New Roman" w:hAnsi="Times New Roman" w:eastAsia="方正仿宋简体"/>
          <w:sz w:val="32"/>
          <w:szCs w:val="32"/>
        </w:rPr>
        <w:t>生态环境</w:t>
      </w:r>
      <w:r>
        <w:rPr>
          <w:rFonts w:ascii="Times New Roman" w:hAnsi="Times New Roman" w:eastAsia="方正仿宋简体"/>
          <w:sz w:val="32"/>
          <w:szCs w:val="32"/>
        </w:rPr>
        <w:t>主管部门备案，确保不发生环境污染事故；做好和地方环境应急预案的衔接，定期开展突发环境事件应急演练，及时对环境应急预案进行完善。</w:t>
      </w:r>
    </w:p>
    <w:p w14:paraId="623678D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方正仿宋简体"/>
          <w:kern w:val="0"/>
          <w:sz w:val="32"/>
          <w:szCs w:val="32"/>
        </w:rPr>
      </w:pPr>
      <w:r>
        <w:rPr>
          <w:rFonts w:hint="eastAsia" w:ascii="Times New Roman" w:hAnsi="Times New Roman" w:eastAsia="方正黑体_GBK" w:cs="方正黑体_GBK"/>
          <w:kern w:val="0"/>
          <w:sz w:val="32"/>
          <w:szCs w:val="32"/>
        </w:rPr>
        <w:t>四</w:t>
      </w:r>
      <w:r>
        <w:rPr>
          <w:rFonts w:ascii="Times New Roman" w:hAnsi="Times New Roman" w:eastAsia="方正黑体_GBK" w:cs="方正黑体_GBK"/>
          <w:kern w:val="0"/>
          <w:sz w:val="32"/>
          <w:szCs w:val="32"/>
        </w:rPr>
        <w:t>、</w:t>
      </w:r>
      <w:r>
        <w:rPr>
          <w:rFonts w:ascii="Times New Roman" w:hAnsi="Times New Roman" w:eastAsia="方正仿宋简体"/>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54AFDCB">
      <w:pPr>
        <w:pStyle w:val="9"/>
        <w:keepNext w:val="0"/>
        <w:keepLines w:val="0"/>
        <w:pageBreakBefore w:val="0"/>
        <w:widowControl w:val="0"/>
        <w:kinsoku/>
        <w:wordWrap/>
        <w:overflowPunct/>
        <w:topLinePunct w:val="0"/>
        <w:autoSpaceDE/>
        <w:autoSpaceDN/>
        <w:bidi w:val="0"/>
        <w:spacing w:after="0" w:line="540" w:lineRule="exact"/>
        <w:ind w:left="0" w:leftChars="0" w:firstLine="640"/>
        <w:textAlignment w:val="auto"/>
        <w:rPr>
          <w:rFonts w:ascii="Times New Roman" w:hAnsi="Times New Roman" w:eastAsia="方正仿宋简体"/>
          <w:kern w:val="0"/>
          <w:sz w:val="32"/>
          <w:szCs w:val="32"/>
        </w:rPr>
      </w:pPr>
      <w:r>
        <w:rPr>
          <w:rFonts w:hint="eastAsia" w:ascii="Times New Roman" w:hAnsi="Times New Roman" w:eastAsia="方正黑体_GBK" w:cs="方正黑体_GBK"/>
          <w:kern w:val="0"/>
          <w:sz w:val="32"/>
          <w:szCs w:val="32"/>
        </w:rPr>
        <w:t>五</w:t>
      </w:r>
      <w:r>
        <w:rPr>
          <w:rFonts w:ascii="Times New Roman" w:hAnsi="Times New Roman" w:eastAsia="方正黑体_GBK" w:cs="方正黑体_GBK"/>
          <w:kern w:val="0"/>
          <w:sz w:val="32"/>
          <w:szCs w:val="32"/>
        </w:rPr>
        <w:t>、</w:t>
      </w:r>
      <w:r>
        <w:rPr>
          <w:rFonts w:ascii="Times New Roman" w:hAnsi="Times New Roman" w:eastAsia="方正仿宋简体"/>
          <w:kern w:val="0"/>
          <w:sz w:val="32"/>
          <w:szCs w:val="32"/>
        </w:rPr>
        <w:t>根据《中华人民共和国环境影响评价法》等相关环保法律法规的规定，若项目性质、规模、地点、采用的防治污染、防止生态破坏的措施等发生重大变化的，应依法重新报批环评文件。自批准之日起</w:t>
      </w:r>
      <w:r>
        <w:rPr>
          <w:rFonts w:hint="eastAsia" w:ascii="Times New Roman" w:hAnsi="Times New Roman" w:eastAsia="方正仿宋简体"/>
          <w:kern w:val="0"/>
          <w:sz w:val="32"/>
          <w:szCs w:val="32"/>
        </w:rPr>
        <w:t>超过</w:t>
      </w:r>
      <w:r>
        <w:rPr>
          <w:rFonts w:ascii="Times New Roman" w:hAnsi="Times New Roman" w:eastAsia="方正仿宋简体"/>
          <w:kern w:val="0"/>
          <w:sz w:val="32"/>
          <w:szCs w:val="32"/>
        </w:rPr>
        <w:t>5年</w:t>
      </w:r>
      <w:r>
        <w:rPr>
          <w:rFonts w:hint="eastAsia" w:ascii="Times New Roman" w:hAnsi="Times New Roman" w:eastAsia="方正仿宋简体"/>
          <w:kern w:val="0"/>
          <w:sz w:val="32"/>
          <w:szCs w:val="32"/>
        </w:rPr>
        <w:t>方决定该项目</w:t>
      </w:r>
      <w:r>
        <w:rPr>
          <w:rFonts w:ascii="Times New Roman" w:hAnsi="Times New Roman" w:eastAsia="方正仿宋简体"/>
          <w:kern w:val="0"/>
          <w:sz w:val="32"/>
          <w:szCs w:val="32"/>
        </w:rPr>
        <w:t>开工建设的，其环评文件应当报我局重新审核。</w:t>
      </w:r>
    </w:p>
    <w:p w14:paraId="629A9464">
      <w:pPr>
        <w:pStyle w:val="9"/>
        <w:keepNext w:val="0"/>
        <w:keepLines w:val="0"/>
        <w:pageBreakBefore w:val="0"/>
        <w:widowControl w:val="0"/>
        <w:kinsoku/>
        <w:wordWrap/>
        <w:overflowPunct/>
        <w:topLinePunct w:val="0"/>
        <w:autoSpaceDE/>
        <w:autoSpaceDN/>
        <w:bidi w:val="0"/>
        <w:spacing w:after="0" w:line="540" w:lineRule="exact"/>
        <w:ind w:left="0" w:leftChars="0" w:firstLine="640"/>
        <w:textAlignment w:val="auto"/>
        <w:rPr>
          <w:rFonts w:hint="eastAsia" w:ascii="Times New Roman" w:hAnsi="Times New Roman" w:eastAsia="方正仿宋简体"/>
          <w:kern w:val="0"/>
          <w:sz w:val="32"/>
          <w:szCs w:val="32"/>
          <w:lang w:eastAsia="zh-CN"/>
        </w:rPr>
      </w:pPr>
      <w:r>
        <w:rPr>
          <w:rFonts w:hint="eastAsia" w:ascii="Times New Roman" w:hAnsi="Times New Roman" w:eastAsia="方正黑体_GBK" w:cs="方正黑体_GBK"/>
          <w:kern w:val="0"/>
          <w:sz w:val="32"/>
          <w:szCs w:val="32"/>
        </w:rPr>
        <w:t>六</w:t>
      </w:r>
      <w:r>
        <w:rPr>
          <w:rFonts w:ascii="Times New Roman" w:hAnsi="Times New Roman" w:eastAsia="方正黑体_GBK" w:cs="方正黑体_GBK"/>
          <w:kern w:val="0"/>
          <w:sz w:val="32"/>
          <w:szCs w:val="32"/>
        </w:rPr>
        <w:t>、</w:t>
      </w:r>
      <w:r>
        <w:rPr>
          <w:rFonts w:ascii="Times New Roman" w:hAnsi="Times New Roman" w:eastAsia="方正仿宋简体"/>
          <w:kern w:val="0"/>
          <w:sz w:val="32"/>
          <w:szCs w:val="32"/>
        </w:rPr>
        <w:t>在启动生产设施或者在实际排污之前，按照经批准的环境影响评价文件认真梳理并确认各项环境保护措施落实后，依法申领</w:t>
      </w:r>
      <w:r>
        <w:rPr>
          <w:rFonts w:hint="eastAsia" w:eastAsia="方正仿宋简体"/>
          <w:kern w:val="0"/>
          <w:sz w:val="32"/>
          <w:szCs w:val="32"/>
          <w:lang w:val="en-US" w:eastAsia="zh-CN"/>
        </w:rPr>
        <w:t>或变更</w:t>
      </w:r>
      <w:r>
        <w:rPr>
          <w:rFonts w:ascii="Times New Roman" w:hAnsi="Times New Roman" w:eastAsia="方正仿宋简体"/>
          <w:kern w:val="0"/>
          <w:sz w:val="32"/>
          <w:szCs w:val="32"/>
        </w:rPr>
        <w:t>排污许可证</w:t>
      </w:r>
      <w:r>
        <w:rPr>
          <w:rFonts w:hint="eastAsia" w:ascii="Times New Roman" w:hAnsi="Times New Roman" w:eastAsia="方正仿宋简体"/>
          <w:kern w:val="0"/>
          <w:sz w:val="32"/>
          <w:szCs w:val="32"/>
          <w:lang w:eastAsia="zh-CN"/>
        </w:rPr>
        <w:t>，</w:t>
      </w:r>
      <w:r>
        <w:rPr>
          <w:rFonts w:hint="eastAsia" w:eastAsia="方正仿宋简体"/>
          <w:kern w:val="0"/>
          <w:sz w:val="32"/>
          <w:szCs w:val="32"/>
          <w:lang w:val="en-US" w:eastAsia="zh-CN"/>
        </w:rPr>
        <w:t>做好排污许可相关工作</w:t>
      </w:r>
      <w:r>
        <w:rPr>
          <w:rFonts w:hint="eastAsia" w:ascii="Times New Roman" w:hAnsi="Times New Roman" w:eastAsia="方正仿宋简体"/>
          <w:kern w:val="0"/>
          <w:sz w:val="32"/>
          <w:szCs w:val="32"/>
          <w:lang w:eastAsia="zh-CN"/>
        </w:rPr>
        <w:t>。</w:t>
      </w:r>
    </w:p>
    <w:p w14:paraId="7AC520C0">
      <w:pPr>
        <w:pStyle w:val="9"/>
        <w:keepNext w:val="0"/>
        <w:keepLines w:val="0"/>
        <w:pageBreakBefore w:val="0"/>
        <w:widowControl w:val="0"/>
        <w:kinsoku/>
        <w:wordWrap/>
        <w:overflowPunct/>
        <w:topLinePunct w:val="0"/>
        <w:autoSpaceDE/>
        <w:autoSpaceDN/>
        <w:bidi w:val="0"/>
        <w:spacing w:after="0" w:line="540" w:lineRule="exact"/>
        <w:ind w:left="0" w:leftChars="0" w:firstLine="640"/>
        <w:textAlignment w:val="auto"/>
        <w:rPr>
          <w:rFonts w:ascii="Times New Roman" w:hAnsi="Times New Roman" w:eastAsia="方正仿宋简体"/>
          <w:kern w:val="0"/>
          <w:sz w:val="32"/>
          <w:szCs w:val="32"/>
        </w:rPr>
      </w:pPr>
      <w:r>
        <w:rPr>
          <w:rFonts w:hint="eastAsia" w:ascii="Times New Roman" w:hAnsi="Times New Roman" w:eastAsia="方正黑体_GBK" w:cs="方正黑体_GBK"/>
          <w:kern w:val="0"/>
          <w:sz w:val="32"/>
          <w:szCs w:val="32"/>
        </w:rPr>
        <w:t>七</w:t>
      </w:r>
      <w:r>
        <w:rPr>
          <w:rFonts w:ascii="Times New Roman" w:hAnsi="Times New Roman" w:eastAsia="方正黑体_GBK" w:cs="方正黑体_GBK"/>
          <w:kern w:val="0"/>
          <w:sz w:val="32"/>
          <w:szCs w:val="32"/>
        </w:rPr>
        <w:t>、</w:t>
      </w:r>
      <w:r>
        <w:rPr>
          <w:rFonts w:hint="eastAsia" w:eastAsia="方正仿宋简体"/>
          <w:kern w:val="0"/>
          <w:sz w:val="32"/>
          <w:szCs w:val="32"/>
          <w:lang w:val="en-US" w:eastAsia="zh-CN"/>
        </w:rPr>
        <w:t>六</w:t>
      </w:r>
      <w:r>
        <w:rPr>
          <w:rFonts w:hint="eastAsia" w:ascii="Times New Roman" w:hAnsi="Times New Roman" w:eastAsia="方正仿宋简体"/>
          <w:kern w:val="0"/>
          <w:sz w:val="32"/>
          <w:szCs w:val="32"/>
        </w:rPr>
        <w:t>团</w:t>
      </w:r>
      <w:r>
        <w:rPr>
          <w:rFonts w:hint="eastAsia" w:eastAsia="方正仿宋简体"/>
          <w:kern w:val="0"/>
          <w:sz w:val="32"/>
          <w:szCs w:val="32"/>
          <w:lang w:val="en-US" w:eastAsia="zh-CN"/>
        </w:rPr>
        <w:t>双城</w:t>
      </w:r>
      <w:r>
        <w:rPr>
          <w:rFonts w:hint="eastAsia" w:ascii="Times New Roman" w:hAnsi="Times New Roman" w:eastAsia="方正仿宋简体"/>
          <w:kern w:val="0"/>
          <w:sz w:val="32"/>
          <w:szCs w:val="32"/>
        </w:rPr>
        <w:t>镇积极发挥政府职能</w:t>
      </w:r>
      <w:r>
        <w:rPr>
          <w:rFonts w:ascii="Times New Roman" w:hAnsi="Times New Roman" w:eastAsia="方正仿宋简体"/>
          <w:kern w:val="0"/>
          <w:sz w:val="32"/>
          <w:szCs w:val="32"/>
        </w:rPr>
        <w:t>，做好该项目环境保护管理工作，师市生态环境保护综合行政执法支队做好该项目的抽查日常监督管理工作。</w:t>
      </w:r>
    </w:p>
    <w:p w14:paraId="2960790D">
      <w:pPr>
        <w:pStyle w:val="9"/>
        <w:keepNext w:val="0"/>
        <w:keepLines w:val="0"/>
        <w:pageBreakBefore w:val="0"/>
        <w:widowControl w:val="0"/>
        <w:kinsoku/>
        <w:wordWrap/>
        <w:overflowPunct/>
        <w:topLinePunct w:val="0"/>
        <w:autoSpaceDE/>
        <w:autoSpaceDN/>
        <w:bidi w:val="0"/>
        <w:spacing w:after="0" w:line="540" w:lineRule="exact"/>
        <w:ind w:left="0" w:leftChars="0" w:firstLine="640"/>
        <w:textAlignment w:val="auto"/>
        <w:rPr>
          <w:rFonts w:hint="eastAsia" w:ascii="Times New Roman" w:hAnsi="Times New Roman" w:eastAsia="方正仿宋简体" w:cs="方正仿宋简体"/>
          <w:kern w:val="0"/>
          <w:sz w:val="32"/>
          <w:szCs w:val="32"/>
        </w:rPr>
      </w:pPr>
      <w:r>
        <w:rPr>
          <w:rFonts w:hint="eastAsia" w:ascii="Times New Roman" w:hAnsi="Times New Roman" w:eastAsia="方正仿宋简体" w:cs="方正仿宋简体"/>
          <w:kern w:val="0"/>
          <w:sz w:val="32"/>
          <w:szCs w:val="32"/>
        </w:rPr>
        <w:t>如你单位对本审批决定有不同意见，可在接到本决定书之日起六十日内向阿拉尔市人民政府申请行政复议，也可在六个月内依法向阿拉尔垦区人民法院起诉。</w:t>
      </w:r>
    </w:p>
    <w:p w14:paraId="35E7A26B">
      <w:pPr>
        <w:widowControl/>
        <w:spacing w:line="560" w:lineRule="exact"/>
        <w:ind w:firstLine="4800" w:firstLineChars="1500"/>
        <w:rPr>
          <w:rFonts w:ascii="Times New Roman" w:hAnsi="Times New Roman" w:eastAsia="方正仿宋简体"/>
          <w:kern w:val="0"/>
          <w:sz w:val="32"/>
          <w:szCs w:val="32"/>
        </w:rPr>
      </w:pPr>
    </w:p>
    <w:p w14:paraId="6141D61A">
      <w:pPr>
        <w:widowControl/>
        <w:spacing w:line="560" w:lineRule="exact"/>
        <w:ind w:firstLine="4800" w:firstLineChars="1500"/>
        <w:rPr>
          <w:rFonts w:ascii="Times New Roman" w:hAnsi="Times New Roman" w:eastAsia="方正仿宋简体"/>
          <w:kern w:val="0"/>
          <w:sz w:val="32"/>
          <w:szCs w:val="32"/>
        </w:rPr>
      </w:pPr>
    </w:p>
    <w:p w14:paraId="05AB1D9C">
      <w:pPr>
        <w:widowControl/>
        <w:spacing w:line="560" w:lineRule="exact"/>
        <w:ind w:firstLine="4800" w:firstLineChars="1500"/>
        <w:rPr>
          <w:rFonts w:ascii="Times New Roman" w:hAnsi="Times New Roman" w:eastAsia="方正仿宋简体"/>
          <w:kern w:val="0"/>
          <w:sz w:val="32"/>
          <w:szCs w:val="32"/>
        </w:rPr>
      </w:pPr>
      <w:r>
        <w:rPr>
          <w:rFonts w:ascii="Times New Roman" w:hAnsi="Times New Roman" w:eastAsia="方正仿宋简体"/>
          <w:kern w:val="0"/>
          <w:sz w:val="32"/>
          <w:szCs w:val="32"/>
        </w:rPr>
        <w:t>第一师阿拉尔市生态环境局</w:t>
      </w:r>
    </w:p>
    <w:p w14:paraId="3E5D199F">
      <w:pPr>
        <w:widowControl/>
        <w:wordWrap w:val="0"/>
        <w:spacing w:line="540" w:lineRule="exact"/>
        <w:ind w:firstLine="5760" w:firstLineChars="1800"/>
        <w:rPr>
          <w:rFonts w:hint="eastAsia" w:ascii="Times New Roman" w:hAnsi="Times New Roman" w:eastAsia="方正仿宋简体" w:cs="方正仿宋简体"/>
          <w:kern w:val="0"/>
          <w:sz w:val="32"/>
          <w:szCs w:val="32"/>
        </w:rPr>
      </w:pPr>
      <w:r>
        <w:rPr>
          <w:rFonts w:ascii="Times New Roman" w:hAnsi="Times New Roman" w:eastAsia="方正仿宋简体"/>
          <w:kern w:val="0"/>
          <w:sz w:val="32"/>
          <w:szCs w:val="32"/>
        </w:rPr>
        <w:t>202</w:t>
      </w:r>
      <w:r>
        <w:rPr>
          <w:rFonts w:hint="eastAsia" w:eastAsia="方正仿宋简体"/>
          <w:kern w:val="0"/>
          <w:sz w:val="32"/>
          <w:szCs w:val="32"/>
          <w:lang w:val="en-US" w:eastAsia="zh-CN"/>
        </w:rPr>
        <w:t>6</w:t>
      </w:r>
      <w:r>
        <w:rPr>
          <w:rFonts w:ascii="Times New Roman" w:hAnsi="Times New Roman" w:eastAsia="方正仿宋简体"/>
          <w:kern w:val="0"/>
          <w:sz w:val="32"/>
          <w:szCs w:val="32"/>
        </w:rPr>
        <w:t>年</w:t>
      </w:r>
      <w:r>
        <w:rPr>
          <w:rFonts w:hint="eastAsia" w:eastAsia="方正仿宋简体"/>
          <w:kern w:val="0"/>
          <w:sz w:val="32"/>
          <w:szCs w:val="32"/>
          <w:lang w:val="en-US" w:eastAsia="zh-CN"/>
        </w:rPr>
        <w:t>3</w:t>
      </w:r>
      <w:r>
        <w:rPr>
          <w:rFonts w:ascii="Times New Roman" w:hAnsi="Times New Roman" w:eastAsia="方正仿宋简体"/>
          <w:kern w:val="0"/>
          <w:sz w:val="32"/>
          <w:szCs w:val="32"/>
        </w:rPr>
        <w:t>月</w:t>
      </w:r>
      <w:r>
        <w:rPr>
          <w:rFonts w:hint="eastAsia" w:eastAsia="方正仿宋简体"/>
          <w:kern w:val="0"/>
          <w:sz w:val="32"/>
          <w:szCs w:val="32"/>
          <w:lang w:val="en-US" w:eastAsia="zh-CN"/>
        </w:rPr>
        <w:t>18</w:t>
      </w:r>
      <w:r>
        <w:rPr>
          <w:rFonts w:ascii="Times New Roman" w:hAnsi="Times New Roman" w:eastAsia="方正仿宋简体"/>
          <w:kern w:val="0"/>
          <w:sz w:val="32"/>
          <w:szCs w:val="32"/>
        </w:rPr>
        <w:t>日</w:t>
      </w:r>
    </w:p>
    <w:p w14:paraId="220B7B6F">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08C1CF5A">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08FBB8A3">
      <w:pPr>
        <w:widowControl/>
        <w:wordWrap w:val="0"/>
        <w:spacing w:line="540" w:lineRule="exact"/>
        <w:ind w:firstLine="5440" w:firstLineChars="1700"/>
        <w:rPr>
          <w:rFonts w:hint="eastAsia" w:ascii="Times New Roman" w:hAnsi="Times New Roman" w:eastAsia="方正仿宋简体" w:cs="方正仿宋简体"/>
          <w:kern w:val="0"/>
          <w:sz w:val="32"/>
          <w:szCs w:val="32"/>
        </w:rPr>
      </w:pPr>
    </w:p>
    <w:p w14:paraId="0DE334A0">
      <w:pPr>
        <w:widowControl/>
        <w:wordWrap w:val="0"/>
        <w:spacing w:line="540" w:lineRule="exact"/>
        <w:rPr>
          <w:rFonts w:hint="eastAsia" w:ascii="Times New Roman" w:hAnsi="Times New Roman" w:eastAsia="方正仿宋简体" w:cs="方正仿宋简体"/>
          <w:kern w:val="0"/>
          <w:sz w:val="32"/>
          <w:szCs w:val="32"/>
        </w:rPr>
      </w:pPr>
    </w:p>
    <w:p w14:paraId="19D8DD25">
      <w:pPr>
        <w:widowControl/>
        <w:wordWrap w:val="0"/>
        <w:spacing w:line="540" w:lineRule="exact"/>
        <w:rPr>
          <w:rFonts w:hint="eastAsia" w:ascii="Times New Roman" w:hAnsi="Times New Roman" w:eastAsia="方正仿宋简体" w:cs="方正仿宋简体"/>
          <w:kern w:val="0"/>
          <w:sz w:val="32"/>
          <w:szCs w:val="32"/>
        </w:rPr>
      </w:pPr>
    </w:p>
    <w:p w14:paraId="3FD62319">
      <w:pPr>
        <w:widowControl/>
        <w:wordWrap w:val="0"/>
        <w:spacing w:line="540" w:lineRule="exact"/>
        <w:rPr>
          <w:rFonts w:hint="eastAsia" w:ascii="Times New Roman" w:hAnsi="Times New Roman" w:eastAsia="方正仿宋简体" w:cs="方正仿宋简体"/>
          <w:kern w:val="0"/>
          <w:sz w:val="32"/>
          <w:szCs w:val="32"/>
        </w:rPr>
      </w:pPr>
    </w:p>
    <w:p w14:paraId="327FD3F7">
      <w:pPr>
        <w:widowControl/>
        <w:wordWrap w:val="0"/>
        <w:spacing w:line="540" w:lineRule="exact"/>
        <w:rPr>
          <w:rFonts w:hint="eastAsia" w:ascii="Times New Roman" w:hAnsi="Times New Roman" w:eastAsia="方正仿宋简体" w:cs="方正仿宋简体"/>
          <w:kern w:val="0"/>
          <w:sz w:val="32"/>
          <w:szCs w:val="32"/>
        </w:rPr>
      </w:pPr>
    </w:p>
    <w:p w14:paraId="695051AA">
      <w:pPr>
        <w:widowControl/>
        <w:wordWrap w:val="0"/>
        <w:spacing w:line="540" w:lineRule="exact"/>
        <w:rPr>
          <w:rFonts w:hint="eastAsia" w:ascii="Times New Roman" w:hAnsi="Times New Roman" w:eastAsia="方正仿宋简体" w:cs="方正仿宋简体"/>
          <w:kern w:val="0"/>
          <w:sz w:val="32"/>
          <w:szCs w:val="32"/>
        </w:rPr>
      </w:pPr>
    </w:p>
    <w:p w14:paraId="6424A120">
      <w:pPr>
        <w:widowControl/>
        <w:wordWrap w:val="0"/>
        <w:spacing w:line="540" w:lineRule="exact"/>
        <w:rPr>
          <w:rFonts w:hint="eastAsia" w:ascii="Times New Roman" w:hAnsi="Times New Roman" w:eastAsia="方正仿宋简体" w:cs="方正仿宋简体"/>
          <w:kern w:val="0"/>
          <w:sz w:val="32"/>
          <w:szCs w:val="32"/>
        </w:rPr>
      </w:pPr>
    </w:p>
    <w:p w14:paraId="325AB38C">
      <w:pPr>
        <w:widowControl/>
        <w:wordWrap w:val="0"/>
        <w:spacing w:line="540" w:lineRule="exact"/>
        <w:rPr>
          <w:rFonts w:hint="eastAsia" w:ascii="Times New Roman" w:hAnsi="Times New Roman" w:eastAsia="方正仿宋简体" w:cs="方正仿宋简体"/>
          <w:kern w:val="0"/>
          <w:sz w:val="32"/>
          <w:szCs w:val="32"/>
        </w:rPr>
      </w:pPr>
    </w:p>
    <w:p w14:paraId="44B20213">
      <w:pPr>
        <w:widowControl/>
        <w:wordWrap w:val="0"/>
        <w:spacing w:line="540" w:lineRule="exact"/>
        <w:rPr>
          <w:rFonts w:hint="eastAsia" w:ascii="Times New Roman" w:hAnsi="Times New Roman" w:eastAsia="方正仿宋简体" w:cs="方正仿宋简体"/>
          <w:kern w:val="0"/>
          <w:sz w:val="32"/>
          <w:szCs w:val="32"/>
        </w:rPr>
      </w:pPr>
    </w:p>
    <w:p w14:paraId="75419394">
      <w:pPr>
        <w:widowControl/>
        <w:wordWrap w:val="0"/>
        <w:spacing w:line="540" w:lineRule="exact"/>
        <w:rPr>
          <w:rFonts w:hint="eastAsia" w:ascii="Times New Roman" w:hAnsi="Times New Roman" w:eastAsia="方正仿宋简体" w:cs="方正仿宋简体"/>
          <w:kern w:val="0"/>
          <w:sz w:val="32"/>
          <w:szCs w:val="32"/>
        </w:rPr>
      </w:pPr>
    </w:p>
    <w:p w14:paraId="505FE7A4">
      <w:pPr>
        <w:widowControl/>
        <w:wordWrap w:val="0"/>
        <w:spacing w:line="540" w:lineRule="exact"/>
        <w:rPr>
          <w:rFonts w:hint="eastAsia" w:ascii="Times New Roman" w:hAnsi="Times New Roman" w:eastAsia="方正仿宋简体" w:cs="方正仿宋简体"/>
          <w:kern w:val="0"/>
          <w:sz w:val="32"/>
          <w:szCs w:val="32"/>
        </w:rPr>
      </w:pPr>
    </w:p>
    <w:p w14:paraId="540EB7A0">
      <w:pPr>
        <w:widowControl/>
        <w:wordWrap w:val="0"/>
        <w:spacing w:line="540" w:lineRule="exact"/>
        <w:rPr>
          <w:rFonts w:hint="eastAsia" w:ascii="Times New Roman" w:hAnsi="Times New Roman" w:eastAsia="方正仿宋简体" w:cs="方正仿宋简体"/>
          <w:kern w:val="0"/>
          <w:sz w:val="32"/>
          <w:szCs w:val="32"/>
        </w:rPr>
      </w:pPr>
    </w:p>
    <w:p w14:paraId="6566ADF4">
      <w:pPr>
        <w:widowControl/>
        <w:wordWrap w:val="0"/>
        <w:spacing w:line="540" w:lineRule="exact"/>
        <w:rPr>
          <w:rFonts w:hint="eastAsia" w:ascii="Times New Roman" w:hAnsi="Times New Roman" w:eastAsia="方正仿宋简体" w:cs="方正仿宋简体"/>
          <w:kern w:val="0"/>
          <w:sz w:val="32"/>
          <w:szCs w:val="32"/>
        </w:rPr>
      </w:pPr>
    </w:p>
    <w:p w14:paraId="69A6004E">
      <w:pPr>
        <w:widowControl/>
        <w:wordWrap w:val="0"/>
        <w:spacing w:line="540" w:lineRule="exact"/>
        <w:rPr>
          <w:rFonts w:hint="eastAsia" w:ascii="Times New Roman" w:hAnsi="Times New Roman" w:eastAsia="方正仿宋简体" w:cs="方正仿宋简体"/>
          <w:kern w:val="0"/>
          <w:sz w:val="32"/>
          <w:szCs w:val="32"/>
        </w:rPr>
      </w:pPr>
    </w:p>
    <w:p w14:paraId="3D5E0755">
      <w:pPr>
        <w:widowControl/>
        <w:wordWrap w:val="0"/>
        <w:spacing w:line="540" w:lineRule="exact"/>
        <w:rPr>
          <w:rFonts w:hint="eastAsia" w:ascii="Times New Roman" w:hAnsi="Times New Roman" w:eastAsia="方正仿宋简体" w:cs="方正仿宋简体"/>
          <w:kern w:val="0"/>
          <w:sz w:val="32"/>
          <w:szCs w:val="32"/>
        </w:rPr>
      </w:pPr>
    </w:p>
    <w:p w14:paraId="3292B69C">
      <w:pPr>
        <w:widowControl/>
        <w:wordWrap w:val="0"/>
        <w:spacing w:line="540" w:lineRule="exact"/>
        <w:rPr>
          <w:rFonts w:hint="eastAsia" w:ascii="Times New Roman" w:hAnsi="Times New Roman" w:eastAsia="方正仿宋简体" w:cs="方正仿宋简体"/>
          <w:kern w:val="0"/>
          <w:sz w:val="32"/>
          <w:szCs w:val="32"/>
        </w:rPr>
      </w:pPr>
    </w:p>
    <w:p w14:paraId="1601F5B0">
      <w:pPr>
        <w:widowControl/>
        <w:wordWrap w:val="0"/>
        <w:spacing w:line="540" w:lineRule="exact"/>
        <w:rPr>
          <w:rFonts w:hint="eastAsia" w:ascii="Times New Roman" w:hAnsi="Times New Roman" w:eastAsia="方正仿宋简体" w:cs="方正仿宋简体"/>
          <w:kern w:val="0"/>
          <w:sz w:val="32"/>
          <w:szCs w:val="32"/>
        </w:rPr>
      </w:pPr>
    </w:p>
    <w:p w14:paraId="14AA7B86">
      <w:pPr>
        <w:widowControl/>
        <w:wordWrap w:val="0"/>
        <w:spacing w:line="540" w:lineRule="exact"/>
        <w:rPr>
          <w:rFonts w:hint="eastAsia" w:ascii="Times New Roman" w:hAnsi="Times New Roman" w:eastAsia="方正仿宋简体" w:cs="方正仿宋简体"/>
          <w:kern w:val="0"/>
          <w:sz w:val="32"/>
          <w:szCs w:val="32"/>
        </w:rPr>
      </w:pPr>
    </w:p>
    <w:p w14:paraId="79BC5DEB">
      <w:pPr>
        <w:widowControl/>
        <w:wordWrap w:val="0"/>
        <w:spacing w:line="540" w:lineRule="exact"/>
        <w:rPr>
          <w:rFonts w:hint="eastAsia" w:ascii="Times New Roman" w:hAnsi="Times New Roman" w:eastAsia="方正仿宋简体" w:cs="方正仿宋简体"/>
          <w:kern w:val="0"/>
          <w:sz w:val="32"/>
          <w:szCs w:val="32"/>
        </w:rPr>
      </w:pPr>
    </w:p>
    <w:p w14:paraId="1846204B">
      <w:pPr>
        <w:wordWrap w:val="0"/>
        <w:topLinePunct/>
        <w:adjustRightInd w:val="0"/>
        <w:snapToGrid w:val="0"/>
        <w:spacing w:line="540" w:lineRule="exact"/>
        <w:ind w:left="840" w:hanging="840" w:hangingChars="300"/>
        <w:rPr>
          <w:rFonts w:hint="eastAsia" w:ascii="Times New Roman" w:hAnsi="Times New Roman" w:eastAsia="方正仿宋简体" w:cs="Times New Roman"/>
          <w:spacing w:val="-3"/>
          <w:sz w:val="28"/>
          <w:szCs w:val="28"/>
        </w:rPr>
      </w:pPr>
      <w:r>
        <w:rPr>
          <w:rFonts w:hint="eastAsia" w:ascii="Times New Roman" w:hAnsi="Times New Roman" w:eastAsia="方正仿宋简体" w:cs="方正仿宋简体"/>
          <w:sz w:val="28"/>
          <w:szCs w:val="28"/>
        </w:rPr>
        <w:pict>
          <v:line id="_x0000_s1033" o:spid="_x0000_s1033" o:spt="20" style="position:absolute;left:0pt;margin-left:-8.3pt;margin-top:5.3pt;height:0pt;width:456.9pt;z-index:251659264;mso-width-relative:page;mso-height-relative:page;" filled="f" stroked="t"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v:path arrowok="t"/>
            <v:fill on="f" focussize="0,0"/>
            <v:stroke weight="1.5pt"/>
            <v:imagedata o:title=""/>
            <o:lock v:ext="edit" aspectratio="f"/>
          </v:line>
        </w:pict>
      </w:r>
      <w:r>
        <w:rPr>
          <w:rFonts w:hint="eastAsia" w:ascii="Times New Roman" w:hAnsi="Times New Roman" w:eastAsia="方正仿宋简体" w:cs="方正仿宋简体"/>
          <w:sz w:val="28"/>
          <w:szCs w:val="28"/>
        </w:rPr>
        <w:t>抄送：</w:t>
      </w:r>
      <w:r>
        <w:rPr>
          <w:rFonts w:hint="eastAsia" w:ascii="Times New Roman" w:hAnsi="Times New Roman" w:eastAsia="方正仿宋简体"/>
          <w:spacing w:val="-3"/>
          <w:sz w:val="28"/>
          <w:szCs w:val="28"/>
        </w:rPr>
        <w:t>六团双城镇</w:t>
      </w:r>
      <w:r>
        <w:rPr>
          <w:rFonts w:hint="eastAsia" w:ascii="Times New Roman" w:hAnsi="Times New Roman" w:eastAsia="方正仿宋简体"/>
          <w:spacing w:val="-3"/>
          <w:sz w:val="28"/>
          <w:szCs w:val="28"/>
          <w:lang w:eastAsia="zh-CN"/>
        </w:rPr>
        <w:t>，</w:t>
      </w:r>
      <w:r>
        <w:rPr>
          <w:rFonts w:ascii="Times New Roman" w:hAnsi="Times New Roman" w:eastAsia="方正仿宋简体"/>
          <w:spacing w:val="-3"/>
          <w:sz w:val="28"/>
          <w:szCs w:val="28"/>
        </w:rPr>
        <w:t>生态环境保护综合行政执法支队</w:t>
      </w:r>
      <w:r>
        <w:rPr>
          <w:rFonts w:hint="eastAsia" w:ascii="Times New Roman" w:hAnsi="Times New Roman" w:eastAsia="方正仿宋简体"/>
          <w:spacing w:val="-3"/>
          <w:sz w:val="28"/>
          <w:szCs w:val="28"/>
          <w:lang w:eastAsia="zh-CN"/>
        </w:rPr>
        <w:t>，</w:t>
      </w:r>
      <w:r>
        <w:rPr>
          <w:rFonts w:hint="eastAsia" w:ascii="Times New Roman" w:hAnsi="Times New Roman" w:eastAsia="方正仿宋简体" w:cs="Times New Roman"/>
          <w:spacing w:val="-3"/>
          <w:sz w:val="28"/>
          <w:szCs w:val="28"/>
        </w:rPr>
        <w:t>新疆蓝途环保科技有限公司</w:t>
      </w:r>
    </w:p>
    <w:p w14:paraId="7156B6D5">
      <w:pPr>
        <w:wordWrap w:val="0"/>
        <w:spacing w:line="540" w:lineRule="exact"/>
        <w:rPr>
          <w:rFonts w:hint="eastAsia" w:ascii="Times New Roman" w:hAnsi="Times New Roman" w:cs="方正仿宋简体"/>
          <w:sz w:val="28"/>
          <w:szCs w:val="28"/>
        </w:rPr>
      </w:pPr>
      <w:r>
        <w:rPr>
          <w:rFonts w:hint="eastAsia" w:ascii="Times New Roman" w:hAnsi="Times New Roman" w:eastAsia="方正仿宋简体" w:cs="方正仿宋简体"/>
          <w:sz w:val="28"/>
          <w:szCs w:val="28"/>
        </w:rPr>
        <w:pict>
          <v:line id="_x0000_s1034" o:spid="_x0000_s1034" o:spt="20" style="position:absolute;left:0pt;margin-left:-3.75pt;margin-top:29.55pt;height:0pt;width:456.9pt;z-index:251660288;mso-width-relative:page;mso-height-relative:page;"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v:path arrowok="t"/>
            <v:fill focussize="0,0"/>
            <v:stroke weight="1.5pt"/>
            <v:imagedata o:title=""/>
            <o:lock v:ext="edit"/>
          </v:line>
        </w:pict>
      </w:r>
      <w:r>
        <w:rPr>
          <w:rFonts w:hint="eastAsia" w:ascii="Times New Roman" w:hAnsi="Times New Roman" w:eastAsia="方正仿宋简体" w:cs="方正仿宋简体"/>
          <w:sz w:val="28"/>
          <w:szCs w:val="28"/>
        </w:rPr>
        <w:pict>
          <v:line id="_x0000_s1035" o:spid="_x0000_s1035" o:spt="20" style="position:absolute;left:0pt;margin-left:-3.55pt;margin-top:2.05pt;height:0pt;width:456.9pt;z-index:251661312;mso-width-relative:page;mso-height-relative:page;"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v:path arrowok="t"/>
            <v:fill focussize="0,0"/>
            <v:stroke/>
            <v:imagedata o:title=""/>
            <o:lock v:ext="edit"/>
          </v:line>
        </w:pict>
      </w:r>
      <w:r>
        <w:rPr>
          <w:rFonts w:hint="eastAsia" w:ascii="Times New Roman" w:hAnsi="Times New Roman" w:eastAsia="方正仿宋简体" w:cs="方正仿宋简体"/>
          <w:sz w:val="28"/>
          <w:szCs w:val="28"/>
        </w:rPr>
        <w:t>第一师阿拉尔市生态环境局                    202</w:t>
      </w:r>
      <w:r>
        <w:rPr>
          <w:rFonts w:hint="eastAsia" w:eastAsia="方正仿宋简体" w:cs="方正仿宋简体"/>
          <w:sz w:val="28"/>
          <w:szCs w:val="28"/>
          <w:lang w:val="en-US" w:eastAsia="zh-CN"/>
        </w:rPr>
        <w:t>6</w:t>
      </w:r>
      <w:r>
        <w:rPr>
          <w:rFonts w:hint="eastAsia" w:ascii="Times New Roman" w:hAnsi="Times New Roman" w:eastAsia="方正仿宋简体" w:cs="方正仿宋简体"/>
          <w:sz w:val="28"/>
          <w:szCs w:val="28"/>
        </w:rPr>
        <w:t>年</w:t>
      </w:r>
      <w:r>
        <w:rPr>
          <w:rFonts w:hint="eastAsia" w:eastAsia="方正仿宋简体" w:cs="方正仿宋简体"/>
          <w:sz w:val="28"/>
          <w:szCs w:val="28"/>
          <w:lang w:val="en-US" w:eastAsia="zh-CN"/>
        </w:rPr>
        <w:t>3</w:t>
      </w:r>
      <w:r>
        <w:rPr>
          <w:rFonts w:hint="eastAsia" w:ascii="Times New Roman" w:hAnsi="Times New Roman" w:eastAsia="方正仿宋简体" w:cs="方正仿宋简体"/>
          <w:sz w:val="28"/>
          <w:szCs w:val="28"/>
        </w:rPr>
        <w:t>月</w:t>
      </w:r>
      <w:r>
        <w:rPr>
          <w:rFonts w:hint="eastAsia" w:eastAsia="方正仿宋简体" w:cs="方正仿宋简体"/>
          <w:sz w:val="28"/>
          <w:szCs w:val="28"/>
          <w:lang w:val="en-US" w:eastAsia="zh-CN"/>
        </w:rPr>
        <w:t>25</w:t>
      </w:r>
      <w:bookmarkStart w:id="0" w:name="_GoBack"/>
      <w:bookmarkEnd w:id="0"/>
      <w:r>
        <w:rPr>
          <w:rFonts w:hint="eastAsia" w:ascii="Times New Roman" w:hAnsi="Times New Roman" w:eastAsia="方正仿宋简体" w:cs="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1" w:fontKey="{6343E38A-D71C-4E85-9493-35E450E7C0B8}"/>
  </w:font>
  <w:font w:name="方正小标宋简体">
    <w:panose1 w:val="03000509000000000000"/>
    <w:charset w:val="86"/>
    <w:family w:val="auto"/>
    <w:pitch w:val="default"/>
    <w:sig w:usb0="00000001" w:usb1="080E0000" w:usb2="00000000" w:usb3="00000000" w:csb0="00040000" w:csb1="00000000"/>
    <w:embedRegular r:id="rId2" w:fontKey="{A7485A44-BA8C-4FB2-B979-58B721D46A0A}"/>
  </w:font>
  <w:font w:name="方正黑体_GBK">
    <w:panose1 w:val="02010600010101010101"/>
    <w:charset w:val="86"/>
    <w:family w:val="auto"/>
    <w:pitch w:val="default"/>
    <w:sig w:usb0="00000001" w:usb1="080E0000" w:usb2="00000000" w:usb3="00000000" w:csb0="00040000" w:csb1="00000000"/>
    <w:embedRegular r:id="rId3" w:fontKey="{4B819052-C0FC-4210-A234-20A0698D996D}"/>
  </w:font>
  <w:font w:name="方正楷体简体">
    <w:panose1 w:val="02000000000000000000"/>
    <w:charset w:val="86"/>
    <w:family w:val="auto"/>
    <w:pitch w:val="default"/>
    <w:sig w:usb0="00000001" w:usb1="080E0000" w:usb2="00000000" w:usb3="00000000" w:csb0="00040000" w:csb1="00000000"/>
    <w:embedRegular r:id="rId4" w:fontKey="{82F7AB93-7BC9-4A7C-96A5-1001531009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C644">
    <w:pPr>
      <w:pStyle w:val="1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5A04DE5">
                <w:pPr>
                  <w:pStyle w:val="14"/>
                  <w:rPr>
                    <w:rFonts w:hint="eastAsia"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rPr>
                    <w:rFonts w:hint="eastAsia" w:ascii="宋体" w:hAnsi="宋体" w:cs="宋体"/>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E721">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9CEB"/>
    <w:multiLevelType w:val="singleLevel"/>
    <w:tmpl w:val="8B069CEB"/>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zODdhZDFmYzk5ODE2MmE3OTk4OTBkMjc2NjcxZTIifQ=="/>
  </w:docVars>
  <w:rsids>
    <w:rsidRoot w:val="00172A27"/>
    <w:rsid w:val="00000210"/>
    <w:rsid w:val="00001E5B"/>
    <w:rsid w:val="000023D4"/>
    <w:rsid w:val="0001374A"/>
    <w:rsid w:val="00020158"/>
    <w:rsid w:val="0002483D"/>
    <w:rsid w:val="00045107"/>
    <w:rsid w:val="0004560D"/>
    <w:rsid w:val="00046C02"/>
    <w:rsid w:val="00047BC1"/>
    <w:rsid w:val="000537F9"/>
    <w:rsid w:val="00061E7D"/>
    <w:rsid w:val="0007209F"/>
    <w:rsid w:val="000764A6"/>
    <w:rsid w:val="000815AE"/>
    <w:rsid w:val="00084F32"/>
    <w:rsid w:val="000855BE"/>
    <w:rsid w:val="0009417F"/>
    <w:rsid w:val="000A044D"/>
    <w:rsid w:val="000A06B4"/>
    <w:rsid w:val="000B3230"/>
    <w:rsid w:val="000B6B9C"/>
    <w:rsid w:val="000D2165"/>
    <w:rsid w:val="000E0191"/>
    <w:rsid w:val="000E3830"/>
    <w:rsid w:val="000E4C0A"/>
    <w:rsid w:val="000F2751"/>
    <w:rsid w:val="000F2D18"/>
    <w:rsid w:val="000F310B"/>
    <w:rsid w:val="0012086C"/>
    <w:rsid w:val="00136687"/>
    <w:rsid w:val="00140563"/>
    <w:rsid w:val="001414EC"/>
    <w:rsid w:val="00142E68"/>
    <w:rsid w:val="00144CBD"/>
    <w:rsid w:val="00147041"/>
    <w:rsid w:val="0016415A"/>
    <w:rsid w:val="001673E1"/>
    <w:rsid w:val="001718F9"/>
    <w:rsid w:val="00185CDC"/>
    <w:rsid w:val="00187892"/>
    <w:rsid w:val="00192F80"/>
    <w:rsid w:val="001952F7"/>
    <w:rsid w:val="00196D65"/>
    <w:rsid w:val="001A10F1"/>
    <w:rsid w:val="001A4C00"/>
    <w:rsid w:val="001A7AB7"/>
    <w:rsid w:val="001B15F9"/>
    <w:rsid w:val="001B3971"/>
    <w:rsid w:val="001B3B1C"/>
    <w:rsid w:val="001B6159"/>
    <w:rsid w:val="001C0D22"/>
    <w:rsid w:val="001C61B1"/>
    <w:rsid w:val="001D7453"/>
    <w:rsid w:val="001D7D42"/>
    <w:rsid w:val="001E2FF4"/>
    <w:rsid w:val="001E6D05"/>
    <w:rsid w:val="001F700B"/>
    <w:rsid w:val="00202A42"/>
    <w:rsid w:val="00202F88"/>
    <w:rsid w:val="00205B58"/>
    <w:rsid w:val="00223D67"/>
    <w:rsid w:val="00225D20"/>
    <w:rsid w:val="0023166D"/>
    <w:rsid w:val="002337E4"/>
    <w:rsid w:val="0023463B"/>
    <w:rsid w:val="00245504"/>
    <w:rsid w:val="00247FBF"/>
    <w:rsid w:val="002523BF"/>
    <w:rsid w:val="00265741"/>
    <w:rsid w:val="002673A5"/>
    <w:rsid w:val="0027233D"/>
    <w:rsid w:val="00282496"/>
    <w:rsid w:val="00285AA7"/>
    <w:rsid w:val="00292AED"/>
    <w:rsid w:val="002B6925"/>
    <w:rsid w:val="002C0D77"/>
    <w:rsid w:val="002C33BB"/>
    <w:rsid w:val="002C5AB3"/>
    <w:rsid w:val="002C6D57"/>
    <w:rsid w:val="002C7BAB"/>
    <w:rsid w:val="002C7D8A"/>
    <w:rsid w:val="002E67ED"/>
    <w:rsid w:val="002F0CDE"/>
    <w:rsid w:val="002F10E2"/>
    <w:rsid w:val="002F1DBA"/>
    <w:rsid w:val="002F1F2E"/>
    <w:rsid w:val="002F2098"/>
    <w:rsid w:val="00320058"/>
    <w:rsid w:val="00323C32"/>
    <w:rsid w:val="003264C7"/>
    <w:rsid w:val="00334C53"/>
    <w:rsid w:val="00335CEF"/>
    <w:rsid w:val="0034133B"/>
    <w:rsid w:val="00342F82"/>
    <w:rsid w:val="00346609"/>
    <w:rsid w:val="0034671B"/>
    <w:rsid w:val="00347564"/>
    <w:rsid w:val="0035034E"/>
    <w:rsid w:val="00356AEE"/>
    <w:rsid w:val="00356EFA"/>
    <w:rsid w:val="00362091"/>
    <w:rsid w:val="003625C1"/>
    <w:rsid w:val="003650F3"/>
    <w:rsid w:val="00382F66"/>
    <w:rsid w:val="00395EEE"/>
    <w:rsid w:val="003A1AD4"/>
    <w:rsid w:val="003A4508"/>
    <w:rsid w:val="003A51B4"/>
    <w:rsid w:val="003A7A7C"/>
    <w:rsid w:val="003C64CB"/>
    <w:rsid w:val="003D05E6"/>
    <w:rsid w:val="003E212B"/>
    <w:rsid w:val="003E2198"/>
    <w:rsid w:val="003E7CB4"/>
    <w:rsid w:val="003F0A2B"/>
    <w:rsid w:val="003F5CD0"/>
    <w:rsid w:val="00410CDE"/>
    <w:rsid w:val="00411628"/>
    <w:rsid w:val="00412140"/>
    <w:rsid w:val="0041460A"/>
    <w:rsid w:val="004230DB"/>
    <w:rsid w:val="004238C4"/>
    <w:rsid w:val="00424E78"/>
    <w:rsid w:val="00426526"/>
    <w:rsid w:val="004268CF"/>
    <w:rsid w:val="00426CD4"/>
    <w:rsid w:val="004420CC"/>
    <w:rsid w:val="00451989"/>
    <w:rsid w:val="00455C3B"/>
    <w:rsid w:val="00456E8F"/>
    <w:rsid w:val="00473BCD"/>
    <w:rsid w:val="00473EFF"/>
    <w:rsid w:val="004804F0"/>
    <w:rsid w:val="0049166B"/>
    <w:rsid w:val="00496EA8"/>
    <w:rsid w:val="004A3549"/>
    <w:rsid w:val="004A513D"/>
    <w:rsid w:val="004A6AFF"/>
    <w:rsid w:val="004C2204"/>
    <w:rsid w:val="004C4C4C"/>
    <w:rsid w:val="004C7EA0"/>
    <w:rsid w:val="004D0C62"/>
    <w:rsid w:val="004D684C"/>
    <w:rsid w:val="004E03EB"/>
    <w:rsid w:val="004E451C"/>
    <w:rsid w:val="004E69D3"/>
    <w:rsid w:val="004F45EC"/>
    <w:rsid w:val="00520E42"/>
    <w:rsid w:val="00523220"/>
    <w:rsid w:val="00524155"/>
    <w:rsid w:val="0053787F"/>
    <w:rsid w:val="0054594A"/>
    <w:rsid w:val="00553D81"/>
    <w:rsid w:val="00554893"/>
    <w:rsid w:val="005736F3"/>
    <w:rsid w:val="00582997"/>
    <w:rsid w:val="00587007"/>
    <w:rsid w:val="00591D6A"/>
    <w:rsid w:val="00593A3F"/>
    <w:rsid w:val="00594533"/>
    <w:rsid w:val="005963B5"/>
    <w:rsid w:val="005A1BF4"/>
    <w:rsid w:val="005B1D61"/>
    <w:rsid w:val="005B4CDC"/>
    <w:rsid w:val="005D2070"/>
    <w:rsid w:val="005D276F"/>
    <w:rsid w:val="005D40D9"/>
    <w:rsid w:val="005F12E9"/>
    <w:rsid w:val="005F31B3"/>
    <w:rsid w:val="005F51BE"/>
    <w:rsid w:val="005F5F56"/>
    <w:rsid w:val="005F6B0E"/>
    <w:rsid w:val="00612B3B"/>
    <w:rsid w:val="0062091F"/>
    <w:rsid w:val="00624E24"/>
    <w:rsid w:val="00627024"/>
    <w:rsid w:val="00640ECC"/>
    <w:rsid w:val="00642C7A"/>
    <w:rsid w:val="00643B29"/>
    <w:rsid w:val="00652DCB"/>
    <w:rsid w:val="00655A07"/>
    <w:rsid w:val="00662950"/>
    <w:rsid w:val="00662F6D"/>
    <w:rsid w:val="00664464"/>
    <w:rsid w:val="00666DA7"/>
    <w:rsid w:val="00670DF6"/>
    <w:rsid w:val="00675545"/>
    <w:rsid w:val="00675C52"/>
    <w:rsid w:val="00676C5B"/>
    <w:rsid w:val="00681CCF"/>
    <w:rsid w:val="00683F22"/>
    <w:rsid w:val="006851F9"/>
    <w:rsid w:val="006874FE"/>
    <w:rsid w:val="00693392"/>
    <w:rsid w:val="00696984"/>
    <w:rsid w:val="006A3452"/>
    <w:rsid w:val="006A4F0F"/>
    <w:rsid w:val="006B1323"/>
    <w:rsid w:val="006B13AE"/>
    <w:rsid w:val="006C001A"/>
    <w:rsid w:val="006C0B12"/>
    <w:rsid w:val="006C67BD"/>
    <w:rsid w:val="006C6816"/>
    <w:rsid w:val="006D0A88"/>
    <w:rsid w:val="006D6345"/>
    <w:rsid w:val="006E0C7E"/>
    <w:rsid w:val="006E60E8"/>
    <w:rsid w:val="006F5EE2"/>
    <w:rsid w:val="0070232C"/>
    <w:rsid w:val="00702620"/>
    <w:rsid w:val="007047EC"/>
    <w:rsid w:val="00705FD7"/>
    <w:rsid w:val="00713FDC"/>
    <w:rsid w:val="0071440E"/>
    <w:rsid w:val="007265CC"/>
    <w:rsid w:val="007369A8"/>
    <w:rsid w:val="0073730A"/>
    <w:rsid w:val="0073771E"/>
    <w:rsid w:val="007410E0"/>
    <w:rsid w:val="00741433"/>
    <w:rsid w:val="007417A8"/>
    <w:rsid w:val="0074473C"/>
    <w:rsid w:val="007477BE"/>
    <w:rsid w:val="00751FBA"/>
    <w:rsid w:val="00753DC3"/>
    <w:rsid w:val="007578D4"/>
    <w:rsid w:val="0076425C"/>
    <w:rsid w:val="00764464"/>
    <w:rsid w:val="00775157"/>
    <w:rsid w:val="00775EE9"/>
    <w:rsid w:val="007856D8"/>
    <w:rsid w:val="007A28BA"/>
    <w:rsid w:val="007A30EA"/>
    <w:rsid w:val="007A51C2"/>
    <w:rsid w:val="007B2976"/>
    <w:rsid w:val="007B4D8C"/>
    <w:rsid w:val="007B5011"/>
    <w:rsid w:val="007C606F"/>
    <w:rsid w:val="007D6B22"/>
    <w:rsid w:val="007E2927"/>
    <w:rsid w:val="007E3307"/>
    <w:rsid w:val="007F41F2"/>
    <w:rsid w:val="007F66D1"/>
    <w:rsid w:val="0080360D"/>
    <w:rsid w:val="00822799"/>
    <w:rsid w:val="0082462D"/>
    <w:rsid w:val="00824F5C"/>
    <w:rsid w:val="008273C8"/>
    <w:rsid w:val="0082784C"/>
    <w:rsid w:val="00830EB6"/>
    <w:rsid w:val="00832574"/>
    <w:rsid w:val="00842CF3"/>
    <w:rsid w:val="0085256C"/>
    <w:rsid w:val="008619B0"/>
    <w:rsid w:val="008708C3"/>
    <w:rsid w:val="008742C0"/>
    <w:rsid w:val="0088214E"/>
    <w:rsid w:val="008832BF"/>
    <w:rsid w:val="008A4515"/>
    <w:rsid w:val="008A4688"/>
    <w:rsid w:val="008A5039"/>
    <w:rsid w:val="008B0CA6"/>
    <w:rsid w:val="008B35B5"/>
    <w:rsid w:val="008B4E1D"/>
    <w:rsid w:val="008C364C"/>
    <w:rsid w:val="008C6837"/>
    <w:rsid w:val="008C72D2"/>
    <w:rsid w:val="008D2E78"/>
    <w:rsid w:val="008D3AD3"/>
    <w:rsid w:val="008D3E50"/>
    <w:rsid w:val="008D4429"/>
    <w:rsid w:val="008D442D"/>
    <w:rsid w:val="008F2FC3"/>
    <w:rsid w:val="008F76E6"/>
    <w:rsid w:val="0090303A"/>
    <w:rsid w:val="00920C5C"/>
    <w:rsid w:val="0093226E"/>
    <w:rsid w:val="00937E89"/>
    <w:rsid w:val="0094073A"/>
    <w:rsid w:val="009414E6"/>
    <w:rsid w:val="00947E16"/>
    <w:rsid w:val="00954B1B"/>
    <w:rsid w:val="00955737"/>
    <w:rsid w:val="00957F7A"/>
    <w:rsid w:val="0096469F"/>
    <w:rsid w:val="009714FE"/>
    <w:rsid w:val="009747A1"/>
    <w:rsid w:val="00977BAA"/>
    <w:rsid w:val="0098487B"/>
    <w:rsid w:val="009A2A6B"/>
    <w:rsid w:val="009A5BE3"/>
    <w:rsid w:val="009B6E23"/>
    <w:rsid w:val="009C0540"/>
    <w:rsid w:val="009C186E"/>
    <w:rsid w:val="009C22BD"/>
    <w:rsid w:val="009C323C"/>
    <w:rsid w:val="009F01ED"/>
    <w:rsid w:val="009F241C"/>
    <w:rsid w:val="00A06F43"/>
    <w:rsid w:val="00A078A5"/>
    <w:rsid w:val="00A10EAA"/>
    <w:rsid w:val="00A13830"/>
    <w:rsid w:val="00A1436E"/>
    <w:rsid w:val="00A23BFE"/>
    <w:rsid w:val="00A33BE8"/>
    <w:rsid w:val="00A34892"/>
    <w:rsid w:val="00A35224"/>
    <w:rsid w:val="00A468B2"/>
    <w:rsid w:val="00A472FB"/>
    <w:rsid w:val="00A51F52"/>
    <w:rsid w:val="00A61566"/>
    <w:rsid w:val="00A62207"/>
    <w:rsid w:val="00A627B8"/>
    <w:rsid w:val="00A6407D"/>
    <w:rsid w:val="00A647E3"/>
    <w:rsid w:val="00A647E5"/>
    <w:rsid w:val="00A6592C"/>
    <w:rsid w:val="00A674E5"/>
    <w:rsid w:val="00A723B3"/>
    <w:rsid w:val="00A733CE"/>
    <w:rsid w:val="00A96051"/>
    <w:rsid w:val="00AA1550"/>
    <w:rsid w:val="00AA23E7"/>
    <w:rsid w:val="00AA3608"/>
    <w:rsid w:val="00AA6AE8"/>
    <w:rsid w:val="00AA79F4"/>
    <w:rsid w:val="00AB36C1"/>
    <w:rsid w:val="00AB5349"/>
    <w:rsid w:val="00AB5780"/>
    <w:rsid w:val="00AB63C0"/>
    <w:rsid w:val="00AB7681"/>
    <w:rsid w:val="00AD0FBE"/>
    <w:rsid w:val="00AD3986"/>
    <w:rsid w:val="00AE55AD"/>
    <w:rsid w:val="00AE5725"/>
    <w:rsid w:val="00AF0337"/>
    <w:rsid w:val="00AF6420"/>
    <w:rsid w:val="00AF71FF"/>
    <w:rsid w:val="00B04F6A"/>
    <w:rsid w:val="00B05C81"/>
    <w:rsid w:val="00B108F2"/>
    <w:rsid w:val="00B124FB"/>
    <w:rsid w:val="00B15116"/>
    <w:rsid w:val="00B15F9D"/>
    <w:rsid w:val="00B2086A"/>
    <w:rsid w:val="00B22470"/>
    <w:rsid w:val="00B25DC3"/>
    <w:rsid w:val="00B354AB"/>
    <w:rsid w:val="00B356BE"/>
    <w:rsid w:val="00B4440D"/>
    <w:rsid w:val="00B45AC6"/>
    <w:rsid w:val="00B52D71"/>
    <w:rsid w:val="00B56D13"/>
    <w:rsid w:val="00B61550"/>
    <w:rsid w:val="00B6281E"/>
    <w:rsid w:val="00B71263"/>
    <w:rsid w:val="00B773F9"/>
    <w:rsid w:val="00B77B43"/>
    <w:rsid w:val="00B77E78"/>
    <w:rsid w:val="00B843AC"/>
    <w:rsid w:val="00B85E1F"/>
    <w:rsid w:val="00B87338"/>
    <w:rsid w:val="00B93D20"/>
    <w:rsid w:val="00B945C3"/>
    <w:rsid w:val="00B97C46"/>
    <w:rsid w:val="00BA7959"/>
    <w:rsid w:val="00BB0568"/>
    <w:rsid w:val="00BB5349"/>
    <w:rsid w:val="00BB7055"/>
    <w:rsid w:val="00BC0506"/>
    <w:rsid w:val="00BC6FE8"/>
    <w:rsid w:val="00BD5E24"/>
    <w:rsid w:val="00BE4BB5"/>
    <w:rsid w:val="00BE697D"/>
    <w:rsid w:val="00BF1D09"/>
    <w:rsid w:val="00BF3BC0"/>
    <w:rsid w:val="00C02C01"/>
    <w:rsid w:val="00C1057E"/>
    <w:rsid w:val="00C1236B"/>
    <w:rsid w:val="00C204A1"/>
    <w:rsid w:val="00C25354"/>
    <w:rsid w:val="00C2782D"/>
    <w:rsid w:val="00C530A3"/>
    <w:rsid w:val="00C564CE"/>
    <w:rsid w:val="00C628D6"/>
    <w:rsid w:val="00C65F0C"/>
    <w:rsid w:val="00C7017B"/>
    <w:rsid w:val="00C76B33"/>
    <w:rsid w:val="00C84567"/>
    <w:rsid w:val="00C85B59"/>
    <w:rsid w:val="00C90415"/>
    <w:rsid w:val="00C90C42"/>
    <w:rsid w:val="00C935F8"/>
    <w:rsid w:val="00C95C48"/>
    <w:rsid w:val="00C96519"/>
    <w:rsid w:val="00CA7126"/>
    <w:rsid w:val="00CB4640"/>
    <w:rsid w:val="00CB7489"/>
    <w:rsid w:val="00CC0D86"/>
    <w:rsid w:val="00CC1ACD"/>
    <w:rsid w:val="00CD204E"/>
    <w:rsid w:val="00CD3021"/>
    <w:rsid w:val="00CD6E31"/>
    <w:rsid w:val="00CE1ED1"/>
    <w:rsid w:val="00CE74AE"/>
    <w:rsid w:val="00CF1C91"/>
    <w:rsid w:val="00CF727B"/>
    <w:rsid w:val="00D030B6"/>
    <w:rsid w:val="00D030BF"/>
    <w:rsid w:val="00D042B7"/>
    <w:rsid w:val="00D05C24"/>
    <w:rsid w:val="00D06CA2"/>
    <w:rsid w:val="00D10889"/>
    <w:rsid w:val="00D11239"/>
    <w:rsid w:val="00D15056"/>
    <w:rsid w:val="00D16F25"/>
    <w:rsid w:val="00D256A9"/>
    <w:rsid w:val="00D31248"/>
    <w:rsid w:val="00D31B11"/>
    <w:rsid w:val="00D32B45"/>
    <w:rsid w:val="00D32BB6"/>
    <w:rsid w:val="00D37C3E"/>
    <w:rsid w:val="00D424A0"/>
    <w:rsid w:val="00D4632B"/>
    <w:rsid w:val="00D50C5B"/>
    <w:rsid w:val="00D537C6"/>
    <w:rsid w:val="00D53E33"/>
    <w:rsid w:val="00D548DC"/>
    <w:rsid w:val="00D613E6"/>
    <w:rsid w:val="00D655E6"/>
    <w:rsid w:val="00D762A6"/>
    <w:rsid w:val="00D8451B"/>
    <w:rsid w:val="00D95593"/>
    <w:rsid w:val="00DA0DBF"/>
    <w:rsid w:val="00DB08B2"/>
    <w:rsid w:val="00DB6C51"/>
    <w:rsid w:val="00DC70CF"/>
    <w:rsid w:val="00DE0051"/>
    <w:rsid w:val="00DE2457"/>
    <w:rsid w:val="00DE5F7E"/>
    <w:rsid w:val="00DE62C1"/>
    <w:rsid w:val="00DF0F7B"/>
    <w:rsid w:val="00E01389"/>
    <w:rsid w:val="00E02E11"/>
    <w:rsid w:val="00E05149"/>
    <w:rsid w:val="00E0672A"/>
    <w:rsid w:val="00E2101D"/>
    <w:rsid w:val="00E213CD"/>
    <w:rsid w:val="00E22536"/>
    <w:rsid w:val="00E30855"/>
    <w:rsid w:val="00E36113"/>
    <w:rsid w:val="00E37807"/>
    <w:rsid w:val="00E37CD3"/>
    <w:rsid w:val="00E4693C"/>
    <w:rsid w:val="00E47EB3"/>
    <w:rsid w:val="00E52019"/>
    <w:rsid w:val="00E62448"/>
    <w:rsid w:val="00E704C1"/>
    <w:rsid w:val="00E81575"/>
    <w:rsid w:val="00E856A7"/>
    <w:rsid w:val="00E85F1E"/>
    <w:rsid w:val="00E910AF"/>
    <w:rsid w:val="00E95226"/>
    <w:rsid w:val="00EA0F5F"/>
    <w:rsid w:val="00EB4AE0"/>
    <w:rsid w:val="00EB62EA"/>
    <w:rsid w:val="00EB7AD5"/>
    <w:rsid w:val="00EC0938"/>
    <w:rsid w:val="00EC0BB1"/>
    <w:rsid w:val="00EC2CF6"/>
    <w:rsid w:val="00EC5A49"/>
    <w:rsid w:val="00EC746F"/>
    <w:rsid w:val="00ED1156"/>
    <w:rsid w:val="00ED13FD"/>
    <w:rsid w:val="00EE25F5"/>
    <w:rsid w:val="00EE26BF"/>
    <w:rsid w:val="00EE44EB"/>
    <w:rsid w:val="00EE49C2"/>
    <w:rsid w:val="00EE50CF"/>
    <w:rsid w:val="00EF372B"/>
    <w:rsid w:val="00EF3C47"/>
    <w:rsid w:val="00EF4C4A"/>
    <w:rsid w:val="00F00B3F"/>
    <w:rsid w:val="00F03268"/>
    <w:rsid w:val="00F06833"/>
    <w:rsid w:val="00F116B3"/>
    <w:rsid w:val="00F1337B"/>
    <w:rsid w:val="00F21040"/>
    <w:rsid w:val="00F23442"/>
    <w:rsid w:val="00F26DF1"/>
    <w:rsid w:val="00F46190"/>
    <w:rsid w:val="00F50A41"/>
    <w:rsid w:val="00F524AC"/>
    <w:rsid w:val="00F60CA6"/>
    <w:rsid w:val="00F651A1"/>
    <w:rsid w:val="00F76837"/>
    <w:rsid w:val="00F86F4B"/>
    <w:rsid w:val="00F914C1"/>
    <w:rsid w:val="00F97989"/>
    <w:rsid w:val="00FA1A92"/>
    <w:rsid w:val="00FA7219"/>
    <w:rsid w:val="00FB76F7"/>
    <w:rsid w:val="00FF0334"/>
    <w:rsid w:val="00FF282C"/>
    <w:rsid w:val="00FF5C96"/>
    <w:rsid w:val="013C3CC4"/>
    <w:rsid w:val="01747E56"/>
    <w:rsid w:val="018F287C"/>
    <w:rsid w:val="01C20BC1"/>
    <w:rsid w:val="01C30FD8"/>
    <w:rsid w:val="01CF32DE"/>
    <w:rsid w:val="0200793B"/>
    <w:rsid w:val="021F4265"/>
    <w:rsid w:val="024C0C9D"/>
    <w:rsid w:val="02FA7283"/>
    <w:rsid w:val="033F34F9"/>
    <w:rsid w:val="03C230FA"/>
    <w:rsid w:val="03C7535D"/>
    <w:rsid w:val="04043AA5"/>
    <w:rsid w:val="0410030A"/>
    <w:rsid w:val="041476CE"/>
    <w:rsid w:val="041537FA"/>
    <w:rsid w:val="041E60EF"/>
    <w:rsid w:val="042711AF"/>
    <w:rsid w:val="042C4F6C"/>
    <w:rsid w:val="044135C4"/>
    <w:rsid w:val="045B5F57"/>
    <w:rsid w:val="04842AA6"/>
    <w:rsid w:val="04B06929"/>
    <w:rsid w:val="04E04293"/>
    <w:rsid w:val="051A6F66"/>
    <w:rsid w:val="053E7324"/>
    <w:rsid w:val="05AE749A"/>
    <w:rsid w:val="05BE2437"/>
    <w:rsid w:val="05CD5D86"/>
    <w:rsid w:val="06C278B5"/>
    <w:rsid w:val="06D57EEF"/>
    <w:rsid w:val="07084D05"/>
    <w:rsid w:val="076F3599"/>
    <w:rsid w:val="07911761"/>
    <w:rsid w:val="07962E89"/>
    <w:rsid w:val="08095A64"/>
    <w:rsid w:val="08217FA4"/>
    <w:rsid w:val="08303A92"/>
    <w:rsid w:val="09F248DC"/>
    <w:rsid w:val="09FA3597"/>
    <w:rsid w:val="0A0A58DA"/>
    <w:rsid w:val="0A433449"/>
    <w:rsid w:val="0A4800D1"/>
    <w:rsid w:val="0A550835"/>
    <w:rsid w:val="0A5E4148"/>
    <w:rsid w:val="0B02198E"/>
    <w:rsid w:val="0B2B17BD"/>
    <w:rsid w:val="0B3B6927"/>
    <w:rsid w:val="0BD4759C"/>
    <w:rsid w:val="0BF21354"/>
    <w:rsid w:val="0C014064"/>
    <w:rsid w:val="0C5137C3"/>
    <w:rsid w:val="0CB00DEB"/>
    <w:rsid w:val="0CB35CD6"/>
    <w:rsid w:val="0CDE6AE9"/>
    <w:rsid w:val="0CF127D7"/>
    <w:rsid w:val="0D1B387B"/>
    <w:rsid w:val="0D474670"/>
    <w:rsid w:val="0E3D5925"/>
    <w:rsid w:val="0E5F3475"/>
    <w:rsid w:val="0E5F3926"/>
    <w:rsid w:val="0F242EBB"/>
    <w:rsid w:val="0F7F6343"/>
    <w:rsid w:val="10793535"/>
    <w:rsid w:val="11B12A00"/>
    <w:rsid w:val="11CB2733"/>
    <w:rsid w:val="12035A07"/>
    <w:rsid w:val="120B195B"/>
    <w:rsid w:val="12805118"/>
    <w:rsid w:val="12A3761A"/>
    <w:rsid w:val="12B66520"/>
    <w:rsid w:val="13436B02"/>
    <w:rsid w:val="136C4E31"/>
    <w:rsid w:val="13962F9A"/>
    <w:rsid w:val="13FD1576"/>
    <w:rsid w:val="14417BE2"/>
    <w:rsid w:val="14DD5DD3"/>
    <w:rsid w:val="15897F1C"/>
    <w:rsid w:val="15FD5725"/>
    <w:rsid w:val="162D3FB2"/>
    <w:rsid w:val="16302145"/>
    <w:rsid w:val="165E0D18"/>
    <w:rsid w:val="172D2B29"/>
    <w:rsid w:val="17353DB0"/>
    <w:rsid w:val="17454D35"/>
    <w:rsid w:val="175956CC"/>
    <w:rsid w:val="17CE1006"/>
    <w:rsid w:val="17EA60B1"/>
    <w:rsid w:val="18B87A2C"/>
    <w:rsid w:val="18C66B14"/>
    <w:rsid w:val="1912647A"/>
    <w:rsid w:val="19141C34"/>
    <w:rsid w:val="191974BC"/>
    <w:rsid w:val="19287A4C"/>
    <w:rsid w:val="19311B56"/>
    <w:rsid w:val="195D3414"/>
    <w:rsid w:val="195F5DAE"/>
    <w:rsid w:val="199A643B"/>
    <w:rsid w:val="19E74BB9"/>
    <w:rsid w:val="1A3A62A9"/>
    <w:rsid w:val="1AC60382"/>
    <w:rsid w:val="1B26549C"/>
    <w:rsid w:val="1B4368D9"/>
    <w:rsid w:val="1BCB2221"/>
    <w:rsid w:val="1BD802CE"/>
    <w:rsid w:val="1C1C43F6"/>
    <w:rsid w:val="1C8E1E2A"/>
    <w:rsid w:val="1CB709BA"/>
    <w:rsid w:val="1CE72CCE"/>
    <w:rsid w:val="1D104A7F"/>
    <w:rsid w:val="1DBC60BF"/>
    <w:rsid w:val="1DF50EBD"/>
    <w:rsid w:val="1E2C7696"/>
    <w:rsid w:val="1F204D21"/>
    <w:rsid w:val="1F7042E2"/>
    <w:rsid w:val="1F8A5BBB"/>
    <w:rsid w:val="1FD16CDA"/>
    <w:rsid w:val="1FE40979"/>
    <w:rsid w:val="203F72E7"/>
    <w:rsid w:val="20542ED4"/>
    <w:rsid w:val="20A83220"/>
    <w:rsid w:val="20B32AE2"/>
    <w:rsid w:val="20FC3C98"/>
    <w:rsid w:val="21676C37"/>
    <w:rsid w:val="217F21D3"/>
    <w:rsid w:val="21846654"/>
    <w:rsid w:val="21A3451F"/>
    <w:rsid w:val="21E022E1"/>
    <w:rsid w:val="22022959"/>
    <w:rsid w:val="22121299"/>
    <w:rsid w:val="222C235B"/>
    <w:rsid w:val="223B259E"/>
    <w:rsid w:val="223E1285"/>
    <w:rsid w:val="22BE5BE7"/>
    <w:rsid w:val="22CF140F"/>
    <w:rsid w:val="232925DE"/>
    <w:rsid w:val="235D6B65"/>
    <w:rsid w:val="23FA061B"/>
    <w:rsid w:val="244362A8"/>
    <w:rsid w:val="24894505"/>
    <w:rsid w:val="25007ACF"/>
    <w:rsid w:val="251A56D4"/>
    <w:rsid w:val="25822292"/>
    <w:rsid w:val="25D33BA8"/>
    <w:rsid w:val="25DD571A"/>
    <w:rsid w:val="262E7F78"/>
    <w:rsid w:val="263C0E91"/>
    <w:rsid w:val="264F702B"/>
    <w:rsid w:val="26551294"/>
    <w:rsid w:val="266100F9"/>
    <w:rsid w:val="26AA5F44"/>
    <w:rsid w:val="27291863"/>
    <w:rsid w:val="27374C7D"/>
    <w:rsid w:val="276E2ACE"/>
    <w:rsid w:val="28095B9B"/>
    <w:rsid w:val="28185254"/>
    <w:rsid w:val="281C3A61"/>
    <w:rsid w:val="282742C4"/>
    <w:rsid w:val="28781271"/>
    <w:rsid w:val="28EE109B"/>
    <w:rsid w:val="291E6775"/>
    <w:rsid w:val="29BC129B"/>
    <w:rsid w:val="29C247BB"/>
    <w:rsid w:val="29F81FB9"/>
    <w:rsid w:val="2A28140F"/>
    <w:rsid w:val="2A5C779E"/>
    <w:rsid w:val="2A7C21F3"/>
    <w:rsid w:val="2B291D28"/>
    <w:rsid w:val="2BDB5177"/>
    <w:rsid w:val="2C0B2FE1"/>
    <w:rsid w:val="2C2F10D4"/>
    <w:rsid w:val="2C4B4C1E"/>
    <w:rsid w:val="2C4D4AA8"/>
    <w:rsid w:val="2C700266"/>
    <w:rsid w:val="2D2A3D25"/>
    <w:rsid w:val="2D96066A"/>
    <w:rsid w:val="2D9822FB"/>
    <w:rsid w:val="2D9D78FE"/>
    <w:rsid w:val="2DB17BB8"/>
    <w:rsid w:val="2DE5725A"/>
    <w:rsid w:val="2E0C36FE"/>
    <w:rsid w:val="2E782762"/>
    <w:rsid w:val="2E903A3F"/>
    <w:rsid w:val="2EDB4C2C"/>
    <w:rsid w:val="2FA774C5"/>
    <w:rsid w:val="304271ED"/>
    <w:rsid w:val="30550EB4"/>
    <w:rsid w:val="308C054E"/>
    <w:rsid w:val="308C682B"/>
    <w:rsid w:val="30A82846"/>
    <w:rsid w:val="30D60AEE"/>
    <w:rsid w:val="30DC4F4C"/>
    <w:rsid w:val="30EF2BE1"/>
    <w:rsid w:val="312608BD"/>
    <w:rsid w:val="3227669B"/>
    <w:rsid w:val="322D17D7"/>
    <w:rsid w:val="322E1C21"/>
    <w:rsid w:val="323E39E4"/>
    <w:rsid w:val="32786F8A"/>
    <w:rsid w:val="32C4034C"/>
    <w:rsid w:val="32D94676"/>
    <w:rsid w:val="33221A6B"/>
    <w:rsid w:val="33D53ED4"/>
    <w:rsid w:val="33D779AE"/>
    <w:rsid w:val="34657618"/>
    <w:rsid w:val="34C43D29"/>
    <w:rsid w:val="350978E5"/>
    <w:rsid w:val="357E1B5E"/>
    <w:rsid w:val="35942299"/>
    <w:rsid w:val="35C12962"/>
    <w:rsid w:val="35EA6E26"/>
    <w:rsid w:val="360B6F07"/>
    <w:rsid w:val="36374427"/>
    <w:rsid w:val="365B7904"/>
    <w:rsid w:val="365F111C"/>
    <w:rsid w:val="36C71B83"/>
    <w:rsid w:val="36D37347"/>
    <w:rsid w:val="38107BD1"/>
    <w:rsid w:val="38600E74"/>
    <w:rsid w:val="390A39E8"/>
    <w:rsid w:val="398B750F"/>
    <w:rsid w:val="39B67035"/>
    <w:rsid w:val="3A013920"/>
    <w:rsid w:val="3A4F5E72"/>
    <w:rsid w:val="3AA224A4"/>
    <w:rsid w:val="3B3F16C0"/>
    <w:rsid w:val="3B862D77"/>
    <w:rsid w:val="3C5D10CC"/>
    <w:rsid w:val="3C6978B0"/>
    <w:rsid w:val="3C9F4667"/>
    <w:rsid w:val="3CB535AB"/>
    <w:rsid w:val="3CBF7504"/>
    <w:rsid w:val="3CC3313E"/>
    <w:rsid w:val="3D2779C9"/>
    <w:rsid w:val="3D896F6B"/>
    <w:rsid w:val="3DD00971"/>
    <w:rsid w:val="3E445E5B"/>
    <w:rsid w:val="3E6F5651"/>
    <w:rsid w:val="3EC91206"/>
    <w:rsid w:val="3F4563B2"/>
    <w:rsid w:val="3FE1257F"/>
    <w:rsid w:val="3FE21E53"/>
    <w:rsid w:val="400D5763"/>
    <w:rsid w:val="40786313"/>
    <w:rsid w:val="415B5D6C"/>
    <w:rsid w:val="415C0B68"/>
    <w:rsid w:val="41D56EB1"/>
    <w:rsid w:val="4208548C"/>
    <w:rsid w:val="42097F4F"/>
    <w:rsid w:val="420F0BA6"/>
    <w:rsid w:val="422F6EA6"/>
    <w:rsid w:val="427047F0"/>
    <w:rsid w:val="42732AEB"/>
    <w:rsid w:val="42764AD5"/>
    <w:rsid w:val="42BF549A"/>
    <w:rsid w:val="42E975DC"/>
    <w:rsid w:val="42F8373B"/>
    <w:rsid w:val="43103773"/>
    <w:rsid w:val="43487623"/>
    <w:rsid w:val="434D3A87"/>
    <w:rsid w:val="43D5519A"/>
    <w:rsid w:val="4429745B"/>
    <w:rsid w:val="4436276D"/>
    <w:rsid w:val="447B737A"/>
    <w:rsid w:val="44BF1A14"/>
    <w:rsid w:val="45231808"/>
    <w:rsid w:val="454443C8"/>
    <w:rsid w:val="457A48DC"/>
    <w:rsid w:val="45997458"/>
    <w:rsid w:val="45B9164A"/>
    <w:rsid w:val="45FF1A47"/>
    <w:rsid w:val="46212E7F"/>
    <w:rsid w:val="46A55352"/>
    <w:rsid w:val="471F398D"/>
    <w:rsid w:val="47C321F9"/>
    <w:rsid w:val="47CA0069"/>
    <w:rsid w:val="480346E0"/>
    <w:rsid w:val="48595B9F"/>
    <w:rsid w:val="48AD5394"/>
    <w:rsid w:val="48B96D0E"/>
    <w:rsid w:val="48EC562A"/>
    <w:rsid w:val="49101C0C"/>
    <w:rsid w:val="49284D7B"/>
    <w:rsid w:val="49691876"/>
    <w:rsid w:val="49713526"/>
    <w:rsid w:val="49C60BB1"/>
    <w:rsid w:val="49D85CDE"/>
    <w:rsid w:val="49F646DC"/>
    <w:rsid w:val="4A345F75"/>
    <w:rsid w:val="4A365275"/>
    <w:rsid w:val="4A4A3DB4"/>
    <w:rsid w:val="4A7F5BD5"/>
    <w:rsid w:val="4B1650A7"/>
    <w:rsid w:val="4B3B6097"/>
    <w:rsid w:val="4B5F6110"/>
    <w:rsid w:val="4BAC1DE4"/>
    <w:rsid w:val="4BC026E2"/>
    <w:rsid w:val="4BC32B39"/>
    <w:rsid w:val="4C0363AF"/>
    <w:rsid w:val="4CBD3A2C"/>
    <w:rsid w:val="4CC629D5"/>
    <w:rsid w:val="4CE74F4D"/>
    <w:rsid w:val="4D131F3E"/>
    <w:rsid w:val="4DC55AD7"/>
    <w:rsid w:val="4DD85AC7"/>
    <w:rsid w:val="4DDA6459"/>
    <w:rsid w:val="4E0538DC"/>
    <w:rsid w:val="4E233D62"/>
    <w:rsid w:val="4EB62657"/>
    <w:rsid w:val="4F0970AD"/>
    <w:rsid w:val="4F122266"/>
    <w:rsid w:val="4F55790E"/>
    <w:rsid w:val="4FD16ACE"/>
    <w:rsid w:val="50014374"/>
    <w:rsid w:val="50D91E09"/>
    <w:rsid w:val="51021A1A"/>
    <w:rsid w:val="514F4E6E"/>
    <w:rsid w:val="51B05DB2"/>
    <w:rsid w:val="51B223DE"/>
    <w:rsid w:val="51C90993"/>
    <w:rsid w:val="51E8779D"/>
    <w:rsid w:val="51F07213"/>
    <w:rsid w:val="52042664"/>
    <w:rsid w:val="52243102"/>
    <w:rsid w:val="523D7599"/>
    <w:rsid w:val="52D23FA9"/>
    <w:rsid w:val="53052442"/>
    <w:rsid w:val="53BE484E"/>
    <w:rsid w:val="53FF55D0"/>
    <w:rsid w:val="543B64D3"/>
    <w:rsid w:val="5440387A"/>
    <w:rsid w:val="5446532E"/>
    <w:rsid w:val="547B0D29"/>
    <w:rsid w:val="54CB652A"/>
    <w:rsid w:val="54EA343B"/>
    <w:rsid w:val="55210EC6"/>
    <w:rsid w:val="5535058B"/>
    <w:rsid w:val="556164D7"/>
    <w:rsid w:val="559E421B"/>
    <w:rsid w:val="55AC288F"/>
    <w:rsid w:val="561E66A9"/>
    <w:rsid w:val="566E5889"/>
    <w:rsid w:val="567A473C"/>
    <w:rsid w:val="56B91708"/>
    <w:rsid w:val="56C3225A"/>
    <w:rsid w:val="56C34335"/>
    <w:rsid w:val="56DB78D0"/>
    <w:rsid w:val="57020509"/>
    <w:rsid w:val="570C4149"/>
    <w:rsid w:val="57DB5AEC"/>
    <w:rsid w:val="57DE28CC"/>
    <w:rsid w:val="58023790"/>
    <w:rsid w:val="581319EA"/>
    <w:rsid w:val="588502C1"/>
    <w:rsid w:val="588875E4"/>
    <w:rsid w:val="58CD7A87"/>
    <w:rsid w:val="58EB7B73"/>
    <w:rsid w:val="590C1F22"/>
    <w:rsid w:val="59CC13CD"/>
    <w:rsid w:val="5A02006D"/>
    <w:rsid w:val="5A934AE8"/>
    <w:rsid w:val="5AB1392F"/>
    <w:rsid w:val="5AC308B9"/>
    <w:rsid w:val="5AFC7E15"/>
    <w:rsid w:val="5B8255D2"/>
    <w:rsid w:val="5C8A0C58"/>
    <w:rsid w:val="5C9B5616"/>
    <w:rsid w:val="5D0C29A4"/>
    <w:rsid w:val="5D3F1E22"/>
    <w:rsid w:val="5E502AB9"/>
    <w:rsid w:val="5EDA66BF"/>
    <w:rsid w:val="5F3D27AA"/>
    <w:rsid w:val="5F3E6C4E"/>
    <w:rsid w:val="5F454666"/>
    <w:rsid w:val="5F4752D6"/>
    <w:rsid w:val="5FA56B94"/>
    <w:rsid w:val="5FCB6008"/>
    <w:rsid w:val="5FEA0B84"/>
    <w:rsid w:val="5FEC48FC"/>
    <w:rsid w:val="601A0C66"/>
    <w:rsid w:val="608E59B3"/>
    <w:rsid w:val="60A01243"/>
    <w:rsid w:val="60D07D7A"/>
    <w:rsid w:val="60FB3D8E"/>
    <w:rsid w:val="60FE6D20"/>
    <w:rsid w:val="61067632"/>
    <w:rsid w:val="61241E74"/>
    <w:rsid w:val="616404C2"/>
    <w:rsid w:val="618A073E"/>
    <w:rsid w:val="628F32BF"/>
    <w:rsid w:val="62B02217"/>
    <w:rsid w:val="62C15E45"/>
    <w:rsid w:val="62D675E2"/>
    <w:rsid w:val="635527B8"/>
    <w:rsid w:val="638B215F"/>
    <w:rsid w:val="63DB0382"/>
    <w:rsid w:val="64761478"/>
    <w:rsid w:val="648869AC"/>
    <w:rsid w:val="64B87D57"/>
    <w:rsid w:val="6502496E"/>
    <w:rsid w:val="653C0D08"/>
    <w:rsid w:val="657874A5"/>
    <w:rsid w:val="65B66B76"/>
    <w:rsid w:val="65E552B8"/>
    <w:rsid w:val="65E571EE"/>
    <w:rsid w:val="662D69D5"/>
    <w:rsid w:val="665B134C"/>
    <w:rsid w:val="66DB1A80"/>
    <w:rsid w:val="66DD6395"/>
    <w:rsid w:val="67254250"/>
    <w:rsid w:val="674944A5"/>
    <w:rsid w:val="677C3A0B"/>
    <w:rsid w:val="6833299C"/>
    <w:rsid w:val="683A3D2B"/>
    <w:rsid w:val="69490BE1"/>
    <w:rsid w:val="69AD77A9"/>
    <w:rsid w:val="6A331379"/>
    <w:rsid w:val="6A9242F2"/>
    <w:rsid w:val="6AFC79BD"/>
    <w:rsid w:val="6B6A5E07"/>
    <w:rsid w:val="6BBB53B4"/>
    <w:rsid w:val="6BBC4452"/>
    <w:rsid w:val="6BBD714D"/>
    <w:rsid w:val="6BCD111F"/>
    <w:rsid w:val="6D1234C8"/>
    <w:rsid w:val="6D2E042E"/>
    <w:rsid w:val="6D3C22F3"/>
    <w:rsid w:val="6DC20A4A"/>
    <w:rsid w:val="6DD62421"/>
    <w:rsid w:val="6E1D62FA"/>
    <w:rsid w:val="6E5D52D0"/>
    <w:rsid w:val="6EA47288"/>
    <w:rsid w:val="6EDD1BD0"/>
    <w:rsid w:val="6F42195E"/>
    <w:rsid w:val="6F7E6BF3"/>
    <w:rsid w:val="6FD20CED"/>
    <w:rsid w:val="6FFD53BB"/>
    <w:rsid w:val="700C06A3"/>
    <w:rsid w:val="701E3B7D"/>
    <w:rsid w:val="70527FB4"/>
    <w:rsid w:val="70671D7D"/>
    <w:rsid w:val="70C00322"/>
    <w:rsid w:val="70D35441"/>
    <w:rsid w:val="70DC62C7"/>
    <w:rsid w:val="71044CE8"/>
    <w:rsid w:val="717402AD"/>
    <w:rsid w:val="721E46BD"/>
    <w:rsid w:val="721F01D7"/>
    <w:rsid w:val="722637CF"/>
    <w:rsid w:val="727C7586"/>
    <w:rsid w:val="728F242C"/>
    <w:rsid w:val="729F57FE"/>
    <w:rsid w:val="731B6E65"/>
    <w:rsid w:val="732E6B82"/>
    <w:rsid w:val="738B1D49"/>
    <w:rsid w:val="73AB309B"/>
    <w:rsid w:val="73B115AD"/>
    <w:rsid w:val="74594912"/>
    <w:rsid w:val="74B77420"/>
    <w:rsid w:val="74B93BAB"/>
    <w:rsid w:val="74D01906"/>
    <w:rsid w:val="758A1DE5"/>
    <w:rsid w:val="75AC113E"/>
    <w:rsid w:val="75CC6FF0"/>
    <w:rsid w:val="769D450C"/>
    <w:rsid w:val="770F35B7"/>
    <w:rsid w:val="77AA697A"/>
    <w:rsid w:val="77B9758E"/>
    <w:rsid w:val="77F60371"/>
    <w:rsid w:val="782C4F53"/>
    <w:rsid w:val="78412EB3"/>
    <w:rsid w:val="78C34708"/>
    <w:rsid w:val="79031D23"/>
    <w:rsid w:val="79090F01"/>
    <w:rsid w:val="791E4627"/>
    <w:rsid w:val="794E645A"/>
    <w:rsid w:val="799D236B"/>
    <w:rsid w:val="79A656C4"/>
    <w:rsid w:val="79D67D45"/>
    <w:rsid w:val="79D833A4"/>
    <w:rsid w:val="7A7D0D19"/>
    <w:rsid w:val="7A9E6E9F"/>
    <w:rsid w:val="7AAE7096"/>
    <w:rsid w:val="7AD61FD9"/>
    <w:rsid w:val="7AD83667"/>
    <w:rsid w:val="7B9F3648"/>
    <w:rsid w:val="7BFD0CC1"/>
    <w:rsid w:val="7C784F9E"/>
    <w:rsid w:val="7CA119ED"/>
    <w:rsid w:val="7CBE0F77"/>
    <w:rsid w:val="7CCD014C"/>
    <w:rsid w:val="7CDD1252"/>
    <w:rsid w:val="7D060228"/>
    <w:rsid w:val="7D2C6836"/>
    <w:rsid w:val="7D9D412D"/>
    <w:rsid w:val="7DDE140B"/>
    <w:rsid w:val="7DEC38C1"/>
    <w:rsid w:val="7DF22498"/>
    <w:rsid w:val="7E1754DD"/>
    <w:rsid w:val="7E655B4E"/>
    <w:rsid w:val="7ED77656"/>
    <w:rsid w:val="7F1C5816"/>
    <w:rsid w:val="7F2C4B33"/>
    <w:rsid w:val="7FD665D7"/>
    <w:rsid w:val="7FE351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b/>
      <w:bCs/>
      <w:color w:val="000000"/>
      <w:kern w:val="0"/>
      <w:szCs w:val="32"/>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520" w:lineRule="exact"/>
      <w:ind w:firstLine="624"/>
    </w:pPr>
    <w:rPr>
      <w:rFonts w:eastAsia="宋体"/>
      <w:sz w:val="28"/>
      <w:szCs w:val="20"/>
    </w:rPr>
  </w:style>
  <w:style w:type="paragraph" w:styleId="5">
    <w:name w:val="annotation text"/>
    <w:basedOn w:val="1"/>
    <w:qFormat/>
    <w:uiPriority w:val="0"/>
    <w:pPr>
      <w:jc w:val="left"/>
    </w:pPr>
  </w:style>
  <w:style w:type="paragraph" w:styleId="6">
    <w:name w:val="Body Text"/>
    <w:basedOn w:val="1"/>
    <w:next w:val="7"/>
    <w:unhideWhenUsed/>
    <w:qFormat/>
    <w:uiPriority w:val="99"/>
    <w:pPr>
      <w:ind w:firstLine="1044"/>
    </w:pPr>
    <w:rPr>
      <w:rFonts w:ascii="Times New Roman" w:hAnsi="Times New Roman" w:eastAsia="仿宋_GB2312"/>
      <w:kern w:val="0"/>
    </w:rPr>
  </w:style>
  <w:style w:type="paragraph" w:styleId="7">
    <w:name w:val="Body Text 2"/>
    <w:basedOn w:val="1"/>
    <w:unhideWhenUsed/>
    <w:qFormat/>
    <w:uiPriority w:val="99"/>
    <w:pPr>
      <w:spacing w:after="120" w:line="480" w:lineRule="auto"/>
    </w:pPr>
  </w:style>
  <w:style w:type="paragraph" w:styleId="8">
    <w:name w:val="Body Text Indent"/>
    <w:basedOn w:val="1"/>
    <w:next w:val="9"/>
    <w:qFormat/>
    <w:uiPriority w:val="0"/>
    <w:pPr>
      <w:spacing w:after="120"/>
      <w:ind w:left="420" w:leftChars="200"/>
    </w:pPr>
  </w:style>
  <w:style w:type="paragraph" w:styleId="9">
    <w:name w:val="Body Text First Indent 2"/>
    <w:basedOn w:val="8"/>
    <w:next w:val="1"/>
    <w:qFormat/>
    <w:uiPriority w:val="0"/>
    <w:pPr>
      <w:ind w:firstLine="420" w:firstLineChars="200"/>
    </w:pPr>
  </w:style>
  <w:style w:type="paragraph" w:styleId="10">
    <w:name w:val="Plain Text"/>
    <w:basedOn w:val="1"/>
    <w:next w:val="11"/>
    <w:qFormat/>
    <w:uiPriority w:val="0"/>
    <w:pPr>
      <w:spacing w:line="500" w:lineRule="exact"/>
    </w:pPr>
    <w:rPr>
      <w:rFonts w:ascii="宋体" w:hAnsi="Courier New" w:eastAsia="宋体"/>
      <w:sz w:val="28"/>
      <w:szCs w:val="21"/>
    </w:rPr>
  </w:style>
  <w:style w:type="paragraph" w:styleId="11">
    <w:name w:val="List Number 5"/>
    <w:basedOn w:val="1"/>
    <w:qFormat/>
    <w:uiPriority w:val="0"/>
    <w:pPr>
      <w:numPr>
        <w:ilvl w:val="0"/>
        <w:numId w:val="1"/>
      </w:numPr>
    </w:pPr>
  </w:style>
  <w:style w:type="paragraph" w:styleId="12">
    <w:name w:val="Date"/>
    <w:basedOn w:val="1"/>
    <w:next w:val="1"/>
    <w:qFormat/>
    <w:uiPriority w:val="0"/>
    <w:pPr>
      <w:ind w:left="100" w:leftChars="2500"/>
    </w:pPr>
  </w:style>
  <w:style w:type="paragraph" w:styleId="13">
    <w:name w:val="Balloon Text"/>
    <w:basedOn w:val="1"/>
    <w:qFormat/>
    <w:uiPriority w:val="0"/>
    <w:rPr>
      <w:sz w:val="18"/>
      <w:szCs w:val="18"/>
    </w:rPr>
  </w:style>
  <w:style w:type="paragraph" w:styleId="14">
    <w:name w:val="footer"/>
    <w:basedOn w:val="1"/>
    <w:link w:val="23"/>
    <w:qFormat/>
    <w:uiPriority w:val="0"/>
    <w:pPr>
      <w:tabs>
        <w:tab w:val="center" w:pos="4153"/>
        <w:tab w:val="right" w:pos="8306"/>
      </w:tabs>
      <w:snapToGrid w:val="0"/>
      <w:jc w:val="left"/>
    </w:pPr>
    <w:rPr>
      <w:sz w:val="28"/>
      <w:szCs w:val="18"/>
    </w:rPr>
  </w:style>
  <w:style w:type="paragraph" w:styleId="15">
    <w:name w:val="header"/>
    <w:basedOn w:val="1"/>
    <w:next w:val="1"/>
    <w:link w:val="24"/>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1"/>
  </w:style>
  <w:style w:type="paragraph" w:styleId="17">
    <w:name w:val="index heading"/>
    <w:basedOn w:val="1"/>
    <w:next w:val="18"/>
    <w:unhideWhenUsed/>
    <w:qFormat/>
    <w:uiPriority w:val="99"/>
    <w:rPr>
      <w:rFonts w:ascii="Cambria" w:hAnsi="Cambria" w:eastAsia="宋体" w:cs="Times New Roman"/>
      <w:b/>
      <w:bCs/>
    </w:rPr>
  </w:style>
  <w:style w:type="paragraph" w:styleId="18">
    <w:name w:val="index 1"/>
    <w:basedOn w:val="1"/>
    <w:next w:val="1"/>
    <w:unhideWhenUsed/>
    <w:qFormat/>
    <w:uiPriority w:val="99"/>
  </w:style>
  <w:style w:type="paragraph" w:styleId="1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22">
    <w:name w:val="Strong"/>
    <w:qFormat/>
    <w:uiPriority w:val="0"/>
    <w:rPr>
      <w:b/>
      <w:bCs/>
    </w:rPr>
  </w:style>
  <w:style w:type="character" w:customStyle="1" w:styleId="23">
    <w:name w:val="页脚 Char"/>
    <w:link w:val="14"/>
    <w:qFormat/>
    <w:uiPriority w:val="0"/>
    <w:rPr>
      <w:rFonts w:ascii="Times New Roman" w:hAnsi="Times New Roman" w:eastAsia="宋体"/>
      <w:kern w:val="2"/>
      <w:sz w:val="28"/>
      <w:szCs w:val="18"/>
    </w:rPr>
  </w:style>
  <w:style w:type="character" w:customStyle="1" w:styleId="24">
    <w:name w:val="页眉 Char"/>
    <w:link w:val="15"/>
    <w:qFormat/>
    <w:uiPriority w:val="0"/>
    <w:rPr>
      <w:kern w:val="2"/>
      <w:sz w:val="18"/>
      <w:szCs w:val="18"/>
    </w:rPr>
  </w:style>
  <w:style w:type="paragraph" w:customStyle="1" w:styleId="2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2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Black"/>
      <w:kern w:val="0"/>
      <w:szCs w:val="21"/>
    </w:rPr>
  </w:style>
  <w:style w:type="paragraph" w:customStyle="1" w:styleId="27">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8">
    <w:name w:val="表头"/>
    <w:basedOn w:val="29"/>
    <w:next w:val="1"/>
    <w:qFormat/>
    <w:uiPriority w:val="0"/>
    <w:pPr>
      <w:adjustRightInd w:val="0"/>
      <w:snapToGrid w:val="0"/>
      <w:spacing w:before="156" w:beforeLines="50" w:line="360" w:lineRule="auto"/>
    </w:pPr>
    <w:rPr>
      <w:rFonts w:hAnsi="宋体"/>
      <w:b/>
      <w:bCs w:val="0"/>
      <w:sz w:val="24"/>
      <w:szCs w:val="24"/>
    </w:rPr>
  </w:style>
  <w:style w:type="paragraph" w:customStyle="1" w:styleId="29">
    <w:name w:val="表格"/>
    <w:next w:val="1"/>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30">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1"/>
    <w:basedOn w:val="17"/>
    <w:next w:val="1"/>
    <w:qFormat/>
    <w:uiPriority w:val="0"/>
    <w:pPr>
      <w:widowControl/>
      <w:spacing w:line="560" w:lineRule="exact"/>
      <w:ind w:firstLine="200" w:firstLineChars="200"/>
      <w:jc w:val="left"/>
    </w:pPr>
    <w:rPr>
      <w:rFonts w:ascii="Times New Roman" w:hAnsi="Times New Roman" w:eastAsia="楷体_GB2312" w:cs="Times New Roman"/>
      <w:bCs w:val="0"/>
      <w:szCs w:val="24"/>
    </w:rPr>
  </w:style>
  <w:style w:type="paragraph" w:customStyle="1" w:styleId="32">
    <w:name w:val="Body Text First Indent 21"/>
    <w:basedOn w:val="33"/>
    <w:qFormat/>
    <w:uiPriority w:val="0"/>
    <w:pPr>
      <w:ind w:left="0" w:leftChars="0" w:firstLine="420"/>
    </w:pPr>
    <w:rPr>
      <w:rFonts w:ascii="Times New Roman" w:hAnsi="Times New Roman"/>
      <w:szCs w:val="22"/>
    </w:rPr>
  </w:style>
  <w:style w:type="paragraph" w:customStyle="1" w:styleId="33">
    <w:name w:val="Body Text Indent1"/>
    <w:basedOn w:val="1"/>
    <w:qFormat/>
    <w:uiPriority w:val="0"/>
    <w:pPr>
      <w:ind w:left="420" w:leftChars="200"/>
    </w:pPr>
  </w:style>
  <w:style w:type="paragraph" w:customStyle="1" w:styleId="34">
    <w:name w:val="正文（缩进）"/>
    <w:basedOn w:val="35"/>
    <w:next w:val="1"/>
    <w:unhideWhenUsed/>
    <w:qFormat/>
    <w:uiPriority w:val="99"/>
    <w:pPr>
      <w:ind w:firstLine="480" w:firstLineChars="200"/>
    </w:pPr>
  </w:style>
  <w:style w:type="paragraph" w:customStyle="1" w:styleId="35">
    <w:name w:val="正文(首行缩进)"/>
    <w:basedOn w:val="1"/>
    <w:qFormat/>
    <w:uiPriority w:val="0"/>
    <w:pPr>
      <w:spacing w:line="360" w:lineRule="auto"/>
      <w:ind w:firstLine="540" w:firstLineChars="225"/>
    </w:pPr>
    <w:rPr>
      <w:snapToGrid w:val="0"/>
      <w:color w:val="000000"/>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2497</Words>
  <Characters>2677</Characters>
  <Lines>24</Lines>
  <Paragraphs>6</Paragraphs>
  <TotalTime>14</TotalTime>
  <ScaleCrop>false</ScaleCrop>
  <LinksUpToDate>false</LinksUpToDate>
  <CharactersWithSpaces>2698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2020-11-12T11:55:00Z</dcterms:created>
  <dc:creator>Administrators</dc:creator>
  <cp:lastModifiedBy></cp:lastModifiedBy>
  <cp:lastPrinted>2025-08-25T09:06:00Z</cp:lastPrinted>
  <dcterms:modified xsi:type="dcterms:W3CDTF">2026-03-25T04:11:34Z</dcterms:modified>
  <dc:title>环函〔2005〕199号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0900535D40E045B6861981BA6CCBAC03_13</vt:lpwstr>
  </property>
  <property fmtid="{D5CDD505-2E9C-101B-9397-08002B2CF9AE}" pid="4" name="KSOTemplateDocerSaveRecord">
    <vt:lpwstr>eyJoZGlkIjoiZjEzODdhZDFmYzk5ODE2MmE3OTk4OTBkMjc2NjcxZTIiLCJ1c2VySWQiOiI2NDkyMTQ2MzcifQ==</vt:lpwstr>
  </property>
</Properties>
</file>