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4E94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卫生健康委员会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疾病预防控制局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 w14:paraId="5109EF6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年度行政执法统计年报</w:t>
      </w:r>
    </w:p>
    <w:p w14:paraId="1CDF71B7">
      <w:pPr>
        <w:spacing w:line="560" w:lineRule="exact"/>
        <w:rPr>
          <w:rFonts w:ascii="宋体" w:hAnsi="宋体" w:eastAsia="仿宋_GB2312"/>
          <w:szCs w:val="32"/>
        </w:rPr>
      </w:pPr>
    </w:p>
    <w:p w14:paraId="6D54617A">
      <w:pPr>
        <w:spacing w:line="560" w:lineRule="exact"/>
        <w:rPr>
          <w:rFonts w:ascii="宋体" w:hAnsi="宋体" w:eastAsia="仿宋_GB2312"/>
          <w:szCs w:val="32"/>
        </w:rPr>
      </w:pPr>
    </w:p>
    <w:p w14:paraId="1B4DF29D">
      <w:pPr>
        <w:spacing w:line="560" w:lineRule="exact"/>
        <w:jc w:val="center"/>
        <w:rPr>
          <w:rFonts w:hint="eastAsia" w:ascii="方正黑体简体" w:hAnsi="方正黑体简体" w:eastAsia="方正黑体简体" w:cs="方正黑体简体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sz w:val="44"/>
          <w:szCs w:val="44"/>
        </w:rPr>
        <w:t>目   录</w:t>
      </w:r>
    </w:p>
    <w:p w14:paraId="4639C8E1">
      <w:pPr>
        <w:spacing w:line="560" w:lineRule="exact"/>
        <w:ind w:firstLine="632" w:firstLineChars="200"/>
        <w:rPr>
          <w:rFonts w:ascii="宋体" w:hAnsi="宋体" w:eastAsia="黑体"/>
          <w:szCs w:val="32"/>
        </w:rPr>
      </w:pPr>
    </w:p>
    <w:p w14:paraId="3FCCC075">
      <w:pPr>
        <w:spacing w:line="560" w:lineRule="exact"/>
        <w:ind w:firstLine="632" w:firstLineChars="200"/>
        <w:rPr>
          <w:rFonts w:ascii="宋体" w:hAnsi="宋体" w:eastAsia="黑体"/>
          <w:szCs w:val="32"/>
        </w:rPr>
      </w:pPr>
    </w:p>
    <w:p w14:paraId="361ACBE7">
      <w:pPr>
        <w:spacing w:line="560" w:lineRule="exact"/>
        <w:ind w:firstLine="632" w:firstLineChars="200"/>
        <w:rPr>
          <w:rFonts w:ascii="宋体" w:hAnsi="宋体" w:eastAsia="方正黑体简体"/>
          <w:szCs w:val="32"/>
        </w:rPr>
      </w:pPr>
      <w:r>
        <w:rPr>
          <w:rFonts w:hint="eastAsia" w:ascii="宋体" w:hAnsi="宋体" w:eastAsia="方正黑体简体"/>
          <w:szCs w:val="32"/>
          <w:lang w:val="en-US" w:eastAsia="zh-CN"/>
        </w:rPr>
        <w:t>一、</w:t>
      </w:r>
      <w:r>
        <w:rPr>
          <w:rFonts w:hint="eastAsia" w:ascii="宋体" w:hAnsi="宋体" w:eastAsia="方正黑体简体"/>
          <w:szCs w:val="32"/>
        </w:rPr>
        <w:t xml:space="preserve"> 行政执法总体情况</w:t>
      </w:r>
    </w:p>
    <w:p w14:paraId="65954C0F">
      <w:pPr>
        <w:spacing w:line="560" w:lineRule="exact"/>
        <w:ind w:firstLine="632" w:firstLineChars="200"/>
        <w:rPr>
          <w:rFonts w:ascii="宋体" w:hAnsi="宋体" w:eastAsia="方正楷体简体"/>
          <w:szCs w:val="32"/>
        </w:rPr>
      </w:pPr>
      <w:r>
        <w:rPr>
          <w:rFonts w:hint="eastAsia" w:ascii="宋体" w:hAnsi="宋体" w:eastAsia="方正楷体简体"/>
          <w:szCs w:val="32"/>
          <w:lang w:eastAsia="zh-CN"/>
        </w:rPr>
        <w:t>（</w:t>
      </w:r>
      <w:r>
        <w:rPr>
          <w:rFonts w:hint="eastAsia" w:ascii="宋体" w:hAnsi="宋体" w:eastAsia="方正楷体简体"/>
          <w:szCs w:val="32"/>
          <w:lang w:val="en-US" w:eastAsia="zh-CN"/>
        </w:rPr>
        <w:t>一</w:t>
      </w:r>
      <w:r>
        <w:rPr>
          <w:rFonts w:hint="eastAsia" w:ascii="宋体" w:hAnsi="宋体" w:eastAsia="方正楷体简体"/>
          <w:szCs w:val="32"/>
          <w:lang w:eastAsia="zh-CN"/>
        </w:rPr>
        <w:t>）</w:t>
      </w:r>
      <w:r>
        <w:rPr>
          <w:rFonts w:hint="eastAsia" w:ascii="宋体" w:hAnsi="宋体" w:eastAsia="方正楷体简体"/>
          <w:szCs w:val="32"/>
        </w:rPr>
        <w:t>行政执法信息情况</w:t>
      </w:r>
    </w:p>
    <w:p w14:paraId="1F49DC98">
      <w:pPr>
        <w:spacing w:line="560" w:lineRule="exact"/>
        <w:ind w:firstLine="632" w:firstLineChars="200"/>
        <w:rPr>
          <w:rFonts w:ascii="宋体" w:hAnsi="宋体" w:eastAsia="方正楷体简体"/>
          <w:szCs w:val="32"/>
        </w:rPr>
      </w:pPr>
      <w:r>
        <w:rPr>
          <w:rFonts w:hint="eastAsia" w:ascii="宋体" w:hAnsi="宋体" w:eastAsia="方正楷体简体"/>
          <w:szCs w:val="32"/>
          <w:lang w:eastAsia="zh-CN"/>
        </w:rPr>
        <w:t>（</w:t>
      </w:r>
      <w:r>
        <w:rPr>
          <w:rFonts w:hint="eastAsia" w:ascii="宋体" w:hAnsi="宋体" w:eastAsia="方正楷体简体"/>
          <w:szCs w:val="32"/>
          <w:lang w:val="en-US" w:eastAsia="zh-CN"/>
        </w:rPr>
        <w:t>二</w:t>
      </w:r>
      <w:r>
        <w:rPr>
          <w:rFonts w:hint="eastAsia" w:ascii="宋体" w:hAnsi="宋体" w:eastAsia="方正楷体简体"/>
          <w:szCs w:val="32"/>
          <w:lang w:eastAsia="zh-CN"/>
        </w:rPr>
        <w:t>）</w:t>
      </w:r>
      <w:r>
        <w:rPr>
          <w:rFonts w:hint="eastAsia" w:ascii="宋体" w:hAnsi="宋体" w:eastAsia="方正楷体简体"/>
          <w:szCs w:val="32"/>
        </w:rPr>
        <w:t>行政执法情况综述</w:t>
      </w:r>
    </w:p>
    <w:p w14:paraId="27C6CDF9">
      <w:pPr>
        <w:spacing w:line="560" w:lineRule="exact"/>
        <w:ind w:firstLine="632" w:firstLineChars="200"/>
        <w:rPr>
          <w:rFonts w:ascii="宋体" w:hAnsi="宋体" w:eastAsia="方正黑体简体"/>
          <w:szCs w:val="32"/>
        </w:rPr>
      </w:pPr>
      <w:r>
        <w:rPr>
          <w:rFonts w:hint="eastAsia" w:ascii="宋体" w:hAnsi="宋体" w:eastAsia="方正黑体简体"/>
          <w:szCs w:val="32"/>
          <w:lang w:val="en-US" w:eastAsia="zh-CN"/>
        </w:rPr>
        <w:t>二、</w:t>
      </w:r>
      <w:r>
        <w:rPr>
          <w:rFonts w:hint="eastAsia" w:ascii="宋体" w:hAnsi="宋体" w:eastAsia="方正黑体简体"/>
          <w:szCs w:val="32"/>
        </w:rPr>
        <w:t xml:space="preserve"> 行政执法数据统计情况</w:t>
      </w:r>
    </w:p>
    <w:p w14:paraId="1AA3FBB9">
      <w:pPr>
        <w:spacing w:line="560" w:lineRule="exact"/>
        <w:ind w:firstLine="632" w:firstLineChars="200"/>
        <w:rPr>
          <w:rFonts w:ascii="宋体" w:hAnsi="宋体" w:eastAsia="方正楷体简体"/>
          <w:szCs w:val="32"/>
        </w:rPr>
      </w:pPr>
      <w:r>
        <w:rPr>
          <w:rFonts w:hint="eastAsia" w:ascii="宋体" w:hAnsi="宋体" w:eastAsia="方正楷体简体"/>
          <w:szCs w:val="32"/>
          <w:lang w:eastAsia="zh-CN"/>
        </w:rPr>
        <w:t>（</w:t>
      </w:r>
      <w:r>
        <w:rPr>
          <w:rFonts w:hint="eastAsia" w:ascii="宋体" w:hAnsi="宋体" w:eastAsia="方正楷体简体"/>
          <w:szCs w:val="32"/>
          <w:lang w:val="en-US" w:eastAsia="zh-CN"/>
        </w:rPr>
        <w:t>一</w:t>
      </w:r>
      <w:r>
        <w:rPr>
          <w:rFonts w:hint="eastAsia" w:ascii="宋体" w:hAnsi="宋体" w:eastAsia="方正楷体简体"/>
          <w:szCs w:val="32"/>
          <w:lang w:eastAsia="zh-CN"/>
        </w:rPr>
        <w:t>）</w:t>
      </w:r>
      <w:r>
        <w:rPr>
          <w:rFonts w:hint="eastAsia" w:ascii="宋体" w:hAnsi="宋体" w:eastAsia="方正楷体简体"/>
          <w:szCs w:val="32"/>
        </w:rPr>
        <w:t>行政许可实施情况统计表</w:t>
      </w:r>
    </w:p>
    <w:p w14:paraId="1868A97E">
      <w:pPr>
        <w:spacing w:line="560" w:lineRule="exact"/>
        <w:ind w:firstLine="632" w:firstLineChars="200"/>
        <w:rPr>
          <w:rFonts w:ascii="宋体" w:hAnsi="宋体" w:eastAsia="方正楷体简体"/>
          <w:szCs w:val="32"/>
        </w:rPr>
      </w:pPr>
      <w:r>
        <w:rPr>
          <w:rFonts w:hint="eastAsia" w:ascii="宋体" w:hAnsi="宋体" w:eastAsia="方正楷体简体"/>
          <w:szCs w:val="32"/>
          <w:lang w:eastAsia="zh-CN"/>
        </w:rPr>
        <w:t>（</w:t>
      </w:r>
      <w:r>
        <w:rPr>
          <w:rFonts w:hint="eastAsia" w:ascii="宋体" w:hAnsi="宋体" w:eastAsia="方正楷体简体"/>
          <w:szCs w:val="32"/>
          <w:lang w:val="en-US" w:eastAsia="zh-CN"/>
        </w:rPr>
        <w:t>二</w:t>
      </w:r>
      <w:r>
        <w:rPr>
          <w:rFonts w:hint="eastAsia" w:ascii="宋体" w:hAnsi="宋体" w:eastAsia="方正楷体简体"/>
          <w:szCs w:val="32"/>
          <w:lang w:eastAsia="zh-CN"/>
        </w:rPr>
        <w:t>）</w:t>
      </w:r>
      <w:r>
        <w:rPr>
          <w:rFonts w:hint="eastAsia" w:ascii="宋体" w:hAnsi="宋体" w:eastAsia="方正楷体简体"/>
          <w:szCs w:val="32"/>
        </w:rPr>
        <w:t>行政处罚实施情况统计表</w:t>
      </w:r>
    </w:p>
    <w:p w14:paraId="4A4BDE96">
      <w:pPr>
        <w:spacing w:line="560" w:lineRule="exact"/>
        <w:ind w:firstLine="632" w:firstLineChars="200"/>
        <w:rPr>
          <w:rFonts w:ascii="宋体" w:hAnsi="宋体" w:eastAsia="方正楷体简体"/>
          <w:szCs w:val="32"/>
        </w:rPr>
      </w:pPr>
      <w:r>
        <w:rPr>
          <w:rFonts w:hint="eastAsia" w:ascii="宋体" w:hAnsi="宋体" w:eastAsia="方正楷体简体"/>
          <w:szCs w:val="32"/>
          <w:lang w:eastAsia="zh-CN"/>
        </w:rPr>
        <w:t>（</w:t>
      </w:r>
      <w:r>
        <w:rPr>
          <w:rFonts w:hint="eastAsia" w:ascii="宋体" w:hAnsi="宋体" w:eastAsia="方正楷体简体"/>
          <w:szCs w:val="32"/>
          <w:lang w:val="en-US" w:eastAsia="zh-CN"/>
        </w:rPr>
        <w:t>三</w:t>
      </w:r>
      <w:r>
        <w:rPr>
          <w:rFonts w:hint="eastAsia" w:ascii="宋体" w:hAnsi="宋体" w:eastAsia="方正楷体简体"/>
          <w:szCs w:val="32"/>
          <w:lang w:eastAsia="zh-CN"/>
        </w:rPr>
        <w:t>）</w:t>
      </w:r>
      <w:r>
        <w:rPr>
          <w:rFonts w:hint="eastAsia" w:ascii="宋体" w:hAnsi="宋体" w:eastAsia="方正楷体简体"/>
          <w:szCs w:val="32"/>
        </w:rPr>
        <w:t>行政强制实施情况统计表</w:t>
      </w:r>
    </w:p>
    <w:p w14:paraId="105C1B47">
      <w:pPr>
        <w:spacing w:line="560" w:lineRule="exact"/>
        <w:ind w:firstLine="632" w:firstLineChars="200"/>
        <w:rPr>
          <w:rFonts w:ascii="宋体" w:hAnsi="宋体" w:eastAsia="方正楷体简体"/>
          <w:szCs w:val="32"/>
        </w:rPr>
      </w:pPr>
      <w:r>
        <w:rPr>
          <w:rFonts w:hint="eastAsia" w:ascii="宋体" w:hAnsi="宋体" w:eastAsia="方正楷体简体"/>
          <w:szCs w:val="32"/>
          <w:lang w:eastAsia="zh-CN"/>
        </w:rPr>
        <w:t>（</w:t>
      </w:r>
      <w:r>
        <w:rPr>
          <w:rFonts w:hint="eastAsia" w:ascii="宋体" w:hAnsi="宋体" w:eastAsia="方正楷体简体"/>
          <w:szCs w:val="32"/>
          <w:lang w:val="en-US" w:eastAsia="zh-CN"/>
        </w:rPr>
        <w:t>四</w:t>
      </w:r>
      <w:r>
        <w:rPr>
          <w:rFonts w:hint="eastAsia" w:ascii="宋体" w:hAnsi="宋体" w:eastAsia="方正楷体简体"/>
          <w:szCs w:val="32"/>
          <w:lang w:eastAsia="zh-CN"/>
        </w:rPr>
        <w:t>）</w:t>
      </w:r>
      <w:r>
        <w:rPr>
          <w:rFonts w:hint="eastAsia" w:ascii="宋体" w:hAnsi="宋体" w:eastAsia="方正楷体简体"/>
          <w:szCs w:val="32"/>
        </w:rPr>
        <w:t>其他行政执法行为实施情况统计表</w:t>
      </w:r>
    </w:p>
    <w:p w14:paraId="1748FD84">
      <w:pPr>
        <w:spacing w:line="560" w:lineRule="exact"/>
        <w:rPr>
          <w:rFonts w:ascii="宋体" w:hAnsi="宋体"/>
        </w:rPr>
      </w:pPr>
    </w:p>
    <w:p w14:paraId="6E690125">
      <w:pPr>
        <w:spacing w:line="560" w:lineRule="exact"/>
        <w:rPr>
          <w:rFonts w:ascii="宋体" w:hAnsi="宋体"/>
        </w:rPr>
      </w:pPr>
    </w:p>
    <w:p w14:paraId="2AA380E3">
      <w:pPr>
        <w:spacing w:line="560" w:lineRule="exact"/>
        <w:rPr>
          <w:rFonts w:ascii="宋体" w:hAnsi="宋体"/>
        </w:rPr>
      </w:pPr>
    </w:p>
    <w:p w14:paraId="4FE933EE">
      <w:pPr>
        <w:spacing w:line="560" w:lineRule="exact"/>
        <w:rPr>
          <w:rFonts w:ascii="宋体" w:hAnsi="宋体"/>
        </w:rPr>
      </w:pPr>
    </w:p>
    <w:p w14:paraId="645739D8">
      <w:pPr>
        <w:spacing w:line="560" w:lineRule="exact"/>
        <w:rPr>
          <w:rFonts w:ascii="宋体" w:hAnsi="宋体"/>
        </w:rPr>
      </w:pPr>
    </w:p>
    <w:p w14:paraId="0A97CAE9">
      <w:pPr>
        <w:pStyle w:val="3"/>
      </w:pPr>
    </w:p>
    <w:p w14:paraId="7415E393">
      <w:pPr>
        <w:spacing w:line="56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BBEC5D1">
      <w:pPr>
        <w:spacing w:line="560" w:lineRule="exact"/>
        <w:jc w:val="both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黑体简体" w:cs="Times New Roman"/>
          <w:szCs w:val="32"/>
        </w:rPr>
        <w:t>一、行政执法总体情况</w:t>
      </w:r>
    </w:p>
    <w:p w14:paraId="43E4E14F">
      <w:pPr>
        <w:spacing w:line="560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szCs w:val="32"/>
        </w:rPr>
        <w:t>行政执法信息情况</w:t>
      </w:r>
    </w:p>
    <w:p w14:paraId="5E0C4D66">
      <w:pPr>
        <w:spacing w:line="560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</w:rPr>
      </w:pPr>
      <w:r>
        <w:rPr>
          <w:rFonts w:hint="eastAsia" w:eastAsia="方正仿宋简体" w:cs="Times New Roman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简体" w:cs="Times New Roman"/>
          <w:szCs w:val="32"/>
        </w:rPr>
        <w:t>行政执法职权：核心聚焦卫生健康领域行政执法职责，覆盖多维度监管执法工作。具体包括饮用水卫生安全监督，对集中式供水单位、二次供水单位、现制现售饮用水经营单位及涉水产品生产企业开展合规性检查</w:t>
      </w:r>
      <w:r>
        <w:rPr>
          <w:rFonts w:hint="eastAsia" w:eastAsia="方正仿宋简体" w:cs="Times New Roman"/>
          <w:szCs w:val="32"/>
          <w:lang w:eastAsia="zh-CN"/>
        </w:rPr>
        <w:t>；对</w:t>
      </w:r>
      <w:r>
        <w:rPr>
          <w:rFonts w:hint="default" w:ascii="Times New Roman" w:hAnsi="Times New Roman" w:eastAsia="方正仿宋简体" w:cs="Times New Roman"/>
          <w:szCs w:val="32"/>
        </w:rPr>
        <w:t>医疗机构、公共场所、学校卫生机构等领域的日常监管与违法查处；受理并处置相关投诉举报；落实 “双随机、一公开” 监管任务；开展涉企专项执法检查等，依法行使行政处罚、行政检查等职权。</w:t>
      </w:r>
    </w:p>
    <w:p w14:paraId="53FD82E8">
      <w:pPr>
        <w:spacing w:line="560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</w:rPr>
      </w:pPr>
      <w:r>
        <w:rPr>
          <w:rFonts w:hint="eastAsia" w:eastAsia="方正仿宋简体" w:cs="Times New Roman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简体" w:cs="Times New Roman"/>
          <w:szCs w:val="32"/>
        </w:rPr>
        <w:t>法律法规等执法依据：严格依据《中华人民共和国传染病防治法》《中华人民共和国职业病防治法》《生活饮用水卫生监督管理办法》《公共场所卫生管理条例》《医疗机构管理条例》等相关法律法规、部门规章及规范性文件开展行政执法工作，确保执法行为有法可依、程序合法。</w:t>
      </w:r>
    </w:p>
    <w:p w14:paraId="517489AE">
      <w:pPr>
        <w:spacing w:line="560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</w:rPr>
      </w:pPr>
      <w:r>
        <w:rPr>
          <w:rFonts w:hint="eastAsia" w:eastAsia="方正仿宋简体" w:cs="Times New Roman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简体" w:cs="Times New Roman"/>
          <w:szCs w:val="32"/>
        </w:rPr>
        <w:t>执法机构设置：执法主体为第一师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卫生健康委员会</w:t>
      </w:r>
      <w:r>
        <w:rPr>
          <w:rFonts w:hint="default" w:ascii="Times New Roman" w:hAnsi="Times New Roman" w:eastAsia="方正仿宋简体" w:cs="Times New Roman"/>
          <w:szCs w:val="32"/>
        </w:rPr>
        <w:t>，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执法机构为第一师疾病预防控制中心（卫生监督所），</w:t>
      </w:r>
      <w:r>
        <w:rPr>
          <w:rFonts w:hint="default" w:ascii="Times New Roman" w:hAnsi="Times New Roman" w:eastAsia="方正仿宋简体" w:cs="Times New Roman"/>
          <w:szCs w:val="32"/>
        </w:rPr>
        <w:t>内设卫生监督科专职执法科室，负责统筹推进全领域监督执法工作，包括执法计划制定、检查实施、案件查办、投诉处理等具体执法事务。</w:t>
      </w:r>
    </w:p>
    <w:p w14:paraId="67A1858D">
      <w:pPr>
        <w:spacing w:line="560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</w:rPr>
      </w:pPr>
      <w:r>
        <w:rPr>
          <w:rFonts w:hint="eastAsia" w:eastAsia="方正仿宋简体" w:cs="Times New Roman"/>
          <w:szCs w:val="32"/>
          <w:lang w:val="en-US" w:eastAsia="zh-CN"/>
        </w:rPr>
        <w:t>（4）</w:t>
      </w:r>
      <w:r>
        <w:rPr>
          <w:rFonts w:hint="default" w:ascii="Times New Roman" w:hAnsi="Times New Roman" w:eastAsia="方正仿宋简体" w:cs="Times New Roman"/>
          <w:szCs w:val="32"/>
        </w:rPr>
        <w:t>执法人员数量及其类别：现有行政执法人员 66 名，全部持有有效执法证件，岗位配置与执法职权相匹配，涵盖卫生监督、执法办案、法规审核等多个专业类别，无超范围执法、无证执法情况，执法队伍结构合理、资质合规。</w:t>
      </w:r>
    </w:p>
    <w:p w14:paraId="4B206469">
      <w:pPr>
        <w:spacing w:line="56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eastAsia" w:eastAsia="方正仿宋简体" w:cs="Times New Roman"/>
          <w:szCs w:val="32"/>
          <w:lang w:val="en-US" w:eastAsia="zh-CN"/>
        </w:rPr>
        <w:t>（5）</w:t>
      </w:r>
      <w:r>
        <w:rPr>
          <w:rFonts w:hint="default" w:ascii="Times New Roman" w:hAnsi="Times New Roman" w:eastAsia="方正仿宋简体" w:cs="Times New Roman"/>
          <w:szCs w:val="32"/>
        </w:rPr>
        <w:t>行政执法公示网址：通过第一师阿拉尔市政务网公示行政执法相关信息。</w:t>
      </w:r>
    </w:p>
    <w:p w14:paraId="2A765CED">
      <w:pPr>
        <w:spacing w:line="560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lang w:eastAsia="zh-CN"/>
        </w:rPr>
      </w:pPr>
      <w:r>
        <w:rPr>
          <w:rFonts w:hint="eastAsia" w:ascii="Times New Roman" w:hAnsi="Times New Roman" w:eastAsia="方正楷体简体" w:cs="Times New Roman"/>
          <w:szCs w:val="32"/>
          <w:lang w:eastAsia="zh-CN"/>
        </w:rPr>
        <w:t>（</w:t>
      </w:r>
      <w:r>
        <w:rPr>
          <w:rFonts w:hint="eastAsia" w:ascii="Times New Roman" w:hAnsi="Times New Roman" w:eastAsia="方正楷体简体" w:cs="Times New Roman"/>
          <w:szCs w:val="32"/>
          <w:lang w:val="en-US" w:eastAsia="zh-CN"/>
        </w:rPr>
        <w:t>二</w:t>
      </w:r>
      <w:r>
        <w:rPr>
          <w:rFonts w:hint="eastAsia" w:ascii="Times New Roman" w:hAnsi="Times New Roman" w:eastAsia="方正楷体简体" w:cs="Times New Roman"/>
          <w:szCs w:val="32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szCs w:val="32"/>
          <w:lang w:eastAsia="zh-CN"/>
        </w:rPr>
        <w:t>行政执法情况综述</w:t>
      </w:r>
    </w:p>
    <w:p w14:paraId="2277925E">
      <w:pPr>
        <w:spacing w:line="560" w:lineRule="exact"/>
        <w:ind w:firstLine="632" w:firstLineChars="200"/>
        <w:rPr>
          <w:rFonts w:hint="default" w:ascii="Times New Roman" w:hAnsi="Times New Roman" w:eastAsia="方正仿宋简体" w:cs="Times New Roman"/>
          <w:b/>
          <w:bCs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/>
          <w:bCs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Cs w:val="32"/>
          <w:lang w:eastAsia="zh-CN"/>
        </w:rPr>
        <w:t>）开展“违规异地执法、趋利性执法以及乱收费、乱罚款、乱检查、乱查封”等突出问题专项整治工作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情况。</w:t>
      </w:r>
    </w:p>
    <w:p w14:paraId="2906C32D">
      <w:pPr>
        <w:spacing w:line="560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</w:rPr>
      </w:pPr>
      <w:r>
        <w:rPr>
          <w:rFonts w:hint="default" w:ascii="Times New Roman" w:hAnsi="Times New Roman" w:eastAsia="方正仿宋简体" w:cs="Times New Roman"/>
          <w:szCs w:val="32"/>
        </w:rPr>
        <w:t>重点聚焦医疗卫生、公共场所经营、饮用水安全等关键领域，结合涉企执法工作推进专项治理。建立</w:t>
      </w:r>
      <w:r>
        <w:rPr>
          <w:rFonts w:hint="default" w:ascii="Times New Roman" w:hAnsi="Times New Roman" w:eastAsia="方正仿宋简体" w:cs="Times New Roman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Cs w:val="32"/>
        </w:rPr>
        <w:t>每月自查</w:t>
      </w:r>
      <w:r>
        <w:rPr>
          <w:rFonts w:hint="default" w:ascii="Times New Roman" w:hAnsi="Times New Roman" w:eastAsia="方正仿宋简体" w:cs="Times New Roman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Cs w:val="32"/>
        </w:rPr>
        <w:t>制度，围绕整治任务，重点排查执法过程中是否存在</w:t>
      </w:r>
      <w:r>
        <w:rPr>
          <w:rFonts w:hint="eastAsia" w:eastAsia="方正仿宋简体" w:cs="Times New Roman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Cs w:val="32"/>
        </w:rPr>
        <w:t>选择性执法</w:t>
      </w:r>
      <w:r>
        <w:rPr>
          <w:rFonts w:hint="eastAsia" w:eastAsia="方正仿宋简体" w:cs="Times New Roman"/>
          <w:szCs w:val="32"/>
          <w:lang w:eastAsia="zh-CN"/>
        </w:rPr>
        <w:t>”“</w:t>
      </w:r>
      <w:r>
        <w:rPr>
          <w:rFonts w:hint="default" w:ascii="Times New Roman" w:hAnsi="Times New Roman" w:eastAsia="方正仿宋简体" w:cs="Times New Roman"/>
          <w:szCs w:val="32"/>
        </w:rPr>
        <w:t>过度执法</w:t>
      </w:r>
      <w:r>
        <w:rPr>
          <w:rFonts w:hint="eastAsia" w:eastAsia="方正仿宋简体" w:cs="Times New Roman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Cs w:val="32"/>
        </w:rPr>
        <w:t>等违规情形，2025年度累计开展自查 4 次，未发现相关违规执法问题。同时，针对医疗卫生领域违法违规行为、公共场所卫生不达标、饮用水安全隐患等突出问题，加大执法打击力度，通过专项检查与日常监管相结合，有效规范市场秩序，保障群众健康权益。</w:t>
      </w:r>
    </w:p>
    <w:p w14:paraId="0A688ACE">
      <w:pPr>
        <w:spacing w:line="560" w:lineRule="exact"/>
        <w:ind w:firstLine="632" w:firstLineChars="200"/>
        <w:rPr>
          <w:rFonts w:hint="default" w:ascii="Times New Roman" w:hAnsi="Times New Roman" w:eastAsia="方正仿宋简体" w:cs="Times New Roman"/>
          <w:b/>
          <w:bCs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简体" w:cs="Times New Roman"/>
          <w:b/>
          <w:bCs/>
          <w:szCs w:val="32"/>
          <w:lang w:eastAsia="zh-CN"/>
        </w:rPr>
        <w:t>开展监督检查工作情况。</w:t>
      </w:r>
    </w:p>
    <w:p w14:paraId="4C8BE437">
      <w:pPr>
        <w:spacing w:line="560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</w:rPr>
      </w:pPr>
      <w:r>
        <w:rPr>
          <w:rFonts w:hint="eastAsia" w:eastAsia="方正仿宋简体" w:cs="Times New Roman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Cs w:val="32"/>
        </w:rPr>
        <w:t>双随机、一公开</w:t>
      </w:r>
      <w:r>
        <w:rPr>
          <w:rFonts w:hint="default" w:ascii="Times New Roman" w:hAnsi="Times New Roman" w:eastAsia="方正仿宋简体" w:cs="Times New Roman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Cs w:val="32"/>
        </w:rPr>
        <w:t xml:space="preserve">监管：严格落实 </w:t>
      </w:r>
      <w:r>
        <w:rPr>
          <w:rFonts w:hint="default" w:ascii="Times New Roman" w:hAnsi="Times New Roman" w:eastAsia="方正仿宋简体" w:cs="Times New Roman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Cs w:val="32"/>
        </w:rPr>
        <w:t>双随机、一公开</w:t>
      </w:r>
      <w:r>
        <w:rPr>
          <w:rFonts w:hint="default" w:ascii="Times New Roman" w:hAnsi="Times New Roman" w:eastAsia="方正仿宋简体" w:cs="Times New Roman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Cs w:val="32"/>
        </w:rPr>
        <w:t xml:space="preserve"> 监管制度，依托国家卫生健康监督信息报告系统，规范完成检查对象与执法人员随机抽取工作，确保抽取数据准确、程序合规</w:t>
      </w:r>
      <w:r>
        <w:rPr>
          <w:rFonts w:hint="default" w:ascii="Times New Roman" w:hAnsi="Times New Roman" w:eastAsia="方正仿宋简体" w:cs="Times New Roman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Cs w:val="32"/>
        </w:rPr>
        <w:t>2025 年度共承接双随机监督检查任务71家，抽检任务29家，已全部完成检查工作，完成率100%。按照</w:t>
      </w:r>
      <w:r>
        <w:rPr>
          <w:rFonts w:hint="eastAsia" w:eastAsia="方正仿宋简体" w:cs="Times New Roman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Cs w:val="32"/>
        </w:rPr>
        <w:t>谁检查、谁录入、谁公开</w:t>
      </w:r>
      <w:r>
        <w:rPr>
          <w:rFonts w:hint="default" w:ascii="Times New Roman" w:hAnsi="Times New Roman" w:eastAsia="方正仿宋简体" w:cs="Times New Roman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Cs w:val="32"/>
        </w:rPr>
        <w:t xml:space="preserve"> 原则，及时将抽查结果通过师市政务网向社会公开，接受公众监督，提升监管透明度。</w:t>
      </w:r>
    </w:p>
    <w:p w14:paraId="7DAD46FF">
      <w:pPr>
        <w:spacing w:line="560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</w:rPr>
      </w:pPr>
      <w:r>
        <w:rPr>
          <w:rFonts w:hint="eastAsia" w:eastAsia="方正仿宋简体" w:cs="Times New Roman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Cs w:val="32"/>
        </w:rPr>
        <w:t>联合执法：加强与公安、市场监管等相关部门的协作联动，建立健全联合执法机制，明确协作流程与责任分工，针对卫生健康领域跨部门监管难点问题，开展联合执法行动，形成执法合力。通过信息共享、线索互移、案件联办等方式，共同打击违法违规行为，有效提升监管效能，维护卫生健康领域市场秩序。</w:t>
      </w:r>
    </w:p>
    <w:p w14:paraId="1D9E8B9E">
      <w:pPr>
        <w:pStyle w:val="14"/>
        <w:keepNext w:val="0"/>
        <w:keepLines w:val="0"/>
        <w:pageBreakBefore w:val="0"/>
        <w:framePr w:wrap="auto" w:vAnchor="margin" w:hAnchor="text" w:yAlign="inline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</w:pPr>
      <w:r>
        <w:rPr>
          <w:rFonts w:hint="default" w:ascii="Times New Roman" w:hAnsi="Times New Roman" w:eastAsia="方正仿宋简体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lang w:val="en-US" w:eastAsia="zh-CN" w:bidi="ar-SA"/>
        </w:rPr>
        <w:t>3</w:t>
      </w:r>
      <w:r>
        <w:rPr>
          <w:rFonts w:hint="eastAsia" w:ascii="Times New Roman" w:hAnsi="Times New Roman" w:eastAsia="方正仿宋简体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lang w:val="en-US" w:eastAsia="zh-CN" w:bidi="ar-SA"/>
        </w:rPr>
        <w:t>.</w:t>
      </w:r>
      <w:r>
        <w:rPr>
          <w:rFonts w:hint="default" w:ascii="Times New Roman" w:hAnsi="Times New Roman" w:eastAsia="方正仿宋简体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投诉</w:t>
      </w:r>
      <w:r>
        <w:rPr>
          <w:rFonts w:hint="default" w:ascii="Times New Roman" w:hAnsi="Times New Roman" w:eastAsia="方正仿宋简体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en-US" w:eastAsia="zh-CN" w:bidi="ar-SA"/>
        </w:rPr>
        <w:t>举报工作</w:t>
      </w:r>
      <w:r>
        <w:rPr>
          <w:rFonts w:hint="default" w:ascii="Times New Roman" w:hAnsi="Times New Roman" w:eastAsia="方正仿宋简体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CN" w:bidi="ar-SA"/>
        </w:rPr>
        <w:t>：</w:t>
      </w:r>
      <w:r>
        <w:rPr>
          <w:rFonts w:hint="default" w:ascii="Times New Roman" w:hAnsi="Times New Roman" w:eastAsia="方正仿宋简体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高度重视投诉举报工作，畅通</w:t>
      </w:r>
      <w:r>
        <w:rPr>
          <w:rFonts w:hint="default" w:ascii="Times New Roman" w:hAnsi="Times New Roman" w:eastAsia="方正仿宋简体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en-US" w:eastAsia="zh-CN" w:bidi="ar-SA"/>
        </w:rPr>
        <w:t>96359、电话座机</w:t>
      </w:r>
      <w:r>
        <w:rPr>
          <w:rFonts w:hint="default" w:ascii="Times New Roman" w:hAnsi="Times New Roman" w:eastAsia="方正仿宋简体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等投诉渠道，安排专人负责记录，做到“有诉必接、有接必查、有查必果” 。今年共接到投诉举报</w:t>
      </w:r>
      <w:r>
        <w:rPr>
          <w:rFonts w:hint="default" w:ascii="Times New Roman" w:hAnsi="Times New Roman" w:eastAsia="方正仿宋简体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en-US" w:eastAsia="zh-CN" w:bidi="ar-SA"/>
        </w:rPr>
        <w:t>45</w:t>
      </w:r>
      <w:r>
        <w:rPr>
          <w:rFonts w:hint="default" w:ascii="Times New Roman" w:hAnsi="Times New Roman" w:eastAsia="方正仿宋简体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起，</w:t>
      </w:r>
      <w:r>
        <w:rPr>
          <w:rFonts w:hint="default" w:ascii="Times New Roman" w:hAnsi="Times New Roman" w:eastAsia="方正仿宋简体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en-US" w:eastAsia="zh-CN" w:bidi="ar-SA"/>
        </w:rPr>
        <w:t>均已办结完成，</w:t>
      </w:r>
      <w:r>
        <w:rPr>
          <w:rFonts w:hint="default" w:ascii="Times New Roman" w:hAnsi="Times New Roman" w:eastAsia="方正仿宋简体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涵盖医疗机构、公共场所等领域。对于每一起投诉，均在规定时间内展开调查，详细了解情况，核实问题，依法依规处理，并及时将处理结果反馈给投诉人，有效化解群众关切，维护社会和谐稳定。</w:t>
      </w:r>
    </w:p>
    <w:p w14:paraId="32053AA8">
      <w:pPr>
        <w:spacing w:line="560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</w:rPr>
      </w:pP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4</w:t>
      </w:r>
      <w:r>
        <w:rPr>
          <w:rFonts w:hint="eastAsia" w:eastAsia="方正仿宋简体" w:cs="Times New Roman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Cs w:val="32"/>
        </w:rPr>
        <w:t>其他行政检查：围绕年度执法重点，开展全领域、全覆盖行政检查工作。制定《第一师卫生健康委员会（疾病预防控制局）2025 年涉企行政检查计划》，明确检查范围涵盖公共场所经营单位、医疗机构、学校卫生机构等 9 类主体，计划检查企业 548 家，实际完成检查 548 家，完成率 100%。其中，重点开展饮用水卫生监督检查，完成 9 家集中式供水单位、17 家二次供水单位、7 家现制现售饮用水经营单位（含 88 台直饮水机）及 3 家涉水产品生产企业的全覆盖检查，下达监督意见书 110 份，发现问题 90 条，均通过 “巡查回头看” 完成整改闭环。</w:t>
      </w:r>
    </w:p>
    <w:p w14:paraId="1ED2A6E1">
      <w:pPr>
        <w:spacing w:line="560" w:lineRule="exact"/>
        <w:ind w:firstLine="632" w:firstLineChars="200"/>
        <w:rPr>
          <w:rFonts w:hint="default" w:ascii="Times New Roman" w:hAnsi="Times New Roman" w:eastAsia="方正仿宋简体" w:cs="Times New Roman"/>
          <w:b/>
          <w:bCs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/>
          <w:bCs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Cs w:val="32"/>
          <w:lang w:eastAsia="zh-CN"/>
        </w:rPr>
        <w:t>）具体行政执法实施情况。</w:t>
      </w:r>
    </w:p>
    <w:p w14:paraId="783B0F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32" w:firstLineChars="200"/>
        <w:jc w:val="left"/>
        <w:textAlignment w:val="auto"/>
        <w:rPr>
          <w:rFonts w:hint="eastAsia" w:ascii="Times New Roman" w:hAnsi="Times New Roman" w:eastAsia="方正楷体简体" w:cs="Times New Roman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行政许可实施情况。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年度行政许可申请总数为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3038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件，同比上年度增长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15.21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予以许可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2934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件，同比上年度增长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11.56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行政许可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含不予受理、予以许可和不予许可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无被申请行政复议、提起行政诉讼的情况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。</w:t>
      </w:r>
    </w:p>
    <w:p w14:paraId="30B73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32" w:firstLineChars="200"/>
        <w:jc w:val="left"/>
        <w:textAlignment w:val="auto"/>
        <w:rPr>
          <w:rFonts w:hint="eastAsia" w:ascii="Times New Roman" w:hAnsi="Times New Roman" w:eastAsia="方正仿宋简体" w:cs="Times New Roman"/>
          <w:szCs w:val="32"/>
          <w:lang w:val="en-US" w:eastAsia="zh-CN"/>
        </w:rPr>
      </w:pPr>
      <w:r>
        <w:rPr>
          <w:rFonts w:hint="eastAsia" w:eastAsia="方正仿宋简体" w:cs="Times New Roman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行政处罚实施情况。2025年度行政处罚总数为11件，同比上年度下降</w:t>
      </w:r>
      <w:r>
        <w:rPr>
          <w:rFonts w:hint="eastAsia" w:eastAsia="方正仿宋简体" w:cs="Times New Roman"/>
          <w:szCs w:val="32"/>
          <w:lang w:val="en-US" w:eastAsia="zh-CN"/>
        </w:rPr>
        <w:t>63.02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%；罚没总额149400元，其中，罚款金额没收款物总额 11100 元，同比上年度</w:t>
      </w:r>
      <w:r>
        <w:rPr>
          <w:rFonts w:hint="eastAsia" w:eastAsia="方正仿宋简体" w:cs="Times New Roman"/>
          <w:szCs w:val="32"/>
          <w:lang w:val="en-US" w:eastAsia="zh-CN"/>
        </w:rPr>
        <w:t>增加了3.34倍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。其中，行政处罚被申请行政复议0件，占行政处罚总数的0%；行政复议决定撤销、变更或者确认违法0件，占被申请行政复</w:t>
      </w:r>
      <w:r>
        <w:rPr>
          <w:rFonts w:hint="eastAsia" w:eastAsia="方正仿宋简体" w:cs="Times New Roman"/>
          <w:szCs w:val="32"/>
          <w:lang w:val="en-US" w:eastAsia="zh-CN"/>
        </w:rPr>
        <w:t>议总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数的0%，占行政处罚总数的0%。行政复议后又被提起行政诉讼0件，判决撤销、部分撤销、变更、确认违法或者确认无效0件，占行政复议后又被提起行政诉讼数的0%，占行政处罚总数的0%。行政处罚直接被提起行政诉讼0件，占行政处罚总数的0%；判决撤销、部分撤销、变更、确认违法或者确认无效0件，占直接被提起行政诉讼数的0%，占行政处罚总数的0%（或者无被申请行政复议、提起行政诉讼的情况）；2025 年度存在</w:t>
      </w:r>
      <w:r>
        <w:rPr>
          <w:rFonts w:hint="eastAsia" w:eastAsia="方正仿宋简体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 xml:space="preserve"> 件</w:t>
      </w:r>
      <w:r>
        <w:rPr>
          <w:rFonts w:hint="eastAsia" w:eastAsia="方正仿宋简体" w:cs="Times New Roman"/>
          <w:szCs w:val="32"/>
          <w:lang w:val="en-US" w:eastAsia="zh-CN"/>
        </w:rPr>
        <w:t>警告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 xml:space="preserve">案件，占全年行政处罚总数的 </w:t>
      </w:r>
      <w:r>
        <w:rPr>
          <w:rFonts w:hint="eastAsia" w:eastAsia="方正仿宋简体" w:cs="Times New Roman"/>
          <w:szCs w:val="32"/>
          <w:lang w:val="en-US" w:eastAsia="zh-CN"/>
        </w:rPr>
        <w:t>36.36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%；2025 年度无</w:t>
      </w:r>
      <w:r>
        <w:rPr>
          <w:rFonts w:hint="eastAsia" w:eastAsia="方正仿宋简体" w:cs="Times New Roman"/>
          <w:szCs w:val="32"/>
          <w:lang w:val="en-US" w:eastAsia="zh-CN"/>
        </w:rPr>
        <w:t>首违不罚、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减轻、从轻处罚案件，11 件行政处罚案件均严格按照《中华人民共和国传染病防治法》《医疗机构管理条例》等法律法规规定的幅度标准处罚，无处罚幅度调整记录，相关占比为0%。2025 年度无明确移送司法机关的行政处罚案件，但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rtl w:val="0"/>
          <w:lang w:val="zh-TW" w:eastAsia="zh-TW"/>
        </w:rPr>
        <w:t>加强</w:t>
      </w:r>
      <w:r>
        <w:rPr>
          <w:rFonts w:hint="eastAsia" w:eastAsia="方正仿宋简体" w:cs="Times New Roman"/>
          <w:b w:val="0"/>
          <w:bCs w:val="0"/>
          <w:sz w:val="32"/>
          <w:szCs w:val="32"/>
          <w:rtl w:val="0"/>
          <w:lang w:val="zh-TW" w:eastAsia="zh-CN"/>
        </w:rPr>
        <w:t>了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rtl w:val="0"/>
          <w:lang w:val="zh-TW" w:eastAsia="zh-TW"/>
        </w:rPr>
        <w:t>与公安、市场监管等部门的协作配合，建立健全联合执法机制，形成执法合力，共同维护卫生健康领域市场秩序</w:t>
      </w:r>
      <w:r>
        <w:rPr>
          <w:rFonts w:hint="eastAsia" w:eastAsia="方正仿宋简体" w:cs="Times New Roman"/>
          <w:b w:val="0"/>
          <w:bCs w:val="0"/>
          <w:sz w:val="32"/>
          <w:szCs w:val="32"/>
          <w:rtl w:val="0"/>
          <w:lang w:val="zh-TW" w:eastAsia="zh-CN"/>
        </w:rPr>
        <w:t>。</w:t>
      </w:r>
    </w:p>
    <w:p w14:paraId="791D284F">
      <w:pPr>
        <w:spacing w:line="560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  <w:lang w:val="en-US" w:eastAsia="zh-CN"/>
        </w:rPr>
      </w:pPr>
      <w:r>
        <w:rPr>
          <w:rFonts w:hint="eastAsia" w:eastAsia="方正仿宋简体" w:cs="Times New Roman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行政检查实施情况：2025 年度行政检查总数为 548 次，无上年同期数据，无同比增长（下降）情况。检查覆盖集中式供水单位、二次供水单位、现制现售饮用水经营单位、涉水产品生产企业、公共场所经营单位、医疗机构、学校卫生机构等多个领域，下达监督意见书 110 份，发现问题 90 条，均已整改完成。行政检查未被申请行政复议，无行政复议相关情况；未被提起行政诉讼，无行政诉讼相关情况。</w:t>
      </w:r>
    </w:p>
    <w:p w14:paraId="583C0A48">
      <w:pPr>
        <w:spacing w:line="560" w:lineRule="exact"/>
        <w:ind w:firstLine="632" w:firstLineChars="200"/>
        <w:jc w:val="both"/>
        <w:rPr>
          <w:rFonts w:ascii="宋体" w:hAnsi="宋体" w:eastAsia="黑体"/>
          <w:szCs w:val="32"/>
        </w:rPr>
      </w:pPr>
      <w:r>
        <w:rPr>
          <w:rFonts w:hint="eastAsia" w:eastAsia="方正黑体简体" w:cs="Times New Roman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黑体简体" w:cs="Times New Roman"/>
          <w:szCs w:val="32"/>
        </w:rPr>
        <w:t>行政执法数据统计情况</w:t>
      </w:r>
    </w:p>
    <w:tbl>
      <w:tblPr>
        <w:tblStyle w:val="10"/>
        <w:tblpPr w:leftFromText="180" w:rightFromText="180" w:vertAnchor="text" w:horzAnchor="page" w:tblpXSpec="center" w:tblpY="117"/>
        <w:tblOverlap w:val="never"/>
        <w:tblW w:w="94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1596"/>
        <w:gridCol w:w="1671"/>
        <w:gridCol w:w="2261"/>
        <w:gridCol w:w="2218"/>
      </w:tblGrid>
      <w:tr w14:paraId="4A9A89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94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BF83"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333333"/>
                <w:kern w:val="0"/>
                <w:sz w:val="32"/>
                <w:szCs w:val="32"/>
              </w:rPr>
              <w:t>行政许可实施数量（宗）</w:t>
            </w:r>
          </w:p>
        </w:tc>
      </w:tr>
      <w:tr w14:paraId="504219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1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6AE2"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  <w:t>申请数量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506C4"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  <w:t>受理数量</w:t>
            </w:r>
          </w:p>
        </w:tc>
        <w:tc>
          <w:tcPr>
            <w:tcW w:w="1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650D2"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  <w:t>许可数量</w:t>
            </w:r>
          </w:p>
        </w:tc>
        <w:tc>
          <w:tcPr>
            <w:tcW w:w="2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18FD"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  <w:t>不予许可数量</w:t>
            </w:r>
          </w:p>
        </w:tc>
        <w:tc>
          <w:tcPr>
            <w:tcW w:w="2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9C1E"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  <w:t>撤销许可数量</w:t>
            </w:r>
          </w:p>
        </w:tc>
      </w:tr>
      <w:tr w14:paraId="77AD10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39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kern w:val="0"/>
                <w:sz w:val="28"/>
                <w:szCs w:val="28"/>
                <w:lang w:val="en-US" w:eastAsia="zh-CN"/>
              </w:rPr>
              <w:t>3038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06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kern w:val="0"/>
                <w:sz w:val="28"/>
                <w:szCs w:val="28"/>
                <w:lang w:val="en-US" w:eastAsia="zh-CN"/>
              </w:rPr>
              <w:t>3038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6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kern w:val="0"/>
                <w:sz w:val="28"/>
                <w:szCs w:val="28"/>
                <w:lang w:val="en-US" w:eastAsia="zh-CN"/>
              </w:rPr>
              <w:t>2934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9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kern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EE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4EFF0515">
      <w:pPr>
        <w:spacing w:line="280" w:lineRule="exact"/>
        <w:rPr>
          <w:rFonts w:ascii="宋体" w:hAnsi="宋体" w:eastAsia="仿宋_GB2312"/>
          <w:sz w:val="24"/>
        </w:rPr>
      </w:pPr>
    </w:p>
    <w:p w14:paraId="2FCB0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80" w:hanging="1380" w:hangingChars="500"/>
        <w:jc w:val="left"/>
        <w:textAlignment w:val="auto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说明：1.“申请数量”的统计范围为统计年度1月1日至12月31日期间许可机关收到当事人许可申请的数量。</w:t>
      </w:r>
    </w:p>
    <w:p w14:paraId="00464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28" w:leftChars="226" w:hanging="414" w:hangingChars="150"/>
        <w:jc w:val="left"/>
        <w:textAlignment w:val="auto"/>
        <w:rPr>
          <w:rFonts w:ascii="宋体" w:hAnsi="宋体" w:eastAsia="黑体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2098" w:right="1474" w:bottom="1984" w:left="1588" w:header="851" w:footer="833" w:gutter="0"/>
          <w:pgNumType w:fmt="decimal" w:start="1"/>
          <w:cols w:space="425" w:num="1"/>
          <w:titlePg/>
          <w:docGrid w:type="linesAndChars" w:linePitch="605" w:charSpace="-849"/>
        </w:sectPr>
      </w:pPr>
      <w:r>
        <w:rPr>
          <w:rFonts w:hint="eastAsia" w:ascii="宋体" w:hAnsi="宋体" w:eastAsia="仿宋_GB2312"/>
          <w:sz w:val="28"/>
          <w:szCs w:val="28"/>
        </w:rPr>
        <w:t>2.“受理数量”“许可数量”“不予许可数量”“撤销许可数量”的统计范围为统计年度1月1日至12月31日期间许可机关作出受理决定、许可决定、不予许可决定和撤销许可决定的数量。</w:t>
      </w:r>
    </w:p>
    <w:p w14:paraId="331D65D9">
      <w:pPr>
        <w:pStyle w:val="8"/>
        <w:ind w:left="0" w:leftChars="0" w:firstLine="0" w:firstLineChars="0"/>
        <w:rPr>
          <w:rFonts w:hint="default" w:eastAsia="仿宋"/>
          <w:lang w:val="en-US" w:eastAsia="zh-CN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133"/>
        <w:gridCol w:w="1170"/>
        <w:gridCol w:w="1387"/>
        <w:gridCol w:w="729"/>
        <w:gridCol w:w="935"/>
        <w:gridCol w:w="1351"/>
        <w:gridCol w:w="1191"/>
      </w:tblGrid>
      <w:tr w14:paraId="3F76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1723" w:type="dxa"/>
            <w:gridSpan w:val="8"/>
            <w:vAlign w:val="center"/>
          </w:tcPr>
          <w:p w14:paraId="2958179F">
            <w:pPr>
              <w:jc w:val="center"/>
              <w:rPr>
                <w:rFonts w:hint="eastAsia" w:ascii="宋体" w:hAnsi="宋体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333333"/>
                <w:kern w:val="0"/>
                <w:sz w:val="32"/>
                <w:szCs w:val="32"/>
              </w:rPr>
              <w:t>行政</w:t>
            </w:r>
            <w:r>
              <w:rPr>
                <w:rFonts w:hint="eastAsia" w:ascii="方正楷体简体" w:hAnsi="方正楷体简体" w:eastAsia="方正楷体简体" w:cs="方正楷体简体"/>
                <w:color w:val="333333"/>
                <w:kern w:val="0"/>
                <w:sz w:val="32"/>
                <w:szCs w:val="32"/>
                <w:lang w:eastAsia="zh-CN"/>
              </w:rPr>
              <w:t>处罚</w:t>
            </w:r>
            <w:r>
              <w:rPr>
                <w:rFonts w:hint="eastAsia" w:ascii="方正楷体简体" w:hAnsi="方正楷体简体" w:eastAsia="方正楷体简体" w:cs="方正楷体简体"/>
                <w:color w:val="333333"/>
                <w:kern w:val="0"/>
                <w:sz w:val="32"/>
                <w:szCs w:val="32"/>
              </w:rPr>
              <w:t>实施数量（宗）</w:t>
            </w:r>
          </w:p>
        </w:tc>
      </w:tr>
      <w:tr w14:paraId="036C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1490" w:type="dxa"/>
            <w:vAlign w:val="center"/>
          </w:tcPr>
          <w:p w14:paraId="270B214E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  <w:t>警告、</w:t>
            </w:r>
          </w:p>
          <w:p w14:paraId="4A371258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  <w:t>通报批评</w:t>
            </w:r>
          </w:p>
        </w:tc>
        <w:tc>
          <w:tcPr>
            <w:tcW w:w="1425" w:type="dxa"/>
            <w:vAlign w:val="center"/>
          </w:tcPr>
          <w:p w14:paraId="13EDF567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  <w:t>罚款、没收违法所得、没收非法财物</w:t>
            </w:r>
          </w:p>
        </w:tc>
        <w:tc>
          <w:tcPr>
            <w:tcW w:w="1500" w:type="dxa"/>
            <w:vAlign w:val="center"/>
          </w:tcPr>
          <w:p w14:paraId="54F3A6A5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  <w:t>暂扣许可证件、降低资质等级、吊销许可证件</w:t>
            </w:r>
          </w:p>
        </w:tc>
        <w:tc>
          <w:tcPr>
            <w:tcW w:w="1940" w:type="dxa"/>
            <w:vAlign w:val="center"/>
          </w:tcPr>
          <w:p w14:paraId="7400DE3D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  <w:t>限制开展生产经营活动、责令停产停业、责令关闭、限制从业</w:t>
            </w:r>
          </w:p>
        </w:tc>
        <w:tc>
          <w:tcPr>
            <w:tcW w:w="932" w:type="dxa"/>
            <w:vAlign w:val="center"/>
          </w:tcPr>
          <w:p w14:paraId="280FD966">
            <w:pPr>
              <w:widowControl/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  <w:t>行政</w:t>
            </w:r>
          </w:p>
          <w:p w14:paraId="2A6C264C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  <w:t>拘留</w:t>
            </w:r>
          </w:p>
        </w:tc>
        <w:tc>
          <w:tcPr>
            <w:tcW w:w="1350" w:type="dxa"/>
            <w:vAlign w:val="center"/>
          </w:tcPr>
          <w:p w14:paraId="4F5DB71F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  <w:t>其他行政处罚</w:t>
            </w:r>
          </w:p>
        </w:tc>
        <w:tc>
          <w:tcPr>
            <w:tcW w:w="1543" w:type="dxa"/>
            <w:vAlign w:val="center"/>
          </w:tcPr>
          <w:p w14:paraId="3CF33B7E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  <w:t>合计（宗）</w:t>
            </w:r>
          </w:p>
        </w:tc>
        <w:tc>
          <w:tcPr>
            <w:tcW w:w="1543" w:type="dxa"/>
            <w:vAlign w:val="center"/>
          </w:tcPr>
          <w:p w14:paraId="7BF2728F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  <w:t>罚没金额（万元）</w:t>
            </w:r>
          </w:p>
        </w:tc>
      </w:tr>
      <w:tr w14:paraId="303A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490" w:type="dxa"/>
            <w:vAlign w:val="center"/>
          </w:tcPr>
          <w:p w14:paraId="217152A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25" w:type="dxa"/>
            <w:vAlign w:val="center"/>
          </w:tcPr>
          <w:p w14:paraId="419C779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00" w:type="dxa"/>
            <w:vAlign w:val="center"/>
          </w:tcPr>
          <w:p w14:paraId="7D21E6C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940" w:type="dxa"/>
            <w:vAlign w:val="center"/>
          </w:tcPr>
          <w:p w14:paraId="64E3243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932" w:type="dxa"/>
            <w:vAlign w:val="center"/>
          </w:tcPr>
          <w:p w14:paraId="205C5D7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62A2B98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 w14:paraId="5C6B3FD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543" w:type="dxa"/>
            <w:vAlign w:val="center"/>
          </w:tcPr>
          <w:p w14:paraId="262FD91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.94</w:t>
            </w:r>
            <w:bookmarkStart w:id="0" w:name="_GoBack"/>
            <w:bookmarkEnd w:id="0"/>
          </w:p>
        </w:tc>
      </w:tr>
    </w:tbl>
    <w:p w14:paraId="3C24D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60" w:hanging="1104" w:hangingChars="400"/>
        <w:textAlignment w:val="auto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说明：1.行政处罚实施数量的统计范围为统计年度1月1日至12月31日期间作出行政处罚决定的数量。</w:t>
      </w:r>
    </w:p>
    <w:p w14:paraId="5CD17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90" w:leftChars="226" w:hanging="276" w:hangingChars="100"/>
        <w:textAlignment w:val="auto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</w:t>
      </w:r>
    </w:p>
    <w:p w14:paraId="2C781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87" w:leftChars="225" w:hanging="276" w:hangingChars="100"/>
        <w:textAlignment w:val="auto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3.“没收违法所得、没收非法财物”能确定金额的，计入“罚没金额”；不能确定金额的，不计入“罚没金额”。</w:t>
      </w:r>
    </w:p>
    <w:p w14:paraId="5ADC2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28" w:firstLineChars="300"/>
        <w:textAlignment w:val="auto"/>
        <w:rPr>
          <w:rFonts w:hint="eastAsia"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4.“罚没金额”以处罚决定书确定的金额为准。</w:t>
      </w:r>
    </w:p>
    <w:p w14:paraId="134AEACD">
      <w:pPr>
        <w:ind w:firstLine="708" w:firstLineChars="300"/>
        <w:rPr>
          <w:rFonts w:hint="eastAsia" w:ascii="宋体" w:hAnsi="宋体" w:eastAsia="仿宋_GB2312"/>
          <w:sz w:val="24"/>
        </w:rPr>
      </w:pPr>
    </w:p>
    <w:p w14:paraId="2834322A">
      <w:pPr>
        <w:ind w:firstLine="708" w:firstLineChars="300"/>
        <w:rPr>
          <w:rFonts w:hint="eastAsia" w:ascii="宋体" w:hAnsi="宋体" w:eastAsia="仿宋_GB2312"/>
          <w:sz w:val="24"/>
        </w:rPr>
      </w:pPr>
    </w:p>
    <w:p w14:paraId="6B600AA1">
      <w:pPr>
        <w:ind w:firstLine="708" w:firstLineChars="300"/>
        <w:rPr>
          <w:rFonts w:hint="eastAsia" w:ascii="宋体" w:hAnsi="宋体" w:eastAsia="仿宋_GB2312"/>
          <w:sz w:val="24"/>
        </w:rPr>
      </w:pPr>
    </w:p>
    <w:p w14:paraId="0177ABAC">
      <w:pPr>
        <w:rPr>
          <w:rFonts w:hint="eastAsia" w:ascii="宋体" w:hAnsi="宋体" w:eastAsia="仿宋_GB2312"/>
          <w:sz w:val="24"/>
        </w:rPr>
      </w:pPr>
    </w:p>
    <w:p w14:paraId="3CF4F38E">
      <w:pPr>
        <w:ind w:firstLine="708" w:firstLineChars="300"/>
        <w:rPr>
          <w:rFonts w:hint="eastAsia" w:ascii="宋体" w:hAnsi="宋体" w:eastAsia="仿宋_GB2312"/>
          <w:sz w:val="24"/>
        </w:rPr>
      </w:pPr>
    </w:p>
    <w:tbl>
      <w:tblPr>
        <w:tblStyle w:val="10"/>
        <w:tblW w:w="1075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082"/>
        <w:gridCol w:w="622"/>
        <w:gridCol w:w="1039"/>
        <w:gridCol w:w="836"/>
        <w:gridCol w:w="835"/>
        <w:gridCol w:w="761"/>
        <w:gridCol w:w="879"/>
        <w:gridCol w:w="985"/>
        <w:gridCol w:w="708"/>
        <w:gridCol w:w="782"/>
        <w:gridCol w:w="728"/>
        <w:gridCol w:w="804"/>
      </w:tblGrid>
      <w:tr w14:paraId="4343F0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427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2E8ECD">
            <w:pPr>
              <w:jc w:val="center"/>
              <w:rPr>
                <w:rFonts w:hint="eastAsia" w:ascii="方正楷体简体" w:hAnsi="方正楷体简体" w:eastAsia="方正楷体简体" w:cs="方正楷体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333333"/>
                <w:kern w:val="0"/>
                <w:sz w:val="32"/>
                <w:szCs w:val="32"/>
              </w:rPr>
              <w:t>行政强制措施实施数量（宗）</w:t>
            </w:r>
          </w:p>
        </w:tc>
        <w:tc>
          <w:tcPr>
            <w:tcW w:w="567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D63E">
            <w:pPr>
              <w:jc w:val="center"/>
              <w:rPr>
                <w:rFonts w:hint="eastAsia" w:ascii="方正楷体简体" w:hAnsi="方正楷体简体" w:eastAsia="方正楷体简体" w:cs="方正楷体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333333"/>
                <w:kern w:val="0"/>
                <w:sz w:val="32"/>
                <w:szCs w:val="32"/>
              </w:rPr>
              <w:t>行政强制执行实施数量（宗）</w:t>
            </w:r>
          </w:p>
        </w:tc>
        <w:tc>
          <w:tcPr>
            <w:tcW w:w="8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DD0E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合</w:t>
            </w:r>
          </w:p>
          <w:p w14:paraId="280CE7E8"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并</w:t>
            </w:r>
          </w:p>
        </w:tc>
      </w:tr>
      <w:tr w14:paraId="0EEE21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427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7F5473CF">
            <w:pPr>
              <w:jc w:val="center"/>
              <w:rPr>
                <w:rFonts w:hint="eastAsia" w:ascii="方正楷体简体" w:hAnsi="方正楷体简体" w:eastAsia="方正楷体简体" w:cs="方正楷体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95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2939">
            <w:pPr>
              <w:jc w:val="center"/>
              <w:rPr>
                <w:rFonts w:hint="eastAsia" w:ascii="方正楷体简体" w:hAnsi="方正楷体简体" w:eastAsia="方正楷体简体" w:cs="方正楷体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333333"/>
                <w:kern w:val="0"/>
                <w:sz w:val="32"/>
                <w:szCs w:val="32"/>
              </w:rPr>
              <w:t>行政机关强制执行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F6CF7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  <w:t>申请法院强制执行</w:t>
            </w:r>
          </w:p>
        </w:tc>
        <w:tc>
          <w:tcPr>
            <w:tcW w:w="8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EA7B4E">
            <w:pPr>
              <w:widowControl/>
              <w:spacing w:line="400" w:lineRule="exact"/>
              <w:jc w:val="left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</w:p>
        </w:tc>
      </w:tr>
      <w:tr w14:paraId="091251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BF0248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  <w:t>限制公民人身自由</w:t>
            </w:r>
          </w:p>
        </w:tc>
        <w:tc>
          <w:tcPr>
            <w:tcW w:w="10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844A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  <w:t>查封场所、设施或者财物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4F2C6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  <w:t>扣押财物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F619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  <w:t>冻结存款、汇款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D53EF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  <w:t>其他行政强制措施</w:t>
            </w:r>
          </w:p>
        </w:tc>
        <w:tc>
          <w:tcPr>
            <w:tcW w:w="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7980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  <w:t>加处罚款或者滞纳金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A3BE4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  <w:t>划拨存款、汇款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4447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  <w:t>拍卖或者依法处理查封、扣押的场所、设施或者财物</w:t>
            </w:r>
          </w:p>
        </w:tc>
        <w:tc>
          <w:tcPr>
            <w:tcW w:w="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9C75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  <w:t>排除妨碍、恢复原状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8058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  <w:t>代履行</w:t>
            </w:r>
          </w:p>
        </w:tc>
        <w:tc>
          <w:tcPr>
            <w:tcW w:w="7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C680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  <w:t>其他强制执行</w:t>
            </w:r>
          </w:p>
          <w:p w14:paraId="4B73560F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  <w:t> </w:t>
            </w:r>
          </w:p>
        </w:tc>
        <w:tc>
          <w:tcPr>
            <w:tcW w:w="7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74AD7D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0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6FAE54">
            <w:pPr>
              <w:widowControl/>
              <w:spacing w:line="400" w:lineRule="exact"/>
              <w:jc w:val="left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</w:p>
        </w:tc>
      </w:tr>
      <w:tr w14:paraId="275A87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D3B14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957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4AA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4BB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3A60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9C41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B27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9D4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D48C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CA7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37A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F85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EC9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4B3C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04" w:leftChars="0" w:hanging="1104" w:hangingChars="400"/>
        <w:textAlignment w:val="auto"/>
        <w:rPr>
          <w:rFonts w:hint="eastAsia"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说明：1.“行政强制措施实施数量”“行政强制执行实施数量”的统计范围为统计年度1月1日至12月31日期间作出决定的数量和执行完毕或者终结执行的数量。</w:t>
      </w:r>
    </w:p>
    <w:p w14:paraId="79835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00" w:leftChars="261" w:hanging="276" w:hangingChars="100"/>
        <w:textAlignment w:val="auto"/>
        <w:rPr>
          <w:rFonts w:hint="eastAsia"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2.“申请法院强制执行”数量的统计范围为统计年度1月1日至12月31日期间向法院申请强制执行的数量，时间以申请日期为准。</w:t>
      </w:r>
    </w:p>
    <w:p w14:paraId="4CE73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宋体" w:hAnsi="宋体" w:eastAsia="仿宋_GB2312"/>
          <w:sz w:val="28"/>
          <w:szCs w:val="28"/>
        </w:rPr>
      </w:pPr>
    </w:p>
    <w:p w14:paraId="717F0196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 w14:paraId="5A95571E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 w14:paraId="0E8CDCF1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 w14:paraId="530A13C8">
      <w:pPr>
        <w:jc w:val="center"/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  <w:t>其他行政执法行为实施情况统计表</w:t>
      </w:r>
    </w:p>
    <w:tbl>
      <w:tblPr>
        <w:tblStyle w:val="10"/>
        <w:tblpPr w:leftFromText="180" w:rightFromText="180" w:vertAnchor="text" w:horzAnchor="page" w:tblpXSpec="center" w:tblpY="131"/>
        <w:tblOverlap w:val="never"/>
        <w:tblW w:w="1027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846"/>
        <w:gridCol w:w="782"/>
        <w:gridCol w:w="793"/>
        <w:gridCol w:w="943"/>
        <w:gridCol w:w="922"/>
        <w:gridCol w:w="1272"/>
        <w:gridCol w:w="624"/>
        <w:gridCol w:w="1018"/>
        <w:gridCol w:w="996"/>
        <w:gridCol w:w="1382"/>
      </w:tblGrid>
      <w:tr w14:paraId="4C2696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5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A96DA"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行政征收</w:t>
            </w:r>
          </w:p>
        </w:tc>
        <w:tc>
          <w:tcPr>
            <w:tcW w:w="7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4E9C1">
            <w:pPr>
              <w:widowControl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行政</w:t>
            </w:r>
          </w:p>
          <w:p w14:paraId="53489AD7"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检查</w:t>
            </w:r>
          </w:p>
        </w:tc>
        <w:tc>
          <w:tcPr>
            <w:tcW w:w="17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E466"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行政裁决</w:t>
            </w:r>
          </w:p>
        </w:tc>
        <w:tc>
          <w:tcPr>
            <w:tcW w:w="21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D984"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行政给付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A9DA">
            <w:pPr>
              <w:widowControl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行政</w:t>
            </w:r>
          </w:p>
          <w:p w14:paraId="4731DFD7"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确认</w:t>
            </w:r>
          </w:p>
        </w:tc>
        <w:tc>
          <w:tcPr>
            <w:tcW w:w="20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DB79"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行政奖励</w:t>
            </w:r>
          </w:p>
        </w:tc>
        <w:tc>
          <w:tcPr>
            <w:tcW w:w="1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5DBB9"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其他行政执法行为</w:t>
            </w:r>
          </w:p>
        </w:tc>
      </w:tr>
      <w:tr w14:paraId="1DD39B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2632">
            <w:pPr>
              <w:widowControl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次数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6969">
            <w:pPr>
              <w:widowControl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总金额（万元）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6C19">
            <w:pPr>
              <w:widowControl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次数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5320">
            <w:pPr>
              <w:widowControl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次数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E4AC">
            <w:pPr>
              <w:widowControl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涉及金额（万元）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24821">
            <w:pPr>
              <w:widowControl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次数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20A9">
            <w:pPr>
              <w:widowControl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给付总金额（万元）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3531">
            <w:pPr>
              <w:widowControl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次数</w:t>
            </w:r>
          </w:p>
        </w:tc>
        <w:tc>
          <w:tcPr>
            <w:tcW w:w="1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7C4A4">
            <w:pPr>
              <w:widowControl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次数</w:t>
            </w:r>
          </w:p>
        </w:tc>
        <w:tc>
          <w:tcPr>
            <w:tcW w:w="9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AA94">
            <w:pPr>
              <w:widowControl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奖励总金额（万元）</w:t>
            </w:r>
          </w:p>
        </w:tc>
        <w:tc>
          <w:tcPr>
            <w:tcW w:w="1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9C83">
            <w:pPr>
              <w:widowControl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lang w:val="en-US" w:eastAsia="zh-CN"/>
              </w:rPr>
              <w:t>宗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lang w:eastAsia="zh-CN"/>
              </w:rPr>
              <w:t>数</w:t>
            </w:r>
          </w:p>
        </w:tc>
      </w:tr>
      <w:tr w14:paraId="1BC0EB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A1FAC"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FE497"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1358"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548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36EB"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E0C9"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D6F8"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6627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7D31F"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2136.708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92EAB"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B364"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A09F"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DDDB"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3A100C3">
      <w:pPr>
        <w:ind w:firstLine="236" w:firstLineChars="1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说明：1.统计时间范围为每年1月1日至12月31日实际发生数。</w:t>
      </w:r>
    </w:p>
    <w:p w14:paraId="7E07CE42">
      <w:pPr>
        <w:ind w:left="1200" w:hanging="1180" w:hangingChars="500"/>
        <w:rPr>
          <w:rFonts w:hint="eastAsia" w:eastAsia="仿宋_GB2312"/>
          <w:lang w:eastAsia="zh-CN"/>
        </w:rPr>
      </w:pPr>
      <w:r>
        <w:rPr>
          <w:rFonts w:hint="eastAsia" w:ascii="宋体" w:hAnsi="宋体" w:eastAsia="仿宋_GB2312"/>
          <w:sz w:val="24"/>
        </w:rPr>
        <w:t xml:space="preserve">        2.检查1个检查对象，有完整、详细的检查记录，统计为检查1次</w:t>
      </w:r>
      <w:r>
        <w:rPr>
          <w:rFonts w:hint="eastAsia" w:ascii="宋体" w:hAnsi="宋体" w:eastAsia="仿宋_GB2312"/>
          <w:sz w:val="24"/>
          <w:lang w:eastAsia="zh-CN"/>
        </w:rPr>
        <w:t>。</w:t>
      </w:r>
    </w:p>
    <w:sectPr>
      <w:pgSz w:w="11906" w:h="16838"/>
      <w:pgMar w:top="2098" w:right="1474" w:bottom="1418" w:left="1588" w:header="851" w:footer="833" w:gutter="0"/>
      <w:pgNumType w:fmt="decimal"/>
      <w:cols w:space="425" w:num="1"/>
      <w:docGrid w:type="linesAndChars" w:linePitch="60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793B28C-6864-4D02-B1F0-8DF7729548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9128588-4F18-47A2-B18B-CEC2E5DC5A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C5A3BF7-3098-405C-9E32-5F0FAD441ECF}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A0F15FC-80EA-41B8-8064-3AC755B700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21DD097-E0AC-4B30-9AFE-BABFC9A6C16B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177C6CE-E11E-4F2F-8040-B436154F6A33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C682D99B-A22E-4A0C-BBB6-0E35240E4646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D84E9">
    <w:pPr>
      <w:pStyle w:val="5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24631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524631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78F4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3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75AB4"/>
    <w:rsid w:val="00121453"/>
    <w:rsid w:val="006B31C3"/>
    <w:rsid w:val="00AC2659"/>
    <w:rsid w:val="01E55632"/>
    <w:rsid w:val="01E74ACC"/>
    <w:rsid w:val="02FA082F"/>
    <w:rsid w:val="062E1E31"/>
    <w:rsid w:val="065D257D"/>
    <w:rsid w:val="06A72A7B"/>
    <w:rsid w:val="079C0106"/>
    <w:rsid w:val="07A62D33"/>
    <w:rsid w:val="08202AE5"/>
    <w:rsid w:val="0A3B3C06"/>
    <w:rsid w:val="0C9B098C"/>
    <w:rsid w:val="0CF462EF"/>
    <w:rsid w:val="0D775AB4"/>
    <w:rsid w:val="0D815336"/>
    <w:rsid w:val="0FA4224E"/>
    <w:rsid w:val="1017657C"/>
    <w:rsid w:val="10BE733F"/>
    <w:rsid w:val="10F42D61"/>
    <w:rsid w:val="1136507E"/>
    <w:rsid w:val="11BA7B07"/>
    <w:rsid w:val="13451652"/>
    <w:rsid w:val="13A91BE1"/>
    <w:rsid w:val="13BC5DB8"/>
    <w:rsid w:val="14524AAB"/>
    <w:rsid w:val="15202377"/>
    <w:rsid w:val="16E01DBD"/>
    <w:rsid w:val="1798134F"/>
    <w:rsid w:val="17CE7E68"/>
    <w:rsid w:val="1A907657"/>
    <w:rsid w:val="1B1C713C"/>
    <w:rsid w:val="1B291859"/>
    <w:rsid w:val="1DA17DCD"/>
    <w:rsid w:val="1F010B23"/>
    <w:rsid w:val="20B816B5"/>
    <w:rsid w:val="20EB1A8B"/>
    <w:rsid w:val="221E19EC"/>
    <w:rsid w:val="222A0391"/>
    <w:rsid w:val="24174945"/>
    <w:rsid w:val="247E2C16"/>
    <w:rsid w:val="249C309C"/>
    <w:rsid w:val="26A36D31"/>
    <w:rsid w:val="27894255"/>
    <w:rsid w:val="2825488D"/>
    <w:rsid w:val="291853E7"/>
    <w:rsid w:val="29EE439A"/>
    <w:rsid w:val="2AB253C7"/>
    <w:rsid w:val="2AD57308"/>
    <w:rsid w:val="2AD6555A"/>
    <w:rsid w:val="2B2B78AE"/>
    <w:rsid w:val="2B831A35"/>
    <w:rsid w:val="2B9D1BD3"/>
    <w:rsid w:val="2BA56CDA"/>
    <w:rsid w:val="2C4E7372"/>
    <w:rsid w:val="2D3C541C"/>
    <w:rsid w:val="2D78308F"/>
    <w:rsid w:val="2DFD4BAB"/>
    <w:rsid w:val="2E2A1718"/>
    <w:rsid w:val="2E4427DA"/>
    <w:rsid w:val="300761B5"/>
    <w:rsid w:val="30405223"/>
    <w:rsid w:val="317717A1"/>
    <w:rsid w:val="33D12D62"/>
    <w:rsid w:val="347656B7"/>
    <w:rsid w:val="354632DC"/>
    <w:rsid w:val="357F6745"/>
    <w:rsid w:val="359758E5"/>
    <w:rsid w:val="36851BE2"/>
    <w:rsid w:val="378B3228"/>
    <w:rsid w:val="378D6FA0"/>
    <w:rsid w:val="37AD13F0"/>
    <w:rsid w:val="37CF277B"/>
    <w:rsid w:val="3830659E"/>
    <w:rsid w:val="387B14EE"/>
    <w:rsid w:val="38A94AC6"/>
    <w:rsid w:val="3B1C7711"/>
    <w:rsid w:val="3B261B41"/>
    <w:rsid w:val="3BC863A0"/>
    <w:rsid w:val="3C720E5A"/>
    <w:rsid w:val="42100EF9"/>
    <w:rsid w:val="421950E0"/>
    <w:rsid w:val="4311390C"/>
    <w:rsid w:val="44BF2763"/>
    <w:rsid w:val="45FD79E7"/>
    <w:rsid w:val="46004DE1"/>
    <w:rsid w:val="46AE7B45"/>
    <w:rsid w:val="47E10C42"/>
    <w:rsid w:val="481D611E"/>
    <w:rsid w:val="49F904C5"/>
    <w:rsid w:val="4BB5041C"/>
    <w:rsid w:val="4BFF5B3B"/>
    <w:rsid w:val="4C3D4FA2"/>
    <w:rsid w:val="4EBB5B38"/>
    <w:rsid w:val="4EDA5A99"/>
    <w:rsid w:val="4F247D92"/>
    <w:rsid w:val="4F5368C9"/>
    <w:rsid w:val="4FC60E49"/>
    <w:rsid w:val="50574197"/>
    <w:rsid w:val="518405BE"/>
    <w:rsid w:val="519D3E2C"/>
    <w:rsid w:val="52DC1E16"/>
    <w:rsid w:val="5334431C"/>
    <w:rsid w:val="53486019"/>
    <w:rsid w:val="546E1AAF"/>
    <w:rsid w:val="55794BB0"/>
    <w:rsid w:val="57596A47"/>
    <w:rsid w:val="58AB6E2E"/>
    <w:rsid w:val="59C86B3A"/>
    <w:rsid w:val="59EA31D2"/>
    <w:rsid w:val="5A33357F"/>
    <w:rsid w:val="5B060C94"/>
    <w:rsid w:val="5B182775"/>
    <w:rsid w:val="5BC9110C"/>
    <w:rsid w:val="5BE106D2"/>
    <w:rsid w:val="5C9127DF"/>
    <w:rsid w:val="5CBD1826"/>
    <w:rsid w:val="5DAA158E"/>
    <w:rsid w:val="5DCA244C"/>
    <w:rsid w:val="5E993BCD"/>
    <w:rsid w:val="5EB25C23"/>
    <w:rsid w:val="5F5C70D4"/>
    <w:rsid w:val="5F812FDF"/>
    <w:rsid w:val="5F866A1A"/>
    <w:rsid w:val="60762418"/>
    <w:rsid w:val="62C27D0F"/>
    <w:rsid w:val="630261E5"/>
    <w:rsid w:val="63317BC9"/>
    <w:rsid w:val="64D5712C"/>
    <w:rsid w:val="673F7A07"/>
    <w:rsid w:val="6A7F35DD"/>
    <w:rsid w:val="6A885221"/>
    <w:rsid w:val="6B15282D"/>
    <w:rsid w:val="6E9817AB"/>
    <w:rsid w:val="6F51652A"/>
    <w:rsid w:val="6F563B40"/>
    <w:rsid w:val="6FA7439C"/>
    <w:rsid w:val="70383246"/>
    <w:rsid w:val="70B725DC"/>
    <w:rsid w:val="714C77A4"/>
    <w:rsid w:val="71AA1F21"/>
    <w:rsid w:val="71DD6696"/>
    <w:rsid w:val="726B5B54"/>
    <w:rsid w:val="73A44F2A"/>
    <w:rsid w:val="7557416E"/>
    <w:rsid w:val="756E14B8"/>
    <w:rsid w:val="75DA6B4D"/>
    <w:rsid w:val="7604134D"/>
    <w:rsid w:val="762724B9"/>
    <w:rsid w:val="7695779F"/>
    <w:rsid w:val="76BB697E"/>
    <w:rsid w:val="787E7C64"/>
    <w:rsid w:val="78B11DE7"/>
    <w:rsid w:val="78DF4BA6"/>
    <w:rsid w:val="78E57CE3"/>
    <w:rsid w:val="78FC7444"/>
    <w:rsid w:val="79256331"/>
    <w:rsid w:val="792627D5"/>
    <w:rsid w:val="79914ED0"/>
    <w:rsid w:val="79982FA7"/>
    <w:rsid w:val="79CC1777"/>
    <w:rsid w:val="79DA35C0"/>
    <w:rsid w:val="7AC35E02"/>
    <w:rsid w:val="7C63204F"/>
    <w:rsid w:val="7C9E6B26"/>
    <w:rsid w:val="7D562F5D"/>
    <w:rsid w:val="7ECB1729"/>
    <w:rsid w:val="7F0F5AB9"/>
    <w:rsid w:val="7F88470B"/>
    <w:rsid w:val="7FA75FB1"/>
    <w:rsid w:val="7FAC3308"/>
    <w:rsid w:val="7FD8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9"/>
    <w:qFormat/>
    <w:uiPriority w:val="0"/>
    <w:pPr>
      <w:ind w:firstLine="420" w:firstLineChars="200"/>
    </w:pPr>
  </w:style>
  <w:style w:type="paragraph" w:customStyle="1" w:styleId="9">
    <w:name w:val="0"/>
    <w:basedOn w:val="1"/>
    <w:semiHidden/>
    <w:qFormat/>
    <w:uiPriority w:val="0"/>
    <w:pPr>
      <w:spacing w:line="365" w:lineRule="atLeast"/>
      <w:ind w:left="1"/>
    </w:pPr>
    <w:rPr>
      <w:kern w:val="0"/>
      <w:sz w:val="20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6dbf9693-a5fe-4ce0-a916-4ec90d0515ef</errorID>
      <errorWord>；</errorWord>
      <group>L1_Word</group>
      <groupName>字词问题</groupName>
      <ability>L2_Typo</ability>
      <abilityName>字词错误</abilityName>
      <candidateList>
        <item>；对</item>
      </candidateList>
      <explain/>
      <paraID>5E0C4D66</paraID>
      <start>95</start>
      <end>97</end>
      <status>modified</status>
      <modifiedWord>；对</modifiedWord>
      <trackRevisions>false</trackRevisions>
    </reviewItem>
    <reviewItem>
      <errorID>bdd6434d-d53d-4b31-89ac-6cb974b157f9</errorID>
      <errorWord>生活饮用水卫生监督管理办法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53FD82E8</paraID>
      <start>47</start>
      <end>60</end>
      <status>ignored</status>
      <modifiedWord/>
      <trackRevisions>false</trackRevisions>
    </reviewItem>
    <reviewItem>
      <errorID>c38bcb84-25b2-45ef-8c33-13794ae9e64c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2906C32D</paraID>
      <start>79</start>
      <end>81</end>
      <status>modified</status>
      <modifiedWord>”“</modifiedWord>
      <trackRevisions>false</trackRevisions>
    </reviewItem>
    <reviewItem>
      <errorID>b86fce43-5b6b-4601-9f38-930cb9c712f5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1D9E8B9E</paraID>
      <start>0</start>
      <end>2</end>
      <status>ignored</status>
      <modifiedWord/>
      <trackRevisions>false</trackRevisions>
    </reviewItem>
    <reviewItem>
      <errorID>4a167d93-6f4c-412c-8fd6-e7febcf40c74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32053AA8</paraID>
      <start>0</start>
      <end>2</end>
      <status>ignored</status>
      <modifiedWord/>
      <trackRevisions>false</trackRevisions>
    </reviewItem>
    <reviewItem>
      <errorID>1cd457e5-c059-4b13-85eb-2a0a030f5105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783B0F90</paraID>
      <start>0</start>
      <end>2</end>
      <status>ignored</status>
      <modifiedWord/>
      <trackRevisions>false</trackRevisions>
    </reviewItem>
    <reviewItem>
      <errorID>95d83dc4-564d-4259-b29d-eb6a70fa1576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30B73441</paraID>
      <start>0</start>
      <end>2</end>
      <status>ignored</status>
      <modifiedWord/>
      <trackRevisions>false</trackRevisions>
    </reviewItem>
    <reviewItem>
      <errorID>9c9a466b-6df3-46aa-bd29-2da8faf68f9e</errorID>
      <errorWord>议</errorWord>
      <group>L1_Word</group>
      <groupName>字词问题</groupName>
      <ability>L2_Typo</ability>
      <abilityName>字词错误</abilityName>
      <candidateList>
        <item>议总</item>
      </candidateList>
      <explain/>
      <paraID>30B73441</paraID>
      <start>145</start>
      <end>147</end>
      <status>modified</status>
      <modifiedWord>议总</modifiedWord>
      <trackRevisions>false</trackRevisions>
    </reviewItem>
    <reviewItem>
      <errorID>e2ea7f1b-acde-46dd-bf46-1ccfe758fef3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791D284F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f0b71c-7951-433a-8d6e-e9cfa2cffa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3453</Words>
  <Characters>3619</Characters>
  <Lines>3</Lines>
  <Paragraphs>6</Paragraphs>
  <TotalTime>228</TotalTime>
  <ScaleCrop>false</ScaleCrop>
  <LinksUpToDate>false</LinksUpToDate>
  <CharactersWithSpaces>3684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2024-01-24T03:48:00Z</dcterms:created>
  <dc:creator>张爱军</dc:creator>
  <cp:lastModifiedBy>OK</cp:lastModifiedBy>
  <cp:lastPrinted>2026-01-15T04:06:00Z</cp:lastPrinted>
  <dcterms:modified xsi:type="dcterms:W3CDTF">2026-01-27T04:14:51Z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1493CD5C715C43B8930BAAE3D812C310_13</vt:lpwstr>
  </property>
  <property fmtid="{D5CDD505-2E9C-101B-9397-08002B2CF9AE}" pid="4" name="KSOTemplateDocerSaveRecord">
    <vt:lpwstr>eyJoZGlkIjoiY2FhMTY3MzFkMWI1OGI0OTdlZTU4N2QzYmNmOTQyMzQiLCJ1c2VySWQiOiIxMTU3MDIwNTAxIn0=</vt:lpwstr>
  </property>
</Properties>
</file>