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E164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sz w:val="44"/>
          <w:szCs w:val="44"/>
          <w14:textFill>
            <w14:solidFill>
              <w14:schemeClr w14:val="tx1"/>
            </w14:solidFill>
          </w14:textFill>
        </w:rPr>
      </w:pPr>
    </w:p>
    <w:p w14:paraId="6D297435">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sz w:val="44"/>
          <w:szCs w:val="44"/>
          <w14:textFill>
            <w14:solidFill>
              <w14:schemeClr w14:val="tx1"/>
            </w14:solidFill>
          </w14:textFill>
        </w:rPr>
      </w:pPr>
    </w:p>
    <w:p w14:paraId="688AEF2C">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sz w:val="44"/>
          <w:szCs w:val="44"/>
          <w14:textFill>
            <w14:solidFill>
              <w14:schemeClr w14:val="tx1"/>
            </w14:solidFill>
          </w14:textFill>
        </w:rPr>
      </w:pPr>
    </w:p>
    <w:p w14:paraId="64D48B61">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sz w:val="44"/>
          <w:szCs w:val="44"/>
          <w14:textFill>
            <w14:solidFill>
              <w14:schemeClr w14:val="tx1"/>
            </w14:solidFill>
          </w14:textFill>
        </w:rPr>
      </w:pPr>
    </w:p>
    <w:p w14:paraId="2F260CA3">
      <w:pPr>
        <w:keepNext w:val="0"/>
        <w:keepLines w:val="0"/>
        <w:pageBreakBefore w:val="0"/>
        <w:kinsoku/>
        <w:wordWrap/>
        <w:overflowPunct/>
        <w:topLinePunct w:val="0"/>
        <w:autoSpaceDE/>
        <w:autoSpaceDN/>
        <w:bidi w:val="0"/>
        <w:adjustRightInd/>
        <w:snapToGrid/>
        <w:spacing w:line="540" w:lineRule="exact"/>
        <w:textAlignment w:val="auto"/>
        <w:rPr>
          <w:color w:val="000000" w:themeColor="text1"/>
          <w:sz w:val="72"/>
          <w:szCs w:val="72"/>
          <w14:textFill>
            <w14:solidFill>
              <w14:schemeClr w14:val="tx1"/>
            </w14:solidFill>
          </w14:textFill>
        </w:rPr>
      </w:pPr>
    </w:p>
    <w:p w14:paraId="6686A280">
      <w:pPr>
        <w:keepNext w:val="0"/>
        <w:keepLines w:val="0"/>
        <w:pageBreakBefore w:val="0"/>
        <w:kinsoku/>
        <w:wordWrap/>
        <w:overflowPunct/>
        <w:topLinePunct w:val="0"/>
        <w:autoSpaceDE/>
        <w:autoSpaceDN/>
        <w:bidi w:val="0"/>
        <w:adjustRightInd/>
        <w:snapToGrid/>
        <w:spacing w:line="540" w:lineRule="exact"/>
        <w:textAlignment w:val="auto"/>
        <w:rPr>
          <w:rFonts w:eastAsia="仿宋_GB2312"/>
          <w:color w:val="000000" w:themeColor="text1"/>
          <w:sz w:val="32"/>
          <w:szCs w:val="32"/>
          <w14:textFill>
            <w14:solidFill>
              <w14:schemeClr w14:val="tx1"/>
            </w14:solidFill>
          </w14:textFill>
        </w:rPr>
      </w:pPr>
    </w:p>
    <w:p w14:paraId="66FBE7CF">
      <w:pPr>
        <w:keepNext w:val="0"/>
        <w:keepLines w:val="0"/>
        <w:pageBreakBefore w:val="0"/>
        <w:kinsoku/>
        <w:wordWrap/>
        <w:overflowPunct/>
        <w:topLinePunct w:val="0"/>
        <w:autoSpaceDE/>
        <w:autoSpaceDN/>
        <w:bidi w:val="0"/>
        <w:adjustRightInd/>
        <w:snapToGrid/>
        <w:spacing w:line="540" w:lineRule="exact"/>
        <w:textAlignment w:val="auto"/>
        <w:rPr>
          <w:rFonts w:eastAsia="仿宋_GB2312"/>
          <w:color w:val="000000" w:themeColor="text1"/>
          <w:sz w:val="32"/>
          <w:szCs w:val="32"/>
          <w14:textFill>
            <w14:solidFill>
              <w14:schemeClr w14:val="tx1"/>
            </w14:solidFill>
          </w14:textFill>
        </w:rPr>
      </w:pPr>
    </w:p>
    <w:p w14:paraId="456EF205">
      <w:pPr>
        <w:keepNext w:val="0"/>
        <w:keepLines w:val="0"/>
        <w:pageBreakBefore w:val="0"/>
        <w:kinsoku/>
        <w:wordWrap/>
        <w:overflowPunct/>
        <w:topLinePunct w:val="0"/>
        <w:autoSpaceDE/>
        <w:autoSpaceDN/>
        <w:bidi w:val="0"/>
        <w:adjustRightInd/>
        <w:snapToGrid/>
        <w:spacing w:line="540" w:lineRule="exact"/>
        <w:textAlignment w:val="auto"/>
        <w:rPr>
          <w:rFonts w:eastAsia="仿宋_GB2312"/>
          <w:color w:val="000000" w:themeColor="text1"/>
          <w:sz w:val="32"/>
          <w:szCs w:val="32"/>
          <w14:textFill>
            <w14:solidFill>
              <w14:schemeClr w14:val="tx1"/>
            </w14:solidFill>
          </w14:textFill>
        </w:rPr>
      </w:pPr>
    </w:p>
    <w:p w14:paraId="682151E5">
      <w:pPr>
        <w:keepNext w:val="0"/>
        <w:keepLines w:val="0"/>
        <w:pageBreakBefore w:val="0"/>
        <w:kinsoku/>
        <w:wordWrap/>
        <w:overflowPunct/>
        <w:topLinePunct w:val="0"/>
        <w:autoSpaceDE/>
        <w:autoSpaceDN/>
        <w:bidi w:val="0"/>
        <w:adjustRightInd/>
        <w:snapToGrid/>
        <w:spacing w:line="540" w:lineRule="exact"/>
        <w:jc w:val="center"/>
        <w:textAlignment w:val="auto"/>
        <w:rPr>
          <w:rFonts w:eastAsia="方正仿宋_GB2312"/>
          <w:color w:val="000000" w:themeColor="text1"/>
          <w:sz w:val="32"/>
          <w:szCs w:val="32"/>
          <w14:textFill>
            <w14:solidFill>
              <w14:schemeClr w14:val="tx1"/>
            </w14:solidFill>
          </w14:textFill>
        </w:rPr>
      </w:pPr>
      <w:r>
        <w:rPr>
          <w:rFonts w:eastAsia="方正仿宋_GB2312"/>
          <w:color w:val="000000" w:themeColor="text1"/>
          <w:sz w:val="32"/>
          <w:szCs w:val="32"/>
          <w14:textFill>
            <w14:solidFill>
              <w14:schemeClr w14:val="tx1"/>
            </w14:solidFill>
          </w14:textFill>
        </w:rPr>
        <w:t>师市环审〔202</w:t>
      </w:r>
      <w:r>
        <w:rPr>
          <w:rFonts w:hint="eastAsia" w:eastAsia="方正仿宋_GB2312"/>
          <w:color w:val="000000" w:themeColor="text1"/>
          <w:sz w:val="32"/>
          <w:szCs w:val="32"/>
          <w:lang w:val="en-US" w:eastAsia="zh-CN"/>
          <w14:textFill>
            <w14:solidFill>
              <w14:schemeClr w14:val="tx1"/>
            </w14:solidFill>
          </w14:textFill>
        </w:rPr>
        <w:t>6</w:t>
      </w:r>
      <w:r>
        <w:rPr>
          <w:rFonts w:eastAsia="方正仿宋_GB2312"/>
          <w:color w:val="000000" w:themeColor="text1"/>
          <w:sz w:val="32"/>
          <w:szCs w:val="32"/>
          <w14:textFill>
            <w14:solidFill>
              <w14:schemeClr w14:val="tx1"/>
            </w14:solidFill>
          </w14:textFill>
        </w:rPr>
        <w:t>〕</w:t>
      </w:r>
      <w:r>
        <w:rPr>
          <w:rFonts w:hint="eastAsia" w:eastAsia="方正仿宋_GB2312"/>
          <w:color w:val="000000" w:themeColor="text1"/>
          <w:sz w:val="32"/>
          <w:szCs w:val="32"/>
          <w:lang w:val="en-US" w:eastAsia="zh-CN"/>
          <w14:textFill>
            <w14:solidFill>
              <w14:schemeClr w14:val="tx1"/>
            </w14:solidFill>
          </w14:textFill>
        </w:rPr>
        <w:t>5</w:t>
      </w:r>
      <w:r>
        <w:rPr>
          <w:rFonts w:eastAsia="方正仿宋_GB2312"/>
          <w:color w:val="000000" w:themeColor="text1"/>
          <w:sz w:val="32"/>
          <w:szCs w:val="32"/>
          <w14:textFill>
            <w14:solidFill>
              <w14:schemeClr w14:val="tx1"/>
            </w14:solidFill>
          </w14:textFill>
        </w:rPr>
        <w:t>号</w:t>
      </w:r>
    </w:p>
    <w:p w14:paraId="5D703EC4">
      <w:pPr>
        <w:keepNext w:val="0"/>
        <w:keepLines w:val="0"/>
        <w:pageBreakBefore w:val="0"/>
        <w:kinsoku/>
        <w:wordWrap/>
        <w:overflowPunct/>
        <w:topLinePunct w:val="0"/>
        <w:autoSpaceDE/>
        <w:autoSpaceDN/>
        <w:bidi w:val="0"/>
        <w:adjustRightInd/>
        <w:snapToGrid/>
        <w:spacing w:line="540" w:lineRule="exact"/>
        <w:textAlignment w:val="auto"/>
        <w:rPr>
          <w:rFonts w:eastAsia="仿宋_GB2312"/>
          <w:color w:val="000000" w:themeColor="text1"/>
          <w:szCs w:val="21"/>
          <w14:textFill>
            <w14:solidFill>
              <w14:schemeClr w14:val="tx1"/>
            </w14:solidFill>
          </w14:textFill>
        </w:rPr>
      </w:pPr>
    </w:p>
    <w:p w14:paraId="6E271EEC">
      <w:pPr>
        <w:keepNext w:val="0"/>
        <w:keepLines w:val="0"/>
        <w:pageBreakBefore w:val="0"/>
        <w:kinsoku/>
        <w:wordWrap/>
        <w:overflowPunct/>
        <w:topLinePunct w:val="0"/>
        <w:autoSpaceDE/>
        <w:autoSpaceDN/>
        <w:bidi w:val="0"/>
        <w:adjustRightInd/>
        <w:snapToGrid/>
        <w:spacing w:line="540" w:lineRule="exact"/>
        <w:jc w:val="center"/>
        <w:textAlignment w:val="auto"/>
        <w:rPr>
          <w:rFonts w:eastAsia="方正小标宋简体"/>
          <w:sz w:val="44"/>
          <w:szCs w:val="44"/>
          <w:lang w:val="zh-CN"/>
        </w:rPr>
      </w:pPr>
      <w:r>
        <w:rPr>
          <w:rFonts w:eastAsia="方正小标宋简体"/>
          <w:sz w:val="44"/>
          <w:szCs w:val="44"/>
          <w:lang w:val="zh-CN"/>
        </w:rPr>
        <w:t>关于</w:t>
      </w:r>
      <w:r>
        <w:rPr>
          <w:rFonts w:hint="eastAsia" w:eastAsia="方正小标宋简体"/>
          <w:sz w:val="44"/>
          <w:szCs w:val="44"/>
          <w:lang w:val="zh-CN"/>
        </w:rPr>
        <w:t>第一师十六团标准化蛋鸡场建设项目</w:t>
      </w:r>
    </w:p>
    <w:p w14:paraId="088943F0">
      <w:pPr>
        <w:keepNext w:val="0"/>
        <w:keepLines w:val="0"/>
        <w:pageBreakBefore w:val="0"/>
        <w:kinsoku/>
        <w:wordWrap/>
        <w:overflowPunct/>
        <w:topLinePunct w:val="0"/>
        <w:autoSpaceDE/>
        <w:autoSpaceDN/>
        <w:bidi w:val="0"/>
        <w:adjustRightInd/>
        <w:snapToGrid/>
        <w:spacing w:line="540" w:lineRule="exact"/>
        <w:jc w:val="center"/>
        <w:textAlignment w:val="auto"/>
        <w:rPr>
          <w:rFonts w:eastAsia="方正小标宋简体"/>
          <w:sz w:val="44"/>
          <w:szCs w:val="44"/>
        </w:rPr>
      </w:pPr>
      <w:r>
        <w:rPr>
          <w:rFonts w:eastAsia="方正小标宋简体"/>
          <w:sz w:val="44"/>
          <w:szCs w:val="44"/>
          <w:lang w:val="zh-CN"/>
        </w:rPr>
        <w:t>环境影响报告书的</w:t>
      </w:r>
      <w:r>
        <w:rPr>
          <w:rFonts w:hint="eastAsia" w:eastAsia="方正小标宋简体"/>
          <w:sz w:val="44"/>
          <w:szCs w:val="44"/>
        </w:rPr>
        <w:t>批复</w:t>
      </w:r>
    </w:p>
    <w:p w14:paraId="402ABF92">
      <w:pPr>
        <w:keepNext w:val="0"/>
        <w:keepLines w:val="0"/>
        <w:pageBreakBefore w:val="0"/>
        <w:widowControl/>
        <w:kinsoku/>
        <w:wordWrap/>
        <w:overflowPunct/>
        <w:topLinePunct w:val="0"/>
        <w:autoSpaceDE/>
        <w:autoSpaceDN/>
        <w:bidi w:val="0"/>
        <w:adjustRightInd/>
        <w:snapToGrid/>
        <w:spacing w:line="540" w:lineRule="exact"/>
        <w:textAlignment w:val="auto"/>
        <w:rPr>
          <w:rFonts w:eastAsia="方正小标宋简体" w:cs="方正小标宋简体"/>
          <w:bCs/>
          <w:color w:val="000000" w:themeColor="text1"/>
          <w:sz w:val="44"/>
          <w:szCs w:val="44"/>
          <w14:textFill>
            <w14:solidFill>
              <w14:schemeClr w14:val="tx1"/>
            </w14:solidFill>
          </w14:textFill>
        </w:rPr>
      </w:pPr>
    </w:p>
    <w:p w14:paraId="642D461D">
      <w:pPr>
        <w:keepNext w:val="0"/>
        <w:keepLines w:val="0"/>
        <w:pageBreakBefore w:val="0"/>
        <w:widowControl/>
        <w:kinsoku/>
        <w:wordWrap/>
        <w:overflowPunct/>
        <w:autoSpaceDE/>
        <w:autoSpaceDN/>
        <w:bidi w:val="0"/>
        <w:spacing w:line="560" w:lineRule="exact"/>
        <w:ind w:left="640" w:hanging="640" w:hangingChars="20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仿宋简体" w:cs="方正仿宋简体"/>
          <w:color w:val="000000" w:themeColor="text1"/>
          <w:kern w:val="0"/>
          <w:sz w:val="32"/>
          <w:szCs w:val="32"/>
          <w14:textFill>
            <w14:solidFill>
              <w14:schemeClr w14:val="tx1"/>
            </w14:solidFill>
          </w14:textFill>
        </w:rPr>
        <w:t>阿拉尔市拓华国有资产经营有限责任公司：</w:t>
      </w:r>
    </w:p>
    <w:p w14:paraId="0C39B04C">
      <w:pPr>
        <w:keepNext w:val="0"/>
        <w:keepLines w:val="0"/>
        <w:pageBreakBefore w:val="0"/>
        <w:widowControl/>
        <w:kinsoku/>
        <w:wordWrap/>
        <w:overflowPunct/>
        <w:autoSpaceDE/>
        <w:autoSpaceDN/>
        <w:bidi w:val="0"/>
        <w:spacing w:line="560" w:lineRule="exact"/>
        <w:ind w:firstLine="640" w:firstLineChars="20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仿宋简体" w:cs="方正仿宋简体"/>
          <w:color w:val="000000" w:themeColor="text1"/>
          <w:sz w:val="32"/>
          <w:szCs w:val="32"/>
          <w14:textFill>
            <w14:solidFill>
              <w14:schemeClr w14:val="tx1"/>
            </w14:solidFill>
          </w14:textFill>
        </w:rPr>
        <w:t>你单位报送的《关于送审第一师十六团标准化蛋鸡场建设项目环境影响报告书</w:t>
      </w:r>
      <w:r>
        <w:rPr>
          <w:rFonts w:hint="eastAsia" w:eastAsia="方正仿宋简体" w:cs="方正仿宋简体"/>
          <w:color w:val="000000" w:themeColor="text1"/>
          <w:kern w:val="0"/>
          <w:sz w:val="32"/>
          <w:szCs w:val="32"/>
          <w14:textFill>
            <w14:solidFill>
              <w14:schemeClr w14:val="tx1"/>
            </w14:solidFill>
          </w14:textFill>
        </w:rPr>
        <w:t>的请示</w:t>
      </w:r>
      <w:r>
        <w:rPr>
          <w:rFonts w:hint="eastAsia" w:eastAsia="方正仿宋简体" w:cs="方正仿宋简体"/>
          <w:color w:val="000000" w:themeColor="text1"/>
          <w:sz w:val="32"/>
          <w:szCs w:val="32"/>
          <w14:textFill>
            <w14:solidFill>
              <w14:schemeClr w14:val="tx1"/>
            </w14:solidFill>
          </w14:textFill>
        </w:rPr>
        <w:t>》及《第一师十六团标准化蛋鸡场建设项目环境影响报告书》已收悉。经研究，现批复如下：</w:t>
      </w:r>
    </w:p>
    <w:p w14:paraId="6D0404FF">
      <w:pPr>
        <w:keepNext w:val="0"/>
        <w:keepLines w:val="0"/>
        <w:pageBreakBefore w:val="0"/>
        <w:widowControl/>
        <w:kinsoku/>
        <w:wordWrap/>
        <w:overflowPunct/>
        <w:autoSpaceDE/>
        <w:autoSpaceDN/>
        <w:bidi w:val="0"/>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eastAsia" w:eastAsia="方正黑体简体" w:cs="方正黑体简体"/>
          <w:color w:val="000000" w:themeColor="text1"/>
          <w:sz w:val="32"/>
          <w:szCs w:val="32"/>
          <w14:textFill>
            <w14:solidFill>
              <w14:schemeClr w14:val="tx1"/>
            </w14:solidFill>
          </w14:textFill>
        </w:rPr>
        <w:t>一、</w:t>
      </w:r>
      <w:r>
        <w:rPr>
          <w:rFonts w:hint="eastAsia" w:eastAsia="方正仿宋简体" w:cs="方正仿宋简体"/>
          <w:color w:val="000000" w:themeColor="text1"/>
          <w:sz w:val="32"/>
          <w:szCs w:val="32"/>
          <w14:textFill>
            <w14:solidFill>
              <w14:schemeClr w14:val="tx1"/>
            </w14:solidFill>
          </w14:textFill>
        </w:rPr>
        <w:t>该项</w:t>
      </w:r>
      <w:r>
        <w:rPr>
          <w:rFonts w:hint="default" w:ascii="Times New Roman" w:hAnsi="Times New Roman" w:eastAsia="方正仿宋简体" w:cs="Times New Roman"/>
          <w:color w:val="000000" w:themeColor="text1"/>
          <w:sz w:val="32"/>
          <w:szCs w:val="32"/>
          <w14:textFill>
            <w14:solidFill>
              <w14:schemeClr w14:val="tx1"/>
            </w14:solidFill>
          </w14:textFill>
        </w:rPr>
        <w:t>目位于16团12连，占地面</w:t>
      </w:r>
      <w:r>
        <w:rPr>
          <w:rFonts w:hint="default" w:ascii="Times New Roman" w:hAnsi="Times New Roman" w:eastAsia="方正仿宋简体" w:cs="Times New Roman"/>
          <w:color w:val="000000" w:themeColor="text1"/>
          <w:sz w:val="32"/>
          <w:szCs w:val="32"/>
          <w:lang w:val="zh-CN"/>
          <w14:textFill>
            <w14:solidFill>
              <w14:schemeClr w14:val="tx1"/>
            </w14:solidFill>
          </w14:textFill>
        </w:rPr>
        <w:t>积173559.25平方米</w:t>
      </w:r>
      <w:r>
        <w:rPr>
          <w:rFonts w:hint="default" w:ascii="Times New Roman" w:hAnsi="Times New Roman" w:eastAsia="方正仿宋简体" w:cs="Times New Roman"/>
          <w:color w:val="000000" w:themeColor="text1"/>
          <w:sz w:val="32"/>
          <w:szCs w:val="32"/>
          <w14:textFill>
            <w14:solidFill>
              <w14:schemeClr w14:val="tx1"/>
            </w14:solidFill>
          </w14:textFill>
        </w:rPr>
        <w:t>。项目区</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占地</w:t>
      </w:r>
      <w:r>
        <w:rPr>
          <w:rFonts w:hint="default" w:ascii="Times New Roman" w:hAnsi="Times New Roman" w:eastAsia="方正仿宋简体" w:cs="Times New Roman"/>
          <w:color w:val="000000" w:themeColor="text1"/>
          <w:sz w:val="32"/>
          <w:szCs w:val="32"/>
          <w14:textFill>
            <w14:solidFill>
              <w14:schemeClr w14:val="tx1"/>
            </w14:solidFill>
          </w14:textFill>
        </w:rPr>
        <w:t>属于设施农用地，东侧、西侧、南侧均为空地，北侧为农田。厂址中心地理坐标为东经80°46′11.314″，</w:t>
      </w:r>
      <w:r>
        <w:rPr>
          <w:rFonts w:hint="default" w:ascii="Times New Roman" w:hAnsi="Times New Roman" w:eastAsia="方正仿宋简体" w:cs="Times New Roman"/>
          <w:color w:val="000000" w:themeColor="text1"/>
          <w:spacing w:val="0"/>
          <w:sz w:val="32"/>
          <w:szCs w:val="32"/>
          <w14:textFill>
            <w14:solidFill>
              <w14:schemeClr w14:val="tx1"/>
            </w14:solidFill>
          </w14:textFill>
        </w:rPr>
        <w:t>北纬40°26′25.252″。</w:t>
      </w:r>
      <w:r>
        <w:rPr>
          <w:rFonts w:hint="default" w:ascii="Times New Roman" w:hAnsi="Times New Roman" w:eastAsia="方正仿宋简体" w:cs="Times New Roman"/>
          <w:color w:val="000000" w:themeColor="text1"/>
          <w:sz w:val="32"/>
          <w:szCs w:val="32"/>
          <w14:textFill>
            <w14:solidFill>
              <w14:schemeClr w14:val="tx1"/>
            </w14:solidFill>
          </w14:textFill>
        </w:rPr>
        <w:t>项目建设内容为蛋鸡舍9栋、育雏舍3栋、蛋库3栋及配套相关设施。项目建成后</w:t>
      </w:r>
      <w:r>
        <w:rPr>
          <w:rFonts w:hint="default" w:ascii="Times New Roman" w:hAnsi="Times New Roman" w:eastAsia="方正仿宋简体" w:cs="Times New Roman"/>
          <w:color w:val="auto"/>
          <w:sz w:val="32"/>
          <w:szCs w:val="32"/>
        </w:rPr>
        <w:t>年产鲜蛋6210吨，年存栏蛋鸡100万羽，年淘汰鸡70万羽。</w:t>
      </w:r>
      <w:r>
        <w:rPr>
          <w:rFonts w:hint="default" w:ascii="Times New Roman" w:hAnsi="Times New Roman" w:eastAsia="方正仿宋简体" w:cs="Times New Roman"/>
          <w:color w:val="000000" w:themeColor="text1"/>
          <w:sz w:val="32"/>
          <w:szCs w:val="32"/>
          <w14:textFill>
            <w14:solidFill>
              <w14:schemeClr w14:val="tx1"/>
            </w14:solidFill>
          </w14:textFill>
        </w:rPr>
        <w:t>项目总投资7700万元，其中环保投资211万元，占总投资的2.74%。</w:t>
      </w:r>
    </w:p>
    <w:p w14:paraId="512B7219">
      <w:pPr>
        <w:keepNext w:val="0"/>
        <w:keepLines w:val="0"/>
        <w:pageBreakBefore w:val="0"/>
        <w:widowControl/>
        <w:kinsoku/>
        <w:wordWrap/>
        <w:overflowPunct/>
        <w:autoSpaceDE/>
        <w:autoSpaceDN/>
        <w:bidi w:val="0"/>
        <w:spacing w:line="560" w:lineRule="exact"/>
        <w:ind w:firstLine="640" w:firstLineChars="200"/>
        <w:textAlignment w:val="auto"/>
        <w:rPr>
          <w:rFonts w:eastAsia="方正仿宋简体" w:cs="方正仿宋简体"/>
          <w:color w:val="000000" w:themeColor="text1"/>
          <w:sz w:val="32"/>
          <w:szCs w:val="32"/>
          <w:lang w:val="zh-CN"/>
          <w14:textFill>
            <w14:solidFill>
              <w14:schemeClr w14:val="tx1"/>
            </w14:solidFill>
          </w14:textFill>
        </w:rPr>
      </w:pPr>
      <w:r>
        <w:rPr>
          <w:rFonts w:hint="eastAsia" w:eastAsia="方正黑体简体" w:cs="方正黑体简体"/>
          <w:color w:val="000000" w:themeColor="text1"/>
          <w:sz w:val="32"/>
          <w:szCs w:val="32"/>
          <w:lang w:val="zh-CN"/>
          <w14:textFill>
            <w14:solidFill>
              <w14:schemeClr w14:val="tx1"/>
            </w14:solidFill>
          </w14:textFill>
        </w:rPr>
        <w:t>二、</w:t>
      </w:r>
      <w:r>
        <w:rPr>
          <w:rFonts w:hint="eastAsia" w:eastAsia="方正仿宋简体" w:cs="方正仿宋简体"/>
          <w:color w:val="000000" w:themeColor="text1"/>
          <w:sz w:val="32"/>
          <w:szCs w:val="32"/>
          <w14:textFill>
            <w14:solidFill>
              <w14:schemeClr w14:val="tx1"/>
            </w14:solidFill>
          </w14:textFill>
        </w:rPr>
        <w:t>根据兵团环境工程评估中心对《报告书》的技术评估意见（兵环评估〔2025〕266号）及成都新环众科检测技术有限公司编制的《报告书》评价结论，该项目属于家禽饲养，在符合产业政策、选址符合国土空间规划等相关规划的前提下，从环境保护的角度，我局原则同意《报告书》结论。</w:t>
      </w:r>
    </w:p>
    <w:p w14:paraId="41DE76AF">
      <w:pPr>
        <w:keepNext w:val="0"/>
        <w:keepLines w:val="0"/>
        <w:pageBreakBefore w:val="0"/>
        <w:widowControl/>
        <w:kinsoku/>
        <w:wordWrap/>
        <w:overflowPunct/>
        <w:autoSpaceDE/>
        <w:autoSpaceDN/>
        <w:bidi w:val="0"/>
        <w:spacing w:line="560" w:lineRule="exact"/>
        <w:ind w:firstLine="640" w:firstLineChars="200"/>
        <w:textAlignment w:val="auto"/>
        <w:rPr>
          <w:rFonts w:eastAsia="方正仿宋简体" w:cs="方正仿宋简体"/>
          <w:color w:val="000000" w:themeColor="text1"/>
          <w:sz w:val="32"/>
          <w:szCs w:val="32"/>
          <w14:textFill>
            <w14:solidFill>
              <w14:schemeClr w14:val="tx1"/>
            </w14:solidFill>
          </w14:textFill>
        </w:rPr>
      </w:pPr>
      <w:r>
        <w:rPr>
          <w:rFonts w:hint="eastAsia" w:eastAsia="方正黑体简体" w:cs="方正黑体简体"/>
          <w:color w:val="000000" w:themeColor="text1"/>
          <w:sz w:val="32"/>
          <w:szCs w:val="32"/>
          <w:lang w:val="zh-CN"/>
          <w14:textFill>
            <w14:solidFill>
              <w14:schemeClr w14:val="tx1"/>
            </w14:solidFill>
          </w14:textFill>
        </w:rPr>
        <w:t>三、</w:t>
      </w:r>
      <w:r>
        <w:rPr>
          <w:rFonts w:hint="eastAsia" w:eastAsia="方正仿宋简体" w:cs="方正仿宋简体"/>
          <w:color w:val="000000" w:themeColor="text1"/>
          <w:sz w:val="32"/>
          <w:szCs w:val="32"/>
          <w14:textFill>
            <w14:solidFill>
              <w14:schemeClr w14:val="tx1"/>
            </w14:solidFill>
          </w14:textFill>
        </w:rPr>
        <w:t>你单位在项目建设和运营中，应严格执行有关环境质量标准和污染物排放标准，认真、全面落实报告书提出的各项环保对策措施和要求，确保污染物达标排放和各环境敏感点满足相应功能要求。重点做好以下工作：</w:t>
      </w:r>
    </w:p>
    <w:p w14:paraId="73802A43">
      <w:pPr>
        <w:keepNext w:val="0"/>
        <w:keepLines w:val="0"/>
        <w:pageBreakBefore w:val="0"/>
        <w:kinsoku/>
        <w:wordWrap/>
        <w:overflowPunct/>
        <w:autoSpaceDE/>
        <w:autoSpaceDN/>
        <w:bidi w:val="0"/>
        <w:spacing w:line="560" w:lineRule="exact"/>
        <w:ind w:firstLine="640" w:firstLineChars="20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楷体简体" w:cs="方正楷体简体"/>
          <w:color w:val="000000" w:themeColor="text1"/>
          <w:kern w:val="0"/>
          <w:sz w:val="32"/>
          <w:szCs w:val="32"/>
          <w:lang w:val="zh-CN"/>
          <w14:textFill>
            <w14:solidFill>
              <w14:schemeClr w14:val="tx1"/>
            </w14:solidFill>
          </w14:textFill>
        </w:rPr>
        <w:t>（一）</w:t>
      </w:r>
      <w:r>
        <w:rPr>
          <w:rFonts w:hint="eastAsia" w:eastAsia="方正楷体简体" w:cs="方正楷体简体"/>
          <w:color w:val="000000" w:themeColor="text1"/>
          <w:kern w:val="0"/>
          <w:sz w:val="32"/>
          <w:szCs w:val="32"/>
          <w14:textFill>
            <w14:solidFill>
              <w14:schemeClr w14:val="tx1"/>
            </w14:solidFill>
          </w14:textFill>
        </w:rPr>
        <w:t>认真落实施工期生态环境保护和防沙治沙措施。</w:t>
      </w:r>
      <w:r>
        <w:rPr>
          <w:rFonts w:hint="eastAsia" w:eastAsia="方正仿宋简体" w:cs="方正仿宋简体"/>
          <w:color w:val="000000" w:themeColor="text1"/>
          <w:kern w:val="0"/>
          <w:sz w:val="32"/>
          <w:szCs w:val="32"/>
          <w14:textFill>
            <w14:solidFill>
              <w14:schemeClr w14:val="tx1"/>
            </w14:solidFill>
          </w14:textFill>
        </w:rPr>
        <w:t>做好施工过程中的降噪、防尘、施工固废清理和水土保持、防沙治沙等生态环境保护措施，妥善处置施工废弃物、生活垃圾及生活污水。</w:t>
      </w:r>
    </w:p>
    <w:p w14:paraId="59602DB6">
      <w:pPr>
        <w:keepNext w:val="0"/>
        <w:keepLines w:val="0"/>
        <w:pageBreakBefore w:val="0"/>
        <w:kinsoku/>
        <w:wordWrap/>
        <w:overflowPunct/>
        <w:autoSpaceDE/>
        <w:autoSpaceDN/>
        <w:bidi w:val="0"/>
        <w:spacing w:line="560" w:lineRule="exact"/>
        <w:ind w:firstLine="640" w:firstLineChars="200"/>
        <w:textAlignment w:val="auto"/>
        <w:rPr>
          <w:rFonts w:hint="default" w:ascii="Times New Roman" w:hAnsi="Times New Roman" w:eastAsia="方正仿宋简体" w:cs="Times New Roman"/>
          <w:color w:val="000000" w:themeColor="text1"/>
          <w:kern w:val="0"/>
          <w:sz w:val="32"/>
          <w:szCs w:val="32"/>
          <w14:textFill>
            <w14:solidFill>
              <w14:schemeClr w14:val="tx1"/>
            </w14:solidFill>
          </w14:textFill>
        </w:rPr>
      </w:pPr>
      <w:r>
        <w:rPr>
          <w:rFonts w:eastAsia="方正楷体简体" w:cs="方正楷体简体"/>
          <w:color w:val="000000" w:themeColor="text1"/>
          <w:kern w:val="0"/>
          <w:sz w:val="32"/>
          <w:szCs w:val="32"/>
          <w:lang w:val="zh-CN"/>
          <w14:textFill>
            <w14:solidFill>
              <w14:schemeClr w14:val="tx1"/>
            </w14:solidFill>
          </w14:textFill>
        </w:rPr>
        <w:t>（二）严格落实大气污染防治措施。</w:t>
      </w:r>
      <w:r>
        <w:rPr>
          <w:rFonts w:hint="eastAsia" w:eastAsia="方正仿宋简体" w:cs="方正仿宋简体"/>
          <w:color w:val="000000" w:themeColor="text1"/>
          <w:kern w:val="0"/>
          <w:sz w:val="32"/>
          <w:szCs w:val="32"/>
          <w14:textFill>
            <w14:solidFill>
              <w14:schemeClr w14:val="tx1"/>
            </w14:solidFill>
          </w14:textFill>
        </w:rPr>
        <w:t>该项目运营期产生的废气主要为发酵罐、鸡舍、氧化塘及病死鸡无害化处理产生的恶臭气体和食堂油烟。发酵罐和病死鸡无害化处理产生的恶臭气体经引风机引入生物除臭塔处理，</w:t>
      </w:r>
      <w:r>
        <w:rPr>
          <w:rFonts w:hint="default" w:ascii="Times New Roman" w:hAnsi="Times New Roman" w:eastAsia="方正仿宋简体" w:cs="Times New Roman"/>
          <w:color w:val="000000" w:themeColor="text1"/>
          <w:kern w:val="0"/>
          <w:sz w:val="32"/>
          <w:szCs w:val="32"/>
          <w14:textFill>
            <w14:solidFill>
              <w14:schemeClr w14:val="tx1"/>
            </w14:solidFill>
          </w14:textFill>
        </w:rPr>
        <w:t>废气中氨、硫化氢、臭气浓度须满足《恶臭污染物排放标准》（GB</w:t>
      </w:r>
      <w:r>
        <w:rPr>
          <w:rFonts w:hint="default" w:ascii="Times New Roman" w:hAnsi="Times New Roman" w:eastAsia="方正仿宋简体"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kern w:val="0"/>
          <w:sz w:val="32"/>
          <w:szCs w:val="32"/>
          <w14:textFill>
            <w14:solidFill>
              <w14:schemeClr w14:val="tx1"/>
            </w14:solidFill>
          </w14:textFill>
        </w:rPr>
        <w:t>14554-93）</w:t>
      </w:r>
      <w:r>
        <w:rPr>
          <w:rFonts w:hint="default" w:ascii="Times New Roman" w:hAnsi="Times New Roman" w:eastAsia="方正仿宋简体" w:cs="Times New Roman"/>
          <w:color w:val="auto"/>
          <w:kern w:val="0"/>
          <w:sz w:val="32"/>
          <w:szCs w:val="32"/>
        </w:rPr>
        <w:t>表2恶臭污染物排放标准值要求</w:t>
      </w:r>
      <w:r>
        <w:rPr>
          <w:rFonts w:hint="default" w:ascii="Times New Roman" w:hAnsi="Times New Roman" w:eastAsia="方正仿宋简体" w:cs="Times New Roman"/>
          <w:color w:val="000000" w:themeColor="text1"/>
          <w:kern w:val="0"/>
          <w:sz w:val="32"/>
          <w:szCs w:val="32"/>
          <w14:textFill>
            <w14:solidFill>
              <w14:schemeClr w14:val="tx1"/>
            </w14:solidFill>
          </w14:textFill>
        </w:rPr>
        <w:t>，非甲烷总烃排放须满足《大气污染物综合排放标准》（GB</w:t>
      </w:r>
      <w:r>
        <w:rPr>
          <w:rFonts w:hint="default" w:ascii="Times New Roman" w:hAnsi="Times New Roman" w:eastAsia="方正仿宋简体"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kern w:val="0"/>
          <w:sz w:val="32"/>
          <w:szCs w:val="32"/>
          <w14:textFill>
            <w14:solidFill>
              <w14:schemeClr w14:val="tx1"/>
            </w14:solidFill>
          </w14:textFill>
        </w:rPr>
        <w:t>16297-1996）中表2新污染源大气污染物排放限值二级标准要求后，通过一根15米高的排气筒（DA001）排放；食堂油烟经油烟净化器处理，满足《饮食业油烟排放标准》（GB</w:t>
      </w:r>
      <w:r>
        <w:rPr>
          <w:rFonts w:hint="eastAsia" w:ascii="Times New Roman" w:hAnsi="Times New Roman" w:eastAsia="方正仿宋简体"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kern w:val="0"/>
          <w:sz w:val="32"/>
          <w:szCs w:val="32"/>
          <w14:textFill>
            <w14:solidFill>
              <w14:schemeClr w14:val="tx1"/>
            </w14:solidFill>
          </w14:textFill>
        </w:rPr>
        <w:t>18483-2001）要求后，由专用烟道排放。</w:t>
      </w:r>
    </w:p>
    <w:p w14:paraId="3CE6B818">
      <w:pPr>
        <w:keepNext w:val="0"/>
        <w:keepLines w:val="0"/>
        <w:pageBreakBefore w:val="0"/>
        <w:kinsoku/>
        <w:wordWrap/>
        <w:overflowPunct/>
        <w:autoSpaceDE/>
        <w:autoSpaceDN/>
        <w:bidi w:val="0"/>
        <w:spacing w:line="560" w:lineRule="exact"/>
        <w:ind w:firstLine="640" w:firstLineChars="200"/>
        <w:textAlignment w:val="auto"/>
        <w:rPr>
          <w:rFonts w:hint="default" w:ascii="Times New Roman" w:hAnsi="Times New Roman" w:eastAsia="方正仿宋简体" w:cs="Times New Roman"/>
          <w:color w:val="000000" w:themeColor="text1"/>
          <w:kern w:val="0"/>
          <w:sz w:val="32"/>
          <w:szCs w:val="32"/>
          <w:lang w:val="zh-CN"/>
          <w14:textFill>
            <w14:solidFill>
              <w14:schemeClr w14:val="tx1"/>
            </w14:solidFill>
          </w14:textFill>
        </w:rPr>
      </w:pPr>
      <w:r>
        <w:rPr>
          <w:rFonts w:hint="default" w:ascii="Times New Roman" w:hAnsi="Times New Roman" w:eastAsia="方正仿宋简体" w:cs="Times New Roman"/>
          <w:color w:val="000000" w:themeColor="text1"/>
          <w:kern w:val="0"/>
          <w:sz w:val="32"/>
          <w:szCs w:val="32"/>
          <w14:textFill>
            <w14:solidFill>
              <w14:schemeClr w14:val="tx1"/>
            </w14:solidFill>
          </w14:textFill>
        </w:rPr>
        <w:t>通过采用鸡舍清粪采用干清粪工艺，干粪每日清扫；控制饲养密度，加强鸡舍通风，提高饲料利用率；鸡舍定期喷洒除臭剂，并在养殖场内设绿化隔离带；</w:t>
      </w:r>
      <w:r>
        <w:rPr>
          <w:rFonts w:hint="default" w:ascii="Times New Roman" w:hAnsi="Times New Roman" w:eastAsia="方正仿宋简体" w:cs="Times New Roman"/>
          <w:color w:val="auto"/>
          <w:kern w:val="0"/>
          <w:sz w:val="32"/>
          <w:szCs w:val="32"/>
        </w:rPr>
        <w:t>地埋式氧化塘加盖密闭</w:t>
      </w:r>
      <w:r>
        <w:rPr>
          <w:rFonts w:hint="default" w:ascii="Times New Roman" w:hAnsi="Times New Roman" w:eastAsia="方正仿宋简体" w:cs="Times New Roman"/>
          <w:color w:val="000000" w:themeColor="text1"/>
          <w:kern w:val="0"/>
          <w:sz w:val="32"/>
          <w:szCs w:val="32"/>
          <w14:textFill>
            <w14:solidFill>
              <w14:schemeClr w14:val="tx1"/>
            </w14:solidFill>
          </w14:textFill>
        </w:rPr>
        <w:t>，并定期喷洒除臭剂等措施，确保</w:t>
      </w:r>
      <w:r>
        <w:rPr>
          <w:rFonts w:hint="default" w:ascii="Times New Roman" w:hAnsi="Times New Roman" w:eastAsia="方正仿宋简体" w:cs="Times New Roman"/>
          <w:kern w:val="0"/>
          <w:sz w:val="32"/>
          <w:szCs w:val="32"/>
        </w:rPr>
        <w:t>厂内非甲烷总烃无组织排放满足《挥发性有机物无组织排放控制标准》（GB</w:t>
      </w:r>
      <w:r>
        <w:rPr>
          <w:rFonts w:hint="eastAsia"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kern w:val="0"/>
          <w:sz w:val="32"/>
          <w:szCs w:val="32"/>
        </w:rPr>
        <w:t>37822-2019）表A.1厂区内VOCs无组织排放限值。厂界硫化氢、氨须满足《恶臭污染物排放标准》（GB</w:t>
      </w:r>
      <w:r>
        <w:rPr>
          <w:rFonts w:hint="eastAsia"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kern w:val="0"/>
          <w:sz w:val="32"/>
          <w:szCs w:val="32"/>
        </w:rPr>
        <w:t>14554-93）表1恶臭污染物厂界标准值中</w:t>
      </w:r>
      <w:r>
        <w:rPr>
          <w:rFonts w:hint="default" w:ascii="Times New Roman" w:hAnsi="Times New Roman" w:eastAsia="方正仿宋简体" w:cs="Times New Roman"/>
          <w:color w:val="auto"/>
          <w:kern w:val="0"/>
          <w:sz w:val="32"/>
          <w:szCs w:val="32"/>
        </w:rPr>
        <w:t>新扩改建二级标准要求</w:t>
      </w:r>
      <w:r>
        <w:rPr>
          <w:rFonts w:hint="default" w:ascii="Times New Roman" w:hAnsi="Times New Roman" w:eastAsia="方正仿宋简体" w:cs="Times New Roman"/>
          <w:kern w:val="0"/>
          <w:sz w:val="32"/>
          <w:szCs w:val="32"/>
        </w:rPr>
        <w:t>；臭气浓度无组织排放须满足《畜禽养殖业污染物排放标准》（GB</w:t>
      </w:r>
      <w:r>
        <w:rPr>
          <w:rFonts w:hint="eastAsia"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kern w:val="0"/>
          <w:sz w:val="32"/>
          <w:szCs w:val="32"/>
        </w:rPr>
        <w:t>18596-2001）表7集约化畜禽养殖业恶臭污染物排放标准要求；厂界非甲烷总烃须满足《大气污染物综合排放标准》（GB</w:t>
      </w:r>
      <w:r>
        <w:rPr>
          <w:rFonts w:hint="eastAsia"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kern w:val="0"/>
          <w:sz w:val="32"/>
          <w:szCs w:val="32"/>
        </w:rPr>
        <w:t>16297-1996）中表2新污染源大气污染物排放限值中无组织排放监控浓度限值要求。</w:t>
      </w:r>
      <w:r>
        <w:rPr>
          <w:rFonts w:hint="default" w:ascii="Times New Roman" w:hAnsi="Times New Roman" w:eastAsia="方正仿宋简体" w:cs="Times New Roman"/>
          <w:color w:val="000000" w:themeColor="text1"/>
          <w:kern w:val="0"/>
          <w:sz w:val="32"/>
          <w:szCs w:val="32"/>
          <w:lang w:eastAsia="zh-CN"/>
          <w14:textFill>
            <w14:solidFill>
              <w14:schemeClr w14:val="tx1"/>
            </w14:solidFill>
          </w14:textFill>
        </w:rPr>
        <w:t>本项目</w:t>
      </w:r>
      <w:r>
        <w:rPr>
          <w:rFonts w:hint="default" w:ascii="Times New Roman" w:hAnsi="Times New Roman" w:eastAsia="方正仿宋简体" w:cs="Times New Roman"/>
          <w:color w:val="000000" w:themeColor="text1"/>
          <w:kern w:val="0"/>
          <w:sz w:val="32"/>
          <w:szCs w:val="32"/>
          <w:lang w:val="en-US" w:eastAsia="zh-CN"/>
          <w14:textFill>
            <w14:solidFill>
              <w14:schemeClr w14:val="tx1"/>
            </w14:solidFill>
          </w14:textFill>
        </w:rPr>
        <w:t>卫生防护距离为</w:t>
      </w:r>
      <w:r>
        <w:rPr>
          <w:rFonts w:hint="default" w:ascii="Times New Roman" w:hAnsi="Times New Roman" w:eastAsia="方正仿宋简体" w:cs="Times New Roman"/>
          <w:color w:val="000000" w:themeColor="text1"/>
          <w:kern w:val="0"/>
          <w:sz w:val="32"/>
          <w:szCs w:val="32"/>
          <w:lang w:eastAsia="zh-CN"/>
          <w14:textFill>
            <w14:solidFill>
              <w14:schemeClr w14:val="tx1"/>
            </w14:solidFill>
          </w14:textFill>
        </w:rPr>
        <w:t>500m，</w:t>
      </w:r>
      <w:r>
        <w:rPr>
          <w:rFonts w:hint="default" w:ascii="Times New Roman" w:hAnsi="Times New Roman" w:eastAsia="方正仿宋简体" w:cs="Times New Roman"/>
          <w:color w:val="000000" w:themeColor="text1"/>
          <w:kern w:val="0"/>
          <w:sz w:val="32"/>
          <w:szCs w:val="32"/>
          <w:lang w:val="en-US" w:eastAsia="zh-CN"/>
          <w14:textFill>
            <w14:solidFill>
              <w14:schemeClr w14:val="tx1"/>
            </w14:solidFill>
          </w14:textFill>
        </w:rPr>
        <w:t>此</w:t>
      </w:r>
      <w:r>
        <w:rPr>
          <w:rFonts w:hint="default" w:ascii="Times New Roman" w:hAnsi="Times New Roman" w:eastAsia="方正仿宋简体" w:cs="Times New Roman"/>
          <w:color w:val="000000" w:themeColor="text1"/>
          <w:kern w:val="0"/>
          <w:sz w:val="32"/>
          <w:szCs w:val="32"/>
          <w:lang w:eastAsia="zh-CN"/>
          <w14:textFill>
            <w14:solidFill>
              <w14:schemeClr w14:val="tx1"/>
            </w14:solidFill>
          </w14:textFill>
        </w:rPr>
        <w:t>范围内</w:t>
      </w:r>
      <w:r>
        <w:rPr>
          <w:rFonts w:hint="default" w:ascii="Times New Roman" w:hAnsi="Times New Roman" w:eastAsia="方正仿宋简体" w:cs="Times New Roman"/>
          <w:color w:val="000000" w:themeColor="text1"/>
          <w:kern w:val="0"/>
          <w:sz w:val="32"/>
          <w:szCs w:val="32"/>
          <w:lang w:val="en-US" w:eastAsia="zh-CN"/>
          <w14:textFill>
            <w14:solidFill>
              <w14:schemeClr w14:val="tx1"/>
            </w14:solidFill>
          </w14:textFill>
        </w:rPr>
        <w:t>禁止新建</w:t>
      </w:r>
      <w:r>
        <w:rPr>
          <w:rFonts w:hint="default" w:ascii="Times New Roman" w:hAnsi="Times New Roman" w:eastAsia="方正仿宋简体" w:cs="Times New Roman"/>
          <w:color w:val="000000" w:themeColor="text1"/>
          <w:kern w:val="0"/>
          <w:sz w:val="32"/>
          <w:szCs w:val="32"/>
          <w:lang w:eastAsia="zh-CN"/>
          <w14:textFill>
            <w14:solidFill>
              <w14:schemeClr w14:val="tx1"/>
            </w14:solidFill>
          </w14:textFill>
        </w:rPr>
        <w:t>居住区等敏感点。</w:t>
      </w:r>
    </w:p>
    <w:p w14:paraId="0642E889">
      <w:pPr>
        <w:keepNext w:val="0"/>
        <w:keepLines w:val="0"/>
        <w:pageBreakBefore w:val="0"/>
        <w:numPr>
          <w:ilvl w:val="0"/>
          <w:numId w:val="2"/>
        </w:numPr>
        <w:kinsoku/>
        <w:wordWrap/>
        <w:overflowPunct/>
        <w:autoSpaceDE/>
        <w:autoSpaceDN/>
        <w:bidi w:val="0"/>
        <w:spacing w:line="560" w:lineRule="exact"/>
        <w:ind w:firstLine="640" w:firstLineChars="200"/>
        <w:textAlignment w:val="auto"/>
        <w:rPr>
          <w:rFonts w:eastAsia="方正仿宋简体" w:cs="方正仿宋简体"/>
          <w:color w:val="000000" w:themeColor="text1"/>
          <w:sz w:val="32"/>
          <w:szCs w:val="32"/>
          <w14:textFill>
            <w14:solidFill>
              <w14:schemeClr w14:val="tx1"/>
            </w14:solidFill>
          </w14:textFill>
        </w:rPr>
      </w:pPr>
      <w:r>
        <w:rPr>
          <w:rFonts w:eastAsia="方正楷体简体" w:cs="方正楷体简体"/>
          <w:color w:val="000000" w:themeColor="text1"/>
          <w:kern w:val="0"/>
          <w:sz w:val="32"/>
          <w:szCs w:val="32"/>
          <w:lang w:val="zh-CN"/>
          <w14:textFill>
            <w14:solidFill>
              <w14:schemeClr w14:val="tx1"/>
            </w14:solidFill>
          </w14:textFill>
        </w:rPr>
        <w:t>严格落实水污染防治措施。</w:t>
      </w:r>
      <w:r>
        <w:rPr>
          <w:rFonts w:hint="eastAsia" w:eastAsia="方正仿宋简体" w:cs="方正仿宋简体"/>
          <w:color w:val="000000" w:themeColor="text1"/>
          <w:sz w:val="32"/>
          <w:szCs w:val="32"/>
          <w14:textFill>
            <w14:solidFill>
              <w14:schemeClr w14:val="tx1"/>
            </w14:solidFill>
          </w14:textFill>
        </w:rPr>
        <w:t>该项目运营期产生的废水主要为鸡舍冲洗废水、化制废水和生活污水。鸡舍冲洗废水和化制废水经氧化塘发酵后作为液态肥料，须满足</w:t>
      </w:r>
      <w:r>
        <w:rPr>
          <w:rFonts w:hint="eastAsia" w:eastAsia="方正仿宋简体" w:cs="方正仿宋简体"/>
          <w:sz w:val="32"/>
          <w:szCs w:val="32"/>
        </w:rPr>
        <w:t>《畜禽粪便无害化处理技术规范》（GB/T36195-2018）中表2液体畜禽粪便厌氧处理卫生学</w:t>
      </w:r>
      <w:r>
        <w:rPr>
          <w:rFonts w:hint="eastAsia" w:eastAsia="方正仿宋简体" w:cs="方正仿宋简体"/>
          <w:sz w:val="32"/>
          <w:szCs w:val="32"/>
          <w:lang w:val="en-US" w:eastAsia="zh-CN"/>
        </w:rPr>
        <w:t>及</w:t>
      </w:r>
      <w:r>
        <w:rPr>
          <w:rFonts w:hint="eastAsia" w:eastAsia="方正仿宋简体" w:cs="方正仿宋简体"/>
          <w:color w:val="auto"/>
          <w:spacing w:val="-11"/>
          <w:sz w:val="32"/>
          <w:szCs w:val="32"/>
          <w:lang w:val="en-US" w:eastAsia="zh-CN"/>
        </w:rPr>
        <w:t>《畜禽粪便还田技术规范》（GB/T25246-2025）</w:t>
      </w:r>
      <w:r>
        <w:rPr>
          <w:rFonts w:hint="eastAsia" w:eastAsia="方正仿宋简体" w:cs="方正仿宋简体"/>
          <w:sz w:val="32"/>
          <w:szCs w:val="32"/>
        </w:rPr>
        <w:t>要求</w:t>
      </w:r>
      <w:r>
        <w:rPr>
          <w:rFonts w:hint="eastAsia" w:eastAsia="方正仿宋简体" w:cs="方正仿宋简体"/>
          <w:color w:val="000000" w:themeColor="text1"/>
          <w:sz w:val="32"/>
          <w:szCs w:val="32"/>
          <w14:textFill>
            <w14:solidFill>
              <w14:schemeClr w14:val="tx1"/>
            </w14:solidFill>
          </w14:textFill>
        </w:rPr>
        <w:t>后</w:t>
      </w:r>
      <w:r>
        <w:rPr>
          <w:rFonts w:hint="eastAsia" w:eastAsia="方正仿宋简体" w:cs="方正仿宋简体"/>
          <w:color w:val="000000" w:themeColor="text1"/>
          <w:sz w:val="32"/>
          <w:szCs w:val="32"/>
          <w:lang w:eastAsia="zh-CN"/>
          <w14:textFill>
            <w14:solidFill>
              <w14:schemeClr w14:val="tx1"/>
            </w14:solidFill>
          </w14:textFill>
        </w:rPr>
        <w:t>，</w:t>
      </w:r>
      <w:r>
        <w:rPr>
          <w:rFonts w:hint="eastAsia" w:eastAsia="方正仿宋简体" w:cs="方正仿宋简体"/>
          <w:color w:val="000000" w:themeColor="text1"/>
          <w:sz w:val="32"/>
          <w:szCs w:val="32"/>
          <w14:textFill>
            <w14:solidFill>
              <w14:schemeClr w14:val="tx1"/>
            </w14:solidFill>
          </w14:textFill>
        </w:rPr>
        <w:t>用于</w:t>
      </w:r>
      <w:r>
        <w:rPr>
          <w:rFonts w:hint="eastAsia" w:eastAsia="方正仿宋简体" w:cs="方正仿宋简体"/>
          <w:color w:val="000000" w:themeColor="text1"/>
          <w:sz w:val="32"/>
          <w:szCs w:val="32"/>
          <w:lang w:val="en-US" w:eastAsia="zh-CN"/>
          <w14:textFill>
            <w14:solidFill>
              <w14:schemeClr w14:val="tx1"/>
            </w14:solidFill>
          </w14:textFill>
        </w:rPr>
        <w:t>周边</w:t>
      </w:r>
      <w:r>
        <w:rPr>
          <w:rFonts w:hint="eastAsia" w:eastAsia="方正仿宋简体" w:cs="方正仿宋简体"/>
          <w:color w:val="000000" w:themeColor="text1"/>
          <w:sz w:val="32"/>
          <w:szCs w:val="32"/>
          <w14:textFill>
            <w14:solidFill>
              <w14:schemeClr w14:val="tx1"/>
            </w14:solidFill>
          </w14:textFill>
        </w:rPr>
        <w:t>农田</w:t>
      </w:r>
      <w:r>
        <w:rPr>
          <w:rFonts w:hint="eastAsia" w:eastAsia="方正仿宋简体" w:cs="方正仿宋简体"/>
          <w:color w:val="000000" w:themeColor="text1"/>
          <w:sz w:val="32"/>
          <w:szCs w:val="32"/>
          <w:lang w:val="en-US" w:eastAsia="zh-CN"/>
          <w14:textFill>
            <w14:solidFill>
              <w14:schemeClr w14:val="tx1"/>
            </w14:solidFill>
          </w14:textFill>
        </w:rPr>
        <w:t>施肥，不外排</w:t>
      </w:r>
      <w:r>
        <w:rPr>
          <w:rFonts w:hint="eastAsia" w:eastAsia="方正仿宋简体" w:cs="方正仿宋简体"/>
          <w:color w:val="000000" w:themeColor="text1"/>
          <w:sz w:val="32"/>
          <w:szCs w:val="32"/>
          <w14:textFill>
            <w14:solidFill>
              <w14:schemeClr w14:val="tx1"/>
            </w14:solidFill>
          </w14:textFill>
        </w:rPr>
        <w:t>。生活污水经厂区化粪池处理满足</w:t>
      </w:r>
      <w:r>
        <w:rPr>
          <w:rFonts w:hint="eastAsia" w:eastAsia="方正仿宋简体" w:cs="方正仿宋简体"/>
          <w:color w:val="auto"/>
          <w:sz w:val="32"/>
          <w:szCs w:val="32"/>
        </w:rPr>
        <w:t>《污水综合排放标准》（GB</w:t>
      </w:r>
      <w:r>
        <w:rPr>
          <w:rFonts w:hint="eastAsia" w:eastAsia="方正仿宋简体" w:cs="方正仿宋简体"/>
          <w:color w:val="auto"/>
          <w:sz w:val="32"/>
          <w:szCs w:val="32"/>
          <w:lang w:val="en-US" w:eastAsia="zh-CN"/>
        </w:rPr>
        <w:t xml:space="preserve"> </w:t>
      </w:r>
      <w:r>
        <w:rPr>
          <w:rFonts w:hint="eastAsia" w:eastAsia="方正仿宋简体" w:cs="方正仿宋简体"/>
          <w:color w:val="auto"/>
          <w:sz w:val="32"/>
          <w:szCs w:val="32"/>
        </w:rPr>
        <w:t>8978-1996）表4中三级标准</w:t>
      </w:r>
      <w:r>
        <w:rPr>
          <w:rFonts w:hint="eastAsia" w:eastAsia="方正仿宋简体" w:cs="方正仿宋简体"/>
          <w:sz w:val="32"/>
          <w:szCs w:val="32"/>
        </w:rPr>
        <w:t>后</w:t>
      </w:r>
      <w:r>
        <w:rPr>
          <w:rFonts w:hint="eastAsia" w:eastAsia="方正仿宋简体" w:cs="方正仿宋简体"/>
          <w:color w:val="000000" w:themeColor="text1"/>
          <w:sz w:val="32"/>
          <w:szCs w:val="32"/>
          <w14:textFill>
            <w14:solidFill>
              <w14:schemeClr w14:val="tx1"/>
            </w14:solidFill>
          </w14:textFill>
        </w:rPr>
        <w:t>由吸污车定期拉运至十六团污水处理厂处理。</w:t>
      </w:r>
    </w:p>
    <w:p w14:paraId="2FA7D88B">
      <w:pPr>
        <w:pStyle w:val="24"/>
        <w:keepNext w:val="0"/>
        <w:keepLines w:val="0"/>
        <w:pageBreakBefore w:val="0"/>
        <w:kinsoku/>
        <w:wordWrap/>
        <w:overflowPunct/>
        <w:autoSpaceDE/>
        <w:autoSpaceDN/>
        <w:bidi w:val="0"/>
        <w:spacing w:line="560" w:lineRule="exact"/>
        <w:ind w:firstLine="640" w:firstLineChars="200"/>
        <w:textAlignment w:val="auto"/>
        <w:rPr>
          <w:rFonts w:eastAsia="方正仿宋简体" w:cs="方正仿宋简体"/>
          <w:color w:val="000000" w:themeColor="text1"/>
          <w:kern w:val="2"/>
          <w:sz w:val="32"/>
          <w:szCs w:val="32"/>
          <w14:textFill>
            <w14:solidFill>
              <w14:schemeClr w14:val="tx1"/>
            </w14:solidFill>
          </w14:textFill>
        </w:rPr>
      </w:pPr>
      <w:r>
        <w:rPr>
          <w:rFonts w:eastAsia="方正楷体简体" w:cs="方正楷体简体"/>
          <w:color w:val="000000" w:themeColor="text1"/>
          <w:sz w:val="32"/>
          <w:szCs w:val="32"/>
          <w:lang w:val="zh-CN"/>
          <w14:textFill>
            <w14:solidFill>
              <w14:schemeClr w14:val="tx1"/>
            </w14:solidFill>
          </w14:textFill>
        </w:rPr>
        <w:t>（四）严格落实噪声污染防治措施。</w:t>
      </w:r>
      <w:r>
        <w:rPr>
          <w:rFonts w:hint="eastAsia" w:eastAsia="方正仿宋简体" w:cs="方正仿宋简体"/>
          <w:color w:val="000000" w:themeColor="text1"/>
          <w:kern w:val="2"/>
          <w:sz w:val="32"/>
          <w:szCs w:val="32"/>
          <w14:textFill>
            <w14:solidFill>
              <w14:schemeClr w14:val="tx1"/>
            </w14:solidFill>
          </w14:textFill>
        </w:rPr>
        <w:t>该项目运营期产生的噪声主要为鸡叫声及生产设备产生的机械噪声。通过饲养人员加强管理，合理控制饲养时间；减少人为干扰；选择先进可靠的低噪音设备，为所有产噪设备设置减振措施；将噪声较大的设备置于室内隔声，采用隔声、吸音材料制作门窗、砌体，加强厂区绿化等措施；确保厂界噪声排放满足《工业企业厂界环境噪声排放标准》（GB</w:t>
      </w:r>
      <w:r>
        <w:rPr>
          <w:rFonts w:hint="eastAsia" w:eastAsia="方正仿宋简体" w:cs="方正仿宋简体"/>
          <w:color w:val="000000" w:themeColor="text1"/>
          <w:kern w:val="2"/>
          <w:sz w:val="32"/>
          <w:szCs w:val="32"/>
          <w:lang w:val="en-US" w:eastAsia="zh-CN"/>
          <w14:textFill>
            <w14:solidFill>
              <w14:schemeClr w14:val="tx1"/>
            </w14:solidFill>
          </w14:textFill>
        </w:rPr>
        <w:t xml:space="preserve"> </w:t>
      </w:r>
      <w:r>
        <w:rPr>
          <w:rFonts w:hint="eastAsia" w:eastAsia="方正仿宋简体" w:cs="方正仿宋简体"/>
          <w:color w:val="000000" w:themeColor="text1"/>
          <w:kern w:val="2"/>
          <w:sz w:val="32"/>
          <w:szCs w:val="32"/>
          <w14:textFill>
            <w14:solidFill>
              <w14:schemeClr w14:val="tx1"/>
            </w14:solidFill>
          </w14:textFill>
        </w:rPr>
        <w:t>12348-2008）中2类标准要求。</w:t>
      </w:r>
    </w:p>
    <w:p w14:paraId="2DCA959D">
      <w:pPr>
        <w:keepNext w:val="0"/>
        <w:keepLines w:val="0"/>
        <w:pageBreakBefore w:val="0"/>
        <w:kinsoku/>
        <w:wordWrap/>
        <w:overflowPunct/>
        <w:autoSpaceDE/>
        <w:autoSpaceDN/>
        <w:bidi w:val="0"/>
        <w:spacing w:line="560" w:lineRule="exact"/>
        <w:ind w:firstLine="640" w:firstLineChars="200"/>
        <w:textAlignment w:val="auto"/>
        <w:rPr>
          <w:rFonts w:eastAsia="方正仿宋简体" w:cs="方正仿宋简体"/>
          <w:color w:val="000000" w:themeColor="text1"/>
          <w:sz w:val="32"/>
          <w:szCs w:val="32"/>
          <w14:textFill>
            <w14:solidFill>
              <w14:schemeClr w14:val="tx1"/>
            </w14:solidFill>
          </w14:textFill>
        </w:rPr>
      </w:pPr>
      <w:r>
        <w:rPr>
          <w:rFonts w:eastAsia="方正楷体简体" w:cs="方正楷体简体"/>
          <w:color w:val="000000" w:themeColor="text1"/>
          <w:sz w:val="32"/>
          <w:szCs w:val="32"/>
          <w:lang w:val="zh-CN"/>
          <w14:textFill>
            <w14:solidFill>
              <w14:schemeClr w14:val="tx1"/>
            </w14:solidFill>
          </w14:textFill>
        </w:rPr>
        <w:t>（五）严格落实固体废物分类处置措施。</w:t>
      </w:r>
      <w:r>
        <w:rPr>
          <w:rFonts w:hint="eastAsia" w:eastAsia="方正仿宋简体" w:cs="方正仿宋简体"/>
          <w:color w:val="000000" w:themeColor="text1"/>
          <w:sz w:val="32"/>
          <w:szCs w:val="32"/>
          <w14:textFill>
            <w14:solidFill>
              <w14:schemeClr w14:val="tx1"/>
            </w14:solidFill>
          </w14:textFill>
        </w:rPr>
        <w:t>该项目运营期产生的固废主要为废矿物油、废油桶等危险废物；鸡粪、病死鸡、饲料残渣、脱落羽毛、化粪池及氧化塘污泥、废包装袋、肉骨粉等一般固体废物、卫生防疫废物以及生活垃圾。废矿物油、废油桶集中收集后暂存于危险废物贮存库，定期交由有危险废物处置资质单位处置，</w:t>
      </w:r>
      <w:r>
        <w:rPr>
          <w:rFonts w:hint="eastAsia" w:eastAsia="方正仿宋简体" w:cs="方正仿宋简体"/>
          <w:kern w:val="0"/>
          <w:sz w:val="32"/>
          <w:szCs w:val="32"/>
        </w:rPr>
        <w:t>严格执行危险废物转移联单制度，</w:t>
      </w:r>
      <w:r>
        <w:rPr>
          <w:rFonts w:hint="eastAsia" w:eastAsia="方正仿宋简体" w:cs="方正仿宋简体"/>
          <w:sz w:val="32"/>
          <w:szCs w:val="32"/>
        </w:rPr>
        <w:t>按照《危险废物贮存污染控制标准》（GB 18597-2023）建设和管理</w:t>
      </w:r>
      <w:r>
        <w:rPr>
          <w:rFonts w:hint="eastAsia" w:eastAsia="方正仿宋简体" w:cs="方正仿宋简体"/>
          <w:color w:val="000000" w:themeColor="text1"/>
          <w:sz w:val="32"/>
          <w:szCs w:val="32"/>
          <w14:textFill>
            <w14:solidFill>
              <w14:schemeClr w14:val="tx1"/>
            </w14:solidFill>
          </w14:textFill>
        </w:rPr>
        <w:t>危险废物贮存库</w:t>
      </w:r>
      <w:r>
        <w:rPr>
          <w:rFonts w:hint="eastAsia" w:eastAsia="方正仿宋简体" w:cs="方正仿宋简体"/>
          <w:sz w:val="32"/>
          <w:szCs w:val="32"/>
        </w:rPr>
        <w:t>。鸡粪、化粪池及氧化塘污泥经发酵罐收集发酵后，作为有机肥外售；病死鸡按照《病死及病害动物无害化处理技术规范》相关要求经化制（干化法）处理，处理后产生的肉骨粉作为有机肥外售；饲料残渣收集后作为饲料回用；脱落羽毛集中收集后外售给羽毛回收单位处理；</w:t>
      </w:r>
      <w:r>
        <w:rPr>
          <w:rFonts w:hint="eastAsia" w:eastAsia="方正仿宋简体" w:cs="方正仿宋简体"/>
          <w:color w:val="auto"/>
          <w:sz w:val="32"/>
          <w:szCs w:val="32"/>
        </w:rPr>
        <w:t>卫生防疫废物</w:t>
      </w:r>
      <w:r>
        <w:rPr>
          <w:rFonts w:hint="eastAsia" w:ascii="Cambria" w:hAnsi="Cambria" w:eastAsia="方正仿宋简体" w:cs="方正仿宋简体"/>
          <w:color w:val="auto"/>
          <w:sz w:val="32"/>
          <w:szCs w:val="32"/>
        </w:rPr>
        <w:t>按照</w:t>
      </w:r>
      <w:r>
        <w:rPr>
          <w:rFonts w:ascii="Cambria" w:hAnsi="Cambria" w:eastAsia="方正仿宋简体" w:cs="方正仿宋简体"/>
          <w:color w:val="auto"/>
          <w:sz w:val="32"/>
          <w:szCs w:val="32"/>
        </w:rPr>
        <w:t>农业</w:t>
      </w:r>
      <w:r>
        <w:rPr>
          <w:rFonts w:hint="eastAsia" w:eastAsia="方正仿宋简体" w:cs="方正仿宋简体"/>
          <w:color w:val="auto"/>
          <w:sz w:val="32"/>
          <w:szCs w:val="32"/>
        </w:rPr>
        <w:t>农村部门的</w:t>
      </w:r>
      <w:r>
        <w:rPr>
          <w:rFonts w:hint="eastAsia" w:eastAsia="方正仿宋简体" w:cs="方正仿宋简体"/>
          <w:color w:val="auto"/>
          <w:sz w:val="32"/>
          <w:szCs w:val="32"/>
          <w:lang w:val="en-US" w:eastAsia="zh-CN"/>
        </w:rPr>
        <w:t>要求</w:t>
      </w:r>
      <w:r>
        <w:rPr>
          <w:rFonts w:hint="eastAsia" w:eastAsia="方正仿宋简体" w:cs="方正仿宋简体"/>
          <w:color w:val="auto"/>
          <w:sz w:val="32"/>
          <w:szCs w:val="32"/>
        </w:rPr>
        <w:t>进行管理，确保符合动物防疫要求；</w:t>
      </w:r>
      <w:r>
        <w:rPr>
          <w:rFonts w:hint="eastAsia" w:eastAsia="方正仿宋简体" w:cs="方正仿宋简体"/>
          <w:sz w:val="32"/>
          <w:szCs w:val="32"/>
        </w:rPr>
        <w:t>废包装袋统一收集后送至废品回收站收购；</w:t>
      </w:r>
      <w:r>
        <w:rPr>
          <w:rFonts w:hint="eastAsia" w:eastAsia="方正仿宋简体" w:cs="方正仿宋简体"/>
          <w:color w:val="000000" w:themeColor="text1"/>
          <w:sz w:val="32"/>
          <w:szCs w:val="32"/>
          <w14:textFill>
            <w14:solidFill>
              <w14:schemeClr w14:val="tx1"/>
            </w14:solidFill>
          </w14:textFill>
        </w:rPr>
        <w:t>生活垃圾由环卫部门统一清运处理。</w:t>
      </w:r>
    </w:p>
    <w:p w14:paraId="1FDE1E16">
      <w:pPr>
        <w:keepNext w:val="0"/>
        <w:keepLines w:val="0"/>
        <w:pageBreakBefore w:val="0"/>
        <w:kinsoku/>
        <w:wordWrap/>
        <w:overflowPunct/>
        <w:autoSpaceDE/>
        <w:autoSpaceDN/>
        <w:bidi w:val="0"/>
        <w:spacing w:line="560" w:lineRule="exact"/>
        <w:ind w:firstLine="640" w:firstLineChars="200"/>
        <w:jc w:val="left"/>
        <w:textAlignment w:val="auto"/>
        <w:rPr>
          <w:rFonts w:hint="default" w:ascii="Times New Roman" w:hAnsi="Times New Roman" w:eastAsia="方正仿宋_GB2312" w:cs="Times New Roman"/>
          <w:color w:val="000000" w:themeColor="text1"/>
          <w:sz w:val="32"/>
          <w:szCs w:val="32"/>
          <w14:textFill>
            <w14:solidFill>
              <w14:schemeClr w14:val="tx1"/>
            </w14:solidFill>
          </w14:textFill>
        </w:rPr>
      </w:pPr>
      <w:r>
        <w:rPr>
          <w:rFonts w:eastAsia="方正楷体简体" w:cs="方正楷体简体"/>
          <w:color w:val="000000" w:themeColor="text1"/>
          <w:kern w:val="0"/>
          <w:sz w:val="32"/>
          <w:szCs w:val="32"/>
          <w:lang w:val="zh-CN"/>
          <w14:textFill>
            <w14:solidFill>
              <w14:schemeClr w14:val="tx1"/>
            </w14:solidFill>
          </w14:textFill>
        </w:rPr>
        <w:t>（六）严格落实地下水和土壤污染防治措施。</w:t>
      </w:r>
      <w:r>
        <w:rPr>
          <w:rFonts w:hint="eastAsia" w:eastAsia="方正仿宋简体" w:cs="方正仿宋简体"/>
          <w:color w:val="000000" w:themeColor="text1"/>
          <w:sz w:val="32"/>
          <w:szCs w:val="32"/>
          <w14:textFill>
            <w14:solidFill>
              <w14:schemeClr w14:val="tx1"/>
            </w14:solidFill>
          </w14:textFill>
        </w:rPr>
        <w:t>根据《</w:t>
      </w:r>
      <w:r>
        <w:rPr>
          <w:rFonts w:hint="default" w:ascii="Times New Roman" w:hAnsi="Times New Roman" w:eastAsia="方正仿宋简体" w:cs="Times New Roman"/>
          <w:color w:val="000000" w:themeColor="text1"/>
          <w:sz w:val="32"/>
          <w:szCs w:val="32"/>
          <w14:textFill>
            <w14:solidFill>
              <w14:schemeClr w14:val="tx1"/>
            </w14:solidFill>
          </w14:textFill>
        </w:rPr>
        <w:t>环境影响评价技术导则 地下水环境》（HJ610-2016）的要求，将厂区划分为重点防渗区、一般防渗区、简单防渗区。重点防渗区包括化粪池、地埋式氧化塘、危险废物贮存库、发电机房、粪污管道、消毒池。危险废物贮存库按照《危险废物贮存污染控制标准》（GB</w:t>
      </w:r>
      <w:r>
        <w:rPr>
          <w:rFonts w:hint="eastAsia"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18597-2023）的防渗要求执行，其余重点防渗区的防渗要求为“等效黏土防渗层Mb≥6.0米，防渗系数K≤1×10</w:t>
      </w:r>
      <w:r>
        <w:rPr>
          <w:rFonts w:hint="default" w:ascii="Times New Roman" w:hAnsi="Times New Roman" w:eastAsia="方正仿宋简体" w:cs="Times New Roman"/>
          <w:color w:val="000000" w:themeColor="text1"/>
          <w:sz w:val="32"/>
          <w:szCs w:val="32"/>
          <w:vertAlign w:val="superscript"/>
          <w14:textFill>
            <w14:solidFill>
              <w14:schemeClr w14:val="tx1"/>
            </w14:solidFill>
          </w14:textFill>
        </w:rPr>
        <w:t>-7</w:t>
      </w:r>
      <w:r>
        <w:rPr>
          <w:rFonts w:hint="default" w:ascii="Times New Roman" w:hAnsi="Times New Roman" w:eastAsia="方正仿宋简体" w:cs="Times New Roman"/>
          <w:color w:val="000000" w:themeColor="text1"/>
          <w:sz w:val="32"/>
          <w:szCs w:val="32"/>
          <w14:textFill>
            <w14:solidFill>
              <w14:schemeClr w14:val="tx1"/>
            </w14:solidFill>
          </w14:textFill>
        </w:rPr>
        <w:t>厘米/秒”；一般防渗区包括鸡舍、蛋库、有机肥成品车间，防渗要求为“等效黏土防渗层Mb≥1.5米，防渗系数K≤1×10</w:t>
      </w:r>
      <w:r>
        <w:rPr>
          <w:rFonts w:hint="default" w:ascii="Times New Roman" w:hAnsi="Times New Roman" w:eastAsia="方正仿宋简体" w:cs="Times New Roman"/>
          <w:color w:val="000000" w:themeColor="text1"/>
          <w:sz w:val="32"/>
          <w:szCs w:val="32"/>
          <w:vertAlign w:val="superscript"/>
          <w14:textFill>
            <w14:solidFill>
              <w14:schemeClr w14:val="tx1"/>
            </w14:solidFill>
          </w14:textFill>
        </w:rPr>
        <w:t>-7</w:t>
      </w:r>
      <w:r>
        <w:rPr>
          <w:rFonts w:hint="default" w:ascii="Times New Roman" w:hAnsi="Times New Roman" w:eastAsia="方正仿宋简体" w:cs="Times New Roman"/>
          <w:color w:val="000000" w:themeColor="text1"/>
          <w:sz w:val="32"/>
          <w:szCs w:val="32"/>
          <w14:textFill>
            <w14:solidFill>
              <w14:schemeClr w14:val="tx1"/>
            </w14:solidFill>
          </w14:textFill>
        </w:rPr>
        <w:t>厘米/秒”；其余部位为简单防渗区，仅进行地面硬化。</w:t>
      </w:r>
      <w:bookmarkStart w:id="0" w:name="_GoBack"/>
      <w:bookmarkEnd w:id="0"/>
    </w:p>
    <w:p w14:paraId="25EA74CD">
      <w:pPr>
        <w:pStyle w:val="4"/>
        <w:keepNext w:val="0"/>
        <w:keepLines w:val="0"/>
        <w:pageBreakBefore w:val="0"/>
        <w:kinsoku/>
        <w:wordWrap/>
        <w:overflowPunct/>
        <w:autoSpaceDE/>
        <w:autoSpaceDN/>
        <w:bidi w:val="0"/>
        <w:adjustRightInd w:val="0"/>
        <w:snapToGrid w:val="0"/>
        <w:spacing w:line="560" w:lineRule="exact"/>
        <w:ind w:firstLine="640" w:firstLineChars="200"/>
        <w:textAlignment w:val="auto"/>
        <w:rPr>
          <w:rFonts w:eastAsia="方正仿宋简体" w:cs="方正仿宋简体"/>
          <w:color w:val="000000" w:themeColor="text1"/>
          <w:sz w:val="32"/>
          <w:szCs w:val="32"/>
          <w14:textFill>
            <w14:solidFill>
              <w14:schemeClr w14:val="tx1"/>
            </w14:solidFill>
          </w14:textFill>
        </w:rPr>
      </w:pPr>
      <w:r>
        <w:rPr>
          <w:rFonts w:eastAsia="方正楷体简体" w:cs="方正楷体简体"/>
          <w:color w:val="000000" w:themeColor="text1"/>
          <w:kern w:val="0"/>
          <w:sz w:val="32"/>
          <w:szCs w:val="32"/>
          <w:lang w:val="zh-CN"/>
          <w14:textFill>
            <w14:solidFill>
              <w14:schemeClr w14:val="tx1"/>
            </w14:solidFill>
          </w14:textFill>
        </w:rPr>
        <w:t>（七）加强项目环境风险防范。</w:t>
      </w:r>
      <w:r>
        <w:rPr>
          <w:rFonts w:hint="eastAsia" w:eastAsia="方正仿宋简体" w:cs="方正仿宋简体"/>
          <w:color w:val="000000" w:themeColor="text1"/>
          <w:sz w:val="32"/>
          <w:szCs w:val="32"/>
          <w14:textFill>
            <w14:solidFill>
              <w14:schemeClr w14:val="tx1"/>
            </w14:solidFill>
          </w14:textFill>
        </w:rPr>
        <w:t>建立严格的环境风险管理制度，认真落实报告书提出的各项风险防范措施；制定相关应急预案，编制《突发环境事件应急预案》报生态环境主管部门备案，确保不发生环境污染事故；做好和地方环境应急预案的衔接，定期开展突发环境事件应急演练，及时对环境应急预案进行完善。</w:t>
      </w:r>
    </w:p>
    <w:p w14:paraId="0A170B88">
      <w:pPr>
        <w:keepNext w:val="0"/>
        <w:keepLines w:val="0"/>
        <w:pageBreakBefore w:val="0"/>
        <w:kinsoku/>
        <w:wordWrap/>
        <w:overflowPunct/>
        <w:autoSpaceDE/>
        <w:autoSpaceDN/>
        <w:bidi w:val="0"/>
        <w:spacing w:line="560" w:lineRule="exact"/>
        <w:ind w:firstLine="640" w:firstLineChars="20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黑体简体" w:cs="方正黑体简体"/>
          <w:color w:val="000000" w:themeColor="text1"/>
          <w:kern w:val="0"/>
          <w:sz w:val="32"/>
          <w:szCs w:val="32"/>
          <w:lang w:val="zh-CN"/>
          <w14:textFill>
            <w14:solidFill>
              <w14:schemeClr w14:val="tx1"/>
            </w14:solidFill>
          </w14:textFill>
        </w:rPr>
        <w:t>四、</w:t>
      </w:r>
      <w:r>
        <w:rPr>
          <w:rFonts w:hint="eastAsia" w:eastAsia="方正仿宋简体" w:cs="方正仿宋简体"/>
          <w:color w:val="000000" w:themeColor="text1"/>
          <w:kern w:val="0"/>
          <w:sz w:val="32"/>
          <w:szCs w:val="32"/>
          <w14:textFill>
            <w14:solidFill>
              <w14:schemeClr w14:val="tx1"/>
            </w14:solidFill>
          </w14:textFill>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1D3254A0">
      <w:pPr>
        <w:pStyle w:val="18"/>
        <w:keepNext w:val="0"/>
        <w:keepLines w:val="0"/>
        <w:pageBreakBefore w:val="0"/>
        <w:kinsoku/>
        <w:wordWrap/>
        <w:overflowPunct/>
        <w:autoSpaceDE/>
        <w:autoSpaceDN/>
        <w:bidi w:val="0"/>
        <w:spacing w:after="0" w:line="560" w:lineRule="exact"/>
        <w:ind w:left="0" w:leftChars="0" w:firstLine="64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黑体简体" w:cs="方正黑体简体"/>
          <w:color w:val="000000" w:themeColor="text1"/>
          <w:kern w:val="0"/>
          <w:sz w:val="32"/>
          <w:szCs w:val="32"/>
          <w:lang w:val="zh-CN"/>
          <w14:textFill>
            <w14:solidFill>
              <w14:schemeClr w14:val="tx1"/>
            </w14:solidFill>
          </w14:textFill>
        </w:rPr>
        <w:t>五、</w:t>
      </w:r>
      <w:r>
        <w:rPr>
          <w:rFonts w:hint="eastAsia" w:eastAsia="方正仿宋简体" w:cs="方正仿宋简体"/>
          <w:color w:val="000000" w:themeColor="text1"/>
          <w:kern w:val="0"/>
          <w:sz w:val="32"/>
          <w:szCs w:val="32"/>
          <w14:textFill>
            <w14:solidFill>
              <w14:schemeClr w14:val="tx1"/>
            </w14:solidFill>
          </w14:textFill>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0B870C22">
      <w:pPr>
        <w:pStyle w:val="18"/>
        <w:keepNext w:val="0"/>
        <w:keepLines w:val="0"/>
        <w:pageBreakBefore w:val="0"/>
        <w:kinsoku/>
        <w:wordWrap/>
        <w:overflowPunct/>
        <w:autoSpaceDE/>
        <w:autoSpaceDN/>
        <w:bidi w:val="0"/>
        <w:spacing w:after="0" w:line="560" w:lineRule="exact"/>
        <w:ind w:left="0" w:leftChars="0" w:firstLine="64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黑体简体" w:cs="方正黑体简体"/>
          <w:color w:val="000000" w:themeColor="text1"/>
          <w:kern w:val="0"/>
          <w:sz w:val="32"/>
          <w:szCs w:val="32"/>
          <w:lang w:val="zh-CN"/>
          <w14:textFill>
            <w14:solidFill>
              <w14:schemeClr w14:val="tx1"/>
            </w14:solidFill>
          </w14:textFill>
        </w:rPr>
        <w:t>六、</w:t>
      </w:r>
      <w:r>
        <w:rPr>
          <w:rFonts w:hint="eastAsia" w:eastAsia="方正仿宋简体" w:cs="方正仿宋简体"/>
          <w:color w:val="000000" w:themeColor="text1"/>
          <w:kern w:val="0"/>
          <w:sz w:val="32"/>
          <w:szCs w:val="32"/>
          <w14:textFill>
            <w14:solidFill>
              <w14:schemeClr w14:val="tx1"/>
            </w14:solidFill>
          </w14:textFill>
        </w:rPr>
        <w:t>在启动生产设施或者在实际排污之前，按照经批准的环境影响评价文件认真梳理并确认各项环境保护措施落实后，依法申领或变更排污许可，按照排污许可要求制定自行监测制度。</w:t>
      </w:r>
    </w:p>
    <w:p w14:paraId="438F4295">
      <w:pPr>
        <w:pStyle w:val="18"/>
        <w:keepNext w:val="0"/>
        <w:keepLines w:val="0"/>
        <w:pageBreakBefore w:val="0"/>
        <w:kinsoku/>
        <w:wordWrap/>
        <w:overflowPunct/>
        <w:autoSpaceDE/>
        <w:autoSpaceDN/>
        <w:bidi w:val="0"/>
        <w:spacing w:after="0" w:line="560" w:lineRule="exact"/>
        <w:ind w:left="0" w:leftChars="0" w:firstLine="64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黑体简体" w:cs="方正黑体简体"/>
          <w:color w:val="000000" w:themeColor="text1"/>
          <w:kern w:val="0"/>
          <w:sz w:val="32"/>
          <w:szCs w:val="32"/>
          <w:lang w:val="zh-CN"/>
          <w14:textFill>
            <w14:solidFill>
              <w14:schemeClr w14:val="tx1"/>
            </w14:solidFill>
          </w14:textFill>
        </w:rPr>
        <w:t>七、</w:t>
      </w:r>
      <w:r>
        <w:rPr>
          <w:rFonts w:hint="eastAsia" w:eastAsia="方正仿宋简体" w:cs="方正仿宋简体"/>
          <w:color w:val="000000" w:themeColor="text1"/>
          <w:kern w:val="0"/>
          <w:sz w:val="32"/>
          <w:szCs w:val="32"/>
          <w14:textFill>
            <w14:solidFill>
              <w14:schemeClr w14:val="tx1"/>
            </w14:solidFill>
          </w14:textFill>
        </w:rPr>
        <w:t>农业农村局</w:t>
      </w:r>
      <w:r>
        <w:rPr>
          <w:rFonts w:hint="eastAsia" w:eastAsia="方正仿宋简体" w:cs="方正仿宋简体"/>
          <w:kern w:val="0"/>
          <w:sz w:val="32"/>
          <w:szCs w:val="32"/>
        </w:rPr>
        <w:t>根据《第一师阿拉尔市有关部门生态环境保护责任清单》（师市党办发〔2025〕9号）内容要求，对该项目进行监督管理，十六团新开岭</w:t>
      </w:r>
      <w:r>
        <w:rPr>
          <w:rFonts w:hint="eastAsia" w:eastAsia="方正仿宋简体" w:cs="方正仿宋简体"/>
          <w:color w:val="000000" w:themeColor="text1"/>
          <w:kern w:val="0"/>
          <w:sz w:val="32"/>
          <w:szCs w:val="32"/>
          <w14:textFill>
            <w14:solidFill>
              <w14:schemeClr w14:val="tx1"/>
            </w14:solidFill>
          </w14:textFill>
        </w:rPr>
        <w:t>镇</w:t>
      </w:r>
      <w:r>
        <w:rPr>
          <w:rFonts w:hint="eastAsia" w:eastAsia="方正仿宋简体" w:cs="方正仿宋简体"/>
          <w:color w:val="000000" w:themeColor="text1"/>
          <w:kern w:val="0"/>
          <w:sz w:val="32"/>
          <w:szCs w:val="32"/>
          <w:lang w:val="zh-CN"/>
          <w14:textFill>
            <w14:solidFill>
              <w14:schemeClr w14:val="tx1"/>
            </w14:solidFill>
          </w14:textFill>
        </w:rPr>
        <w:t>积极发挥政府职能，做好该项目环境保护管理工作，师市生态环境保护综合行政执法支队做好该项目的抽查</w:t>
      </w:r>
      <w:r>
        <w:rPr>
          <w:rFonts w:hint="eastAsia" w:eastAsia="方正仿宋简体" w:cs="方正仿宋简体"/>
          <w:color w:val="000000" w:themeColor="text1"/>
          <w:kern w:val="0"/>
          <w:sz w:val="32"/>
          <w:szCs w:val="32"/>
          <w14:textFill>
            <w14:solidFill>
              <w14:schemeClr w14:val="tx1"/>
            </w14:solidFill>
          </w14:textFill>
        </w:rPr>
        <w:t>及</w:t>
      </w:r>
      <w:r>
        <w:rPr>
          <w:rFonts w:hint="eastAsia" w:eastAsia="方正仿宋简体" w:cs="方正仿宋简体"/>
          <w:color w:val="000000" w:themeColor="text1"/>
          <w:kern w:val="0"/>
          <w:sz w:val="32"/>
          <w:szCs w:val="32"/>
          <w:lang w:val="zh-CN"/>
          <w14:textFill>
            <w14:solidFill>
              <w14:schemeClr w14:val="tx1"/>
            </w14:solidFill>
          </w14:textFill>
        </w:rPr>
        <w:t>日常监督管理工作</w:t>
      </w:r>
      <w:r>
        <w:rPr>
          <w:rFonts w:hint="eastAsia" w:eastAsia="方正仿宋简体" w:cs="方正仿宋简体"/>
          <w:color w:val="000000" w:themeColor="text1"/>
          <w:kern w:val="0"/>
          <w:sz w:val="32"/>
          <w:szCs w:val="32"/>
          <w14:textFill>
            <w14:solidFill>
              <w14:schemeClr w14:val="tx1"/>
            </w14:solidFill>
          </w14:textFill>
        </w:rPr>
        <w:t>。</w:t>
      </w:r>
    </w:p>
    <w:p w14:paraId="5279D15F">
      <w:pPr>
        <w:pStyle w:val="18"/>
        <w:keepNext w:val="0"/>
        <w:keepLines w:val="0"/>
        <w:pageBreakBefore w:val="0"/>
        <w:kinsoku/>
        <w:wordWrap/>
        <w:overflowPunct/>
        <w:autoSpaceDE/>
        <w:autoSpaceDN/>
        <w:bidi w:val="0"/>
        <w:spacing w:after="0" w:line="560" w:lineRule="exact"/>
        <w:ind w:left="0" w:leftChars="0" w:firstLine="64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仿宋简体" w:cs="方正仿宋简体"/>
          <w:color w:val="000000" w:themeColor="text1"/>
          <w:kern w:val="0"/>
          <w:sz w:val="32"/>
          <w:szCs w:val="32"/>
          <w14:textFill>
            <w14:solidFill>
              <w14:schemeClr w14:val="tx1"/>
            </w14:solidFill>
          </w14:textFill>
        </w:rPr>
        <w:t>如你单位对本审批决定有不同意见，可在接到本决定书之日起六十日内向阿拉尔市人民政府申请行政复议，也可在六个月内依法向阿拉尔垦区人民法院起诉。</w:t>
      </w:r>
    </w:p>
    <w:p w14:paraId="3B4E9804">
      <w:pPr>
        <w:keepNext w:val="0"/>
        <w:keepLines w:val="0"/>
        <w:pageBreakBefore w:val="0"/>
        <w:widowControl/>
        <w:kinsoku/>
        <w:wordWrap/>
        <w:overflowPunct/>
        <w:autoSpaceDE/>
        <w:autoSpaceDN/>
        <w:bidi w:val="0"/>
        <w:spacing w:line="560" w:lineRule="exact"/>
        <w:ind w:firstLine="4800" w:firstLineChars="1500"/>
        <w:textAlignment w:val="auto"/>
        <w:rPr>
          <w:rFonts w:eastAsia="方正仿宋简体" w:cs="方正仿宋简体"/>
          <w:color w:val="000000" w:themeColor="text1"/>
          <w:kern w:val="0"/>
          <w:sz w:val="32"/>
          <w:szCs w:val="32"/>
          <w14:textFill>
            <w14:solidFill>
              <w14:schemeClr w14:val="tx1"/>
            </w14:solidFill>
          </w14:textFill>
        </w:rPr>
      </w:pPr>
    </w:p>
    <w:p w14:paraId="429F8DCE">
      <w:pPr>
        <w:keepNext w:val="0"/>
        <w:keepLines w:val="0"/>
        <w:pageBreakBefore w:val="0"/>
        <w:widowControl/>
        <w:kinsoku/>
        <w:wordWrap/>
        <w:overflowPunct/>
        <w:autoSpaceDE/>
        <w:autoSpaceDN/>
        <w:bidi w:val="0"/>
        <w:spacing w:line="560" w:lineRule="exact"/>
        <w:textAlignment w:val="auto"/>
        <w:rPr>
          <w:rFonts w:eastAsia="方正仿宋简体" w:cs="方正仿宋简体"/>
          <w:color w:val="000000" w:themeColor="text1"/>
          <w:kern w:val="0"/>
          <w:sz w:val="32"/>
          <w:szCs w:val="32"/>
          <w14:textFill>
            <w14:solidFill>
              <w14:schemeClr w14:val="tx1"/>
            </w14:solidFill>
          </w14:textFill>
        </w:rPr>
      </w:pPr>
    </w:p>
    <w:p w14:paraId="6F295FB2">
      <w:pPr>
        <w:keepNext w:val="0"/>
        <w:keepLines w:val="0"/>
        <w:pageBreakBefore w:val="0"/>
        <w:widowControl/>
        <w:kinsoku/>
        <w:wordWrap/>
        <w:overflowPunct/>
        <w:autoSpaceDE/>
        <w:autoSpaceDN/>
        <w:bidi w:val="0"/>
        <w:spacing w:line="560" w:lineRule="exact"/>
        <w:ind w:firstLine="4800" w:firstLineChars="150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仿宋简体" w:cs="方正仿宋简体"/>
          <w:color w:val="000000" w:themeColor="text1"/>
          <w:kern w:val="0"/>
          <w:sz w:val="32"/>
          <w:szCs w:val="32"/>
          <w14:textFill>
            <w14:solidFill>
              <w14:schemeClr w14:val="tx1"/>
            </w14:solidFill>
          </w14:textFill>
        </w:rPr>
        <w:t>第一师阿拉尔市生态环境局</w:t>
      </w:r>
    </w:p>
    <w:p w14:paraId="10A77C05">
      <w:pPr>
        <w:keepNext w:val="0"/>
        <w:keepLines w:val="0"/>
        <w:pageBreakBefore w:val="0"/>
        <w:widowControl/>
        <w:kinsoku/>
        <w:wordWrap/>
        <w:overflowPunct/>
        <w:autoSpaceDE/>
        <w:autoSpaceDN/>
        <w:bidi w:val="0"/>
        <w:spacing w:line="560" w:lineRule="exact"/>
        <w:ind w:firstLine="5600" w:firstLineChars="1750"/>
        <w:textAlignment w:val="auto"/>
        <w:rPr>
          <w:rFonts w:eastAsia="方正仿宋简体" w:cs="方正仿宋简体"/>
          <w:color w:val="000000" w:themeColor="text1"/>
          <w:kern w:val="0"/>
          <w:sz w:val="32"/>
          <w:szCs w:val="32"/>
          <w14:textFill>
            <w14:solidFill>
              <w14:schemeClr w14:val="tx1"/>
            </w14:solidFill>
          </w14:textFill>
        </w:rPr>
      </w:pPr>
      <w:r>
        <w:rPr>
          <w:rFonts w:hint="eastAsia" w:eastAsia="方正仿宋简体" w:cs="方正仿宋简体"/>
          <w:color w:val="000000" w:themeColor="text1"/>
          <w:kern w:val="0"/>
          <w:sz w:val="32"/>
          <w:szCs w:val="32"/>
          <w14:textFill>
            <w14:solidFill>
              <w14:schemeClr w14:val="tx1"/>
            </w14:solidFill>
          </w14:textFill>
        </w:rPr>
        <w:t>2025年12月</w:t>
      </w:r>
      <w:r>
        <w:rPr>
          <w:rFonts w:hint="eastAsia" w:eastAsia="方正仿宋简体" w:cs="方正仿宋简体"/>
          <w:color w:val="000000" w:themeColor="text1"/>
          <w:kern w:val="0"/>
          <w:sz w:val="32"/>
          <w:szCs w:val="32"/>
          <w:lang w:val="en-US" w:eastAsia="zh-CN"/>
          <w14:textFill>
            <w14:solidFill>
              <w14:schemeClr w14:val="tx1"/>
            </w14:solidFill>
          </w14:textFill>
        </w:rPr>
        <w:t>31</w:t>
      </w:r>
      <w:r>
        <w:rPr>
          <w:rFonts w:hint="eastAsia" w:eastAsia="方正仿宋简体" w:cs="方正仿宋简体"/>
          <w:color w:val="000000" w:themeColor="text1"/>
          <w:kern w:val="0"/>
          <w:sz w:val="32"/>
          <w:szCs w:val="32"/>
          <w14:textFill>
            <w14:solidFill>
              <w14:schemeClr w14:val="tx1"/>
            </w14:solidFill>
          </w14:textFill>
        </w:rPr>
        <w:t>日</w:t>
      </w:r>
    </w:p>
    <w:p w14:paraId="426AF388">
      <w:pPr>
        <w:keepNext w:val="0"/>
        <w:keepLines w:val="0"/>
        <w:pageBreakBefore w:val="0"/>
        <w:kinsoku/>
        <w:wordWrap/>
        <w:overflowPunct/>
        <w:autoSpaceDE/>
        <w:autoSpaceDN/>
        <w:bidi w:val="0"/>
        <w:spacing w:line="560" w:lineRule="exact"/>
        <w:textAlignment w:val="auto"/>
      </w:pPr>
    </w:p>
    <w:p w14:paraId="59B42826">
      <w:pPr>
        <w:keepNext w:val="0"/>
        <w:keepLines w:val="0"/>
        <w:pageBreakBefore w:val="0"/>
        <w:kinsoku/>
        <w:wordWrap/>
        <w:overflowPunct/>
        <w:topLinePunct/>
        <w:autoSpaceDE/>
        <w:autoSpaceDN/>
        <w:bidi w:val="0"/>
        <w:adjustRightInd w:val="0"/>
        <w:snapToGrid w:val="0"/>
        <w:spacing w:line="560" w:lineRule="exact"/>
        <w:ind w:left="560" w:hanging="448" w:hangingChars="200"/>
        <w:textAlignment w:val="auto"/>
        <w:rPr>
          <w:rFonts w:eastAsia="方正仿宋简体"/>
          <w:color w:val="000000" w:themeColor="text1"/>
          <w:spacing w:val="-28"/>
          <w:sz w:val="28"/>
          <w:szCs w:val="28"/>
          <w14:textFill>
            <w14:solidFill>
              <w14:schemeClr w14:val="tx1"/>
            </w14:solidFill>
          </w14:textFill>
        </w:rPr>
      </w:pPr>
      <w:r>
        <w:rPr>
          <w:rFonts w:eastAsia="方正仿宋简体"/>
          <w:color w:val="000000" w:themeColor="text1"/>
          <w:spacing w:val="-28"/>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67310</wp:posOffset>
                </wp:positionV>
                <wp:extent cx="5719445" cy="1079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719445" cy="10795"/>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75pt;margin-top:5.3pt;height:0.85pt;width:450.35pt;z-index:251659264;mso-width-relative:page;mso-height-relative:page;" filled="f" stroked="t" coordsize="21600,21600" o:gfxdata="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K7m6tcAAAAIAQAADwAAAAAAAAABACAAAAAiAAAAZHJzL2Rvd25yZXYu&#10;eG1sUEsBAhQAFAAAAAgAh07iQP5FeQf8AQAA9QMAAA4AAAAAAAAAAQAgAAAAJgEAAGRycy9lMm9E&#10;b2MueG1sUEsFBgAAAAAGAAYAWQEAAJQFAAAAAA==&#10;">
                <v:fill on="f" focussize="0,0"/>
                <v:stroke weight="1.5pt" color="#000000" joinstyle="round"/>
                <v:imagedata o:title=""/>
                <o:lock v:ext="edit" aspectratio="f"/>
              </v:line>
            </w:pict>
          </mc:Fallback>
        </mc:AlternateContent>
      </w:r>
      <w:r>
        <w:rPr>
          <w:rFonts w:eastAsia="方正仿宋简体"/>
          <w:color w:val="000000" w:themeColor="text1"/>
          <w:spacing w:val="-28"/>
          <w:sz w:val="28"/>
          <w:szCs w:val="28"/>
          <w14:textFill>
            <w14:solidFill>
              <w14:schemeClr w14:val="tx1"/>
            </w14:solidFill>
          </w14:textFill>
        </w:rPr>
        <w:t>抄送：</w:t>
      </w:r>
      <w:r>
        <w:rPr>
          <w:rFonts w:hint="eastAsia" w:eastAsia="方正仿宋简体"/>
          <w:color w:val="000000" w:themeColor="text1"/>
          <w:spacing w:val="-28"/>
          <w:sz w:val="28"/>
          <w:szCs w:val="28"/>
          <w14:textFill>
            <w14:solidFill>
              <w14:schemeClr w14:val="tx1"/>
            </w14:solidFill>
          </w14:textFill>
        </w:rPr>
        <w:t>农业农村局，十六团新开岭镇</w:t>
      </w:r>
      <w:r>
        <w:rPr>
          <w:rFonts w:eastAsia="方正仿宋简体"/>
          <w:color w:val="000000" w:themeColor="text1"/>
          <w:spacing w:val="-28"/>
          <w:sz w:val="24"/>
          <w14:textFill>
            <w14:solidFill>
              <w14:schemeClr w14:val="tx1"/>
            </w14:solidFill>
          </w14:textFill>
        </w:rPr>
        <w:t>，</w:t>
      </w:r>
      <w:r>
        <w:rPr>
          <w:rFonts w:eastAsia="方正仿宋简体"/>
          <w:color w:val="000000" w:themeColor="text1"/>
          <w:spacing w:val="-28"/>
          <w:sz w:val="28"/>
          <w:szCs w:val="28"/>
          <w14:textFill>
            <w14:solidFill>
              <w14:schemeClr w14:val="tx1"/>
            </w14:solidFill>
          </w14:textFill>
        </w:rPr>
        <w:t>生态环境保护综合行政执法支队，成都新环众科检测技术有限公司</w:t>
      </w:r>
    </w:p>
    <w:p w14:paraId="0D505371">
      <w:pPr>
        <w:keepNext w:val="0"/>
        <w:keepLines w:val="0"/>
        <w:pageBreakBefore w:val="0"/>
        <w:kinsoku/>
        <w:wordWrap/>
        <w:overflowPunct/>
        <w:autoSpaceDE/>
        <w:autoSpaceDN/>
        <w:bidi w:val="0"/>
        <w:spacing w:line="560" w:lineRule="exact"/>
        <w:textAlignment w:val="auto"/>
        <w:rPr>
          <w:color w:val="000000" w:themeColor="text1"/>
          <w14:textFill>
            <w14:solidFill>
              <w14:schemeClr w14:val="tx1"/>
            </w14:solidFill>
          </w14:textFill>
        </w:rPr>
      </w:pPr>
      <w:r>
        <w:rPr>
          <w:rFonts w:eastAsia="方正仿宋简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eastAsia="方正仿宋简体"/>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eastAsia="方正仿宋简体"/>
          <w:color w:val="000000" w:themeColor="text1"/>
          <w:sz w:val="28"/>
          <w:szCs w:val="28"/>
          <w14:textFill>
            <w14:solidFill>
              <w14:schemeClr w14:val="tx1"/>
            </w14:solidFill>
          </w14:textFill>
        </w:rPr>
        <w:t>第一师阿拉尔市生态环境局                   202</w:t>
      </w:r>
      <w:r>
        <w:rPr>
          <w:rFonts w:hint="eastAsia" w:eastAsia="方正仿宋简体"/>
          <w:color w:val="000000" w:themeColor="text1"/>
          <w:sz w:val="28"/>
          <w:szCs w:val="28"/>
          <w:lang w:val="en-US" w:eastAsia="zh-CN"/>
          <w14:textFill>
            <w14:solidFill>
              <w14:schemeClr w14:val="tx1"/>
            </w14:solidFill>
          </w14:textFill>
        </w:rPr>
        <w:t>6</w:t>
      </w:r>
      <w:r>
        <w:rPr>
          <w:rFonts w:eastAsia="方正仿宋简体"/>
          <w:color w:val="000000" w:themeColor="text1"/>
          <w:sz w:val="28"/>
          <w:szCs w:val="28"/>
          <w14:textFill>
            <w14:solidFill>
              <w14:schemeClr w14:val="tx1"/>
            </w14:solidFill>
          </w14:textFill>
        </w:rPr>
        <w:t>年</w:t>
      </w:r>
      <w:r>
        <w:rPr>
          <w:rFonts w:hint="eastAsia" w:eastAsia="方正仿宋简体"/>
          <w:color w:val="000000" w:themeColor="text1"/>
          <w:sz w:val="28"/>
          <w:szCs w:val="28"/>
          <w14:textFill>
            <w14:solidFill>
              <w14:schemeClr w14:val="tx1"/>
            </w14:solidFill>
          </w14:textFill>
        </w:rPr>
        <w:t>1</w:t>
      </w:r>
      <w:r>
        <w:rPr>
          <w:rFonts w:eastAsia="方正仿宋简体"/>
          <w:color w:val="000000" w:themeColor="text1"/>
          <w:sz w:val="28"/>
          <w:szCs w:val="28"/>
          <w14:textFill>
            <w14:solidFill>
              <w14:schemeClr w14:val="tx1"/>
            </w14:solidFill>
          </w14:textFill>
        </w:rPr>
        <w:t>月</w:t>
      </w:r>
      <w:r>
        <w:rPr>
          <w:rFonts w:hint="eastAsia" w:eastAsia="方正仿宋简体"/>
          <w:color w:val="000000" w:themeColor="text1"/>
          <w:sz w:val="28"/>
          <w:szCs w:val="28"/>
          <w:lang w:val="en-US" w:eastAsia="zh-CN"/>
          <w14:textFill>
            <w14:solidFill>
              <w14:schemeClr w14:val="tx1"/>
            </w14:solidFill>
          </w14:textFill>
        </w:rPr>
        <w:t>16</w:t>
      </w:r>
      <w:r>
        <w:rPr>
          <w:rFonts w:hint="eastAsia" w:eastAsia="方正仿宋简体"/>
          <w:color w:val="000000" w:themeColor="text1"/>
          <w:sz w:val="28"/>
          <w:szCs w:val="28"/>
          <w14:textFill>
            <w14:solidFill>
              <w14:schemeClr w14:val="tx1"/>
            </w14:solidFill>
          </w14:textFill>
        </w:rPr>
        <w:t>日</w:t>
      </w:r>
      <w:r>
        <w:rPr>
          <w:rFonts w:eastAsia="方正仿宋简体"/>
          <w:color w:val="000000" w:themeColor="text1"/>
          <w:sz w:val="28"/>
          <w:szCs w:val="28"/>
          <w14:textFill>
            <w14:solidFill>
              <w14:schemeClr w14:val="tx1"/>
            </w14:solidFill>
          </w14:textFill>
        </w:rPr>
        <w:t>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621563EE-087C-44CB-9055-4BE6EB6FA2B5}"/>
  </w:font>
  <w:font w:name="方正仿宋_GB2312">
    <w:panose1 w:val="02000000000000000000"/>
    <w:charset w:val="86"/>
    <w:family w:val="auto"/>
    <w:pitch w:val="default"/>
    <w:sig w:usb0="A00002BF" w:usb1="184F6CFA" w:usb2="00000012" w:usb3="00000000" w:csb0="00040001" w:csb1="00000000"/>
    <w:embedRegular r:id="rId2" w:fontKey="{61066F31-93F5-4E9A-A3E4-B0193D8AAB5D}"/>
  </w:font>
  <w:font w:name="方正小标宋简体">
    <w:panose1 w:val="02000000000000000000"/>
    <w:charset w:val="86"/>
    <w:family w:val="auto"/>
    <w:pitch w:val="default"/>
    <w:sig w:usb0="00000001" w:usb1="08000000" w:usb2="00000000" w:usb3="00000000" w:csb0="00040000" w:csb1="00000000"/>
    <w:embedRegular r:id="rId3" w:fontKey="{2D8E297A-208E-4B04-9EFF-22CC02A27F8E}"/>
  </w:font>
  <w:font w:name="方正仿宋简体">
    <w:panose1 w:val="02000000000000000000"/>
    <w:charset w:val="86"/>
    <w:family w:val="auto"/>
    <w:pitch w:val="default"/>
    <w:sig w:usb0="A00002BF" w:usb1="184F6CFA" w:usb2="00000012" w:usb3="00000000" w:csb0="00040001" w:csb1="00000000"/>
    <w:embedRegular r:id="rId4" w:fontKey="{DDF7783B-00E3-4F18-AB52-B8327996EAD9}"/>
  </w:font>
  <w:font w:name="方正黑体简体">
    <w:panose1 w:val="02000000000000000000"/>
    <w:charset w:val="86"/>
    <w:family w:val="auto"/>
    <w:pitch w:val="default"/>
    <w:sig w:usb0="A00002BF" w:usb1="184F6CFA" w:usb2="00000012" w:usb3="00000000" w:csb0="00040001" w:csb1="00000000"/>
    <w:embedRegular r:id="rId5" w:fontKey="{17439278-4FCA-4DFD-B3EB-9FA35E1B68C5}"/>
  </w:font>
  <w:font w:name="方正楷体简体">
    <w:panose1 w:val="02000000000000000000"/>
    <w:charset w:val="86"/>
    <w:family w:val="auto"/>
    <w:pitch w:val="default"/>
    <w:sig w:usb0="A00002BF" w:usb1="184F6CFA" w:usb2="00000012" w:usb3="00000000" w:csb0="00040001" w:csb1="00000000"/>
    <w:embedRegular r:id="rId6" w:fontKey="{99B269C9-7AF2-4B17-9F06-A84D51F4A147}"/>
  </w:font>
  <w:font w:name="Cambria">
    <w:panose1 w:val="02040503050406030204"/>
    <w:charset w:val="00"/>
    <w:family w:val="roman"/>
    <w:pitch w:val="default"/>
    <w:sig w:usb0="E00006FF" w:usb1="420024FF" w:usb2="02000000" w:usb3="00000000" w:csb0="2000019F" w:csb1="00000000"/>
    <w:embedRegular r:id="rId7" w:fontKey="{2001B3F4-54E3-41C5-B03E-51F2E84BD024}"/>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74C9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553621">
                          <w:pPr>
                            <w:pStyle w:val="11"/>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A553621">
                    <w:pPr>
                      <w:pStyle w:val="11"/>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02987">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872C"/>
    <w:multiLevelType w:val="singleLevel"/>
    <w:tmpl w:val="5242872C"/>
    <w:lvl w:ilvl="0" w:tentative="0">
      <w:start w:val="3"/>
      <w:numFmt w:val="chineseCounting"/>
      <w:suff w:val="nothing"/>
      <w:lvlText w:val="（%1）"/>
      <w:lvlJc w:val="left"/>
      <w:rPr>
        <w:rFonts w:hint="eastAsia"/>
      </w:rPr>
    </w:lvl>
  </w:abstractNum>
  <w:abstractNum w:abstractNumId="1">
    <w:nsid w:val="69F7D102"/>
    <w:multiLevelType w:val="singleLevel"/>
    <w:tmpl w:val="69F7D102"/>
    <w:lvl w:ilvl="0" w:tentative="0">
      <w:start w:val="1"/>
      <w:numFmt w:val="decimal"/>
      <w:pStyle w:val="10"/>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MDZlMWUwYjZiYjY4ZWMxYzUzZWZmNjcyNWM1ZTIifQ=="/>
  </w:docVars>
  <w:rsids>
    <w:rsidRoot w:val="6C9577F7"/>
    <w:rsid w:val="00033641"/>
    <w:rsid w:val="000C2961"/>
    <w:rsid w:val="002A6D44"/>
    <w:rsid w:val="00820339"/>
    <w:rsid w:val="008920A6"/>
    <w:rsid w:val="008A3AF5"/>
    <w:rsid w:val="00C10F28"/>
    <w:rsid w:val="00D5082A"/>
    <w:rsid w:val="00DE5AEF"/>
    <w:rsid w:val="01D54B7E"/>
    <w:rsid w:val="01E94A66"/>
    <w:rsid w:val="02880C6E"/>
    <w:rsid w:val="02CF517F"/>
    <w:rsid w:val="030E41E0"/>
    <w:rsid w:val="03876935"/>
    <w:rsid w:val="03AA5286"/>
    <w:rsid w:val="06862B05"/>
    <w:rsid w:val="08B2577C"/>
    <w:rsid w:val="0992356F"/>
    <w:rsid w:val="09C40ABF"/>
    <w:rsid w:val="09E518F1"/>
    <w:rsid w:val="0A7C794A"/>
    <w:rsid w:val="0ADB5F2E"/>
    <w:rsid w:val="0AF344E1"/>
    <w:rsid w:val="0DB066B9"/>
    <w:rsid w:val="0E5C209B"/>
    <w:rsid w:val="12FE7EC7"/>
    <w:rsid w:val="13BF1F8A"/>
    <w:rsid w:val="13F50A51"/>
    <w:rsid w:val="153B2D0D"/>
    <w:rsid w:val="155361EB"/>
    <w:rsid w:val="15CA4137"/>
    <w:rsid w:val="15F31839"/>
    <w:rsid w:val="16F03F77"/>
    <w:rsid w:val="174A7237"/>
    <w:rsid w:val="176127D3"/>
    <w:rsid w:val="1770501D"/>
    <w:rsid w:val="18B13BE0"/>
    <w:rsid w:val="197B7B7C"/>
    <w:rsid w:val="1B2D2A19"/>
    <w:rsid w:val="1B3812C9"/>
    <w:rsid w:val="1BB63A82"/>
    <w:rsid w:val="1CAD7BA9"/>
    <w:rsid w:val="1D72079D"/>
    <w:rsid w:val="20654122"/>
    <w:rsid w:val="244A55FF"/>
    <w:rsid w:val="24AE2000"/>
    <w:rsid w:val="25513660"/>
    <w:rsid w:val="257B58C6"/>
    <w:rsid w:val="262F4CC7"/>
    <w:rsid w:val="2715049F"/>
    <w:rsid w:val="27EE3C0E"/>
    <w:rsid w:val="28927A2A"/>
    <w:rsid w:val="296D5007"/>
    <w:rsid w:val="298B3B87"/>
    <w:rsid w:val="29E057D9"/>
    <w:rsid w:val="29F959EB"/>
    <w:rsid w:val="2ACA2711"/>
    <w:rsid w:val="2CF565EF"/>
    <w:rsid w:val="2DF14458"/>
    <w:rsid w:val="2E6D6AB5"/>
    <w:rsid w:val="2E787726"/>
    <w:rsid w:val="2E815A75"/>
    <w:rsid w:val="2E9F3DDD"/>
    <w:rsid w:val="2F505B14"/>
    <w:rsid w:val="2FDC6A42"/>
    <w:rsid w:val="309410A0"/>
    <w:rsid w:val="311F752F"/>
    <w:rsid w:val="328330A2"/>
    <w:rsid w:val="335A5584"/>
    <w:rsid w:val="33703982"/>
    <w:rsid w:val="33E636E2"/>
    <w:rsid w:val="350B2B0E"/>
    <w:rsid w:val="379522F8"/>
    <w:rsid w:val="38172D0E"/>
    <w:rsid w:val="381D1CB1"/>
    <w:rsid w:val="38F439B2"/>
    <w:rsid w:val="398B6069"/>
    <w:rsid w:val="3A145393"/>
    <w:rsid w:val="3AF10ACE"/>
    <w:rsid w:val="3B83709F"/>
    <w:rsid w:val="3BD55190"/>
    <w:rsid w:val="3CF04860"/>
    <w:rsid w:val="3CF21E2F"/>
    <w:rsid w:val="3DF3675E"/>
    <w:rsid w:val="3EE80F60"/>
    <w:rsid w:val="3F606EC9"/>
    <w:rsid w:val="3FC67A98"/>
    <w:rsid w:val="42664DFE"/>
    <w:rsid w:val="43626C1A"/>
    <w:rsid w:val="43B34232"/>
    <w:rsid w:val="442C5D93"/>
    <w:rsid w:val="44F543D6"/>
    <w:rsid w:val="45124F88"/>
    <w:rsid w:val="45905EAD"/>
    <w:rsid w:val="46B53E1D"/>
    <w:rsid w:val="472745EF"/>
    <w:rsid w:val="47486A40"/>
    <w:rsid w:val="48474BEB"/>
    <w:rsid w:val="4858687F"/>
    <w:rsid w:val="48EC3D42"/>
    <w:rsid w:val="49F02B32"/>
    <w:rsid w:val="4AF13073"/>
    <w:rsid w:val="4B8F0F1D"/>
    <w:rsid w:val="4CB46925"/>
    <w:rsid w:val="4E5B6391"/>
    <w:rsid w:val="4E722688"/>
    <w:rsid w:val="4F15661A"/>
    <w:rsid w:val="4FDF1F0B"/>
    <w:rsid w:val="50F32112"/>
    <w:rsid w:val="51646B6C"/>
    <w:rsid w:val="53D96FF6"/>
    <w:rsid w:val="53E2021C"/>
    <w:rsid w:val="547F78C3"/>
    <w:rsid w:val="552C198B"/>
    <w:rsid w:val="563620CF"/>
    <w:rsid w:val="575D6BF4"/>
    <w:rsid w:val="57AA72A2"/>
    <w:rsid w:val="57BC40F5"/>
    <w:rsid w:val="57FB18AC"/>
    <w:rsid w:val="59301A29"/>
    <w:rsid w:val="593C017D"/>
    <w:rsid w:val="59D834BE"/>
    <w:rsid w:val="59E06FAB"/>
    <w:rsid w:val="5A290340"/>
    <w:rsid w:val="5A8E07B6"/>
    <w:rsid w:val="5AA47504"/>
    <w:rsid w:val="5B33135D"/>
    <w:rsid w:val="5BD80832"/>
    <w:rsid w:val="5C761E49"/>
    <w:rsid w:val="5D2B49E2"/>
    <w:rsid w:val="5D4D7062"/>
    <w:rsid w:val="5D8511F0"/>
    <w:rsid w:val="5D9E283D"/>
    <w:rsid w:val="5E6D5D9C"/>
    <w:rsid w:val="5EFC6FEB"/>
    <w:rsid w:val="5FC627A0"/>
    <w:rsid w:val="60234709"/>
    <w:rsid w:val="60CE1E21"/>
    <w:rsid w:val="612B3202"/>
    <w:rsid w:val="618A1E17"/>
    <w:rsid w:val="65044496"/>
    <w:rsid w:val="655F65F3"/>
    <w:rsid w:val="65C15EE3"/>
    <w:rsid w:val="66F70C49"/>
    <w:rsid w:val="6727066C"/>
    <w:rsid w:val="680C5410"/>
    <w:rsid w:val="6859222C"/>
    <w:rsid w:val="6ACD2EB0"/>
    <w:rsid w:val="6ADB5079"/>
    <w:rsid w:val="6AE12B83"/>
    <w:rsid w:val="6C9577F7"/>
    <w:rsid w:val="6CA82EB0"/>
    <w:rsid w:val="6CFB0965"/>
    <w:rsid w:val="6DD4231C"/>
    <w:rsid w:val="709C192B"/>
    <w:rsid w:val="71AF5789"/>
    <w:rsid w:val="720C27E4"/>
    <w:rsid w:val="72B85213"/>
    <w:rsid w:val="734F0FD2"/>
    <w:rsid w:val="73AD58D9"/>
    <w:rsid w:val="74C72DA0"/>
    <w:rsid w:val="753C37D8"/>
    <w:rsid w:val="75CB690A"/>
    <w:rsid w:val="75FF68A2"/>
    <w:rsid w:val="7606097C"/>
    <w:rsid w:val="768371E5"/>
    <w:rsid w:val="77642B72"/>
    <w:rsid w:val="776808B4"/>
    <w:rsid w:val="77E53B53"/>
    <w:rsid w:val="78236589"/>
    <w:rsid w:val="788C05D2"/>
    <w:rsid w:val="789E2A4C"/>
    <w:rsid w:val="79F60B57"/>
    <w:rsid w:val="7CFE6B21"/>
    <w:rsid w:val="7D324A53"/>
    <w:rsid w:val="7D7F24B4"/>
    <w:rsid w:val="7D8F4196"/>
    <w:rsid w:val="7DA0242A"/>
    <w:rsid w:val="7E694F12"/>
    <w:rsid w:val="7EF13BEE"/>
    <w:rsid w:val="7F1F0478"/>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表格内"/>
    <w:basedOn w:val="1"/>
    <w:qFormat/>
    <w:uiPriority w:val="0"/>
    <w:pPr>
      <w:widowControl/>
      <w:snapToGrid w:val="0"/>
      <w:jc w:val="center"/>
    </w:pPr>
    <w:rPr>
      <w:snapToGrid w:val="0"/>
      <w:kern w:val="0"/>
      <w:szCs w:val="21"/>
    </w:rPr>
  </w:style>
  <w:style w:type="paragraph" w:styleId="4">
    <w:name w:val="Normal Indent"/>
    <w:basedOn w:val="1"/>
    <w:next w:val="1"/>
    <w:qFormat/>
    <w:uiPriority w:val="0"/>
    <w:pPr>
      <w:spacing w:line="520" w:lineRule="exact"/>
      <w:ind w:firstLine="624"/>
    </w:pPr>
    <w:rPr>
      <w:sz w:val="28"/>
      <w:szCs w:val="20"/>
    </w:rPr>
  </w:style>
  <w:style w:type="paragraph" w:styleId="5">
    <w:name w:val="annotation text"/>
    <w:basedOn w:val="1"/>
    <w:qFormat/>
    <w:uiPriority w:val="0"/>
    <w:pPr>
      <w:jc w:val="left"/>
    </w:pPr>
  </w:style>
  <w:style w:type="paragraph" w:styleId="6">
    <w:name w:val="Body Text"/>
    <w:basedOn w:val="1"/>
    <w:qFormat/>
    <w:uiPriority w:val="0"/>
    <w:pPr>
      <w:spacing w:after="120"/>
    </w:pPr>
    <w:rPr>
      <w:kern w:val="0"/>
      <w:sz w:val="20"/>
    </w:rPr>
  </w:style>
  <w:style w:type="paragraph" w:styleId="7">
    <w:name w:val="Body Text Indent"/>
    <w:basedOn w:val="1"/>
    <w:next w:val="6"/>
    <w:qFormat/>
    <w:uiPriority w:val="0"/>
    <w:pPr>
      <w:spacing w:after="120"/>
      <w:ind w:left="420" w:leftChars="200"/>
    </w:pPr>
  </w:style>
  <w:style w:type="paragraph" w:styleId="8">
    <w:name w:val="Block Text"/>
    <w:basedOn w:val="1"/>
    <w:qFormat/>
    <w:uiPriority w:val="0"/>
    <w:pPr>
      <w:adjustRightInd w:val="0"/>
      <w:spacing w:before="120" w:line="440" w:lineRule="exact"/>
      <w:ind w:left="284" w:right="284" w:firstLine="567"/>
      <w:textAlignment w:val="baseline"/>
    </w:pPr>
    <w:rPr>
      <w:rFonts w:ascii="楷体_GB2312" w:eastAsia="楷体_GB2312"/>
      <w:spacing w:val="-2"/>
      <w:kern w:val="0"/>
      <w:sz w:val="28"/>
      <w:szCs w:val="20"/>
    </w:rPr>
  </w:style>
  <w:style w:type="paragraph" w:styleId="9">
    <w:name w:val="Plain Text"/>
    <w:basedOn w:val="1"/>
    <w:next w:val="10"/>
    <w:qFormat/>
    <w:uiPriority w:val="0"/>
    <w:pPr>
      <w:spacing w:line="500" w:lineRule="exact"/>
    </w:pPr>
    <w:rPr>
      <w:rFonts w:ascii="宋体" w:hAnsi="Courier New"/>
      <w:sz w:val="28"/>
      <w:szCs w:val="21"/>
    </w:rPr>
  </w:style>
  <w:style w:type="paragraph" w:styleId="10">
    <w:name w:val="List Number 5"/>
    <w:basedOn w:val="1"/>
    <w:qFormat/>
    <w:uiPriority w:val="0"/>
    <w:pPr>
      <w:numPr>
        <w:ilvl w:val="0"/>
        <w:numId w:val="1"/>
      </w:numPr>
    </w:pPr>
  </w:style>
  <w:style w:type="paragraph" w:styleId="11">
    <w:name w:val="footer"/>
    <w:basedOn w:val="1"/>
    <w:qFormat/>
    <w:uiPriority w:val="0"/>
    <w:pPr>
      <w:tabs>
        <w:tab w:val="center" w:pos="4153"/>
        <w:tab w:val="right" w:pos="8306"/>
      </w:tabs>
      <w:snapToGrid w:val="0"/>
      <w:jc w:val="left"/>
    </w:pPr>
    <w:rPr>
      <w:sz w:val="28"/>
      <w:szCs w:val="18"/>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1"/>
  </w:style>
  <w:style w:type="paragraph" w:styleId="14">
    <w:name w:val="table of figures"/>
    <w:basedOn w:val="1"/>
    <w:next w:val="1"/>
    <w:qFormat/>
    <w:uiPriority w:val="0"/>
    <w:pPr>
      <w:ind w:left="200" w:leftChars="200" w:hanging="200" w:hangingChars="200"/>
    </w:pPr>
  </w:style>
  <w:style w:type="paragraph" w:styleId="15">
    <w:name w:val="Body Text 2"/>
    <w:basedOn w:val="1"/>
    <w:unhideWhenUsed/>
    <w:qFormat/>
    <w:uiPriority w:val="99"/>
    <w:pPr>
      <w:spacing w:after="120" w:line="480" w:lineRule="auto"/>
    </w:pPr>
  </w:style>
  <w:style w:type="paragraph" w:styleId="16">
    <w:name w:val="Title"/>
    <w:basedOn w:val="1"/>
    <w:next w:val="1"/>
    <w:qFormat/>
    <w:uiPriority w:val="10"/>
    <w:pPr>
      <w:spacing w:before="240" w:after="60"/>
      <w:jc w:val="center"/>
      <w:outlineLvl w:val="0"/>
    </w:pPr>
    <w:rPr>
      <w:rFonts w:ascii="Calibri Light" w:hAnsi="Calibri Light"/>
      <w:b/>
      <w:bCs/>
      <w:szCs w:val="32"/>
    </w:rPr>
  </w:style>
  <w:style w:type="paragraph" w:styleId="17">
    <w:name w:val="Body Text First Indent"/>
    <w:basedOn w:val="6"/>
    <w:next w:val="18"/>
    <w:qFormat/>
    <w:uiPriority w:val="0"/>
    <w:pPr>
      <w:ind w:firstLine="420" w:firstLineChars="100"/>
    </w:pPr>
  </w:style>
  <w:style w:type="paragraph" w:styleId="18">
    <w:name w:val="Body Text First Indent 2"/>
    <w:basedOn w:val="7"/>
    <w:next w:val="1"/>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表头"/>
    <w:basedOn w:val="17"/>
    <w:next w:val="1"/>
    <w:qFormat/>
    <w:uiPriority w:val="0"/>
    <w:pPr>
      <w:jc w:val="center"/>
    </w:pPr>
    <w:rPr>
      <w:rFonts w:ascii="黑体" w:eastAsia="黑体"/>
      <w:bCs/>
    </w:rPr>
  </w:style>
  <w:style w:type="paragraph" w:customStyle="1" w:styleId="24">
    <w:name w:val="正文（缩进）"/>
    <w:basedOn w:val="25"/>
    <w:next w:val="1"/>
    <w:qFormat/>
    <w:uiPriority w:val="99"/>
    <w:pPr>
      <w:ind w:firstLine="480"/>
    </w:pPr>
  </w:style>
  <w:style w:type="paragraph" w:customStyle="1" w:styleId="25">
    <w:name w:val="正文(首行缩进)"/>
    <w:basedOn w:val="1"/>
    <w:qFormat/>
    <w:uiPriority w:val="0"/>
    <w:pPr>
      <w:spacing w:line="360" w:lineRule="auto"/>
      <w:ind w:firstLine="540" w:firstLineChars="225"/>
    </w:pPr>
    <w:rPr>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2898</Words>
  <Characters>3145</Characters>
  <Lines>22</Lines>
  <Paragraphs>6</Paragraphs>
  <TotalTime>29</TotalTime>
  <ScaleCrop>false</ScaleCrop>
  <LinksUpToDate>false</LinksUpToDate>
  <CharactersWithSpaces>3175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2024-12-11T05:42:00Z</dcterms:created>
  <dc:creator></dc:creator>
  <cp:lastModifiedBy></cp:lastModifiedBy>
  <cp:lastPrinted>2026-01-15T05:13:00Z</cp:lastPrinted>
  <dcterms:modified xsi:type="dcterms:W3CDTF">2026-01-16T05:28:00Z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1390C9210F3444CB8FD99BFA47B049D6_13</vt:lpwstr>
  </property>
  <property fmtid="{D5CDD505-2E9C-101B-9397-08002B2CF9AE}" pid="4" name="KSOTemplateDocerSaveRecord">
    <vt:lpwstr>eyJoZGlkIjoiNzkyN2Q3NTJkYzdmNjE3ZGJjOWNiYzc5NjVkOTk4NGIiLCJ1c2VySWQiOiI2NDkyMTQ2MzcifQ==</vt:lpwstr>
  </property>
</Properties>
</file>