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7FD7">
      <w:pPr>
        <w:spacing w:line="560" w:lineRule="exact"/>
        <w:jc w:val="center"/>
        <w:rPr>
          <w:rFonts w:ascii="Times New Roman" w:hAnsi="Times New Roman" w:eastAsia="方正小标宋简体" w:cs="Times New Roman"/>
          <w:sz w:val="44"/>
          <w:szCs w:val="32"/>
        </w:rPr>
      </w:pPr>
    </w:p>
    <w:p w14:paraId="00D90C9D">
      <w:pPr>
        <w:spacing w:line="560" w:lineRule="exact"/>
        <w:jc w:val="center"/>
        <w:rPr>
          <w:rFonts w:ascii="Times New Roman" w:hAnsi="Times New Roman" w:eastAsia="方正小标宋简体" w:cs="Times New Roman"/>
          <w:sz w:val="44"/>
          <w:szCs w:val="32"/>
        </w:rPr>
      </w:pPr>
    </w:p>
    <w:p w14:paraId="06917F7B">
      <w:pPr>
        <w:spacing w:line="560" w:lineRule="exact"/>
        <w:jc w:val="center"/>
        <w:rPr>
          <w:rFonts w:ascii="Times New Roman" w:hAnsi="Times New Roman" w:eastAsia="方正小标宋简体" w:cs="Times New Roman"/>
          <w:sz w:val="44"/>
          <w:szCs w:val="32"/>
        </w:rPr>
      </w:pPr>
    </w:p>
    <w:p w14:paraId="7B80E1D7">
      <w:pPr>
        <w:spacing w:line="560" w:lineRule="exact"/>
        <w:jc w:val="center"/>
        <w:rPr>
          <w:rFonts w:ascii="Times New Roman" w:hAnsi="Times New Roman" w:eastAsia="方正小标宋简体" w:cs="Times New Roman"/>
          <w:sz w:val="44"/>
          <w:szCs w:val="32"/>
        </w:rPr>
      </w:pPr>
    </w:p>
    <w:p w14:paraId="0A84BBE1">
      <w:pPr>
        <w:spacing w:line="560" w:lineRule="exact"/>
        <w:jc w:val="center"/>
        <w:rPr>
          <w:rFonts w:ascii="Times New Roman" w:hAnsi="Times New Roman" w:eastAsia="方正小标宋简体" w:cs="Times New Roman"/>
          <w:sz w:val="44"/>
          <w:szCs w:val="32"/>
        </w:rPr>
      </w:pPr>
    </w:p>
    <w:p w14:paraId="5EE85859">
      <w:pPr>
        <w:spacing w:line="560" w:lineRule="exact"/>
        <w:jc w:val="center"/>
        <w:rPr>
          <w:rFonts w:ascii="Times New Roman" w:hAnsi="Times New Roman" w:eastAsia="方正小标宋简体" w:cs="Times New Roman"/>
          <w:sz w:val="44"/>
          <w:szCs w:val="32"/>
        </w:rPr>
      </w:pPr>
    </w:p>
    <w:p w14:paraId="01F948C5">
      <w:pPr>
        <w:spacing w:line="560" w:lineRule="exact"/>
        <w:jc w:val="center"/>
        <w:rPr>
          <w:rFonts w:ascii="Times New Roman" w:hAnsi="Times New Roman" w:eastAsia="方正小标宋简体" w:cs="Times New Roman"/>
          <w:sz w:val="44"/>
          <w:szCs w:val="32"/>
        </w:rPr>
      </w:pPr>
    </w:p>
    <w:p w14:paraId="0017CDB3">
      <w:pPr>
        <w:spacing w:line="560" w:lineRule="exact"/>
        <w:jc w:val="center"/>
        <w:rPr>
          <w:rFonts w:ascii="Times New Roman" w:hAnsi="Times New Roman" w:eastAsia="方正小标宋简体" w:cs="Times New Roman"/>
          <w:sz w:val="44"/>
          <w:szCs w:val="32"/>
        </w:rPr>
      </w:pPr>
    </w:p>
    <w:p w14:paraId="27E417F1">
      <w:pPr>
        <w:spacing w:line="560" w:lineRule="exact"/>
        <w:jc w:val="center"/>
        <w:rPr>
          <w:rFonts w:ascii="Times New Roman" w:hAnsi="Times New Roman" w:eastAsia="仿宋_GB2312" w:cs="Times New Roman"/>
          <w:szCs w:val="21"/>
        </w:rPr>
      </w:pPr>
      <w:r>
        <w:rPr>
          <w:rFonts w:ascii="Times New Roman" w:hAnsi="Times New Roman" w:eastAsia="仿宋" w:cs="Times New Roman"/>
          <w:sz w:val="32"/>
          <w:szCs w:val="32"/>
        </w:rPr>
        <w:t>师市环审〔2025〕</w:t>
      </w:r>
      <w:r>
        <w:rPr>
          <w:rFonts w:hint="eastAsia" w:ascii="Times New Roman" w:hAnsi="Times New Roman" w:eastAsia="仿宋" w:cs="Times New Roman"/>
          <w:sz w:val="32"/>
          <w:szCs w:val="32"/>
        </w:rPr>
        <w:t>53</w:t>
      </w:r>
      <w:r>
        <w:rPr>
          <w:rFonts w:ascii="Times New Roman" w:hAnsi="Times New Roman" w:eastAsia="仿宋" w:cs="Times New Roman"/>
          <w:sz w:val="32"/>
          <w:szCs w:val="32"/>
        </w:rPr>
        <w:t>号</w:t>
      </w:r>
    </w:p>
    <w:p w14:paraId="7A337718">
      <w:pPr>
        <w:spacing w:line="560" w:lineRule="exact"/>
        <w:jc w:val="center"/>
        <w:rPr>
          <w:rFonts w:ascii="Times New Roman" w:hAnsi="Times New Roman" w:eastAsia="方正小标宋简体" w:cs="Times New Roman"/>
          <w:sz w:val="44"/>
          <w:szCs w:val="32"/>
        </w:rPr>
      </w:pPr>
    </w:p>
    <w:p w14:paraId="045F7645">
      <w:pPr>
        <w:spacing w:line="560" w:lineRule="exact"/>
        <w:rPr>
          <w:rFonts w:ascii="Times New Roman" w:hAnsi="Times New Roman" w:eastAsia="方正小标宋简体" w:cs="Times New Roman"/>
          <w:sz w:val="44"/>
          <w:szCs w:val="32"/>
        </w:rPr>
      </w:pPr>
    </w:p>
    <w:p w14:paraId="1E8A5274">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关于上海电力新疆臻元阿拉尔100万千瓦</w:t>
      </w:r>
    </w:p>
    <w:p w14:paraId="4B6E9DE7">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光伏发电项目环境影响报告表的批复</w:t>
      </w:r>
    </w:p>
    <w:p w14:paraId="3CD834D2">
      <w:pPr>
        <w:spacing w:line="560" w:lineRule="exact"/>
        <w:rPr>
          <w:rFonts w:ascii="Times New Roman" w:hAnsi="Times New Roman" w:eastAsia="方正仿宋简体" w:cs="Times New Roman"/>
          <w:sz w:val="32"/>
          <w:szCs w:val="32"/>
        </w:rPr>
      </w:pPr>
    </w:p>
    <w:p w14:paraId="5AE26F36">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阿拉尔市申旭新能源有限公司：</w:t>
      </w:r>
    </w:p>
    <w:p w14:paraId="4EC6717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你单位报送的《关于送审上海电力新疆臻元阿拉尔100万千瓦光伏发电项目环境影响报告表的请示》及《上海电力新疆臻元阿拉尔100万千瓦光伏发电项目环境影响报告表》（以下简称《报告表》）已收悉。经专家审查和研究，现批复如下：</w:t>
      </w:r>
    </w:p>
    <w:p w14:paraId="59846FF4">
      <w:pPr>
        <w:spacing w:line="560"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该项目位于</w:t>
      </w:r>
      <w:r>
        <w:rPr>
          <w:rFonts w:hint="eastAsia" w:ascii="Times New Roman" w:hAnsi="Times New Roman" w:eastAsia="方正仿宋简体" w:cs="Times New Roman"/>
          <w:sz w:val="32"/>
          <w:szCs w:val="32"/>
        </w:rPr>
        <w:t>十团昌安镇</w:t>
      </w:r>
      <w:r>
        <w:rPr>
          <w:rFonts w:ascii="Times New Roman" w:hAnsi="Times New Roman" w:eastAsia="方正仿宋简体" w:cs="Times New Roman"/>
          <w:sz w:val="32"/>
          <w:szCs w:val="32"/>
        </w:rPr>
        <w:t>，升压站中心地理坐标为：</w:t>
      </w:r>
      <w:r>
        <w:rPr>
          <w:rFonts w:hint="eastAsia" w:ascii="Times New Roman" w:hAnsi="Times New Roman" w:eastAsia="方正仿宋简体" w:cs="Times New Roman"/>
          <w:sz w:val="32"/>
          <w:szCs w:val="32"/>
        </w:rPr>
        <w:t>东经</w:t>
      </w:r>
      <w:r>
        <w:rPr>
          <w:rFonts w:ascii="Times New Roman" w:hAnsi="Times New Roman" w:eastAsia="方正仿宋简体" w:cs="Times New Roman"/>
          <w:sz w:val="32"/>
          <w:szCs w:val="32"/>
        </w:rPr>
        <w:t>81°21'</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57.192"，</w:t>
      </w:r>
      <w:r>
        <w:rPr>
          <w:rFonts w:hint="eastAsia" w:ascii="Times New Roman" w:hAnsi="Times New Roman" w:eastAsia="方正仿宋简体" w:cs="Times New Roman"/>
          <w:sz w:val="32"/>
          <w:szCs w:val="32"/>
        </w:rPr>
        <w:t>北纬</w:t>
      </w:r>
      <w:r>
        <w:rPr>
          <w:rFonts w:ascii="Times New Roman" w:hAnsi="Times New Roman" w:eastAsia="方正仿宋简体" w:cs="Times New Roman"/>
          <w:sz w:val="32"/>
          <w:szCs w:val="32"/>
        </w:rPr>
        <w:t>40°47'</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09.053"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项目新建一座 220kV 升压站及配套设施，设计额定装机1000MW，实际安装容量 1200MWp，同步配建 25%/4h 电化学储能。项目总投资2</w:t>
      </w:r>
      <w:r>
        <w:rPr>
          <w:rFonts w:hint="eastAsia" w:ascii="Times New Roman" w:hAnsi="Times New Roman" w:eastAsia="方正仿宋简体" w:cs="Times New Roman"/>
          <w:sz w:val="32"/>
          <w:szCs w:val="32"/>
        </w:rPr>
        <w:t>1758</w:t>
      </w:r>
      <w:r>
        <w:rPr>
          <w:rFonts w:ascii="Times New Roman" w:hAnsi="Times New Roman" w:eastAsia="方正仿宋简体" w:cs="Times New Roman"/>
          <w:sz w:val="32"/>
          <w:szCs w:val="32"/>
        </w:rPr>
        <w:t>万元，其中环保投资</w:t>
      </w:r>
      <w:r>
        <w:rPr>
          <w:rFonts w:hint="eastAsia" w:ascii="Times New Roman" w:hAnsi="Times New Roman" w:eastAsia="方正仿宋简体" w:cs="Times New Roman"/>
          <w:sz w:val="32"/>
          <w:szCs w:val="32"/>
        </w:rPr>
        <w:t>228</w:t>
      </w:r>
      <w:r>
        <w:rPr>
          <w:rFonts w:ascii="Times New Roman" w:hAnsi="Times New Roman" w:eastAsia="方正仿宋简体" w:cs="Times New Roman"/>
          <w:sz w:val="32"/>
          <w:szCs w:val="32"/>
        </w:rPr>
        <w:t>万元，占总投资的</w:t>
      </w:r>
      <w:r>
        <w:rPr>
          <w:rFonts w:hint="eastAsia" w:ascii="Times New Roman" w:hAnsi="Times New Roman" w:eastAsia="方正仿宋简体" w:cs="Times New Roman"/>
          <w:sz w:val="32"/>
          <w:szCs w:val="32"/>
        </w:rPr>
        <w:t>1.0</w:t>
      </w:r>
      <w:r>
        <w:rPr>
          <w:rFonts w:ascii="Times New Roman" w:hAnsi="Times New Roman" w:eastAsia="方正仿宋简体" w:cs="Times New Roman"/>
          <w:sz w:val="32"/>
          <w:szCs w:val="32"/>
        </w:rPr>
        <w:t>%。</w:t>
      </w:r>
    </w:p>
    <w:p w14:paraId="6EBDA42D">
      <w:pPr>
        <w:spacing w:line="560"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二</w:t>
      </w: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rPr>
        <w:t>新疆创禹水利环境科技有限公司</w:t>
      </w:r>
      <w:r>
        <w:rPr>
          <w:rFonts w:ascii="Times New Roman" w:hAnsi="Times New Roman" w:eastAsia="方正仿宋简体" w:cs="Times New Roman"/>
          <w:sz w:val="32"/>
          <w:szCs w:val="32"/>
        </w:rPr>
        <w:t>编制的《报告表》评价结论和专家对项目的评价意见，该项目属于输变电工程。在符合产业政策、选址符合国土空间区域等相关规划的前提下，从环境保护的角度，我局原则同意《报告表》结论。</w:t>
      </w:r>
    </w:p>
    <w:p w14:paraId="1F5EAEC5">
      <w:pPr>
        <w:spacing w:line="560" w:lineRule="exact"/>
        <w:ind w:firstLine="640" w:firstLineChars="200"/>
        <w:rPr>
          <w:rFonts w:ascii="Times New Roman" w:hAnsi="Times New Roman" w:eastAsia="方正仿宋简体" w:cs="Times New Roman"/>
          <w:color w:val="000000"/>
          <w:sz w:val="32"/>
          <w:szCs w:val="32"/>
        </w:rPr>
      </w:pPr>
      <w:r>
        <w:rPr>
          <w:rFonts w:hint="eastAsia" w:ascii="方正黑体简体" w:hAnsi="方正黑体简体" w:eastAsia="方正黑体简体" w:cs="方正黑体简体"/>
          <w:sz w:val="32"/>
          <w:szCs w:val="32"/>
          <w:lang w:val="zh-CN"/>
        </w:rPr>
        <w:t>三</w:t>
      </w:r>
      <w:r>
        <w:rPr>
          <w:rFonts w:ascii="Times New Roman" w:hAnsi="Times New Roman" w:eastAsia="方正仿宋简体" w:cs="Times New Roman"/>
          <w:kern w:val="0"/>
          <w:sz w:val="32"/>
          <w:szCs w:val="32"/>
          <w:lang w:val="zh-CN"/>
        </w:rPr>
        <w:t>、项目施工前须完成落实的工作：该</w:t>
      </w:r>
      <w:r>
        <w:rPr>
          <w:rFonts w:hint="eastAsia" w:ascii="Times New Roman" w:hAnsi="Times New Roman" w:eastAsia="方正仿宋简体" w:cs="Times New Roman"/>
          <w:kern w:val="0"/>
          <w:sz w:val="32"/>
          <w:szCs w:val="32"/>
          <w:lang w:val="zh-CN"/>
        </w:rPr>
        <w:t>项目</w:t>
      </w:r>
      <w:r>
        <w:rPr>
          <w:rFonts w:ascii="Times New Roman" w:hAnsi="Times New Roman" w:eastAsia="方正仿宋简体" w:cs="Times New Roman"/>
          <w:kern w:val="0"/>
          <w:sz w:val="32"/>
          <w:szCs w:val="32"/>
          <w:lang w:val="zh-CN"/>
        </w:rPr>
        <w:t>总占地约 66939.24m</w:t>
      </w:r>
      <w:r>
        <w:rPr>
          <w:rFonts w:ascii="Times New Roman" w:hAnsi="Times New Roman" w:eastAsia="方正仿宋简体" w:cs="Times New Roman"/>
          <w:kern w:val="0"/>
          <w:sz w:val="32"/>
          <w:szCs w:val="32"/>
          <w:vertAlign w:val="superscript"/>
          <w:lang w:val="zh-CN"/>
        </w:rPr>
        <w:t>2</w:t>
      </w:r>
      <w:r>
        <w:rPr>
          <w:rFonts w:ascii="Times New Roman" w:hAnsi="Times New Roman" w:eastAsia="方正仿宋简体" w:cs="Times New Roman"/>
          <w:kern w:val="0"/>
          <w:sz w:val="32"/>
          <w:szCs w:val="32"/>
          <w:lang w:val="zh-CN"/>
        </w:rPr>
        <w:t>，其中永久占地54939.24m</w:t>
      </w:r>
      <w:r>
        <w:rPr>
          <w:rFonts w:ascii="Times New Roman" w:hAnsi="Times New Roman" w:eastAsia="方正仿宋简体" w:cs="Times New Roman"/>
          <w:kern w:val="0"/>
          <w:sz w:val="32"/>
          <w:szCs w:val="32"/>
          <w:vertAlign w:val="superscript"/>
          <w:lang w:val="zh-CN"/>
        </w:rPr>
        <w:t>2</w:t>
      </w:r>
      <w:r>
        <w:rPr>
          <w:rFonts w:ascii="Times New Roman" w:hAnsi="Times New Roman" w:eastAsia="方正仿宋简体" w:cs="Times New Roman"/>
          <w:kern w:val="0"/>
          <w:sz w:val="32"/>
          <w:szCs w:val="32"/>
          <w:lang w:val="zh-CN"/>
        </w:rPr>
        <w:t xml:space="preserve"> ，临时占地12000m</w:t>
      </w:r>
      <w:r>
        <w:rPr>
          <w:rFonts w:ascii="Times New Roman" w:hAnsi="Times New Roman" w:eastAsia="方正仿宋简体" w:cs="Times New Roman"/>
          <w:kern w:val="0"/>
          <w:sz w:val="32"/>
          <w:szCs w:val="32"/>
          <w:vertAlign w:val="superscript"/>
          <w:lang w:val="zh-CN"/>
        </w:rPr>
        <w:t>2</w:t>
      </w:r>
      <w:r>
        <w:rPr>
          <w:rFonts w:ascii="Times New Roman" w:hAnsi="Times New Roman" w:eastAsia="方正仿宋简体" w:cs="Times New Roman"/>
          <w:kern w:val="0"/>
          <w:sz w:val="32"/>
          <w:szCs w:val="32"/>
          <w:lang w:val="zh-CN"/>
        </w:rPr>
        <w:t>。</w:t>
      </w:r>
      <w:r>
        <w:rPr>
          <w:rFonts w:ascii="Times New Roman" w:hAnsi="Times New Roman" w:eastAsia="方正仿宋简体" w:cs="Times New Roman"/>
          <w:color w:val="000000"/>
          <w:sz w:val="32"/>
          <w:szCs w:val="32"/>
        </w:rPr>
        <w:t>你单位需严格按照《中华人民共和国土地管理法</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关于全面实行永久基本农田特殊保护的通知》（国土资规〔2018〕1号）及有关法规政策的规定办理手续。</w:t>
      </w:r>
    </w:p>
    <w:p w14:paraId="4D2A09D6">
      <w:pPr>
        <w:spacing w:line="560" w:lineRule="exact"/>
        <w:ind w:firstLine="640" w:firstLineChars="200"/>
        <w:rPr>
          <w:rFonts w:ascii="Times New Roman" w:hAnsi="Times New Roman" w:eastAsia="方正仿宋简体" w:cs="Times New Roman"/>
          <w:color w:val="000000"/>
          <w:sz w:val="32"/>
          <w:szCs w:val="32"/>
        </w:rPr>
      </w:pPr>
      <w:r>
        <w:rPr>
          <w:rFonts w:hint="eastAsia" w:ascii="方正黑体简体" w:hAnsi="方正黑体简体" w:eastAsia="方正黑体简体" w:cs="方正黑体简体"/>
          <w:sz w:val="32"/>
          <w:szCs w:val="32"/>
        </w:rPr>
        <w:t>四</w:t>
      </w:r>
      <w:r>
        <w:rPr>
          <w:rFonts w:ascii="Times New Roman" w:hAnsi="Times New Roman" w:cs="Times New Roman"/>
          <w:kern w:val="0"/>
          <w:sz w:val="32"/>
          <w:szCs w:val="32"/>
        </w:rPr>
        <w:t>、</w:t>
      </w:r>
      <w:r>
        <w:rPr>
          <w:rFonts w:ascii="Times New Roman" w:hAnsi="Times New Roman" w:eastAsia="方正仿宋简体" w:cs="Times New Roman"/>
          <w:kern w:val="0"/>
          <w:sz w:val="32"/>
          <w:szCs w:val="32"/>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5A296F01">
      <w:pPr>
        <w:spacing w:line="56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楷体简体" w:cs="Times New Roman"/>
          <w:kern w:val="0"/>
          <w:sz w:val="32"/>
          <w:szCs w:val="32"/>
        </w:rPr>
        <w:t>（一）严格落实</w:t>
      </w:r>
      <w:r>
        <w:rPr>
          <w:rFonts w:ascii="Times New Roman" w:hAnsi="Times New Roman" w:eastAsia="方正楷体简体" w:cs="Times New Roman"/>
          <w:sz w:val="32"/>
          <w:szCs w:val="32"/>
        </w:rPr>
        <w:t>生态环境防治和防沙治沙措施。</w:t>
      </w:r>
      <w:r>
        <w:rPr>
          <w:rFonts w:ascii="Times New Roman" w:hAnsi="Times New Roman" w:eastAsia="方正仿宋简体" w:cs="Times New Roman"/>
          <w:kern w:val="0"/>
          <w:sz w:val="32"/>
          <w:szCs w:val="32"/>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牵张场等施工扰动区地表进行平整，及时播撒草籽，进行植被恢复。</w:t>
      </w:r>
    </w:p>
    <w:p w14:paraId="68DC50A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kern w:val="0"/>
          <w:sz w:val="32"/>
          <w:szCs w:val="32"/>
        </w:rPr>
        <w:t>（二）严格落实大气污染防治措施</w:t>
      </w:r>
      <w:r>
        <w:rPr>
          <w:rFonts w:ascii="Times New Roman" w:hAnsi="Times New Roman" w:eastAsia="方正仿宋简体" w:cs="Times New Roman"/>
          <w:sz w:val="32"/>
          <w:szCs w:val="32"/>
        </w:rPr>
        <w:t>。该项目施工期产生的废气主要为施工</w:t>
      </w:r>
      <w:r>
        <w:rPr>
          <w:rFonts w:hint="eastAsia" w:ascii="Times New Roman" w:hAnsi="Times New Roman" w:eastAsia="方正仿宋简体" w:cs="Times New Roman"/>
          <w:sz w:val="32"/>
          <w:szCs w:val="32"/>
        </w:rPr>
        <w:t>扬尘。</w:t>
      </w:r>
      <w:r>
        <w:rPr>
          <w:rFonts w:ascii="Times New Roman" w:hAnsi="Times New Roman" w:eastAsia="方正仿宋简体" w:cs="Times New Roman"/>
          <w:sz w:val="32"/>
          <w:szCs w:val="32"/>
        </w:rPr>
        <w:t>通过</w:t>
      </w:r>
      <w:r>
        <w:rPr>
          <w:rFonts w:hint="eastAsia" w:ascii="Times New Roman" w:hAnsi="Times New Roman" w:eastAsia="方正仿宋简体" w:cs="Times New Roman"/>
          <w:sz w:val="32"/>
          <w:szCs w:val="32"/>
        </w:rPr>
        <w:t>采取</w:t>
      </w:r>
      <w:r>
        <w:rPr>
          <w:rFonts w:ascii="Times New Roman" w:hAnsi="Times New Roman" w:eastAsia="方正仿宋简体" w:cs="Times New Roman"/>
          <w:sz w:val="32"/>
          <w:szCs w:val="32"/>
        </w:rPr>
        <w:t>洒水</w:t>
      </w:r>
      <w:r>
        <w:rPr>
          <w:rFonts w:hint="eastAsia" w:ascii="Times New Roman" w:hAnsi="Times New Roman" w:eastAsia="方正仿宋简体" w:cs="Times New Roman"/>
          <w:sz w:val="32"/>
          <w:szCs w:val="32"/>
        </w:rPr>
        <w:t>降尘</w:t>
      </w:r>
      <w:r>
        <w:rPr>
          <w:rFonts w:ascii="Times New Roman" w:hAnsi="Times New Roman" w:eastAsia="方正仿宋简体" w:cs="Times New Roman"/>
          <w:sz w:val="32"/>
          <w:szCs w:val="32"/>
        </w:rPr>
        <w:t>、合理布置施工现场</w:t>
      </w:r>
      <w:r>
        <w:rPr>
          <w:rFonts w:hint="eastAsia" w:ascii="Times New Roman" w:hAnsi="Times New Roman" w:eastAsia="方正仿宋简体" w:cs="Times New Roman"/>
          <w:sz w:val="32"/>
          <w:szCs w:val="32"/>
        </w:rPr>
        <w:t>等措施，确保</w:t>
      </w:r>
      <w:r>
        <w:rPr>
          <w:rFonts w:ascii="Times New Roman" w:hAnsi="Times New Roman" w:eastAsia="方正仿宋简体" w:cs="Times New Roman"/>
          <w:sz w:val="32"/>
          <w:szCs w:val="32"/>
        </w:rPr>
        <w:t>施工期</w:t>
      </w:r>
      <w:r>
        <w:rPr>
          <w:rFonts w:hint="eastAsia" w:ascii="Times New Roman" w:hAnsi="Times New Roman" w:eastAsia="方正仿宋简体" w:cs="Times New Roman"/>
          <w:sz w:val="32"/>
          <w:szCs w:val="32"/>
        </w:rPr>
        <w:t>扬</w:t>
      </w:r>
      <w:r>
        <w:rPr>
          <w:rFonts w:ascii="Times New Roman" w:hAnsi="Times New Roman" w:eastAsia="方正仿宋简体" w:cs="Times New Roman"/>
          <w:sz w:val="32"/>
          <w:szCs w:val="32"/>
        </w:rPr>
        <w:t>尘</w:t>
      </w:r>
      <w:r>
        <w:rPr>
          <w:rFonts w:hint="eastAsia" w:ascii="Times New Roman" w:hAnsi="Times New Roman" w:eastAsia="方正仿宋简体" w:cs="Times New Roman"/>
          <w:sz w:val="32"/>
          <w:szCs w:val="32"/>
        </w:rPr>
        <w:t>满足</w:t>
      </w:r>
      <w:r>
        <w:rPr>
          <w:rFonts w:ascii="Times New Roman" w:hAnsi="Times New Roman" w:eastAsia="方正仿宋简体" w:cs="Times New Roman"/>
          <w:sz w:val="32"/>
          <w:szCs w:val="32"/>
        </w:rPr>
        <w:t>《大气污染物综合排放标准》（GB16297—1996）</w:t>
      </w:r>
      <w:r>
        <w:rPr>
          <w:rFonts w:hint="eastAsia" w:ascii="Times New Roman" w:hAnsi="Times New Roman" w:eastAsia="方正仿宋简体" w:cs="Times New Roman"/>
          <w:sz w:val="32"/>
          <w:szCs w:val="32"/>
        </w:rPr>
        <w:t>中</w:t>
      </w:r>
      <w:r>
        <w:rPr>
          <w:rFonts w:ascii="Times New Roman" w:hAnsi="Times New Roman" w:eastAsia="方正仿宋简体" w:cs="Times New Roman"/>
          <w:sz w:val="32"/>
          <w:szCs w:val="32"/>
        </w:rPr>
        <w:t>无组织排放标准。</w:t>
      </w:r>
    </w:p>
    <w:p w14:paraId="00AF91B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kern w:val="0"/>
          <w:sz w:val="32"/>
          <w:szCs w:val="32"/>
        </w:rPr>
        <w:t>（三）严格落实水污染防治措施。</w:t>
      </w:r>
      <w:r>
        <w:rPr>
          <w:rFonts w:ascii="Times New Roman" w:hAnsi="Times New Roman" w:eastAsia="方正仿宋简体" w:cs="Times New Roman"/>
          <w:sz w:val="32"/>
          <w:szCs w:val="32"/>
        </w:rPr>
        <w:t>该项目施工期产生的废水主要为</w:t>
      </w:r>
      <w:r>
        <w:rPr>
          <w:rFonts w:hint="eastAsia" w:ascii="Times New Roman" w:hAnsi="Times New Roman" w:eastAsia="方正仿宋简体" w:cs="Times New Roman"/>
          <w:sz w:val="32"/>
          <w:szCs w:val="32"/>
        </w:rPr>
        <w:t>生产废水和</w:t>
      </w:r>
      <w:r>
        <w:rPr>
          <w:rFonts w:ascii="Times New Roman" w:hAnsi="Times New Roman" w:eastAsia="方正仿宋简体" w:cs="Times New Roman"/>
          <w:sz w:val="32"/>
          <w:szCs w:val="32"/>
        </w:rPr>
        <w:t>生活污水</w:t>
      </w:r>
      <w:r>
        <w:rPr>
          <w:rFonts w:hint="eastAsia" w:ascii="Times New Roman" w:hAnsi="Times New Roman" w:eastAsia="方正仿宋简体" w:cs="Times New Roman"/>
          <w:sz w:val="32"/>
          <w:szCs w:val="32"/>
        </w:rPr>
        <w:t>。生产废水沉淀后用于洒水降尘，不外排；生活污水</w:t>
      </w:r>
      <w:r>
        <w:rPr>
          <w:rFonts w:ascii="Times New Roman" w:hAnsi="Times New Roman" w:eastAsia="方正仿宋简体" w:cs="Times New Roman"/>
          <w:sz w:val="32"/>
          <w:szCs w:val="32"/>
        </w:rPr>
        <w:t>排入施工营地建设的防渗化粪池，定期委托环卫部门由吸污车抽吸拉运至 10 团污水处理厂处理。运营期生活污水经地埋式一体化污水处理设施处理后</w:t>
      </w:r>
      <w:r>
        <w:rPr>
          <w:rFonts w:hint="eastAsia" w:ascii="Times New Roman" w:hAnsi="Times New Roman" w:eastAsia="方正仿宋简体" w:cs="Times New Roman"/>
          <w:sz w:val="32"/>
          <w:szCs w:val="32"/>
        </w:rPr>
        <w:t>满足</w:t>
      </w:r>
      <w:r>
        <w:rPr>
          <w:rFonts w:ascii="Times New Roman" w:hAnsi="Times New Roman" w:eastAsia="方正仿宋简体" w:cs="Times New Roman"/>
          <w:sz w:val="32"/>
          <w:szCs w:val="32"/>
        </w:rPr>
        <w:t>《农村生活污水处理排放标准》（DB654275-2019）</w:t>
      </w:r>
      <w:r>
        <w:rPr>
          <w:rFonts w:ascii="Times New Roman" w:hAnsi="Times New Roman" w:eastAsia="方正仿宋简体" w:cs="Times New Roman"/>
          <w:sz w:val="32"/>
          <w:szCs w:val="32"/>
          <w:highlight w:val="none"/>
        </w:rPr>
        <w:t>表2的A级标准</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夏季用于</w:t>
      </w:r>
      <w:r>
        <w:rPr>
          <w:rFonts w:hint="eastAsia" w:ascii="Cambria" w:hAnsi="Cambria" w:eastAsia="方正仿宋简体" w:cs="Times New Roman"/>
          <w:sz w:val="32"/>
          <w:szCs w:val="32"/>
        </w:rPr>
        <w:t>厂</w:t>
      </w:r>
      <w:r>
        <w:rPr>
          <w:rFonts w:ascii="Times New Roman" w:hAnsi="Times New Roman" w:eastAsia="方正仿宋简体" w:cs="Times New Roman"/>
          <w:sz w:val="32"/>
          <w:szCs w:val="32"/>
        </w:rPr>
        <w:t>区绿化，冬季暂存于集水池</w:t>
      </w:r>
      <w:r>
        <w:rPr>
          <w:rFonts w:hint="eastAsia" w:ascii="Times New Roman" w:hAnsi="Times New Roman" w:eastAsia="方正仿宋简体" w:cs="Times New Roman"/>
          <w:sz w:val="32"/>
          <w:szCs w:val="32"/>
        </w:rPr>
        <w:t>。</w:t>
      </w:r>
    </w:p>
    <w:p w14:paraId="774DC08A">
      <w:pPr>
        <w:spacing w:line="56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楷体简体" w:cs="Times New Roman"/>
          <w:kern w:val="0"/>
          <w:sz w:val="32"/>
          <w:szCs w:val="32"/>
        </w:rPr>
        <w:t>（四）严格落实噪声污染防治措施。</w:t>
      </w:r>
      <w:r>
        <w:rPr>
          <w:rFonts w:ascii="Times New Roman" w:hAnsi="Times New Roman" w:eastAsia="方正仿宋简体" w:cs="Times New Roman"/>
          <w:kern w:val="0"/>
          <w:sz w:val="32"/>
          <w:szCs w:val="32"/>
        </w:rPr>
        <w:t>项目噪声主要来自</w:t>
      </w:r>
      <w:r>
        <w:rPr>
          <w:rFonts w:hint="eastAsia" w:ascii="Times New Roman" w:hAnsi="Times New Roman" w:eastAsia="方正仿宋简体" w:cs="Times New Roman"/>
          <w:kern w:val="0"/>
          <w:sz w:val="32"/>
          <w:szCs w:val="32"/>
        </w:rPr>
        <w:t>变压器</w:t>
      </w:r>
      <w:r>
        <w:rPr>
          <w:rFonts w:ascii="Times New Roman" w:hAnsi="Times New Roman" w:eastAsia="方正仿宋简体" w:cs="Times New Roman"/>
          <w:kern w:val="0"/>
          <w:sz w:val="32"/>
          <w:szCs w:val="32"/>
        </w:rPr>
        <w:t>运行产生的噪声。</w:t>
      </w:r>
      <w:r>
        <w:rPr>
          <w:rFonts w:hint="eastAsia" w:ascii="Times New Roman" w:hAnsi="Times New Roman" w:eastAsia="方正仿宋简体" w:cs="Times New Roman"/>
          <w:kern w:val="0"/>
          <w:sz w:val="32"/>
          <w:szCs w:val="32"/>
          <w:lang w:eastAsia="zh-CN"/>
        </w:rPr>
        <w:t>通过采取</w:t>
      </w:r>
      <w:r>
        <w:rPr>
          <w:rFonts w:ascii="Times New Roman" w:hAnsi="Times New Roman" w:eastAsia="方正仿宋简体" w:cs="Times New Roman"/>
          <w:kern w:val="0"/>
          <w:sz w:val="32"/>
          <w:szCs w:val="32"/>
        </w:rPr>
        <w:t>变电站应合理布局，选用低噪声设备，隔声降噪</w:t>
      </w:r>
      <w:r>
        <w:rPr>
          <w:rFonts w:hint="eastAsia" w:ascii="Times New Roman" w:hAnsi="Times New Roman" w:eastAsia="方正仿宋简体" w:cs="Times New Roman"/>
          <w:kern w:val="0"/>
          <w:sz w:val="32"/>
          <w:szCs w:val="32"/>
          <w:lang w:eastAsia="zh-CN"/>
        </w:rPr>
        <w:t>等</w:t>
      </w:r>
      <w:r>
        <w:rPr>
          <w:rFonts w:ascii="Times New Roman" w:hAnsi="Times New Roman" w:eastAsia="方正仿宋简体" w:cs="Times New Roman"/>
          <w:kern w:val="0"/>
          <w:sz w:val="32"/>
          <w:szCs w:val="32"/>
        </w:rPr>
        <w:t>措施，确保施工期施工场界噪声</w:t>
      </w:r>
      <w:r>
        <w:rPr>
          <w:rFonts w:hint="eastAsia" w:ascii="Times New Roman" w:hAnsi="Times New Roman" w:eastAsia="方正仿宋简体" w:cs="Times New Roman"/>
          <w:kern w:val="0"/>
          <w:sz w:val="32"/>
          <w:szCs w:val="32"/>
          <w:lang w:eastAsia="zh-CN"/>
        </w:rPr>
        <w:t>满足</w:t>
      </w:r>
      <w:r>
        <w:rPr>
          <w:rFonts w:ascii="Times New Roman" w:hAnsi="Times New Roman" w:eastAsia="方正仿宋简体" w:cs="Times New Roman"/>
          <w:kern w:val="0"/>
          <w:sz w:val="32"/>
          <w:szCs w:val="32"/>
        </w:rPr>
        <w:t>《建筑施工场界环境噪声排放标准》（GB12523-2011）标准；</w:t>
      </w:r>
      <w:r>
        <w:rPr>
          <w:rFonts w:hint="eastAsia" w:ascii="Times New Roman" w:hAnsi="Times New Roman" w:eastAsia="方正仿宋简体" w:cs="Times New Roman"/>
          <w:kern w:val="0"/>
          <w:sz w:val="32"/>
          <w:szCs w:val="32"/>
          <w:lang w:eastAsia="zh-CN"/>
        </w:rPr>
        <w:t>同时确保</w:t>
      </w:r>
      <w:r>
        <w:rPr>
          <w:rFonts w:ascii="Times New Roman" w:hAnsi="Times New Roman" w:eastAsia="方正仿宋简体" w:cs="Times New Roman"/>
          <w:kern w:val="0"/>
          <w:sz w:val="32"/>
          <w:szCs w:val="32"/>
        </w:rPr>
        <w:t>运营期变电站厂界噪声</w:t>
      </w:r>
      <w:r>
        <w:rPr>
          <w:rFonts w:hint="eastAsia" w:ascii="Times New Roman" w:hAnsi="Times New Roman" w:eastAsia="方正仿宋简体" w:cs="Times New Roman"/>
          <w:kern w:val="0"/>
          <w:sz w:val="32"/>
          <w:szCs w:val="32"/>
          <w:lang w:eastAsia="zh-CN"/>
        </w:rPr>
        <w:t>满足</w:t>
      </w:r>
      <w:r>
        <w:rPr>
          <w:rFonts w:ascii="Times New Roman" w:hAnsi="Times New Roman" w:eastAsia="方正仿宋简体" w:cs="Times New Roman"/>
          <w:kern w:val="0"/>
          <w:sz w:val="32"/>
          <w:szCs w:val="32"/>
        </w:rPr>
        <w:t>《工业企业厂界环境噪声排放标准》（GB12348-2008）中</w:t>
      </w:r>
      <w:r>
        <w:rPr>
          <w:rFonts w:hint="eastAsia" w:ascii="Times New Roman" w:hAnsi="Times New Roman" w:eastAsia="方正仿宋简体" w:cs="Times New Roman"/>
          <w:kern w:val="0"/>
          <w:sz w:val="32"/>
          <w:szCs w:val="32"/>
        </w:rPr>
        <w:t>1</w:t>
      </w:r>
      <w:r>
        <w:rPr>
          <w:rFonts w:ascii="Times New Roman" w:hAnsi="Times New Roman" w:eastAsia="方正仿宋简体" w:cs="Times New Roman"/>
          <w:kern w:val="0"/>
          <w:sz w:val="32"/>
          <w:szCs w:val="32"/>
        </w:rPr>
        <w:t xml:space="preserve">类限值。  </w:t>
      </w:r>
    </w:p>
    <w:p w14:paraId="221D1615">
      <w:pPr>
        <w:spacing w:line="56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楷体简体" w:cs="Times New Roman"/>
          <w:kern w:val="0"/>
          <w:sz w:val="32"/>
          <w:szCs w:val="32"/>
        </w:rPr>
        <w:t>（五）严格落实固体废物分类处置措施。</w:t>
      </w:r>
      <w:r>
        <w:rPr>
          <w:rFonts w:ascii="Times New Roman" w:hAnsi="Times New Roman" w:eastAsia="方正仿宋简体" w:cs="Times New Roman"/>
          <w:kern w:val="0"/>
          <w:sz w:val="32"/>
          <w:szCs w:val="32"/>
        </w:rPr>
        <w:t>该项目运营期产生的固废主要为废磷酸铁锂电池</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废铅酸蓄电池，变压器维修保养产生的废变压器油</w:t>
      </w:r>
      <w:r>
        <w:rPr>
          <w:rFonts w:hint="eastAsia" w:ascii="Times New Roman" w:hAnsi="Times New Roman" w:eastAsia="方正仿宋简体" w:cs="Times New Roman"/>
          <w:kern w:val="0"/>
          <w:sz w:val="32"/>
          <w:szCs w:val="32"/>
        </w:rPr>
        <w:t>，污水处理站污泥，</w:t>
      </w:r>
      <w:r>
        <w:rPr>
          <w:rFonts w:ascii="Times New Roman" w:hAnsi="Times New Roman" w:eastAsia="方正仿宋简体" w:cs="Times New Roman"/>
          <w:kern w:val="0"/>
          <w:sz w:val="32"/>
          <w:szCs w:val="32"/>
        </w:rPr>
        <w:t>含油抹布</w:t>
      </w:r>
      <w:r>
        <w:rPr>
          <w:rFonts w:hint="eastAsia" w:ascii="Times New Roman" w:hAnsi="Times New Roman" w:eastAsia="方正仿宋简体" w:cs="Times New Roman"/>
          <w:kern w:val="0"/>
          <w:sz w:val="32"/>
          <w:szCs w:val="32"/>
        </w:rPr>
        <w:t>和生活垃圾</w:t>
      </w:r>
      <w:r>
        <w:rPr>
          <w:rFonts w:ascii="Times New Roman" w:hAnsi="Times New Roman" w:eastAsia="方正仿宋简体" w:cs="Times New Roman"/>
          <w:kern w:val="0"/>
          <w:sz w:val="32"/>
          <w:szCs w:val="32"/>
        </w:rPr>
        <w:t>。废磷酸铁锂电池由生产厂家回收处理；更换的废铅酸蓄电池在危废暂存间暂存，</w:t>
      </w:r>
      <w:r>
        <w:rPr>
          <w:rFonts w:hint="eastAsia" w:ascii="Times New Roman" w:hAnsi="Times New Roman" w:eastAsia="方正仿宋简体" w:cs="Times New Roman"/>
          <w:kern w:val="0"/>
          <w:sz w:val="32"/>
          <w:szCs w:val="32"/>
        </w:rPr>
        <w:t>定期</w:t>
      </w:r>
      <w:r>
        <w:rPr>
          <w:rFonts w:ascii="Times New Roman" w:hAnsi="Times New Roman" w:eastAsia="方正仿宋简体" w:cs="Times New Roman"/>
          <w:kern w:val="0"/>
          <w:sz w:val="32"/>
          <w:szCs w:val="32"/>
        </w:rPr>
        <w:t>交由相关资质单位处理处置</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sz w:val="32"/>
          <w:szCs w:val="32"/>
        </w:rPr>
        <w:t>危险废物的收集、贮存、运输须符合《危险废物收集 贮存 运输技术规范》（HJ 2025-2012）及《危险废物贮存污染控制标准》（GB18597-2023）的相关要求</w:t>
      </w:r>
      <w:r>
        <w:rPr>
          <w:rFonts w:ascii="Times New Roman" w:hAnsi="Times New Roman" w:eastAsia="方正仿宋简体" w:cs="Times New Roman"/>
          <w:kern w:val="0"/>
          <w:sz w:val="32"/>
          <w:szCs w:val="32"/>
        </w:rPr>
        <w:t>；事故发生时变压器油进入站内事故油池，及时由有资质的单位处理处置，不在场内暂存</w:t>
      </w:r>
      <w:r>
        <w:rPr>
          <w:rFonts w:hint="eastAsia" w:ascii="Times New Roman" w:hAnsi="Times New Roman" w:eastAsia="方正仿宋简体" w:cs="Times New Roman"/>
          <w:kern w:val="0"/>
          <w:sz w:val="32"/>
          <w:szCs w:val="32"/>
        </w:rPr>
        <w:t>；项目区设置污水处理站，污泥经干化处理，含水率小于</w:t>
      </w:r>
      <w:r>
        <w:rPr>
          <w:rFonts w:ascii="Times New Roman" w:hAnsi="Times New Roman" w:eastAsia="方正仿宋简体" w:cs="Times New Roman"/>
          <w:kern w:val="0"/>
          <w:sz w:val="32"/>
          <w:szCs w:val="32"/>
        </w:rPr>
        <w:t>60%</w:t>
      </w:r>
      <w:r>
        <w:rPr>
          <w:rFonts w:hint="eastAsia" w:ascii="Times New Roman" w:hAnsi="Times New Roman" w:eastAsia="方正仿宋简体" w:cs="Times New Roman"/>
          <w:kern w:val="0"/>
          <w:sz w:val="32"/>
          <w:szCs w:val="32"/>
        </w:rPr>
        <w:t>后由环卫部门清运处理；</w:t>
      </w:r>
      <w:r>
        <w:rPr>
          <w:rFonts w:ascii="Times New Roman" w:hAnsi="Times New Roman" w:eastAsia="方正仿宋简体" w:cs="Times New Roman"/>
          <w:kern w:val="0"/>
          <w:sz w:val="32"/>
          <w:szCs w:val="32"/>
        </w:rPr>
        <w:t>含油抹布</w:t>
      </w:r>
      <w:r>
        <w:rPr>
          <w:rFonts w:hint="eastAsia" w:ascii="Times New Roman" w:hAnsi="Times New Roman" w:eastAsia="方正仿宋简体" w:cs="Times New Roman"/>
          <w:kern w:val="0"/>
          <w:sz w:val="32"/>
          <w:szCs w:val="32"/>
          <w:lang w:eastAsia="zh-CN"/>
        </w:rPr>
        <w:t>、</w:t>
      </w:r>
      <w:r>
        <w:rPr>
          <w:rFonts w:ascii="Times New Roman" w:hAnsi="Times New Roman" w:eastAsia="方正仿宋简体" w:cs="Times New Roman"/>
          <w:kern w:val="0"/>
          <w:sz w:val="32"/>
          <w:szCs w:val="32"/>
        </w:rPr>
        <w:t>生活垃圾集中收集后定期清运至环卫部门指定地点。</w:t>
      </w:r>
    </w:p>
    <w:p w14:paraId="7ECC68DD">
      <w:pPr>
        <w:spacing w:line="560" w:lineRule="exact"/>
        <w:ind w:firstLine="640" w:firstLineChars="200"/>
        <w:rPr>
          <w:rFonts w:hint="eastAsia" w:ascii="Times New Roman" w:hAnsi="Times New Roman" w:eastAsia="方正仿宋简体" w:cs="Times New Roman"/>
          <w:sz w:val="32"/>
          <w:szCs w:val="32"/>
          <w:lang w:eastAsia="zh-CN"/>
        </w:rPr>
      </w:pPr>
      <w:r>
        <w:rPr>
          <w:rFonts w:ascii="Times New Roman" w:hAnsi="Times New Roman" w:eastAsia="方正楷体简体" w:cs="Times New Roman"/>
          <w:kern w:val="0"/>
          <w:sz w:val="32"/>
          <w:szCs w:val="32"/>
        </w:rPr>
        <w:t>（六）严格落实电磁污染防治措施。</w:t>
      </w:r>
      <w:r>
        <w:rPr>
          <w:rFonts w:ascii="Times New Roman" w:hAnsi="Times New Roman" w:eastAsia="方正仿宋简体" w:cs="Times New Roman"/>
          <w:sz w:val="32"/>
          <w:szCs w:val="32"/>
        </w:rPr>
        <w:t>通过合理布局站内电气设备及配电装置，保障变电站内各电气设备良好的接地状态；在变电站设立电磁防护安全警示标志，禁止无关人员靠近带电架构，做好环境保护设施的维护和运行管理等措施后，确保线路两侧和变电站周围居民区满足《电磁环境控制限值》（GB8702-2014）</w:t>
      </w:r>
      <w:r>
        <w:rPr>
          <w:rFonts w:hint="eastAsia" w:ascii="Times New Roman" w:hAnsi="Times New Roman" w:eastAsia="方正仿宋简体" w:cs="Times New Roman"/>
          <w:sz w:val="32"/>
          <w:szCs w:val="32"/>
          <w:lang w:eastAsia="zh-CN"/>
        </w:rPr>
        <w:t>标准。</w:t>
      </w:r>
    </w:p>
    <w:p w14:paraId="149B0963">
      <w:pPr>
        <w:pStyle w:val="2"/>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方正黑体简体" w:hAnsi="方正黑体简体" w:eastAsia="方正黑体简体" w:cs="方正黑体简体"/>
          <w:kern w:val="2"/>
          <w:sz w:val="32"/>
          <w:szCs w:val="32"/>
          <w:lang w:val="zh-CN" w:eastAsia="zh-CN" w:bidi="ar-SA"/>
        </w:rPr>
        <w:t>五</w:t>
      </w:r>
      <w:r>
        <w:rPr>
          <w:rFonts w:ascii="Times New Roman" w:hAnsi="Times New Roman" w:eastAsia="方正仿宋简体" w:cs="Times New Roman"/>
          <w:kern w:val="0"/>
          <w:sz w:val="32"/>
          <w:szCs w:val="32"/>
          <w:lang w:val="zh-CN"/>
        </w:rPr>
        <w:t>、</w:t>
      </w:r>
      <w:r>
        <w:rPr>
          <w:rFonts w:ascii="Times New Roman" w:hAnsi="Times New Roman" w:eastAsia="方正仿宋简体" w:cs="Times New Roman"/>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771995AE">
      <w:pPr>
        <w:pStyle w:val="2"/>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方正黑体简体" w:hAnsi="方正黑体简体" w:eastAsia="方正黑体简体" w:cs="方正黑体简体"/>
          <w:kern w:val="2"/>
          <w:sz w:val="32"/>
          <w:szCs w:val="32"/>
          <w:lang w:val="en-US" w:eastAsia="zh-CN" w:bidi="ar-SA"/>
        </w:rPr>
        <w:t>六</w:t>
      </w:r>
      <w:r>
        <w:rPr>
          <w:rFonts w:ascii="Times New Roman" w:hAnsi="Times New Roman" w:eastAsia="方正仿宋简体" w:cs="Times New Roman"/>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2144D10B">
      <w:pPr>
        <w:pStyle w:val="2"/>
        <w:adjustRightInd w:val="0"/>
        <w:snapToGrid w:val="0"/>
        <w:spacing w:line="560" w:lineRule="exact"/>
        <w:ind w:firstLine="640" w:firstLineChars="200"/>
        <w:rPr>
          <w:rFonts w:ascii="Times New Roman" w:hAnsi="Times New Roman" w:eastAsia="方正仿宋简体" w:cs="Times New Roman"/>
          <w:kern w:val="0"/>
          <w:sz w:val="32"/>
          <w:szCs w:val="32"/>
        </w:rPr>
      </w:pPr>
      <w:r>
        <w:rPr>
          <w:rFonts w:hint="eastAsia" w:ascii="方正黑体简体" w:hAnsi="方正黑体简体" w:eastAsia="方正黑体简体" w:cs="方正黑体简体"/>
          <w:kern w:val="2"/>
          <w:sz w:val="32"/>
          <w:szCs w:val="32"/>
          <w:lang w:val="zh-CN" w:eastAsia="zh-CN" w:bidi="ar-SA"/>
        </w:rPr>
        <w:t>七</w:t>
      </w:r>
      <w:r>
        <w:rPr>
          <w:rFonts w:ascii="Times New Roman" w:hAnsi="Times New Roman" w:eastAsia="方正仿宋简体" w:cs="Times New Roman"/>
          <w:kern w:val="0"/>
          <w:sz w:val="32"/>
          <w:szCs w:val="32"/>
          <w:lang w:val="zh-CN"/>
        </w:rPr>
        <w:t>、</w:t>
      </w:r>
      <w:r>
        <w:rPr>
          <w:rFonts w:hint="eastAsia" w:ascii="Times New Roman" w:hAnsi="Times New Roman" w:eastAsia="方正仿宋简体" w:cs="Times New Roman"/>
          <w:kern w:val="0"/>
          <w:sz w:val="32"/>
          <w:szCs w:val="32"/>
        </w:rPr>
        <w:t>十团昌安镇</w:t>
      </w:r>
      <w:r>
        <w:rPr>
          <w:rFonts w:ascii="Times New Roman" w:hAnsi="Times New Roman" w:eastAsia="方正仿宋简体" w:cs="Times New Roman"/>
          <w:kern w:val="0"/>
          <w:sz w:val="32"/>
          <w:szCs w:val="32"/>
        </w:rPr>
        <w:t>积极发挥政府职能</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做好该项目环境保护管理工作，师市生态环境保护综合行政执法支队做好该项目的抽查日常监督管理工作。</w:t>
      </w:r>
    </w:p>
    <w:p w14:paraId="34ED5C8C">
      <w:pPr>
        <w:pStyle w:val="10"/>
        <w:widowControl/>
        <w:spacing w:after="0" w:line="560" w:lineRule="exact"/>
        <w:ind w:left="0" w:leftChars="0" w:firstLine="640"/>
        <w:rPr>
          <w:rFonts w:ascii="Times New Roman" w:hAnsi="Times New Roman" w:eastAsia="方正仿宋简体" w:cs="Times New Roman"/>
        </w:rPr>
      </w:pPr>
      <w:r>
        <w:rPr>
          <w:rFonts w:ascii="Times New Roman" w:hAnsi="Times New Roman" w:eastAsia="方正仿宋简体" w:cs="Times New Roman"/>
          <w:kern w:val="0"/>
          <w:sz w:val="32"/>
          <w:szCs w:val="32"/>
        </w:rPr>
        <w:t>如你单位对本审批决定有不同意见，可在接到本决定书之日起六十日内向阿拉尔市人民政府申请行政复议，也可在六个月内依法向阿拉尔垦区人民法院起诉。</w:t>
      </w:r>
    </w:p>
    <w:p w14:paraId="44176004">
      <w:pPr>
        <w:spacing w:line="560" w:lineRule="exact"/>
        <w:ind w:firstLine="640" w:firstLineChars="200"/>
        <w:rPr>
          <w:rFonts w:ascii="Times New Roman" w:hAnsi="Times New Roman" w:eastAsia="方正仿宋简体" w:cs="Times New Roman"/>
          <w:sz w:val="32"/>
          <w:szCs w:val="32"/>
        </w:rPr>
      </w:pPr>
    </w:p>
    <w:p w14:paraId="50EBA8B7">
      <w:pPr>
        <w:spacing w:line="560" w:lineRule="exact"/>
        <w:ind w:firstLine="640" w:firstLineChars="200"/>
        <w:rPr>
          <w:rFonts w:ascii="Times New Roman" w:hAnsi="Times New Roman" w:eastAsia="方正仿宋简体" w:cs="Times New Roman"/>
          <w:sz w:val="32"/>
          <w:szCs w:val="32"/>
        </w:rPr>
      </w:pPr>
    </w:p>
    <w:p w14:paraId="6678FDFA">
      <w:pPr>
        <w:spacing w:line="560" w:lineRule="exact"/>
        <w:ind w:firstLine="640" w:firstLineChars="200"/>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第一师阿拉尔市生态环境局</w:t>
      </w:r>
    </w:p>
    <w:p w14:paraId="56E2B6D2">
      <w:pPr>
        <w:spacing w:line="560" w:lineRule="exact"/>
        <w:ind w:firstLine="640"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2025年</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15</w:t>
      </w:r>
      <w:r>
        <w:rPr>
          <w:rFonts w:ascii="Times New Roman" w:hAnsi="Times New Roman" w:eastAsia="方正仿宋简体" w:cs="Times New Roman"/>
          <w:sz w:val="32"/>
          <w:szCs w:val="32"/>
        </w:rPr>
        <w:t>日</w:t>
      </w:r>
    </w:p>
    <w:p w14:paraId="1ED4CB38">
      <w:pPr>
        <w:spacing w:line="560" w:lineRule="exact"/>
        <w:rPr>
          <w:rFonts w:ascii="Times New Roman" w:hAnsi="Times New Roman" w:eastAsia="方正仿宋简体" w:cs="Times New Roman"/>
          <w:sz w:val="32"/>
          <w:szCs w:val="32"/>
        </w:rPr>
      </w:pPr>
    </w:p>
    <w:p w14:paraId="3905B351">
      <w:pPr>
        <w:spacing w:line="560" w:lineRule="exact"/>
        <w:rPr>
          <w:rFonts w:ascii="Times New Roman" w:hAnsi="Times New Roman" w:eastAsia="方正仿宋简体" w:cs="Times New Roman"/>
          <w:sz w:val="32"/>
          <w:szCs w:val="32"/>
        </w:rPr>
      </w:pPr>
    </w:p>
    <w:p w14:paraId="6F4E4609">
      <w:pPr>
        <w:spacing w:line="560" w:lineRule="exact"/>
        <w:rPr>
          <w:rFonts w:ascii="Times New Roman" w:hAnsi="Times New Roman" w:eastAsia="方正仿宋简体" w:cs="Times New Roman"/>
          <w:sz w:val="32"/>
          <w:szCs w:val="32"/>
        </w:rPr>
      </w:pPr>
    </w:p>
    <w:p w14:paraId="172BC6B0">
      <w:pPr>
        <w:spacing w:line="560" w:lineRule="exact"/>
        <w:rPr>
          <w:rFonts w:ascii="Times New Roman" w:hAnsi="Times New Roman" w:eastAsia="方正仿宋简体" w:cs="Times New Roman"/>
          <w:sz w:val="32"/>
          <w:szCs w:val="32"/>
        </w:rPr>
      </w:pPr>
    </w:p>
    <w:p w14:paraId="5A8E3DFF">
      <w:pPr>
        <w:spacing w:line="560" w:lineRule="exact"/>
        <w:rPr>
          <w:rFonts w:ascii="Times New Roman" w:hAnsi="Times New Roman" w:eastAsia="方正仿宋简体" w:cs="Times New Roman"/>
          <w:sz w:val="32"/>
          <w:szCs w:val="32"/>
        </w:rPr>
      </w:pPr>
    </w:p>
    <w:p w14:paraId="30CFEB66">
      <w:pPr>
        <w:spacing w:line="560" w:lineRule="exact"/>
        <w:rPr>
          <w:rFonts w:ascii="Times New Roman" w:hAnsi="Times New Roman" w:eastAsia="方正仿宋简体" w:cs="Times New Roman"/>
          <w:sz w:val="32"/>
          <w:szCs w:val="32"/>
        </w:rPr>
      </w:pPr>
    </w:p>
    <w:p w14:paraId="275EF132">
      <w:pPr>
        <w:spacing w:line="560" w:lineRule="exact"/>
        <w:rPr>
          <w:rFonts w:ascii="Times New Roman" w:hAnsi="Times New Roman" w:eastAsia="方正仿宋简体" w:cs="Times New Roman"/>
          <w:sz w:val="32"/>
          <w:szCs w:val="32"/>
        </w:rPr>
      </w:pPr>
    </w:p>
    <w:p w14:paraId="15DE3B49">
      <w:pPr>
        <w:spacing w:line="560" w:lineRule="exact"/>
        <w:rPr>
          <w:rFonts w:ascii="Times New Roman" w:hAnsi="Times New Roman" w:eastAsia="方正仿宋简体" w:cs="Times New Roman"/>
          <w:sz w:val="32"/>
          <w:szCs w:val="32"/>
        </w:rPr>
      </w:pPr>
    </w:p>
    <w:p w14:paraId="0C443105">
      <w:pPr>
        <w:spacing w:line="560" w:lineRule="exact"/>
        <w:rPr>
          <w:rFonts w:ascii="Times New Roman" w:hAnsi="Times New Roman" w:eastAsia="方正仿宋简体" w:cs="Times New Roman"/>
          <w:sz w:val="32"/>
          <w:szCs w:val="32"/>
        </w:rPr>
      </w:pPr>
    </w:p>
    <w:p w14:paraId="40786728">
      <w:pPr>
        <w:spacing w:line="560" w:lineRule="exact"/>
        <w:rPr>
          <w:rFonts w:ascii="Times New Roman" w:hAnsi="Times New Roman" w:eastAsia="方正仿宋简体" w:cs="Times New Roman"/>
          <w:sz w:val="32"/>
          <w:szCs w:val="32"/>
        </w:rPr>
      </w:pPr>
    </w:p>
    <w:p w14:paraId="589E6F2A">
      <w:pPr>
        <w:spacing w:line="560" w:lineRule="exact"/>
        <w:rPr>
          <w:rFonts w:ascii="Times New Roman" w:hAnsi="Times New Roman" w:eastAsia="方正仿宋简体" w:cs="Times New Roman"/>
          <w:sz w:val="32"/>
          <w:szCs w:val="32"/>
        </w:rPr>
      </w:pPr>
    </w:p>
    <w:p w14:paraId="4732E60E">
      <w:pPr>
        <w:spacing w:line="560" w:lineRule="exact"/>
        <w:rPr>
          <w:rFonts w:ascii="Times New Roman" w:hAnsi="Times New Roman" w:eastAsia="方正仿宋简体" w:cs="Times New Roman"/>
          <w:sz w:val="32"/>
          <w:szCs w:val="32"/>
        </w:rPr>
      </w:pPr>
    </w:p>
    <w:p w14:paraId="096791EE">
      <w:pPr>
        <w:spacing w:line="560" w:lineRule="exact"/>
        <w:rPr>
          <w:rFonts w:ascii="Times New Roman" w:hAnsi="Times New Roman" w:eastAsia="方正仿宋简体" w:cs="Times New Roman"/>
          <w:sz w:val="32"/>
          <w:szCs w:val="32"/>
        </w:rPr>
      </w:pPr>
    </w:p>
    <w:p w14:paraId="50B05168">
      <w:pPr>
        <w:spacing w:line="560" w:lineRule="exact"/>
        <w:rPr>
          <w:rFonts w:ascii="Times New Roman" w:hAnsi="Times New Roman" w:eastAsia="方正仿宋简体" w:cs="Times New Roman"/>
          <w:sz w:val="32"/>
          <w:szCs w:val="32"/>
        </w:rPr>
      </w:pPr>
    </w:p>
    <w:p w14:paraId="14409175">
      <w:pPr>
        <w:spacing w:line="560" w:lineRule="exact"/>
        <w:rPr>
          <w:rFonts w:ascii="Times New Roman" w:hAnsi="Times New Roman" w:eastAsia="方正仿宋简体" w:cs="Times New Roman"/>
          <w:sz w:val="32"/>
          <w:szCs w:val="32"/>
        </w:rPr>
      </w:pPr>
    </w:p>
    <w:p w14:paraId="2D7FCC81">
      <w:pPr>
        <w:spacing w:line="560" w:lineRule="exact"/>
        <w:rPr>
          <w:rFonts w:ascii="Times New Roman" w:hAnsi="Times New Roman" w:eastAsia="方正仿宋简体" w:cs="Times New Roman"/>
          <w:sz w:val="32"/>
          <w:szCs w:val="32"/>
        </w:rPr>
      </w:pPr>
    </w:p>
    <w:p w14:paraId="465DC487">
      <w:pPr>
        <w:spacing w:line="560" w:lineRule="exact"/>
        <w:rPr>
          <w:rFonts w:ascii="Times New Roman" w:hAnsi="Times New Roman" w:eastAsia="方正仿宋简体" w:cs="Times New Roman"/>
          <w:sz w:val="32"/>
          <w:szCs w:val="32"/>
        </w:rPr>
      </w:pPr>
    </w:p>
    <w:p w14:paraId="02778C35">
      <w:pPr>
        <w:spacing w:line="560" w:lineRule="exact"/>
        <w:rPr>
          <w:rFonts w:ascii="Times New Roman" w:hAnsi="Times New Roman" w:eastAsia="方正仿宋简体" w:cs="Times New Roman"/>
          <w:sz w:val="32"/>
          <w:szCs w:val="32"/>
        </w:rPr>
      </w:pPr>
    </w:p>
    <w:p w14:paraId="0B44AC5C">
      <w:pPr>
        <w:spacing w:line="560" w:lineRule="exact"/>
        <w:rPr>
          <w:rFonts w:ascii="Times New Roman" w:hAnsi="Times New Roman" w:eastAsia="方正仿宋简体" w:cs="Times New Roman"/>
          <w:sz w:val="32"/>
          <w:szCs w:val="32"/>
        </w:rPr>
      </w:pPr>
    </w:p>
    <w:p w14:paraId="53EDA612">
      <w:pPr>
        <w:spacing w:line="560" w:lineRule="exact"/>
        <w:rPr>
          <w:rFonts w:ascii="Times New Roman" w:hAnsi="Times New Roman" w:eastAsia="方正仿宋简体" w:cs="Times New Roman"/>
          <w:sz w:val="32"/>
          <w:szCs w:val="32"/>
        </w:rPr>
      </w:pPr>
    </w:p>
    <w:p w14:paraId="5FA71F2B">
      <w:pPr>
        <w:spacing w:line="560" w:lineRule="exact"/>
        <w:rPr>
          <w:rFonts w:ascii="Times New Roman" w:hAnsi="Times New Roman" w:eastAsia="方正仿宋简体" w:cs="Times New Roman"/>
          <w:sz w:val="32"/>
          <w:szCs w:val="32"/>
        </w:rPr>
      </w:pPr>
    </w:p>
    <w:p w14:paraId="05273284">
      <w:pPr>
        <w:spacing w:line="560" w:lineRule="exact"/>
        <w:rPr>
          <w:rFonts w:ascii="Times New Roman" w:hAnsi="Times New Roman" w:eastAsia="方正仿宋简体" w:cs="Times New Roman"/>
          <w:sz w:val="32"/>
          <w:szCs w:val="32"/>
        </w:rPr>
      </w:pPr>
    </w:p>
    <w:p w14:paraId="6507A909">
      <w:pPr>
        <w:spacing w:line="560" w:lineRule="exact"/>
        <w:rPr>
          <w:rFonts w:ascii="Times New Roman" w:hAnsi="Times New Roman" w:eastAsia="方正仿宋简体" w:cs="Times New Roman"/>
          <w:sz w:val="32"/>
          <w:szCs w:val="32"/>
        </w:rPr>
      </w:pPr>
    </w:p>
    <w:p w14:paraId="0058301E">
      <w:pPr>
        <w:spacing w:line="560" w:lineRule="exact"/>
        <w:rPr>
          <w:rFonts w:ascii="Times New Roman" w:hAnsi="Times New Roman" w:eastAsia="方正仿宋简体" w:cs="Times New Roman"/>
          <w:sz w:val="32"/>
          <w:szCs w:val="32"/>
        </w:rPr>
      </w:pPr>
    </w:p>
    <w:p w14:paraId="58702B6C">
      <w:pPr>
        <w:spacing w:line="560" w:lineRule="exact"/>
        <w:rPr>
          <w:rFonts w:ascii="Times New Roman" w:hAnsi="Times New Roman" w:eastAsia="方正仿宋简体" w:cs="Times New Roman"/>
          <w:sz w:val="32"/>
          <w:szCs w:val="32"/>
        </w:rPr>
      </w:pPr>
    </w:p>
    <w:p w14:paraId="57A91700">
      <w:pPr>
        <w:spacing w:line="560" w:lineRule="exact"/>
        <w:rPr>
          <w:rFonts w:ascii="Times New Roman" w:hAnsi="Times New Roman" w:eastAsia="方正仿宋简体" w:cs="Times New Roman"/>
          <w:sz w:val="32"/>
          <w:szCs w:val="32"/>
        </w:rPr>
      </w:pPr>
    </w:p>
    <w:p w14:paraId="1BF21CCE">
      <w:pPr>
        <w:spacing w:line="560" w:lineRule="exact"/>
        <w:rPr>
          <w:rFonts w:ascii="Times New Roman" w:hAnsi="Times New Roman" w:eastAsia="方正仿宋简体" w:cs="Times New Roman"/>
          <w:sz w:val="32"/>
          <w:szCs w:val="32"/>
        </w:rPr>
      </w:pPr>
    </w:p>
    <w:p w14:paraId="2C404E07">
      <w:pPr>
        <w:spacing w:line="560" w:lineRule="exact"/>
        <w:rPr>
          <w:rFonts w:ascii="Times New Roman" w:hAnsi="Times New Roman" w:eastAsia="方正仿宋简体" w:cs="Times New Roman"/>
          <w:sz w:val="32"/>
          <w:szCs w:val="32"/>
        </w:rPr>
      </w:pPr>
    </w:p>
    <w:p w14:paraId="6C73329D">
      <w:pPr>
        <w:spacing w:line="560" w:lineRule="exact"/>
        <w:rPr>
          <w:rFonts w:ascii="Times New Roman" w:hAnsi="Times New Roman" w:eastAsia="方正仿宋简体" w:cs="Times New Roman"/>
          <w:sz w:val="32"/>
          <w:szCs w:val="32"/>
        </w:rPr>
      </w:pPr>
    </w:p>
    <w:p w14:paraId="5E9A0BCA">
      <w:pPr>
        <w:spacing w:line="560" w:lineRule="exact"/>
        <w:rPr>
          <w:rFonts w:ascii="Times New Roman" w:hAnsi="Times New Roman" w:eastAsia="方正仿宋简体" w:cs="Times New Roman"/>
          <w:sz w:val="32"/>
          <w:szCs w:val="32"/>
        </w:rPr>
      </w:pPr>
    </w:p>
    <w:p w14:paraId="5FD0C8AC">
      <w:pPr>
        <w:spacing w:line="560" w:lineRule="exact"/>
        <w:rPr>
          <w:rFonts w:ascii="Times New Roman" w:hAnsi="Times New Roman" w:eastAsia="方正仿宋简体" w:cs="Times New Roman"/>
          <w:sz w:val="32"/>
          <w:szCs w:val="32"/>
        </w:rPr>
      </w:pPr>
    </w:p>
    <w:p w14:paraId="42C14691">
      <w:pPr>
        <w:spacing w:line="560" w:lineRule="exact"/>
        <w:rPr>
          <w:rFonts w:ascii="Times New Roman" w:hAnsi="Times New Roman" w:eastAsia="方正仿宋简体" w:cs="Times New Roman"/>
          <w:sz w:val="32"/>
          <w:szCs w:val="32"/>
        </w:rPr>
      </w:pPr>
    </w:p>
    <w:p w14:paraId="6914FE48">
      <w:pPr>
        <w:spacing w:line="560" w:lineRule="exact"/>
        <w:rPr>
          <w:rFonts w:ascii="Times New Roman" w:hAnsi="Times New Roman" w:eastAsia="方正仿宋简体" w:cs="Times New Roman"/>
          <w:sz w:val="32"/>
          <w:szCs w:val="32"/>
        </w:rPr>
      </w:pPr>
    </w:p>
    <w:p w14:paraId="39451D97">
      <w:pPr>
        <w:spacing w:line="560" w:lineRule="exact"/>
        <w:rPr>
          <w:rFonts w:ascii="Times New Roman" w:hAnsi="Times New Roman" w:eastAsia="方正仿宋简体" w:cs="Times New Roman"/>
          <w:sz w:val="32"/>
          <w:szCs w:val="32"/>
        </w:rPr>
      </w:pPr>
    </w:p>
    <w:p w14:paraId="1F5779AD">
      <w:pPr>
        <w:spacing w:line="560" w:lineRule="exact"/>
        <w:rPr>
          <w:rFonts w:ascii="Times New Roman" w:hAnsi="Times New Roman" w:eastAsia="方正仿宋简体" w:cs="Times New Roman"/>
          <w:sz w:val="32"/>
          <w:szCs w:val="32"/>
        </w:rPr>
      </w:pPr>
    </w:p>
    <w:p w14:paraId="2E5B1711">
      <w:pPr>
        <w:spacing w:line="560" w:lineRule="exact"/>
        <w:rPr>
          <w:rFonts w:ascii="Times New Roman" w:hAnsi="Times New Roman" w:eastAsia="方正仿宋简体" w:cs="Times New Roman"/>
          <w:sz w:val="32"/>
          <w:szCs w:val="32"/>
        </w:rPr>
      </w:pPr>
    </w:p>
    <w:p w14:paraId="11EAA314">
      <w:pPr>
        <w:spacing w:line="560" w:lineRule="exact"/>
        <w:rPr>
          <w:rFonts w:ascii="Times New Roman" w:hAnsi="Times New Roman" w:eastAsia="方正仿宋简体" w:cs="Times New Roman"/>
          <w:sz w:val="32"/>
          <w:szCs w:val="32"/>
        </w:rPr>
      </w:pPr>
    </w:p>
    <w:p w14:paraId="3A259CA2">
      <w:pPr>
        <w:spacing w:line="560" w:lineRule="exact"/>
        <w:rPr>
          <w:rFonts w:ascii="Times New Roman" w:hAnsi="Times New Roman" w:eastAsia="方正仿宋简体" w:cs="Times New Roman"/>
          <w:sz w:val="32"/>
          <w:szCs w:val="32"/>
        </w:rPr>
      </w:pPr>
    </w:p>
    <w:p w14:paraId="0EF408DB">
      <w:pPr>
        <w:topLinePunct/>
        <w:adjustRightInd w:val="0"/>
        <w:snapToGrid w:val="0"/>
        <w:spacing w:line="560" w:lineRule="exact"/>
        <w:ind w:left="840" w:hanging="840" w:hangingChars="300"/>
        <w:rPr>
          <w:rFonts w:ascii="Times New Roman" w:hAnsi="Times New Roman" w:eastAsia="方正仿宋简体" w:cs="Times New Roman"/>
          <w:sz w:val="28"/>
          <w:szCs w:val="28"/>
          <w:highlight w:val="green"/>
        </w:rPr>
      </w:pPr>
      <w:r>
        <w:rPr>
          <w:rFonts w:ascii="Times New Roman" w:hAnsi="Times New Roman" w:eastAsia="方正仿宋简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Times New Roman" w:hAnsi="Times New Roman" w:eastAsia="方正仿宋简体" w:cs="Times New Roman"/>
          <w:sz w:val="28"/>
          <w:szCs w:val="28"/>
        </w:rPr>
        <w:t>抄送：</w:t>
      </w:r>
      <w:r>
        <w:rPr>
          <w:rFonts w:hint="eastAsia" w:ascii="Times New Roman" w:hAnsi="Times New Roman" w:eastAsia="方正仿宋简体" w:cs="Times New Roman"/>
          <w:sz w:val="28"/>
          <w:szCs w:val="28"/>
        </w:rPr>
        <w:t>十团昌安镇，</w:t>
      </w:r>
      <w:r>
        <w:rPr>
          <w:rFonts w:ascii="Times New Roman" w:hAnsi="Times New Roman" w:eastAsia="方正仿宋简体" w:cs="Times New Roman"/>
          <w:sz w:val="28"/>
          <w:szCs w:val="28"/>
        </w:rPr>
        <w:t>生态环境保护综合行政执法支队，新疆创禹水利环境科技有限公司</w:t>
      </w:r>
      <w:r>
        <w:rPr>
          <w:rFonts w:hint="eastAsia" w:ascii="Times New Roman" w:hAnsi="Times New Roman" w:eastAsia="方正仿宋简体" w:cs="Times New Roman"/>
          <w:sz w:val="28"/>
          <w:szCs w:val="28"/>
        </w:rPr>
        <w:t>。</w:t>
      </w:r>
    </w:p>
    <w:p w14:paraId="429C895E">
      <w:pPr>
        <w:spacing w:line="56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Times New Roman" w:hAnsi="Times New Roman" w:eastAsia="方正仿宋简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rPr>
        <w:t xml:space="preserve">第一师阿拉尔市生态环境局               </w:t>
      </w: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2025年</w:t>
      </w:r>
      <w:r>
        <w:rPr>
          <w:rFonts w:hint="eastAsia" w:ascii="Times New Roman" w:hAnsi="Times New Roman" w:eastAsia="方正仿宋简体" w:cs="Times New Roman"/>
          <w:sz w:val="28"/>
          <w:szCs w:val="28"/>
        </w:rPr>
        <w:t>5</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19</w:t>
      </w:r>
      <w:bookmarkStart w:id="0" w:name="_GoBack"/>
      <w:bookmarkEnd w:id="0"/>
      <w:r>
        <w:rPr>
          <w:rFonts w:ascii="Times New Roman" w:hAnsi="Times New Roman" w:eastAsia="方正仿宋简体" w:cs="Times New Roman"/>
          <w:sz w:val="28"/>
          <w:szCs w:val="28"/>
        </w:rPr>
        <w:t xml:space="preserve">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82A31AFE-9EB0-4B52-BF07-47931230AF67}"/>
  </w:font>
  <w:font w:name="方正小标宋简体">
    <w:panose1 w:val="03000509000000000000"/>
    <w:charset w:val="86"/>
    <w:family w:val="auto"/>
    <w:pitch w:val="default"/>
    <w:sig w:usb0="00000001" w:usb1="080E0000" w:usb2="00000000" w:usb3="00000000" w:csb0="00040000" w:csb1="00000000"/>
    <w:embedRegular r:id="rId2" w:fontKey="{60D9A74D-2B4D-443E-859D-E5082F3C3D0B}"/>
  </w:font>
  <w:font w:name="仿宋">
    <w:panose1 w:val="02010609060101010101"/>
    <w:charset w:val="86"/>
    <w:family w:val="modern"/>
    <w:pitch w:val="default"/>
    <w:sig w:usb0="800002BF" w:usb1="38CF7CFA" w:usb2="00000016" w:usb3="00000000" w:csb0="00040001" w:csb1="00000000"/>
    <w:embedRegular r:id="rId3" w:fontKey="{4108F928-2AA5-4ECC-8B5B-5E58B70EDBBE}"/>
  </w:font>
  <w:font w:name="方正仿宋简体">
    <w:panose1 w:val="02000000000000000000"/>
    <w:charset w:val="86"/>
    <w:family w:val="auto"/>
    <w:pitch w:val="default"/>
    <w:sig w:usb0="00000001" w:usb1="080E0000" w:usb2="00000000" w:usb3="00000000" w:csb0="00040000" w:csb1="00000000"/>
    <w:embedRegular r:id="rId4" w:fontKey="{530BF6DE-7AE0-4FA9-9F53-02DBFD3D96FD}"/>
  </w:font>
  <w:font w:name="方正黑体简体">
    <w:panose1 w:val="03000509000000000000"/>
    <w:charset w:val="86"/>
    <w:family w:val="auto"/>
    <w:pitch w:val="default"/>
    <w:sig w:usb0="00000001" w:usb1="080E0000" w:usb2="00000000" w:usb3="00000000" w:csb0="00040000" w:csb1="00000000"/>
    <w:embedRegular r:id="rId5" w:fontKey="{B158930C-28E5-45C5-887C-23D99C74180B}"/>
  </w:font>
  <w:font w:name="方正楷体简体">
    <w:panose1 w:val="02000000000000000000"/>
    <w:charset w:val="86"/>
    <w:family w:val="auto"/>
    <w:pitch w:val="default"/>
    <w:sig w:usb0="00000001" w:usb1="080E0000" w:usb2="00000000" w:usb3="00000000" w:csb0="00040000" w:csb1="00000000"/>
    <w:embedRegular r:id="rId6" w:fontKey="{44A16898-2774-4272-9E36-B176E4EE1662}"/>
  </w:font>
  <w:font w:name="Cambria">
    <w:panose1 w:val="02040503050406030204"/>
    <w:charset w:val="00"/>
    <w:family w:val="roman"/>
    <w:pitch w:val="default"/>
    <w:sig w:usb0="E00002FF" w:usb1="400004FF" w:usb2="00000000" w:usb3="00000000" w:csb0="2000019F" w:csb1="00000000"/>
    <w:embedRegular r:id="rId7" w:fontKey="{B7F3FC38-ECD6-4C2A-9A6D-FA21EEB876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339116"/>
    </w:sdtPr>
    <w:sdtContent>
      <w:p w14:paraId="64CA069F">
        <w:pPr>
          <w:pStyle w:val="7"/>
          <w:jc w:val="center"/>
        </w:pPr>
        <w:r>
          <w:fldChar w:fldCharType="begin"/>
        </w:r>
        <w:r>
          <w:instrText xml:space="preserve">PAGE   \* MERGEFORMAT</w:instrText>
        </w:r>
        <w:r>
          <w:fldChar w:fldCharType="separate"/>
        </w:r>
        <w:r>
          <w:rPr>
            <w:lang w:val="zh-CN"/>
          </w:rPr>
          <w:t>5</w:t>
        </w:r>
        <w:r>
          <w:fldChar w:fldCharType="end"/>
        </w:r>
      </w:p>
    </w:sdtContent>
  </w:sdt>
  <w:p w14:paraId="08C4D15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362266"/>
    <w:rsid w:val="00385CC1"/>
    <w:rsid w:val="00405823"/>
    <w:rsid w:val="004B266F"/>
    <w:rsid w:val="004D0310"/>
    <w:rsid w:val="005D3A2F"/>
    <w:rsid w:val="00643D49"/>
    <w:rsid w:val="0088645D"/>
    <w:rsid w:val="008F24B6"/>
    <w:rsid w:val="00B84AC6"/>
    <w:rsid w:val="00D039B8"/>
    <w:rsid w:val="00D87D2E"/>
    <w:rsid w:val="00EB75D5"/>
    <w:rsid w:val="0306223A"/>
    <w:rsid w:val="0438006D"/>
    <w:rsid w:val="06A45632"/>
    <w:rsid w:val="1277225B"/>
    <w:rsid w:val="12C75265"/>
    <w:rsid w:val="16A21031"/>
    <w:rsid w:val="1B7F00F7"/>
    <w:rsid w:val="1D7F2975"/>
    <w:rsid w:val="20A968AE"/>
    <w:rsid w:val="253910A0"/>
    <w:rsid w:val="30A86762"/>
    <w:rsid w:val="3A984693"/>
    <w:rsid w:val="422D795F"/>
    <w:rsid w:val="45621620"/>
    <w:rsid w:val="48EF3640"/>
    <w:rsid w:val="4C9C083E"/>
    <w:rsid w:val="4F925E78"/>
    <w:rsid w:val="568B4CE1"/>
    <w:rsid w:val="5CDE36EB"/>
    <w:rsid w:val="606A3A73"/>
    <w:rsid w:val="649B69EC"/>
    <w:rsid w:val="6A802101"/>
    <w:rsid w:val="6FBD069E"/>
    <w:rsid w:val="701A6AF9"/>
    <w:rsid w:val="729675F8"/>
    <w:rsid w:val="7FB9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5"/>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Plain Text"/>
    <w:basedOn w:val="1"/>
    <w:qFormat/>
    <w:uiPriority w:val="0"/>
    <w:pPr>
      <w:autoSpaceDE w:val="0"/>
      <w:autoSpaceDN w:val="0"/>
      <w:adjustRightInd w:val="0"/>
      <w:snapToGrid w:val="0"/>
      <w:spacing w:line="360" w:lineRule="auto"/>
      <w:ind w:firstLine="480" w:firstLineChars="200"/>
    </w:pPr>
    <w:rPr>
      <w:rFonts w:ascii="Times New Roman" w:hAnsi="Times New Roman" w:cs="Times New Roman"/>
      <w:color w:val="0070C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2"/>
    <w:basedOn w:val="4"/>
    <w:next w:val="1"/>
    <w:qFormat/>
    <w:uiPriority w:val="0"/>
    <w:pPr>
      <w:ind w:firstLine="420" w:firstLineChars="200"/>
    </w:p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2045</Words>
  <Characters>2219</Characters>
  <Lines>16</Lines>
  <Paragraphs>4</Paragraphs>
  <TotalTime>7</TotalTime>
  <ScaleCrop>false</ScaleCrop>
  <LinksUpToDate>false</LinksUpToDate>
  <CharactersWithSpaces>2276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明月清风晓星尘</cp:lastModifiedBy>
  <cp:lastPrinted>2025-05-19T02:39:00Z</cp:lastPrinted>
  <dcterms:modified xsi:type="dcterms:W3CDTF">2025-05-19T08:45:26Z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eyJoZGlkIjoiZjEzODdhZDFmYzk5ODE2MmE3OTk4OTBkMjc2NjcxZTIiLCJ1c2VySWQiOiIzNTY3MzA4ODIifQ==</vt:lpwstr>
  </property>
  <property fmtid="{D5CDD505-2E9C-101B-9397-08002B2CF9AE}" pid="3" name="KSOProductBuildVer">
    <vt:lpwstr>2052-12.1.0.20784</vt:lpwstr>
  </property>
  <property fmtid="{D5CDD505-2E9C-101B-9397-08002B2CF9AE}" pid="4" name="ICV">
    <vt:lpwstr>305E9C38EEA542D88BB870F89E9D0F45_13</vt:lpwstr>
  </property>
</Properties>
</file>