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023A">
      <w:pPr>
        <w:spacing w:line="520" w:lineRule="exact"/>
        <w:rPr>
          <w:color w:val="000000" w:themeColor="text1"/>
          <w:sz w:val="44"/>
          <w:szCs w:val="44"/>
          <w14:textFill>
            <w14:solidFill>
              <w14:schemeClr w14:val="tx1"/>
            </w14:solidFill>
          </w14:textFill>
        </w:rPr>
      </w:pPr>
    </w:p>
    <w:p w14:paraId="7BEC79F9">
      <w:pPr>
        <w:spacing w:line="520" w:lineRule="exact"/>
        <w:rPr>
          <w:color w:val="000000" w:themeColor="text1"/>
          <w:sz w:val="44"/>
          <w:szCs w:val="44"/>
          <w14:textFill>
            <w14:solidFill>
              <w14:schemeClr w14:val="tx1"/>
            </w14:solidFill>
          </w14:textFill>
        </w:rPr>
      </w:pPr>
    </w:p>
    <w:p w14:paraId="123AC300">
      <w:pPr>
        <w:spacing w:line="520" w:lineRule="exact"/>
        <w:rPr>
          <w:color w:val="000000" w:themeColor="text1"/>
          <w:sz w:val="44"/>
          <w:szCs w:val="44"/>
          <w14:textFill>
            <w14:solidFill>
              <w14:schemeClr w14:val="tx1"/>
            </w14:solidFill>
          </w14:textFill>
        </w:rPr>
      </w:pPr>
    </w:p>
    <w:p w14:paraId="077F340B">
      <w:pPr>
        <w:spacing w:line="520" w:lineRule="exact"/>
        <w:rPr>
          <w:color w:val="000000" w:themeColor="text1"/>
          <w:sz w:val="44"/>
          <w:szCs w:val="44"/>
          <w14:textFill>
            <w14:solidFill>
              <w14:schemeClr w14:val="tx1"/>
            </w14:solidFill>
          </w14:textFill>
        </w:rPr>
      </w:pPr>
    </w:p>
    <w:p w14:paraId="6B5D6193">
      <w:pPr>
        <w:spacing w:line="520" w:lineRule="exact"/>
        <w:rPr>
          <w:color w:val="000000" w:themeColor="text1"/>
          <w:sz w:val="72"/>
          <w:szCs w:val="72"/>
          <w14:textFill>
            <w14:solidFill>
              <w14:schemeClr w14:val="tx1"/>
            </w14:solidFill>
          </w14:textFill>
        </w:rPr>
      </w:pPr>
    </w:p>
    <w:p w14:paraId="3EA949CB">
      <w:pPr>
        <w:spacing w:line="520" w:lineRule="exact"/>
        <w:rPr>
          <w:rFonts w:eastAsia="仿宋_GB2312"/>
          <w:color w:val="000000" w:themeColor="text1"/>
          <w:sz w:val="32"/>
          <w:szCs w:val="32"/>
          <w14:textFill>
            <w14:solidFill>
              <w14:schemeClr w14:val="tx1"/>
            </w14:solidFill>
          </w14:textFill>
        </w:rPr>
      </w:pPr>
    </w:p>
    <w:p w14:paraId="7AEE8826">
      <w:pPr>
        <w:spacing w:line="520" w:lineRule="exact"/>
        <w:rPr>
          <w:rFonts w:eastAsia="仿宋_GB2312"/>
          <w:color w:val="000000" w:themeColor="text1"/>
          <w:sz w:val="32"/>
          <w:szCs w:val="32"/>
          <w14:textFill>
            <w14:solidFill>
              <w14:schemeClr w14:val="tx1"/>
            </w14:solidFill>
          </w14:textFill>
        </w:rPr>
      </w:pPr>
    </w:p>
    <w:p w14:paraId="28B144D2">
      <w:pPr>
        <w:spacing w:line="520" w:lineRule="exact"/>
        <w:rPr>
          <w:rFonts w:eastAsia="仿宋_GB2312"/>
          <w:color w:val="000000" w:themeColor="text1"/>
          <w:sz w:val="32"/>
          <w:szCs w:val="32"/>
          <w14:textFill>
            <w14:solidFill>
              <w14:schemeClr w14:val="tx1"/>
            </w14:solidFill>
          </w14:textFill>
        </w:rPr>
      </w:pPr>
    </w:p>
    <w:p w14:paraId="39154461">
      <w:pPr>
        <w:spacing w:line="520" w:lineRule="exact"/>
        <w:jc w:val="center"/>
        <w:rPr>
          <w:rFonts w:eastAsia="方正仿宋_GB2312"/>
          <w:color w:val="000000" w:themeColor="text1"/>
          <w:sz w:val="32"/>
          <w:szCs w:val="32"/>
          <w14:textFill>
            <w14:solidFill>
              <w14:schemeClr w14:val="tx1"/>
            </w14:solidFill>
          </w14:textFill>
        </w:rPr>
      </w:pPr>
      <w:r>
        <w:rPr>
          <w:rFonts w:eastAsia="方正仿宋_GB2312"/>
          <w:color w:val="000000" w:themeColor="text1"/>
          <w:sz w:val="32"/>
          <w:szCs w:val="32"/>
          <w14:textFill>
            <w14:solidFill>
              <w14:schemeClr w14:val="tx1"/>
            </w14:solidFill>
          </w14:textFill>
        </w:rPr>
        <w:t>师市环审〔2025〕</w:t>
      </w:r>
      <w:r>
        <w:rPr>
          <w:rFonts w:hint="eastAsia" w:eastAsia="方正仿宋_GB2312"/>
          <w:color w:val="000000" w:themeColor="text1"/>
          <w:sz w:val="32"/>
          <w:szCs w:val="32"/>
          <w14:textFill>
            <w14:solidFill>
              <w14:schemeClr w14:val="tx1"/>
            </w14:solidFill>
          </w14:textFill>
        </w:rPr>
        <w:t>44</w:t>
      </w:r>
      <w:r>
        <w:rPr>
          <w:rFonts w:eastAsia="方正仿宋_GB2312"/>
          <w:color w:val="000000" w:themeColor="text1"/>
          <w:sz w:val="32"/>
          <w:szCs w:val="32"/>
          <w14:textFill>
            <w14:solidFill>
              <w14:schemeClr w14:val="tx1"/>
            </w14:solidFill>
          </w14:textFill>
        </w:rPr>
        <w:t>号</w:t>
      </w:r>
    </w:p>
    <w:p w14:paraId="066C0023">
      <w:pPr>
        <w:spacing w:line="520" w:lineRule="exact"/>
        <w:rPr>
          <w:rFonts w:eastAsia="仿宋_GB2312"/>
          <w:color w:val="000000" w:themeColor="text1"/>
          <w:szCs w:val="21"/>
          <w14:textFill>
            <w14:solidFill>
              <w14:schemeClr w14:val="tx1"/>
            </w14:solidFill>
          </w14:textFill>
        </w:rPr>
      </w:pPr>
    </w:p>
    <w:p w14:paraId="4A8ABB19">
      <w:pPr>
        <w:spacing w:line="520" w:lineRule="exact"/>
        <w:rPr>
          <w:rFonts w:eastAsia="仿宋_GB2312"/>
          <w:color w:val="000000" w:themeColor="text1"/>
          <w:szCs w:val="21"/>
          <w14:textFill>
            <w14:solidFill>
              <w14:schemeClr w14:val="tx1"/>
            </w14:solidFill>
          </w14:textFill>
        </w:rPr>
      </w:pPr>
    </w:p>
    <w:p w14:paraId="7C6B9B07">
      <w:pPr>
        <w:widowControl/>
        <w:spacing w:line="520" w:lineRule="exact"/>
        <w:jc w:val="center"/>
        <w:rPr>
          <w:rFonts w:ascii="方正小标宋_GBK" w:hAnsi="方正小标宋_GBK" w:eastAsia="方正小标宋_GBK" w:cs="方正小标宋_GBK"/>
          <w:bCs/>
          <w:color w:val="000000" w:themeColor="text1"/>
          <w:sz w:val="44"/>
          <w:szCs w:val="44"/>
          <w:lang w:val="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关于</w:t>
      </w:r>
      <w:r>
        <w:rPr>
          <w:rFonts w:hint="eastAsia" w:ascii="方正小标宋_GBK" w:hAnsi="方正小标宋_GBK" w:eastAsia="方正小标宋_GBK" w:cs="方正小标宋_GBK"/>
          <w:bCs/>
          <w:color w:val="000000" w:themeColor="text1"/>
          <w:sz w:val="44"/>
          <w:szCs w:val="44"/>
          <w:lang w:val="zh-CN"/>
          <w14:textFill>
            <w14:solidFill>
              <w14:schemeClr w14:val="tx1"/>
            </w14:solidFill>
          </w14:textFill>
        </w:rPr>
        <w:t>阿拉尔市春牧生态养殖有限公司第一师</w:t>
      </w:r>
    </w:p>
    <w:p w14:paraId="6E7E3D89">
      <w:pPr>
        <w:widowControl/>
        <w:spacing w:line="520" w:lineRule="exact"/>
        <w:jc w:val="center"/>
        <w:rPr>
          <w:rFonts w:ascii="方正小标宋_GBK" w:hAnsi="方正小标宋_GBK" w:eastAsia="方正小标宋_GBK" w:cs="方正小标宋_GBK"/>
          <w:bCs/>
          <w:color w:val="000000" w:themeColor="text1"/>
          <w:sz w:val="44"/>
          <w:szCs w:val="44"/>
          <w:lang w:val="zh-CN"/>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val="zh-CN"/>
          <w14:textFill>
            <w14:solidFill>
              <w14:schemeClr w14:val="tx1"/>
            </w14:solidFill>
          </w14:textFill>
        </w:rPr>
        <w:t>二团万头生猪养殖生态循环利用（一期）</w:t>
      </w:r>
    </w:p>
    <w:p w14:paraId="01B090DD">
      <w:pPr>
        <w:widowControl/>
        <w:spacing w:line="520" w:lineRule="exact"/>
        <w:jc w:val="center"/>
        <w:rPr>
          <w:rFonts w:eastAsia="方正小标宋简体"/>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val="zh-CN"/>
          <w14:textFill>
            <w14:solidFill>
              <w14:schemeClr w14:val="tx1"/>
            </w14:solidFill>
          </w14:textFill>
        </w:rPr>
        <w:t>建设项目环境影响报告书</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的批复</w:t>
      </w:r>
    </w:p>
    <w:p w14:paraId="5814706A">
      <w:pPr>
        <w:widowControl/>
        <w:spacing w:line="520" w:lineRule="exact"/>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14:paraId="6F6F1F0A">
      <w:pPr>
        <w:widowControl/>
        <w:spacing w:line="530" w:lineRule="exact"/>
        <w:ind w:left="640" w:hanging="640" w:hangingChars="200"/>
        <w:rPr>
          <w:rFonts w:eastAsia="方正仿宋_GB2312"/>
          <w:color w:val="000000" w:themeColor="text1"/>
          <w:kern w:val="0"/>
          <w:sz w:val="32"/>
          <w:szCs w:val="32"/>
          <w14:textFill>
            <w14:solidFill>
              <w14:schemeClr w14:val="tx1"/>
            </w14:solidFill>
          </w14:textFill>
        </w:rPr>
      </w:pPr>
      <w:r>
        <w:rPr>
          <w:rFonts w:hint="eastAsia" w:eastAsia="方正仿宋_GB2312"/>
          <w:color w:val="000000" w:themeColor="text1"/>
          <w:kern w:val="0"/>
          <w:sz w:val="32"/>
          <w:szCs w:val="32"/>
          <w:lang w:val="zh-CN"/>
          <w14:textFill>
            <w14:solidFill>
              <w14:schemeClr w14:val="tx1"/>
            </w14:solidFill>
          </w14:textFill>
        </w:rPr>
        <w:t>阿拉尔市春牧生态养殖有限公司</w:t>
      </w:r>
      <w:r>
        <w:rPr>
          <w:rFonts w:eastAsia="方正仿宋_GB2312"/>
          <w:color w:val="000000" w:themeColor="text1"/>
          <w:kern w:val="0"/>
          <w:sz w:val="32"/>
          <w:szCs w:val="32"/>
          <w14:textFill>
            <w14:solidFill>
              <w14:schemeClr w14:val="tx1"/>
            </w14:solidFill>
          </w14:textFill>
        </w:rPr>
        <w:t>：</w:t>
      </w:r>
    </w:p>
    <w:p w14:paraId="5AED19CC">
      <w:pPr>
        <w:widowControl/>
        <w:spacing w:line="530" w:lineRule="exact"/>
        <w:ind w:firstLine="640" w:firstLineChars="200"/>
        <w:rPr>
          <w:rFonts w:eastAsia="方正仿宋_GB2312"/>
          <w:color w:val="000000" w:themeColor="text1"/>
          <w:kern w:val="0"/>
          <w:sz w:val="32"/>
          <w:szCs w:val="32"/>
          <w14:textFill>
            <w14:solidFill>
              <w14:schemeClr w14:val="tx1"/>
            </w14:solidFill>
          </w14:textFill>
        </w:rPr>
      </w:pPr>
      <w:r>
        <w:rPr>
          <w:rFonts w:eastAsia="方正仿宋_GB2312"/>
          <w:color w:val="000000" w:themeColor="text1"/>
          <w:sz w:val="32"/>
          <w:szCs w:val="32"/>
          <w14:textFill>
            <w14:solidFill>
              <w14:schemeClr w14:val="tx1"/>
            </w14:solidFill>
          </w14:textFill>
        </w:rPr>
        <w:t>你单位报送的《关于送审</w:t>
      </w:r>
      <w:r>
        <w:rPr>
          <w:rFonts w:hint="eastAsia" w:eastAsia="方正仿宋_GB2312"/>
          <w:color w:val="000000" w:themeColor="text1"/>
          <w:sz w:val="32"/>
          <w:szCs w:val="32"/>
          <w:lang w:val="zh-CN"/>
          <w14:textFill>
            <w14:solidFill>
              <w14:schemeClr w14:val="tx1"/>
            </w14:solidFill>
          </w14:textFill>
        </w:rPr>
        <w:t>阿拉尔市春牧生态养殖有限公司第一师二团万头生猪养殖生态循环利用（一期）建设项目</w:t>
      </w:r>
      <w:r>
        <w:rPr>
          <w:rFonts w:eastAsia="方正仿宋_GB2312"/>
          <w:color w:val="000000" w:themeColor="text1"/>
          <w:sz w:val="32"/>
          <w:szCs w:val="32"/>
          <w:lang w:val="zh-CN"/>
          <w14:textFill>
            <w14:solidFill>
              <w14:schemeClr w14:val="tx1"/>
            </w14:solidFill>
          </w14:textFill>
        </w:rPr>
        <w:t>环境影响报告书</w:t>
      </w:r>
      <w:r>
        <w:rPr>
          <w:rFonts w:eastAsia="方正仿宋_GB2312"/>
          <w:color w:val="000000" w:themeColor="text1"/>
          <w:kern w:val="0"/>
          <w:sz w:val="32"/>
          <w:szCs w:val="32"/>
          <w14:textFill>
            <w14:solidFill>
              <w14:schemeClr w14:val="tx1"/>
            </w14:solidFill>
          </w14:textFill>
        </w:rPr>
        <w:t>的请示</w:t>
      </w:r>
      <w:r>
        <w:rPr>
          <w:rFonts w:eastAsia="方正仿宋_GB2312"/>
          <w:color w:val="000000" w:themeColor="text1"/>
          <w:sz w:val="32"/>
          <w:szCs w:val="32"/>
          <w14:textFill>
            <w14:solidFill>
              <w14:schemeClr w14:val="tx1"/>
            </w14:solidFill>
          </w14:textFill>
        </w:rPr>
        <w:t>》及《</w:t>
      </w:r>
      <w:r>
        <w:rPr>
          <w:rFonts w:hint="eastAsia" w:eastAsia="方正仿宋_GB2312"/>
          <w:color w:val="000000" w:themeColor="text1"/>
          <w:sz w:val="32"/>
          <w:szCs w:val="32"/>
          <w:lang w:val="zh-CN"/>
          <w14:textFill>
            <w14:solidFill>
              <w14:schemeClr w14:val="tx1"/>
            </w14:solidFill>
          </w14:textFill>
        </w:rPr>
        <w:t>阿拉尔市春牧生态养殖有限公司第一师二团万头生猪养殖生态循环利用（一期）建设项目</w:t>
      </w:r>
      <w:r>
        <w:rPr>
          <w:rFonts w:eastAsia="方正仿宋_GB2312"/>
          <w:color w:val="000000" w:themeColor="text1"/>
          <w:sz w:val="32"/>
          <w:szCs w:val="32"/>
          <w:lang w:val="zh-CN"/>
          <w14:textFill>
            <w14:solidFill>
              <w14:schemeClr w14:val="tx1"/>
            </w14:solidFill>
          </w14:textFill>
        </w:rPr>
        <w:t>环境影响报告书</w:t>
      </w:r>
      <w:r>
        <w:rPr>
          <w:rFonts w:eastAsia="方正仿宋_GB2312"/>
          <w:color w:val="000000" w:themeColor="text1"/>
          <w:sz w:val="32"/>
          <w:szCs w:val="32"/>
          <w14:textFill>
            <w14:solidFill>
              <w14:schemeClr w14:val="tx1"/>
            </w14:solidFill>
          </w14:textFill>
        </w:rPr>
        <w:t>》已收悉。经专家审查和研究，现批复如下：</w:t>
      </w:r>
    </w:p>
    <w:p w14:paraId="63451EBC">
      <w:pPr>
        <w:widowControl/>
        <w:ind w:firstLine="640" w:firstLineChars="200"/>
        <w:jc w:val="left"/>
        <w:rPr>
          <w:rFonts w:eastAsia="方正仿宋_GB2312"/>
          <w:color w:val="000000" w:themeColor="text1"/>
          <w:sz w:val="32"/>
          <w:szCs w:val="32"/>
          <w14:textFill>
            <w14:solidFill>
              <w14:schemeClr w14:val="tx1"/>
            </w14:solidFill>
          </w14:textFill>
        </w:rPr>
      </w:pPr>
      <w:r>
        <w:rPr>
          <w:rFonts w:eastAsia="方正仿宋_GB2312"/>
          <w:color w:val="000000" w:themeColor="text1"/>
          <w:sz w:val="32"/>
          <w:szCs w:val="32"/>
          <w14:textFill>
            <w14:solidFill>
              <w14:schemeClr w14:val="tx1"/>
            </w14:solidFill>
          </w14:textFill>
        </w:rPr>
        <w:t>一、该项目位于</w:t>
      </w:r>
      <w:r>
        <w:rPr>
          <w:rFonts w:hint="eastAsia" w:eastAsia="方正仿宋_GB2312"/>
          <w:color w:val="000000" w:themeColor="text1"/>
          <w:sz w:val="32"/>
          <w:szCs w:val="32"/>
          <w14:textFill>
            <w14:solidFill>
              <w14:schemeClr w14:val="tx1"/>
            </w14:solidFill>
          </w14:textFill>
        </w:rPr>
        <w:t>二团吐和高速西北侧650米处</w:t>
      </w:r>
      <w:r>
        <w:rPr>
          <w:rFonts w:eastAsia="方正仿宋_GB2312"/>
          <w:color w:val="000000" w:themeColor="text1"/>
          <w:sz w:val="32"/>
          <w:szCs w:val="32"/>
          <w14:textFill>
            <w14:solidFill>
              <w14:schemeClr w14:val="tx1"/>
            </w14:solidFill>
          </w14:textFill>
        </w:rPr>
        <w:t>，占地面</w:t>
      </w:r>
      <w:r>
        <w:rPr>
          <w:rFonts w:eastAsia="方正仿宋_GB2312"/>
          <w:color w:val="000000" w:themeColor="text1"/>
          <w:sz w:val="32"/>
          <w:szCs w:val="32"/>
          <w:lang w:val="zh-CN"/>
          <w14:textFill>
            <w14:solidFill>
              <w14:schemeClr w14:val="tx1"/>
            </w14:solidFill>
          </w14:textFill>
        </w:rPr>
        <w:t>积207313</w:t>
      </w:r>
      <w:r>
        <w:rPr>
          <w:rFonts w:hint="eastAsia" w:eastAsia="方正仿宋_GB2312"/>
          <w:color w:val="000000" w:themeColor="text1"/>
          <w:sz w:val="32"/>
          <w:szCs w:val="32"/>
          <w14:textFill>
            <w14:solidFill>
              <w14:schemeClr w14:val="tx1"/>
            </w14:solidFill>
          </w14:textFill>
        </w:rPr>
        <w:t>平方米</w:t>
      </w:r>
      <w:r>
        <w:rPr>
          <w:rFonts w:eastAsia="方正仿宋_GB2312"/>
          <w:color w:val="000000" w:themeColor="text1"/>
          <w:sz w:val="32"/>
          <w:szCs w:val="32"/>
          <w14:textFill>
            <w14:solidFill>
              <w14:schemeClr w14:val="tx1"/>
            </w14:solidFill>
          </w14:textFill>
        </w:rPr>
        <w:t>。项目区</w:t>
      </w:r>
      <w:r>
        <w:rPr>
          <w:rFonts w:hint="eastAsia" w:eastAsia="方正仿宋_GB2312"/>
          <w:color w:val="000000" w:themeColor="text1"/>
          <w:sz w:val="32"/>
          <w:szCs w:val="32"/>
          <w14:textFill>
            <w14:solidFill>
              <w14:schemeClr w14:val="tx1"/>
            </w14:solidFill>
          </w14:textFill>
        </w:rPr>
        <w:t>四周均为空地</w:t>
      </w:r>
      <w:r>
        <w:rPr>
          <w:rFonts w:eastAsia="方正仿宋_GB2312"/>
          <w:color w:val="000000" w:themeColor="text1"/>
          <w:sz w:val="32"/>
          <w:szCs w:val="32"/>
          <w14:textFill>
            <w14:solidFill>
              <w14:schemeClr w14:val="tx1"/>
            </w14:solidFill>
          </w14:textFill>
        </w:rPr>
        <w:t>。厂址中心地理坐标为东经</w:t>
      </w:r>
      <w:r>
        <w:rPr>
          <w:rFonts w:hint="eastAsia" w:eastAsia="方正仿宋_GB2312"/>
          <w:color w:val="000000" w:themeColor="text1"/>
          <w:sz w:val="32"/>
          <w:szCs w:val="32"/>
          <w14:textFill>
            <w14:solidFill>
              <w14:schemeClr w14:val="tx1"/>
            </w14:solidFill>
          </w14:textFill>
        </w:rPr>
        <w:t>79°46′12.031″</w:t>
      </w:r>
      <w:r>
        <w:rPr>
          <w:rFonts w:eastAsia="方正仿宋_GB2312"/>
          <w:color w:val="000000" w:themeColor="text1"/>
          <w:sz w:val="32"/>
          <w:szCs w:val="32"/>
          <w14:textFill>
            <w14:solidFill>
              <w14:schemeClr w14:val="tx1"/>
            </w14:solidFill>
          </w14:textFill>
        </w:rPr>
        <w:t>，北纬</w:t>
      </w:r>
      <w:r>
        <w:rPr>
          <w:rFonts w:hint="eastAsia" w:eastAsia="方正仿宋_GB2312"/>
          <w:color w:val="000000" w:themeColor="text1"/>
          <w:sz w:val="32"/>
          <w:szCs w:val="32"/>
          <w14:textFill>
            <w14:solidFill>
              <w14:schemeClr w14:val="tx1"/>
            </w14:solidFill>
          </w14:textFill>
        </w:rPr>
        <w:t>40°40′26.071″</w:t>
      </w:r>
      <w:r>
        <w:rPr>
          <w:rFonts w:eastAsia="方正仿宋_GB2312"/>
          <w:color w:val="000000" w:themeColor="text1"/>
          <w:sz w:val="32"/>
          <w:szCs w:val="32"/>
          <w14:textFill>
            <w14:solidFill>
              <w14:schemeClr w14:val="tx1"/>
            </w14:solidFill>
          </w14:textFill>
        </w:rPr>
        <w:t>。项目为新建工程，建设1栋育肥舍、1栋保育舍、1栋沼气处理房及1台1</w:t>
      </w:r>
      <w:r>
        <w:rPr>
          <w:rFonts w:hint="eastAsia" w:eastAsia="方正仿宋_GB2312"/>
          <w:color w:val="000000" w:themeColor="text1"/>
          <w:sz w:val="32"/>
          <w:szCs w:val="32"/>
          <w14:textFill>
            <w14:solidFill>
              <w14:schemeClr w14:val="tx1"/>
            </w14:solidFill>
          </w14:textFill>
        </w:rPr>
        <w:t>0</w:t>
      </w:r>
      <w:r>
        <w:rPr>
          <w:rFonts w:eastAsia="方正仿宋_GB2312"/>
          <w:color w:val="000000" w:themeColor="text1"/>
          <w:sz w:val="32"/>
          <w:szCs w:val="32"/>
          <w14:textFill>
            <w14:solidFill>
              <w14:schemeClr w14:val="tx1"/>
            </w14:solidFill>
          </w14:textFill>
        </w:rPr>
        <w:t>t/h沼气锅炉房、1栋待售圈等配套建设公辅工程。</w:t>
      </w:r>
      <w:r>
        <w:rPr>
          <w:rFonts w:hint="eastAsia" w:eastAsia="方正仿宋_GB2312"/>
          <w:color w:val="000000" w:themeColor="text1"/>
          <w:sz w:val="32"/>
          <w:szCs w:val="32"/>
          <w14:textFill>
            <w14:solidFill>
              <w14:schemeClr w14:val="tx1"/>
            </w14:solidFill>
          </w14:textFill>
        </w:rPr>
        <w:t>项目建成后年出栏生猪10000头，</w:t>
      </w:r>
      <w:r>
        <w:rPr>
          <w:rFonts w:eastAsia="方正仿宋_GB2312"/>
          <w:color w:val="000000" w:themeColor="text1"/>
          <w:sz w:val="32"/>
          <w:szCs w:val="32"/>
          <w14:textFill>
            <w14:solidFill>
              <w14:schemeClr w14:val="tx1"/>
            </w14:solidFill>
          </w14:textFill>
        </w:rPr>
        <w:t>项目总投资</w:t>
      </w:r>
      <w:r>
        <w:rPr>
          <w:rFonts w:hint="eastAsia" w:eastAsia="方正仿宋_GB2312"/>
          <w:color w:val="000000" w:themeColor="text1"/>
          <w:sz w:val="32"/>
          <w:szCs w:val="32"/>
          <w14:textFill>
            <w14:solidFill>
              <w14:schemeClr w14:val="tx1"/>
            </w14:solidFill>
          </w14:textFill>
        </w:rPr>
        <w:t>2700</w:t>
      </w:r>
      <w:r>
        <w:rPr>
          <w:rFonts w:eastAsia="方正仿宋_GB2312"/>
          <w:color w:val="000000" w:themeColor="text1"/>
          <w:sz w:val="32"/>
          <w:szCs w:val="32"/>
          <w14:textFill>
            <w14:solidFill>
              <w14:schemeClr w14:val="tx1"/>
            </w14:solidFill>
          </w14:textFill>
        </w:rPr>
        <w:t>万元，其中环保投资</w:t>
      </w:r>
      <w:r>
        <w:rPr>
          <w:rFonts w:hint="eastAsia" w:eastAsia="方正仿宋_GB2312"/>
          <w:color w:val="000000" w:themeColor="text1"/>
          <w:sz w:val="32"/>
          <w:szCs w:val="32"/>
          <w14:textFill>
            <w14:solidFill>
              <w14:schemeClr w14:val="tx1"/>
            </w14:solidFill>
          </w14:textFill>
        </w:rPr>
        <w:t>160</w:t>
      </w:r>
      <w:r>
        <w:rPr>
          <w:rFonts w:eastAsia="方正仿宋_GB2312"/>
          <w:color w:val="000000" w:themeColor="text1"/>
          <w:sz w:val="32"/>
          <w:szCs w:val="32"/>
          <w14:textFill>
            <w14:solidFill>
              <w14:schemeClr w14:val="tx1"/>
            </w14:solidFill>
          </w14:textFill>
        </w:rPr>
        <w:t>万元，占总投资的</w:t>
      </w:r>
      <w:r>
        <w:rPr>
          <w:rFonts w:hint="eastAsia" w:eastAsia="方正仿宋_GB2312"/>
          <w:color w:val="000000" w:themeColor="text1"/>
          <w:sz w:val="32"/>
          <w:szCs w:val="32"/>
          <w14:textFill>
            <w14:solidFill>
              <w14:schemeClr w14:val="tx1"/>
            </w14:solidFill>
          </w14:textFill>
        </w:rPr>
        <w:t>5.9</w:t>
      </w:r>
      <w:r>
        <w:rPr>
          <w:rFonts w:eastAsia="方正仿宋_GB2312"/>
          <w:color w:val="000000" w:themeColor="text1"/>
          <w:sz w:val="32"/>
          <w:szCs w:val="32"/>
          <w14:textFill>
            <w14:solidFill>
              <w14:schemeClr w14:val="tx1"/>
            </w14:solidFill>
          </w14:textFill>
        </w:rPr>
        <w:t>%。</w:t>
      </w:r>
    </w:p>
    <w:p w14:paraId="74AE98E7">
      <w:pPr>
        <w:widowControl/>
        <w:spacing w:line="530" w:lineRule="exact"/>
        <w:ind w:firstLine="640" w:firstLineChars="200"/>
        <w:rPr>
          <w:rFonts w:eastAsia="方正仿宋_GB2312"/>
          <w:color w:val="000000" w:themeColor="text1"/>
          <w:sz w:val="32"/>
          <w:szCs w:val="32"/>
          <w:lang w:val="zh-CN"/>
          <w14:textFill>
            <w14:solidFill>
              <w14:schemeClr w14:val="tx1"/>
            </w14:solidFill>
          </w14:textFill>
        </w:rPr>
      </w:pPr>
      <w:r>
        <w:rPr>
          <w:rFonts w:eastAsia="方正仿宋_GB2312"/>
          <w:color w:val="000000" w:themeColor="text1"/>
          <w:sz w:val="32"/>
          <w:szCs w:val="32"/>
          <w:lang w:val="zh-CN"/>
          <w14:textFill>
            <w14:solidFill>
              <w14:schemeClr w14:val="tx1"/>
            </w14:solidFill>
          </w14:textFill>
        </w:rPr>
        <w:t>二、</w:t>
      </w:r>
      <w:r>
        <w:rPr>
          <w:rFonts w:eastAsia="方正仿宋_GB2312"/>
          <w:color w:val="000000" w:themeColor="text1"/>
          <w:sz w:val="32"/>
          <w:szCs w:val="32"/>
          <w14:textFill>
            <w14:solidFill>
              <w14:schemeClr w14:val="tx1"/>
            </w14:solidFill>
          </w14:textFill>
        </w:rPr>
        <w:t>根据兵团环境工程评估中心对《报告</w:t>
      </w:r>
      <w:r>
        <w:rPr>
          <w:rFonts w:hint="eastAsia" w:eastAsia="方正仿宋_GB2312"/>
          <w:color w:val="000000" w:themeColor="text1"/>
          <w:sz w:val="32"/>
          <w:szCs w:val="32"/>
          <w14:textFill>
            <w14:solidFill>
              <w14:schemeClr w14:val="tx1"/>
            </w14:solidFill>
          </w14:textFill>
        </w:rPr>
        <w:t>书</w:t>
      </w:r>
      <w:r>
        <w:rPr>
          <w:rFonts w:eastAsia="方正仿宋_GB2312"/>
          <w:color w:val="000000" w:themeColor="text1"/>
          <w:sz w:val="32"/>
          <w:szCs w:val="32"/>
          <w14:textFill>
            <w14:solidFill>
              <w14:schemeClr w14:val="tx1"/>
            </w14:solidFill>
          </w14:textFill>
        </w:rPr>
        <w:t>》的技术评估意见（兵环评估〔2025〕</w:t>
      </w:r>
      <w:r>
        <w:rPr>
          <w:rFonts w:hint="eastAsia" w:eastAsia="方正仿宋_GB2312"/>
          <w:color w:val="000000" w:themeColor="text1"/>
          <w:sz w:val="32"/>
          <w:szCs w:val="32"/>
          <w14:textFill>
            <w14:solidFill>
              <w14:schemeClr w14:val="tx1"/>
            </w14:solidFill>
          </w14:textFill>
        </w:rPr>
        <w:t>93</w:t>
      </w:r>
      <w:r>
        <w:rPr>
          <w:rFonts w:eastAsia="方正仿宋_GB2312"/>
          <w:color w:val="000000" w:themeColor="text1"/>
          <w:sz w:val="32"/>
          <w:szCs w:val="32"/>
          <w14:textFill>
            <w14:solidFill>
              <w14:schemeClr w14:val="tx1"/>
            </w14:solidFill>
          </w14:textFill>
        </w:rPr>
        <w:t>号）及</w:t>
      </w:r>
      <w:r>
        <w:rPr>
          <w:rFonts w:hint="eastAsia" w:eastAsia="方正仿宋_GB2312"/>
          <w:color w:val="000000" w:themeColor="text1"/>
          <w:sz w:val="32"/>
          <w:szCs w:val="32"/>
          <w14:textFill>
            <w14:solidFill>
              <w14:schemeClr w14:val="tx1"/>
            </w14:solidFill>
          </w14:textFill>
        </w:rPr>
        <w:t>阿克苏地区新地矿产资源开发有限责任公司</w:t>
      </w:r>
      <w:r>
        <w:rPr>
          <w:rFonts w:eastAsia="方正仿宋_GB2312"/>
          <w:color w:val="000000" w:themeColor="text1"/>
          <w:sz w:val="32"/>
          <w:szCs w:val="32"/>
          <w14:textFill>
            <w14:solidFill>
              <w14:schemeClr w14:val="tx1"/>
            </w14:solidFill>
          </w14:textFill>
        </w:rPr>
        <w:t>编制的《报告</w:t>
      </w:r>
      <w:r>
        <w:rPr>
          <w:rFonts w:hint="eastAsia" w:eastAsia="方正仿宋_GB2312"/>
          <w:color w:val="000000" w:themeColor="text1"/>
          <w:sz w:val="32"/>
          <w:szCs w:val="32"/>
          <w14:textFill>
            <w14:solidFill>
              <w14:schemeClr w14:val="tx1"/>
            </w14:solidFill>
          </w14:textFill>
        </w:rPr>
        <w:t>书</w:t>
      </w:r>
      <w:r>
        <w:rPr>
          <w:rFonts w:eastAsia="方正仿宋_GB2312"/>
          <w:color w:val="000000" w:themeColor="text1"/>
          <w:sz w:val="32"/>
          <w:szCs w:val="32"/>
          <w14:textFill>
            <w14:solidFill>
              <w14:schemeClr w14:val="tx1"/>
            </w14:solidFill>
          </w14:textFill>
        </w:rPr>
        <w:t>》评价结论和专家对项目的评价意见，该项目属于现代畜牧业及水产生态健康养殖</w:t>
      </w:r>
      <w:r>
        <w:rPr>
          <w:rFonts w:hint="eastAsia" w:eastAsia="方正仿宋_GB2312"/>
          <w:color w:val="000000" w:themeColor="text1"/>
          <w:sz w:val="32"/>
          <w:szCs w:val="32"/>
          <w14:textFill>
            <w14:solidFill>
              <w14:schemeClr w14:val="tx1"/>
            </w14:solidFill>
          </w14:textFill>
        </w:rPr>
        <w:t>项目</w:t>
      </w:r>
      <w:r>
        <w:rPr>
          <w:rFonts w:eastAsia="方正仿宋_GB2312"/>
          <w:color w:val="000000" w:themeColor="text1"/>
          <w:sz w:val="32"/>
          <w:szCs w:val="32"/>
          <w14:textFill>
            <w14:solidFill>
              <w14:schemeClr w14:val="tx1"/>
            </w14:solidFill>
          </w14:textFill>
        </w:rPr>
        <w:t>，在符合产业政策、选址符合国土空间规划等相关规划的前提下，从环境保护的角度，我局原则同意《报告</w:t>
      </w:r>
      <w:r>
        <w:rPr>
          <w:rFonts w:hint="eastAsia" w:eastAsia="方正仿宋_GB2312"/>
          <w:color w:val="000000" w:themeColor="text1"/>
          <w:sz w:val="32"/>
          <w:szCs w:val="32"/>
          <w14:textFill>
            <w14:solidFill>
              <w14:schemeClr w14:val="tx1"/>
            </w14:solidFill>
          </w14:textFill>
        </w:rPr>
        <w:t>书</w:t>
      </w:r>
      <w:r>
        <w:rPr>
          <w:rFonts w:eastAsia="方正仿宋_GB2312"/>
          <w:color w:val="000000" w:themeColor="text1"/>
          <w:sz w:val="32"/>
          <w:szCs w:val="32"/>
          <w14:textFill>
            <w14:solidFill>
              <w14:schemeClr w14:val="tx1"/>
            </w14:solidFill>
          </w14:textFill>
        </w:rPr>
        <w:t>》结论。</w:t>
      </w:r>
    </w:p>
    <w:p w14:paraId="4B9D7C9C">
      <w:pPr>
        <w:widowControl/>
        <w:spacing w:line="530" w:lineRule="exact"/>
        <w:ind w:firstLine="640" w:firstLineChars="200"/>
        <w:rPr>
          <w:rFonts w:eastAsia="方正仿宋_GB2312"/>
          <w:color w:val="000000" w:themeColor="text1"/>
          <w:sz w:val="32"/>
          <w:szCs w:val="32"/>
          <w14:textFill>
            <w14:solidFill>
              <w14:schemeClr w14:val="tx1"/>
            </w14:solidFill>
          </w14:textFill>
        </w:rPr>
      </w:pPr>
      <w:r>
        <w:rPr>
          <w:rFonts w:eastAsia="方正仿宋_GB2312"/>
          <w:color w:val="000000" w:themeColor="text1"/>
          <w:sz w:val="32"/>
          <w:szCs w:val="32"/>
          <w:lang w:val="zh-CN"/>
          <w14:textFill>
            <w14:solidFill>
              <w14:schemeClr w14:val="tx1"/>
            </w14:solidFill>
          </w14:textFill>
        </w:rPr>
        <w:t>三、</w:t>
      </w:r>
      <w:r>
        <w:rPr>
          <w:rFonts w:eastAsia="方正仿宋_GB2312"/>
          <w:color w:val="000000" w:themeColor="text1"/>
          <w:sz w:val="32"/>
          <w:szCs w:val="32"/>
          <w14:textFill>
            <w14:solidFill>
              <w14:schemeClr w14:val="tx1"/>
            </w14:solidFill>
          </w14:textFill>
        </w:rPr>
        <w:t>你单位在项目建设和运营中，应严格执行有关环境质量标准和污染物排放标准，认真、全面落实报告</w:t>
      </w:r>
      <w:r>
        <w:rPr>
          <w:rFonts w:hint="eastAsia" w:eastAsia="方正仿宋_GB2312"/>
          <w:color w:val="000000" w:themeColor="text1"/>
          <w:sz w:val="32"/>
          <w:szCs w:val="32"/>
          <w14:textFill>
            <w14:solidFill>
              <w14:schemeClr w14:val="tx1"/>
            </w14:solidFill>
          </w14:textFill>
        </w:rPr>
        <w:t>书</w:t>
      </w:r>
      <w:r>
        <w:rPr>
          <w:rFonts w:eastAsia="方正仿宋_GB2312"/>
          <w:color w:val="000000" w:themeColor="text1"/>
          <w:sz w:val="32"/>
          <w:szCs w:val="32"/>
          <w14:textFill>
            <w14:solidFill>
              <w14:schemeClr w14:val="tx1"/>
            </w14:solidFill>
          </w14:textFill>
        </w:rPr>
        <w:t>提出的各项环保对策措施和要求，确保污染物达标排放和各环境敏感点满足相应功能要求。重点做好以下工作：</w:t>
      </w:r>
    </w:p>
    <w:p w14:paraId="0E64FC1E">
      <w:pPr>
        <w:spacing w:line="530" w:lineRule="exact"/>
        <w:ind w:firstLine="640" w:firstLineChars="200"/>
        <w:rPr>
          <w:rFonts w:eastAsia="方正仿宋_GB2312"/>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0"/>
          <w:sz w:val="32"/>
          <w:szCs w:val="32"/>
          <w:lang w:val="zh-CN"/>
          <w14:textFill>
            <w14:solidFill>
              <w14:schemeClr w14:val="tx1"/>
            </w14:solidFill>
          </w14:textFill>
        </w:rPr>
        <w:t>（一）</w:t>
      </w:r>
      <w:r>
        <w:rPr>
          <w:rFonts w:hint="eastAsia" w:ascii="方正楷体简体" w:hAnsi="方正楷体简体" w:eastAsia="方正楷体简体" w:cs="方正楷体简体"/>
          <w:color w:val="000000" w:themeColor="text1"/>
          <w:kern w:val="0"/>
          <w:sz w:val="32"/>
          <w:szCs w:val="32"/>
          <w14:textFill>
            <w14:solidFill>
              <w14:schemeClr w14:val="tx1"/>
            </w14:solidFill>
          </w14:textFill>
        </w:rPr>
        <w:t>认真落实施工期生态环境保护和防沙治沙措施。</w:t>
      </w:r>
      <w:r>
        <w:rPr>
          <w:rFonts w:eastAsia="方正仿宋_GB2312"/>
          <w:color w:val="000000" w:themeColor="text1"/>
          <w:kern w:val="0"/>
          <w:sz w:val="32"/>
          <w:szCs w:val="32"/>
          <w14:textFill>
            <w14:solidFill>
              <w14:schemeClr w14:val="tx1"/>
            </w14:solidFill>
          </w14:textFill>
        </w:rPr>
        <w:t>做好施工过程中的降噪、防尘、施工固废清理和水土保持、防沙治沙等生态环境保护措施，妥善处置施工废弃物、生活垃圾及生活污水。</w:t>
      </w:r>
    </w:p>
    <w:p w14:paraId="502F6A03">
      <w:pPr>
        <w:spacing w:line="560" w:lineRule="exact"/>
        <w:ind w:firstLine="640" w:firstLineChars="200"/>
        <w:rPr>
          <w:rFonts w:eastAsia="方正仿宋_GB2312"/>
          <w:color w:val="000000" w:themeColor="text1"/>
          <w:sz w:val="32"/>
          <w:szCs w:val="32"/>
          <w14:textFill>
            <w14:solidFill>
              <w14:schemeClr w14:val="tx1"/>
            </w14:solidFill>
          </w14:textFill>
        </w:rPr>
      </w:pPr>
      <w:r>
        <w:rPr>
          <w:rFonts w:ascii="方正楷体简体" w:hAnsi="方正楷体简体" w:eastAsia="方正楷体简体" w:cs="方正楷体简体"/>
          <w:color w:val="000000" w:themeColor="text1"/>
          <w:kern w:val="0"/>
          <w:sz w:val="32"/>
          <w:szCs w:val="32"/>
          <w:lang w:val="zh-CN"/>
          <w14:textFill>
            <w14:solidFill>
              <w14:schemeClr w14:val="tx1"/>
            </w14:solidFill>
          </w14:textFill>
        </w:rPr>
        <w:t>（二）严格落实大气污染防治措施。</w:t>
      </w:r>
      <w:r>
        <w:rPr>
          <w:rFonts w:eastAsia="方正仿宋_GB2312"/>
          <w:color w:val="000000" w:themeColor="text1"/>
          <w:kern w:val="0"/>
          <w:sz w:val="32"/>
          <w:szCs w:val="32"/>
          <w14:textFill>
            <w14:solidFill>
              <w14:schemeClr w14:val="tx1"/>
            </w14:solidFill>
          </w14:textFill>
        </w:rPr>
        <w:t>该项目运营期产生的</w:t>
      </w:r>
      <w:r>
        <w:rPr>
          <w:rFonts w:hint="eastAsia" w:eastAsia="方正仿宋_GB2312"/>
          <w:color w:val="000000" w:themeColor="text1"/>
          <w:kern w:val="0"/>
          <w:sz w:val="32"/>
          <w:szCs w:val="32"/>
          <w14:textFill>
            <w14:solidFill>
              <w14:schemeClr w14:val="tx1"/>
            </w14:solidFill>
          </w14:textFill>
        </w:rPr>
        <w:t>废气主要为沼气锅炉烟气；粪污处理系统中干湿分离及干粪发酵车间产生的臭气，无害化处理车间产生的臭气；猪舍、粪污收集池、沼液收集池产生的恶臭气体；沼气池沼气。</w:t>
      </w:r>
      <w:r>
        <w:rPr>
          <w:rFonts w:hint="eastAsia" w:eastAsia="方正仿宋_GB2312"/>
          <w:color w:val="000000" w:themeColor="text1"/>
          <w:sz w:val="32"/>
          <w:szCs w:val="32"/>
          <w14:textFill>
            <w14:solidFill>
              <w14:schemeClr w14:val="tx1"/>
            </w14:solidFill>
          </w14:textFill>
        </w:rPr>
        <w:t>沼气锅炉燃用脱硫后的沼气并采用低氮燃烧技术，沼气锅炉燃烧废气中颗粒物、二氧化硫、氮氧化物和林格曼黑度排放须满足</w:t>
      </w:r>
      <w:r>
        <w:rPr>
          <w:rFonts w:eastAsia="方正仿宋_GB2312"/>
          <w:color w:val="000000" w:themeColor="text1"/>
          <w:sz w:val="32"/>
          <w:szCs w:val="32"/>
          <w14:textFill>
            <w14:solidFill>
              <w14:schemeClr w14:val="tx1"/>
            </w14:solidFill>
          </w14:textFill>
        </w:rPr>
        <w:t>《锅炉大气污染物排放标准》（GB13271-2014）中表2燃气锅炉排放限值要求</w:t>
      </w:r>
      <w:r>
        <w:rPr>
          <w:rFonts w:hint="eastAsia" w:eastAsia="方正仿宋_GB2312"/>
          <w:color w:val="000000" w:themeColor="text1"/>
          <w:sz w:val="32"/>
          <w:szCs w:val="32"/>
          <w14:textFill>
            <w14:solidFill>
              <w14:schemeClr w14:val="tx1"/>
            </w14:solidFill>
          </w14:textFill>
        </w:rPr>
        <w:t>，经1根15米高的排气筒（DA001）排放；粪污处理系统中干湿分离及干粪发酵车间产生的臭气、无害化处理车间产生的臭气经“负压收集+生物滤塔”处理后，氨、硫化氢和臭气浓度排放满足</w:t>
      </w:r>
      <w:r>
        <w:rPr>
          <w:rFonts w:eastAsia="方正仿宋_GB2312"/>
          <w:color w:val="000000" w:themeColor="text1"/>
          <w:sz w:val="32"/>
          <w:szCs w:val="32"/>
          <w14:textFill>
            <w14:solidFill>
              <w14:schemeClr w14:val="tx1"/>
            </w14:solidFill>
          </w14:textFill>
        </w:rPr>
        <w:t>《恶臭污染物排放标准》（GB14554</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93）表2标准</w:t>
      </w:r>
      <w:r>
        <w:rPr>
          <w:rFonts w:hint="eastAsia" w:eastAsia="方正仿宋_GB2312"/>
          <w:color w:val="000000" w:themeColor="text1"/>
          <w:sz w:val="32"/>
          <w:szCs w:val="32"/>
          <w14:textFill>
            <w14:solidFill>
              <w14:schemeClr w14:val="tx1"/>
            </w14:solidFill>
          </w14:textFill>
        </w:rPr>
        <w:t>限值要求</w:t>
      </w:r>
      <w:r>
        <w:rPr>
          <w:rFonts w:eastAsia="方正仿宋_GB2312"/>
          <w:color w:val="000000" w:themeColor="text1"/>
          <w:sz w:val="32"/>
          <w:szCs w:val="32"/>
          <w14:textFill>
            <w14:solidFill>
              <w14:schemeClr w14:val="tx1"/>
            </w14:solidFill>
          </w14:textFill>
        </w:rPr>
        <w:t>、</w:t>
      </w:r>
      <w:r>
        <w:rPr>
          <w:rFonts w:hint="eastAsia" w:eastAsia="方正仿宋_GB2312"/>
          <w:color w:val="000000" w:themeColor="text1"/>
          <w:sz w:val="32"/>
          <w:szCs w:val="32"/>
          <w14:textFill>
            <w14:solidFill>
              <w14:schemeClr w14:val="tx1"/>
            </w14:solidFill>
          </w14:textFill>
        </w:rPr>
        <w:t>非甲烷总烃排放满足《大气污染物综合排放标准》（GB16297-1996）表2新污染源大气污染物排放限值要求，经1根15米高的排气筒（DA002）排放。</w:t>
      </w:r>
      <w:r>
        <w:rPr>
          <w:rFonts w:hint="eastAsia" w:eastAsia="方正仿宋_GB2312"/>
          <w:color w:val="000000" w:themeColor="text1"/>
          <w:sz w:val="32"/>
          <w:szCs w:val="32"/>
          <w:lang w:val="en-US" w:eastAsia="zh-CN"/>
          <w14:textFill>
            <w14:solidFill>
              <w14:schemeClr w14:val="tx1"/>
            </w14:solidFill>
          </w14:textFill>
        </w:rPr>
        <w:t>通过采取</w:t>
      </w:r>
      <w:r>
        <w:rPr>
          <w:rFonts w:eastAsia="方正仿宋_GB2312"/>
          <w:color w:val="000000" w:themeColor="text1"/>
          <w:sz w:val="32"/>
          <w:szCs w:val="32"/>
          <w14:textFill>
            <w14:solidFill>
              <w14:schemeClr w14:val="tx1"/>
            </w14:solidFill>
          </w14:textFill>
        </w:rPr>
        <w:t>控制饲养密度，加强</w:t>
      </w:r>
      <w:r>
        <w:rPr>
          <w:rFonts w:hint="eastAsia" w:eastAsia="方正仿宋_GB2312"/>
          <w:color w:val="000000" w:themeColor="text1"/>
          <w:sz w:val="32"/>
          <w:szCs w:val="32"/>
          <w14:textFill>
            <w14:solidFill>
              <w14:schemeClr w14:val="tx1"/>
            </w14:solidFill>
          </w14:textFill>
        </w:rPr>
        <w:t>猪</w:t>
      </w:r>
      <w:r>
        <w:rPr>
          <w:rFonts w:eastAsia="方正仿宋_GB2312"/>
          <w:color w:val="000000" w:themeColor="text1"/>
          <w:sz w:val="32"/>
          <w:szCs w:val="32"/>
          <w14:textFill>
            <w14:solidFill>
              <w14:schemeClr w14:val="tx1"/>
            </w14:solidFill>
          </w14:textFill>
        </w:rPr>
        <w:t>舍通风，提高饲料利用率；</w:t>
      </w:r>
      <w:r>
        <w:rPr>
          <w:rFonts w:hint="eastAsia" w:eastAsia="方正仿宋_GB2312"/>
          <w:color w:val="000000" w:themeColor="text1"/>
          <w:sz w:val="32"/>
          <w:szCs w:val="32"/>
          <w14:textFill>
            <w14:solidFill>
              <w14:schemeClr w14:val="tx1"/>
            </w14:solidFill>
          </w14:textFill>
        </w:rPr>
        <w:t>猪舍、堆肥场及污水处理区定期喷洒</w:t>
      </w:r>
      <w:r>
        <w:rPr>
          <w:rFonts w:eastAsia="方正仿宋_GB2312"/>
          <w:color w:val="000000" w:themeColor="text1"/>
          <w:sz w:val="32"/>
          <w:szCs w:val="32"/>
          <w14:textFill>
            <w14:solidFill>
              <w14:schemeClr w14:val="tx1"/>
            </w14:solidFill>
          </w14:textFill>
        </w:rPr>
        <w:t>除臭液，并在养殖场内设绿化隔离带</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场内粪水输送由密闭管道输送</w:t>
      </w:r>
      <w:r>
        <w:rPr>
          <w:rFonts w:hint="eastAsia" w:eastAsia="方正仿宋_GB2312"/>
          <w:color w:val="000000" w:themeColor="text1"/>
          <w:sz w:val="32"/>
          <w:szCs w:val="32"/>
          <w14:textFill>
            <w14:solidFill>
              <w14:schemeClr w14:val="tx1"/>
            </w14:solidFill>
          </w14:textFill>
        </w:rPr>
        <w:t>；废水处理区池体加盖</w:t>
      </w:r>
      <w:r>
        <w:rPr>
          <w:rFonts w:hint="eastAsia" w:eastAsia="方正仿宋_GB2312"/>
          <w:color w:val="000000" w:themeColor="text1"/>
          <w:sz w:val="32"/>
          <w:szCs w:val="32"/>
          <w:lang w:val="en-US" w:eastAsia="zh-CN"/>
          <w14:textFill>
            <w14:solidFill>
              <w14:schemeClr w14:val="tx1"/>
            </w14:solidFill>
          </w14:textFill>
        </w:rPr>
        <w:t>等</w:t>
      </w:r>
      <w:r>
        <w:rPr>
          <w:rFonts w:hint="eastAsia" w:eastAsia="方正仿宋_GB2312"/>
          <w:color w:val="000000" w:themeColor="text1"/>
          <w:sz w:val="32"/>
          <w:szCs w:val="32"/>
          <w14:textFill>
            <w14:solidFill>
              <w14:schemeClr w14:val="tx1"/>
            </w14:solidFill>
          </w14:textFill>
        </w:rPr>
        <w:t>措施</w:t>
      </w:r>
      <w:r>
        <w:rPr>
          <w:rFonts w:hint="eastAsia" w:eastAsia="方正仿宋_GB2312"/>
          <w:color w:val="000000" w:themeColor="text1"/>
          <w:sz w:val="32"/>
          <w:szCs w:val="32"/>
          <w:lang w:eastAsia="zh-CN"/>
          <w14:textFill>
            <w14:solidFill>
              <w14:schemeClr w14:val="tx1"/>
            </w14:solidFill>
          </w14:textFill>
        </w:rPr>
        <w:t>，</w:t>
      </w:r>
      <w:r>
        <w:rPr>
          <w:rFonts w:hint="eastAsia" w:eastAsia="方正仿宋_GB2312"/>
          <w:color w:val="000000" w:themeColor="text1"/>
          <w:sz w:val="32"/>
          <w:szCs w:val="32"/>
          <w14:textFill>
            <w14:solidFill>
              <w14:schemeClr w14:val="tx1"/>
            </w14:solidFill>
          </w14:textFill>
        </w:rPr>
        <w:t>确保</w:t>
      </w:r>
      <w:r>
        <w:rPr>
          <w:rFonts w:eastAsia="方正仿宋_GB2312"/>
          <w:color w:val="000000" w:themeColor="text1"/>
          <w:sz w:val="32"/>
          <w:szCs w:val="32"/>
          <w14:textFill>
            <w14:solidFill>
              <w14:schemeClr w14:val="tx1"/>
            </w14:solidFill>
          </w14:textFill>
        </w:rPr>
        <w:t>厂界硫化氢、氨无组织排放满足《恶臭污染物排放标准》（GB14554-93）表1恶臭污染物厂界标准值中新扩改建二级标准要求；臭气浓度</w:t>
      </w:r>
      <w:r>
        <w:rPr>
          <w:rFonts w:hint="eastAsia" w:eastAsia="方正仿宋_GB2312"/>
          <w:color w:val="000000" w:themeColor="text1"/>
          <w:sz w:val="32"/>
          <w:szCs w:val="32"/>
          <w14:textFill>
            <w14:solidFill>
              <w14:schemeClr w14:val="tx1"/>
            </w14:solidFill>
          </w14:textFill>
        </w:rPr>
        <w:t>无组织</w:t>
      </w:r>
      <w:r>
        <w:rPr>
          <w:rFonts w:eastAsia="方正仿宋_GB2312"/>
          <w:color w:val="000000" w:themeColor="text1"/>
          <w:sz w:val="32"/>
          <w:szCs w:val="32"/>
          <w14:textFill>
            <w14:solidFill>
              <w14:schemeClr w14:val="tx1"/>
            </w14:solidFill>
          </w14:textFill>
        </w:rPr>
        <w:t>排放满足《畜禽养殖业污染物排放标准》（GB18596-2001）表7集约化畜禽养殖业恶臭污染物排放标准要求。</w:t>
      </w:r>
    </w:p>
    <w:p w14:paraId="40AF5900">
      <w:pPr>
        <w:adjustRightInd w:val="0"/>
        <w:snapToGrid w:val="0"/>
        <w:spacing w:line="560" w:lineRule="exact"/>
        <w:ind w:firstLine="640" w:firstLineChars="200"/>
        <w:rPr>
          <w:rFonts w:eastAsia="方正仿宋_GB2312"/>
          <w:color w:val="000000" w:themeColor="text1"/>
          <w:sz w:val="32"/>
          <w:szCs w:val="32"/>
          <w14:textFill>
            <w14:solidFill>
              <w14:schemeClr w14:val="tx1"/>
            </w14:solidFill>
          </w14:textFill>
        </w:rPr>
      </w:pPr>
      <w:r>
        <w:rPr>
          <w:rFonts w:ascii="方正楷体简体" w:hAnsi="方正楷体简体" w:eastAsia="方正楷体简体" w:cs="方正楷体简体"/>
          <w:color w:val="000000" w:themeColor="text1"/>
          <w:kern w:val="0"/>
          <w:sz w:val="32"/>
          <w:szCs w:val="32"/>
          <w:lang w:val="zh-CN"/>
          <w14:textFill>
            <w14:solidFill>
              <w14:schemeClr w14:val="tx1"/>
            </w14:solidFill>
          </w14:textFill>
        </w:rPr>
        <w:t>（三）严格落实水污染防治措施。</w:t>
      </w:r>
      <w:r>
        <w:rPr>
          <w:rFonts w:hint="eastAsia" w:eastAsia="方正仿宋_GB2312"/>
          <w:color w:val="000000" w:themeColor="text1"/>
          <w:sz w:val="32"/>
          <w:szCs w:val="32"/>
          <w14:textFill>
            <w14:solidFill>
              <w14:schemeClr w14:val="tx1"/>
            </w14:solidFill>
          </w14:textFill>
        </w:rPr>
        <w:t>该项目运营期产生的废水主要为猪尿、猪舍冲洗废水、车辆冲洗废水、工作人员产生的生活污水及软水制备废水。猪尿、猪舍冲洗废水、车辆冲洗废水、生活污水汇合后通过“格栅+曝气池+固液分离+厌氧发酵罐+沼液收集池”处理满足</w:t>
      </w:r>
      <w:r>
        <w:rPr>
          <w:rFonts w:eastAsia="方正仿宋_GB2312"/>
          <w:color w:val="000000" w:themeColor="text1"/>
          <w:sz w:val="32"/>
          <w:szCs w:val="32"/>
          <w14:textFill>
            <w14:solidFill>
              <w14:schemeClr w14:val="tx1"/>
            </w14:solidFill>
          </w14:textFill>
        </w:rPr>
        <w:t>《有机肥料》（</w:t>
      </w:r>
      <w:r>
        <w:rPr>
          <w:rFonts w:hint="eastAsia" w:eastAsia="方正仿宋_GB2312"/>
          <w:color w:val="000000" w:themeColor="text1"/>
          <w:sz w:val="32"/>
          <w:szCs w:val="32"/>
          <w14:textFill>
            <w14:solidFill>
              <w14:schemeClr w14:val="tx1"/>
            </w14:solidFill>
          </w14:textFill>
        </w:rPr>
        <w:t>NY/T525-2021</w:t>
      </w:r>
      <w:r>
        <w:rPr>
          <w:rFonts w:eastAsia="方正仿宋_GB2312"/>
          <w:color w:val="000000" w:themeColor="text1"/>
          <w:sz w:val="32"/>
          <w:szCs w:val="32"/>
          <w14:textFill>
            <w14:solidFill>
              <w14:schemeClr w14:val="tx1"/>
            </w14:solidFill>
          </w14:textFill>
        </w:rPr>
        <w:t>）</w:t>
      </w:r>
      <w:r>
        <w:rPr>
          <w:rFonts w:hint="eastAsia" w:eastAsia="方正仿宋_GB2312"/>
          <w:color w:val="000000" w:themeColor="text1"/>
          <w:sz w:val="32"/>
          <w:szCs w:val="32"/>
          <w14:textFill>
            <w14:solidFill>
              <w14:schemeClr w14:val="tx1"/>
            </w14:solidFill>
          </w14:textFill>
        </w:rPr>
        <w:t>后用于农田施肥；软水制备废水回用于厂区洒水降尘。</w:t>
      </w:r>
    </w:p>
    <w:p w14:paraId="78068AB6">
      <w:pPr>
        <w:pStyle w:val="21"/>
        <w:spacing w:line="560" w:lineRule="exact"/>
        <w:ind w:firstLine="640" w:firstLineChars="200"/>
        <w:rPr>
          <w:rFonts w:eastAsia="方正仿宋_GB2312"/>
          <w:color w:val="000000" w:themeColor="text1"/>
          <w:kern w:val="2"/>
          <w:sz w:val="32"/>
          <w:szCs w:val="32"/>
          <w14:textFill>
            <w14:solidFill>
              <w14:schemeClr w14:val="tx1"/>
            </w14:solidFill>
          </w14:textFill>
        </w:rPr>
      </w:pPr>
      <w:r>
        <w:rPr>
          <w:rFonts w:ascii="方正楷体简体" w:hAnsi="方正楷体简体" w:eastAsia="方正楷体简体" w:cs="方正楷体简体"/>
          <w:color w:val="000000" w:themeColor="text1"/>
          <w:sz w:val="32"/>
          <w:szCs w:val="32"/>
          <w:lang w:val="zh-CN"/>
          <w14:textFill>
            <w14:solidFill>
              <w14:schemeClr w14:val="tx1"/>
            </w14:solidFill>
          </w14:textFill>
        </w:rPr>
        <w:t>（四）严格落实噪声污染防治措施。</w:t>
      </w:r>
      <w:r>
        <w:rPr>
          <w:rFonts w:hint="eastAsia" w:eastAsia="方正仿宋_GB2312"/>
          <w:color w:val="000000" w:themeColor="text1"/>
          <w:kern w:val="2"/>
          <w:sz w:val="32"/>
          <w:szCs w:val="32"/>
          <w14:textFill>
            <w14:solidFill>
              <w14:schemeClr w14:val="tx1"/>
            </w14:solidFill>
          </w14:textFill>
        </w:rPr>
        <w:t>该项目运营期产生的噪声主要为猪叫声及生产设备产生的机械噪声。通过</w:t>
      </w:r>
      <w:r>
        <w:rPr>
          <w:rFonts w:eastAsia="方正仿宋_GB2312"/>
          <w:color w:val="000000" w:themeColor="text1"/>
          <w:kern w:val="2"/>
          <w:sz w:val="32"/>
          <w:szCs w:val="32"/>
          <w14:textFill>
            <w14:solidFill>
              <w14:schemeClr w14:val="tx1"/>
            </w14:solidFill>
          </w14:textFill>
        </w:rPr>
        <w:t>饲养人员</w:t>
      </w:r>
      <w:r>
        <w:rPr>
          <w:rFonts w:hint="eastAsia" w:eastAsia="方正仿宋_GB2312"/>
          <w:color w:val="000000" w:themeColor="text1"/>
          <w:kern w:val="2"/>
          <w:sz w:val="32"/>
          <w:szCs w:val="32"/>
          <w14:textFill>
            <w14:solidFill>
              <w14:schemeClr w14:val="tx1"/>
            </w14:solidFill>
          </w14:textFill>
        </w:rPr>
        <w:t>加强管理，</w:t>
      </w:r>
      <w:r>
        <w:rPr>
          <w:rFonts w:eastAsia="方正仿宋_GB2312"/>
          <w:color w:val="000000" w:themeColor="text1"/>
          <w:kern w:val="2"/>
          <w:sz w:val="32"/>
          <w:szCs w:val="32"/>
          <w14:textFill>
            <w14:solidFill>
              <w14:schemeClr w14:val="tx1"/>
            </w14:solidFill>
          </w14:textFill>
        </w:rPr>
        <w:t>尽可能避免</w:t>
      </w:r>
      <w:r>
        <w:rPr>
          <w:rFonts w:hint="eastAsia" w:eastAsia="方正仿宋_GB2312"/>
          <w:color w:val="000000" w:themeColor="text1"/>
          <w:kern w:val="2"/>
          <w:sz w:val="32"/>
          <w:szCs w:val="32"/>
          <w14:textFill>
            <w14:solidFill>
              <w14:schemeClr w14:val="tx1"/>
            </w14:solidFill>
          </w14:textFill>
        </w:rPr>
        <w:t>猪</w:t>
      </w:r>
      <w:r>
        <w:rPr>
          <w:rFonts w:eastAsia="方正仿宋_GB2312"/>
          <w:color w:val="000000" w:themeColor="text1"/>
          <w:kern w:val="2"/>
          <w:sz w:val="32"/>
          <w:szCs w:val="32"/>
          <w14:textFill>
            <w14:solidFill>
              <w14:schemeClr w14:val="tx1"/>
            </w14:solidFill>
          </w14:textFill>
        </w:rPr>
        <w:t>因饥饿或口渴而发出叫声；减少人为骚扰、驱赶；选择先进可靠的低噪音设备，</w:t>
      </w:r>
      <w:r>
        <w:rPr>
          <w:rFonts w:hint="eastAsia" w:eastAsia="方正仿宋_GB2312"/>
          <w:color w:val="000000" w:themeColor="text1"/>
          <w:kern w:val="2"/>
          <w:sz w:val="32"/>
          <w:szCs w:val="32"/>
          <w14:textFill>
            <w14:solidFill>
              <w14:schemeClr w14:val="tx1"/>
            </w14:solidFill>
          </w14:textFill>
        </w:rPr>
        <w:t>为</w:t>
      </w:r>
      <w:r>
        <w:rPr>
          <w:rFonts w:eastAsia="方正仿宋_GB2312"/>
          <w:color w:val="000000" w:themeColor="text1"/>
          <w:kern w:val="2"/>
          <w:sz w:val="32"/>
          <w:szCs w:val="32"/>
          <w14:textFill>
            <w14:solidFill>
              <w14:schemeClr w14:val="tx1"/>
            </w14:solidFill>
          </w14:textFill>
        </w:rPr>
        <w:t>所有产噪设备设置减振措施；将噪声较大的设备置于室内隔声，采用隔声、吸音材料制作门窗、砌体</w:t>
      </w:r>
      <w:r>
        <w:rPr>
          <w:rFonts w:hint="eastAsia" w:eastAsia="方正仿宋_GB2312"/>
          <w:color w:val="000000" w:themeColor="text1"/>
          <w:kern w:val="2"/>
          <w:sz w:val="32"/>
          <w:szCs w:val="32"/>
          <w14:textFill>
            <w14:solidFill>
              <w14:schemeClr w14:val="tx1"/>
            </w14:solidFill>
          </w14:textFill>
        </w:rPr>
        <w:t>等措施</w:t>
      </w:r>
      <w:r>
        <w:rPr>
          <w:rFonts w:eastAsia="方正仿宋_GB2312"/>
          <w:color w:val="000000" w:themeColor="text1"/>
          <w:kern w:val="2"/>
          <w:sz w:val="32"/>
          <w:szCs w:val="32"/>
          <w14:textFill>
            <w14:solidFill>
              <w14:schemeClr w14:val="tx1"/>
            </w14:solidFill>
          </w14:textFill>
        </w:rPr>
        <w:t>；</w:t>
      </w:r>
      <w:r>
        <w:rPr>
          <w:rFonts w:hint="eastAsia" w:eastAsia="方正仿宋_GB2312"/>
          <w:color w:val="000000" w:themeColor="text1"/>
          <w:kern w:val="2"/>
          <w:sz w:val="32"/>
          <w:szCs w:val="32"/>
          <w14:textFill>
            <w14:solidFill>
              <w14:schemeClr w14:val="tx1"/>
            </w14:solidFill>
          </w14:textFill>
        </w:rPr>
        <w:t>确保</w:t>
      </w:r>
      <w:r>
        <w:rPr>
          <w:rFonts w:eastAsia="方正仿宋_GB2312"/>
          <w:color w:val="000000" w:themeColor="text1"/>
          <w:kern w:val="2"/>
          <w:sz w:val="32"/>
          <w:szCs w:val="32"/>
          <w14:textFill>
            <w14:solidFill>
              <w14:schemeClr w14:val="tx1"/>
            </w14:solidFill>
          </w14:textFill>
        </w:rPr>
        <w:t>厂界噪声排放满足《工业企业厂界环境噪声排放标准》（GB12348-2008）中2类标准要求。</w:t>
      </w:r>
    </w:p>
    <w:p w14:paraId="524B0DEC">
      <w:pPr>
        <w:spacing w:line="560" w:lineRule="exact"/>
        <w:ind w:firstLine="640" w:firstLineChars="200"/>
        <w:rPr>
          <w:rFonts w:eastAsia="方正仿宋_GB2312"/>
          <w:color w:val="000000" w:themeColor="text1"/>
          <w:sz w:val="32"/>
          <w:szCs w:val="32"/>
          <w14:textFill>
            <w14:solidFill>
              <w14:schemeClr w14:val="tx1"/>
            </w14:solidFill>
          </w14:textFill>
        </w:rPr>
      </w:pPr>
      <w:r>
        <w:rPr>
          <w:rFonts w:ascii="方正楷体简体" w:hAnsi="方正楷体简体" w:eastAsia="方正楷体简体" w:cs="方正楷体简体"/>
          <w:color w:val="000000" w:themeColor="text1"/>
          <w:sz w:val="32"/>
          <w:szCs w:val="32"/>
          <w:lang w:val="zh-CN"/>
          <w14:textFill>
            <w14:solidFill>
              <w14:schemeClr w14:val="tx1"/>
            </w14:solidFill>
          </w14:textFill>
        </w:rPr>
        <w:t>（五）严格落实固体废物分类处置措施。</w:t>
      </w:r>
      <w:r>
        <w:rPr>
          <w:rFonts w:eastAsia="方正仿宋_GB2312"/>
          <w:color w:val="000000" w:themeColor="text1"/>
          <w:sz w:val="32"/>
          <w:szCs w:val="32"/>
          <w14:textFill>
            <w14:solidFill>
              <w14:schemeClr w14:val="tx1"/>
            </w14:solidFill>
          </w14:textFill>
        </w:rPr>
        <w:t>该项目运营期</w:t>
      </w:r>
      <w:r>
        <w:rPr>
          <w:rFonts w:hint="eastAsia" w:eastAsia="方正仿宋_GB2312"/>
          <w:color w:val="000000" w:themeColor="text1"/>
          <w:sz w:val="32"/>
          <w:szCs w:val="32"/>
          <w14:textFill>
            <w14:solidFill>
              <w14:schemeClr w14:val="tx1"/>
            </w14:solidFill>
          </w14:textFill>
        </w:rPr>
        <w:t>产生的</w:t>
      </w:r>
      <w:r>
        <w:rPr>
          <w:rFonts w:eastAsia="方正仿宋_GB2312"/>
          <w:color w:val="000000" w:themeColor="text1"/>
          <w:sz w:val="32"/>
          <w:szCs w:val="32"/>
          <w14:textFill>
            <w14:solidFill>
              <w14:schemeClr w14:val="tx1"/>
            </w14:solidFill>
          </w14:textFill>
        </w:rPr>
        <w:t>固废主要</w:t>
      </w:r>
      <w:r>
        <w:rPr>
          <w:rFonts w:hint="eastAsia" w:eastAsia="方正仿宋_GB2312"/>
          <w:color w:val="000000" w:themeColor="text1"/>
          <w:sz w:val="32"/>
          <w:szCs w:val="32"/>
          <w14:textFill>
            <w14:solidFill>
              <w14:schemeClr w14:val="tx1"/>
            </w14:solidFill>
          </w14:textFill>
        </w:rPr>
        <w:t>为医疗废物类危险废物；猪粪</w:t>
      </w:r>
      <w:r>
        <w:rPr>
          <w:rFonts w:eastAsia="方正仿宋_GB2312"/>
          <w:color w:val="000000" w:themeColor="text1"/>
          <w:sz w:val="32"/>
          <w:szCs w:val="32"/>
          <w14:textFill>
            <w14:solidFill>
              <w14:schemeClr w14:val="tx1"/>
            </w14:solidFill>
          </w14:textFill>
        </w:rPr>
        <w:t>、</w:t>
      </w:r>
      <w:r>
        <w:rPr>
          <w:rFonts w:hint="eastAsia" w:eastAsia="方正仿宋_GB2312"/>
          <w:color w:val="000000" w:themeColor="text1"/>
          <w:sz w:val="32"/>
          <w:szCs w:val="32"/>
          <w14:textFill>
            <w14:solidFill>
              <w14:schemeClr w14:val="tx1"/>
            </w14:solidFill>
          </w14:textFill>
        </w:rPr>
        <w:t>沼液、沼渣、病死猪、废脱硫剂、废离子交换树脂等一般固体废物以及生活垃圾。</w:t>
      </w:r>
      <w:r>
        <w:rPr>
          <w:rFonts w:eastAsia="方正仿宋_GB2312"/>
          <w:color w:val="000000" w:themeColor="text1"/>
          <w:sz w:val="32"/>
          <w:szCs w:val="32"/>
          <w14:textFill>
            <w14:solidFill>
              <w14:schemeClr w14:val="tx1"/>
            </w14:solidFill>
          </w14:textFill>
        </w:rPr>
        <w:t>医疗废物</w:t>
      </w:r>
      <w:r>
        <w:rPr>
          <w:rFonts w:hint="eastAsia" w:eastAsia="方正仿宋_GB2312"/>
          <w:color w:val="000000" w:themeColor="text1"/>
          <w:sz w:val="32"/>
          <w:szCs w:val="32"/>
          <w14:textFill>
            <w14:solidFill>
              <w14:schemeClr w14:val="tx1"/>
            </w14:solidFill>
          </w14:textFill>
        </w:rPr>
        <w:t>集中收集后暂存于危险废物暂存间，定期交由有危险废物处置资质单位处置，危险废物的收集、贮存、运输须符合《危险废物收集 贮存 运输技术规范》（HJ2025-2012）及《危险废物贮存污染控制标准》（GB18597-2023）的相关要求；猪粪处理</w:t>
      </w:r>
      <w:r>
        <w:rPr>
          <w:rFonts w:eastAsia="方正仿宋_GB2312"/>
          <w:color w:val="000000" w:themeColor="text1"/>
          <w:sz w:val="32"/>
          <w:szCs w:val="32"/>
          <w14:textFill>
            <w14:solidFill>
              <w14:schemeClr w14:val="tx1"/>
            </w14:solidFill>
          </w14:textFill>
        </w:rPr>
        <w:t>采用</w:t>
      </w:r>
      <w:r>
        <w:rPr>
          <w:rFonts w:hint="eastAsia" w:eastAsia="方正仿宋_GB2312"/>
          <w:color w:val="000000" w:themeColor="text1"/>
          <w:sz w:val="32"/>
          <w:szCs w:val="32"/>
          <w14:textFill>
            <w14:solidFill>
              <w14:schemeClr w14:val="tx1"/>
            </w14:solidFill>
          </w14:textFill>
        </w:rPr>
        <w:t>水冲粪</w:t>
      </w:r>
      <w:r>
        <w:rPr>
          <w:rFonts w:eastAsia="方正仿宋_GB2312"/>
          <w:color w:val="000000" w:themeColor="text1"/>
          <w:sz w:val="32"/>
          <w:szCs w:val="32"/>
          <w14:textFill>
            <w14:solidFill>
              <w14:schemeClr w14:val="tx1"/>
            </w14:solidFill>
          </w14:textFill>
        </w:rPr>
        <w:t>工艺</w:t>
      </w:r>
      <w:r>
        <w:rPr>
          <w:rFonts w:hint="eastAsia" w:eastAsia="方正仿宋_GB2312"/>
          <w:color w:val="000000" w:themeColor="text1"/>
          <w:sz w:val="32"/>
          <w:szCs w:val="32"/>
          <w14:textFill>
            <w14:solidFill>
              <w14:schemeClr w14:val="tx1"/>
            </w14:solidFill>
          </w14:textFill>
        </w:rPr>
        <w:t>，固液分离后排入粪污处理系统发酵后，沼液沼渣用于还田，病死猪经厂内无害化处理系统处理后，满足</w:t>
      </w:r>
      <w:r>
        <w:rPr>
          <w:rFonts w:hint="eastAsia" w:eastAsia="方正仿宋_GB2312"/>
          <w:color w:val="000000" w:themeColor="text1"/>
          <w:sz w:val="32"/>
          <w:szCs w:val="32"/>
          <w:highlight w:val="none"/>
          <w14:textFill>
            <w14:solidFill>
              <w14:schemeClr w14:val="tx1"/>
            </w14:solidFill>
          </w14:textFill>
        </w:rPr>
        <w:t>《</w:t>
      </w:r>
      <w:r>
        <w:rPr>
          <w:rFonts w:eastAsia="方正仿宋_GB2312"/>
          <w:color w:val="000000" w:themeColor="text1"/>
          <w:sz w:val="32"/>
          <w:szCs w:val="32"/>
          <w:highlight w:val="none"/>
          <w14:textFill>
            <w14:solidFill>
              <w14:schemeClr w14:val="tx1"/>
            </w14:solidFill>
          </w14:textFill>
        </w:rPr>
        <w:t>有机肥料</w:t>
      </w:r>
      <w:r>
        <w:rPr>
          <w:rFonts w:hint="eastAsia" w:eastAsia="方正仿宋_GB2312"/>
          <w:color w:val="000000" w:themeColor="text1"/>
          <w:sz w:val="32"/>
          <w:szCs w:val="32"/>
          <w:highlight w:val="none"/>
          <w14:textFill>
            <w14:solidFill>
              <w14:schemeClr w14:val="tx1"/>
            </w14:solidFill>
          </w14:textFill>
        </w:rPr>
        <w:t>》</w:t>
      </w:r>
      <w:r>
        <w:rPr>
          <w:rFonts w:eastAsia="方正仿宋_GB2312"/>
          <w:color w:val="000000" w:themeColor="text1"/>
          <w:sz w:val="32"/>
          <w:szCs w:val="32"/>
          <w:highlight w:val="none"/>
          <w14:textFill>
            <w14:solidFill>
              <w14:schemeClr w14:val="tx1"/>
            </w14:solidFill>
          </w14:textFill>
        </w:rPr>
        <w:t>（</w:t>
      </w:r>
      <w:r>
        <w:rPr>
          <w:rFonts w:hint="eastAsia" w:eastAsia="方正仿宋_GB2312"/>
          <w:color w:val="000000" w:themeColor="text1"/>
          <w:sz w:val="32"/>
          <w:szCs w:val="32"/>
          <w:highlight w:val="none"/>
          <w14:textFill>
            <w14:solidFill>
              <w14:schemeClr w14:val="tx1"/>
            </w14:solidFill>
          </w14:textFill>
        </w:rPr>
        <w:t>NY/T525-2021</w:t>
      </w:r>
      <w:r>
        <w:rPr>
          <w:rFonts w:eastAsia="方正仿宋_GB2312"/>
          <w:color w:val="000000" w:themeColor="text1"/>
          <w:sz w:val="32"/>
          <w:szCs w:val="32"/>
          <w:highlight w:val="none"/>
          <w14:textFill>
            <w14:solidFill>
              <w14:schemeClr w14:val="tx1"/>
            </w14:solidFill>
          </w14:textFill>
        </w:rPr>
        <w:t>）</w:t>
      </w:r>
      <w:r>
        <w:rPr>
          <w:rFonts w:hint="eastAsia" w:eastAsia="方正仿宋_GB2312"/>
          <w:color w:val="000000" w:themeColor="text1"/>
          <w:sz w:val="32"/>
          <w:szCs w:val="32"/>
          <w:highlight w:val="none"/>
          <w14:textFill>
            <w14:solidFill>
              <w14:schemeClr w14:val="tx1"/>
            </w14:solidFill>
          </w14:textFill>
        </w:rPr>
        <w:t>后用于农田施肥；废脱硫剂由设备厂家更换带走；废离子交换树脂由</w:t>
      </w:r>
      <w:r>
        <w:rPr>
          <w:rFonts w:hint="eastAsia" w:eastAsia="方正仿宋_GB2312"/>
          <w:color w:val="000000" w:themeColor="text1"/>
          <w:sz w:val="32"/>
          <w:szCs w:val="32"/>
          <w14:textFill>
            <w14:solidFill>
              <w14:schemeClr w14:val="tx1"/>
            </w14:solidFill>
          </w14:textFill>
        </w:rPr>
        <w:t>当地环卫部门统一清运；生活垃圾由环卫部门统一清运处理。</w:t>
      </w:r>
    </w:p>
    <w:p w14:paraId="5867F18A">
      <w:pPr>
        <w:spacing w:line="560" w:lineRule="exact"/>
        <w:ind w:firstLine="640" w:firstLineChars="200"/>
        <w:rPr>
          <w:rFonts w:eastAsia="方正仿宋_GB2312"/>
          <w:color w:val="000000" w:themeColor="text1"/>
          <w:sz w:val="32"/>
          <w:szCs w:val="32"/>
          <w14:textFill>
            <w14:solidFill>
              <w14:schemeClr w14:val="tx1"/>
            </w14:solidFill>
          </w14:textFill>
        </w:rPr>
      </w:pPr>
      <w:r>
        <w:rPr>
          <w:rFonts w:ascii="方正楷体简体" w:hAnsi="方正楷体简体" w:eastAsia="方正楷体简体" w:cs="方正楷体简体"/>
          <w:color w:val="000000" w:themeColor="text1"/>
          <w:kern w:val="0"/>
          <w:sz w:val="32"/>
          <w:szCs w:val="32"/>
          <w:lang w:val="zh-CN"/>
          <w14:textFill>
            <w14:solidFill>
              <w14:schemeClr w14:val="tx1"/>
            </w14:solidFill>
          </w14:textFill>
        </w:rPr>
        <w:t>（六）严格落实地下水和土壤污染防治措施。</w:t>
      </w:r>
      <w:r>
        <w:rPr>
          <w:rFonts w:eastAsia="方正仿宋_GB2312"/>
          <w:color w:val="000000" w:themeColor="text1"/>
          <w:sz w:val="32"/>
          <w:szCs w:val="32"/>
          <w14:textFill>
            <w14:solidFill>
              <w14:schemeClr w14:val="tx1"/>
            </w14:solidFill>
          </w14:textFill>
        </w:rPr>
        <w:t>根据《环境影响评价技术导则 地下水环境》（HJ610-2016）的要求，将厂区划分为重点防渗区、一般防渗区、简单防渗区。重点防渗区包括</w:t>
      </w:r>
      <w:r>
        <w:rPr>
          <w:rFonts w:hint="eastAsia" w:eastAsia="方正仿宋_GB2312"/>
          <w:color w:val="000000" w:themeColor="text1"/>
          <w:sz w:val="32"/>
          <w:szCs w:val="32"/>
          <w14:textFill>
            <w14:solidFill>
              <w14:schemeClr w14:val="tx1"/>
            </w14:solidFill>
          </w14:textFill>
        </w:rPr>
        <w:t>粪污收集池、沼液收集池、干湿分离及干粪发酵间及危险废物暂存间。危险废物暂存间</w:t>
      </w:r>
      <w:r>
        <w:rPr>
          <w:rFonts w:eastAsia="方正仿宋_GB2312"/>
          <w:color w:val="000000" w:themeColor="text1"/>
          <w:sz w:val="32"/>
          <w:szCs w:val="32"/>
          <w14:textFill>
            <w14:solidFill>
              <w14:schemeClr w14:val="tx1"/>
            </w14:solidFill>
          </w14:textFill>
        </w:rPr>
        <w:t>按照《危险废物贮存污染控制标准》（GB18597-2023）的防渗要求执行，其余重点防渗区的防渗要求为</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等效黏土防渗层Mb</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6.0米，防渗系数K</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1×10</w:t>
      </w:r>
      <w:r>
        <w:rPr>
          <w:rFonts w:eastAsia="方正仿宋_GB2312"/>
          <w:color w:val="000000" w:themeColor="text1"/>
          <w:sz w:val="32"/>
          <w:szCs w:val="32"/>
          <w:vertAlign w:val="superscript"/>
          <w14:textFill>
            <w14:solidFill>
              <w14:schemeClr w14:val="tx1"/>
            </w14:solidFill>
          </w14:textFill>
        </w:rPr>
        <w:t>-7</w:t>
      </w:r>
      <w:r>
        <w:rPr>
          <w:rFonts w:eastAsia="方正仿宋_GB2312"/>
          <w:color w:val="000000" w:themeColor="text1"/>
          <w:sz w:val="32"/>
          <w:szCs w:val="32"/>
          <w14:textFill>
            <w14:solidFill>
              <w14:schemeClr w14:val="tx1"/>
            </w14:solidFill>
          </w14:textFill>
        </w:rPr>
        <w:t>厘米/秒</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w:t>
      </w:r>
      <w:r>
        <w:rPr>
          <w:rFonts w:hint="eastAsia" w:eastAsia="方正仿宋_GB2312"/>
          <w:color w:val="000000" w:themeColor="text1"/>
          <w:sz w:val="32"/>
          <w:szCs w:val="32"/>
          <w14:textFill>
            <w14:solidFill>
              <w14:schemeClr w14:val="tx1"/>
            </w14:solidFill>
          </w14:textFill>
        </w:rPr>
        <w:t>一般防渗区包括猪舍、无害化处理车间，</w:t>
      </w:r>
      <w:r>
        <w:rPr>
          <w:rFonts w:eastAsia="方正仿宋_GB2312"/>
          <w:color w:val="000000" w:themeColor="text1"/>
          <w:sz w:val="32"/>
          <w:szCs w:val="32"/>
          <w14:textFill>
            <w14:solidFill>
              <w14:schemeClr w14:val="tx1"/>
            </w14:solidFill>
          </w14:textFill>
        </w:rPr>
        <w:t>防渗要求为</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等效黏土防渗层Mb</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1.5米，防渗系数K</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1×10</w:t>
      </w:r>
      <w:r>
        <w:rPr>
          <w:rFonts w:eastAsia="方正仿宋_GB2312"/>
          <w:color w:val="000000" w:themeColor="text1"/>
          <w:sz w:val="32"/>
          <w:szCs w:val="32"/>
          <w:vertAlign w:val="superscript"/>
          <w14:textFill>
            <w14:solidFill>
              <w14:schemeClr w14:val="tx1"/>
            </w14:solidFill>
          </w14:textFill>
        </w:rPr>
        <w:t>-7</w:t>
      </w:r>
      <w:r>
        <w:rPr>
          <w:rFonts w:eastAsia="方正仿宋_GB2312"/>
          <w:color w:val="000000" w:themeColor="text1"/>
          <w:sz w:val="32"/>
          <w:szCs w:val="32"/>
          <w14:textFill>
            <w14:solidFill>
              <w14:schemeClr w14:val="tx1"/>
            </w14:solidFill>
          </w14:textFill>
        </w:rPr>
        <w:t>厘米/秒</w:t>
      </w:r>
      <w:r>
        <w:rPr>
          <w:rFonts w:hint="eastAsia" w:eastAsia="方正仿宋_GB2312"/>
          <w:color w:val="000000" w:themeColor="text1"/>
          <w:sz w:val="32"/>
          <w:szCs w:val="32"/>
          <w14:textFill>
            <w14:solidFill>
              <w14:schemeClr w14:val="tx1"/>
            </w14:solidFill>
          </w14:textFill>
        </w:rPr>
        <w:t>”</w:t>
      </w:r>
      <w:r>
        <w:rPr>
          <w:rFonts w:eastAsia="方正仿宋_GB2312"/>
          <w:color w:val="000000" w:themeColor="text1"/>
          <w:sz w:val="32"/>
          <w:szCs w:val="32"/>
          <w14:textFill>
            <w14:solidFill>
              <w14:schemeClr w14:val="tx1"/>
            </w14:solidFill>
          </w14:textFill>
        </w:rPr>
        <w:t>；其余部位为简单防渗区，仅进行地面硬化。</w:t>
      </w:r>
    </w:p>
    <w:p w14:paraId="21E9CE73">
      <w:pPr>
        <w:pStyle w:val="3"/>
        <w:adjustRightInd w:val="0"/>
        <w:snapToGrid w:val="0"/>
        <w:spacing w:line="530" w:lineRule="exact"/>
        <w:ind w:firstLine="640" w:firstLineChars="200"/>
        <w:rPr>
          <w:rFonts w:eastAsia="方正仿宋_GB2312"/>
          <w:color w:val="000000" w:themeColor="text1"/>
          <w14:textFill>
            <w14:solidFill>
              <w14:schemeClr w14:val="tx1"/>
            </w14:solidFill>
          </w14:textFill>
        </w:rPr>
      </w:pPr>
      <w:r>
        <w:rPr>
          <w:rFonts w:ascii="方正楷体简体" w:hAnsi="方正楷体简体" w:eastAsia="方正楷体简体" w:cs="方正楷体简体"/>
          <w:color w:val="000000" w:themeColor="text1"/>
          <w:kern w:val="0"/>
          <w:sz w:val="32"/>
          <w:szCs w:val="32"/>
          <w:lang w:val="zh-CN"/>
          <w14:textFill>
            <w14:solidFill>
              <w14:schemeClr w14:val="tx1"/>
            </w14:solidFill>
          </w14:textFill>
        </w:rPr>
        <w:t>（七）加强项目环境风险防范。</w:t>
      </w:r>
      <w:r>
        <w:rPr>
          <w:rFonts w:hint="eastAsia" w:eastAsia="方正仿宋_GB2312"/>
          <w:color w:val="000000" w:themeColor="text1"/>
          <w:sz w:val="32"/>
          <w:szCs w:val="32"/>
          <w14:textFill>
            <w14:solidFill>
              <w14:schemeClr w14:val="tx1"/>
            </w14:solidFill>
          </w14:textFill>
        </w:rPr>
        <w:t>建立严格的环境风险管理制度，认真落实报告书提出的各项风险防范措施；制定相关应急预案，编制《突发环境事件应急预案》报生态环境主管部门备案，确保不发生环境污染事故；做好和地方环境应急预案的衔接，定期开展突发环境事件应急演练，及时对环境应急预案进行完善。</w:t>
      </w:r>
    </w:p>
    <w:p w14:paraId="66A5142B">
      <w:pPr>
        <w:spacing w:line="530" w:lineRule="exact"/>
        <w:ind w:firstLine="640" w:firstLineChars="200"/>
        <w:rPr>
          <w:rFonts w:eastAsia="方正仿宋_GB2312"/>
          <w:color w:val="000000" w:themeColor="text1"/>
          <w:kern w:val="0"/>
          <w:sz w:val="32"/>
          <w:szCs w:val="32"/>
          <w14:textFill>
            <w14:solidFill>
              <w14:schemeClr w14:val="tx1"/>
            </w14:solidFill>
          </w14:textFill>
        </w:rPr>
      </w:pPr>
      <w:r>
        <w:rPr>
          <w:rFonts w:eastAsia="方正仿宋_GB2312"/>
          <w:color w:val="000000" w:themeColor="text1"/>
          <w:kern w:val="0"/>
          <w:sz w:val="32"/>
          <w:szCs w:val="32"/>
          <w:lang w:val="zh-CN"/>
          <w14:textFill>
            <w14:solidFill>
              <w14:schemeClr w14:val="tx1"/>
            </w14:solidFill>
          </w14:textFill>
        </w:rPr>
        <w:t>四、</w:t>
      </w:r>
      <w:r>
        <w:rPr>
          <w:rFonts w:eastAsia="方正仿宋_GB2312"/>
          <w:color w:val="000000" w:themeColor="text1"/>
          <w:kern w:val="0"/>
          <w:sz w:val="32"/>
          <w:szCs w:val="32"/>
          <w14:textFill>
            <w14:solidFill>
              <w14:schemeClr w14:val="tx1"/>
            </w14:solidFill>
          </w14:textFill>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91751E3">
      <w:pPr>
        <w:pStyle w:val="15"/>
        <w:spacing w:after="0" w:line="530" w:lineRule="exact"/>
        <w:ind w:left="0" w:leftChars="0" w:firstLine="640"/>
        <w:rPr>
          <w:rFonts w:eastAsia="方正仿宋_GB2312"/>
          <w:color w:val="000000" w:themeColor="text1"/>
          <w:kern w:val="0"/>
          <w:sz w:val="32"/>
          <w:szCs w:val="32"/>
          <w14:textFill>
            <w14:solidFill>
              <w14:schemeClr w14:val="tx1"/>
            </w14:solidFill>
          </w14:textFill>
        </w:rPr>
      </w:pPr>
      <w:r>
        <w:rPr>
          <w:rFonts w:eastAsia="方正仿宋_GB2312"/>
          <w:color w:val="000000" w:themeColor="text1"/>
          <w:kern w:val="0"/>
          <w:sz w:val="32"/>
          <w:szCs w:val="32"/>
          <w:lang w:val="zh-CN"/>
          <w14:textFill>
            <w14:solidFill>
              <w14:schemeClr w14:val="tx1"/>
            </w14:solidFill>
          </w14:textFill>
        </w:rPr>
        <w:t>五、</w:t>
      </w:r>
      <w:r>
        <w:rPr>
          <w:rFonts w:eastAsia="方正仿宋_GB2312"/>
          <w:color w:val="000000" w:themeColor="text1"/>
          <w:kern w:val="0"/>
          <w:sz w:val="32"/>
          <w:szCs w:val="32"/>
          <w14:textFill>
            <w14:solidFill>
              <w14:schemeClr w14:val="tx1"/>
            </w14:solidFill>
          </w14:textFill>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23BA82F6">
      <w:pPr>
        <w:pStyle w:val="15"/>
        <w:spacing w:after="0" w:line="530" w:lineRule="exact"/>
        <w:ind w:left="0" w:leftChars="0" w:firstLine="640"/>
        <w:rPr>
          <w:rFonts w:eastAsia="方正仿宋_GB2312"/>
          <w:color w:val="000000" w:themeColor="text1"/>
          <w:kern w:val="0"/>
          <w:sz w:val="32"/>
          <w:szCs w:val="32"/>
          <w14:textFill>
            <w14:solidFill>
              <w14:schemeClr w14:val="tx1"/>
            </w14:solidFill>
          </w14:textFill>
        </w:rPr>
      </w:pPr>
      <w:r>
        <w:rPr>
          <w:rFonts w:eastAsia="方正仿宋_GB2312"/>
          <w:color w:val="000000" w:themeColor="text1"/>
          <w:kern w:val="0"/>
          <w:sz w:val="32"/>
          <w:szCs w:val="32"/>
          <w:lang w:val="zh-CN"/>
          <w14:textFill>
            <w14:solidFill>
              <w14:schemeClr w14:val="tx1"/>
            </w14:solidFill>
          </w14:textFill>
        </w:rPr>
        <w:t>六、</w:t>
      </w:r>
      <w:r>
        <w:rPr>
          <w:rFonts w:eastAsia="方正仿宋_GB2312"/>
          <w:color w:val="000000" w:themeColor="text1"/>
          <w:kern w:val="0"/>
          <w:sz w:val="32"/>
          <w:szCs w:val="32"/>
          <w14:textFill>
            <w14:solidFill>
              <w14:schemeClr w14:val="tx1"/>
            </w14:solidFill>
          </w14:textFill>
        </w:rPr>
        <w:t>在启动生产设施或者在实际排污之前，按照经批准的环境影响评价文件认真梳理并确认各项环境保护措施落实后，依法申领或变更排污许可，按照排污许可要求制定自行监测制度。</w:t>
      </w:r>
    </w:p>
    <w:p w14:paraId="6A6C8AF0">
      <w:pPr>
        <w:pStyle w:val="15"/>
        <w:spacing w:after="0" w:line="530" w:lineRule="exact"/>
        <w:ind w:left="0" w:leftChars="0" w:firstLine="640"/>
        <w:rPr>
          <w:rFonts w:eastAsia="方正仿宋_GB2312"/>
          <w:color w:val="000000" w:themeColor="text1"/>
          <w:kern w:val="0"/>
          <w:sz w:val="32"/>
          <w:szCs w:val="32"/>
          <w14:textFill>
            <w14:solidFill>
              <w14:schemeClr w14:val="tx1"/>
            </w14:solidFill>
          </w14:textFill>
        </w:rPr>
      </w:pPr>
      <w:r>
        <w:rPr>
          <w:rFonts w:eastAsia="方正仿宋_GB2312"/>
          <w:color w:val="000000" w:themeColor="text1"/>
          <w:kern w:val="0"/>
          <w:sz w:val="32"/>
          <w:szCs w:val="32"/>
          <w:lang w:val="zh-CN"/>
          <w14:textFill>
            <w14:solidFill>
              <w14:schemeClr w14:val="tx1"/>
            </w14:solidFill>
          </w14:textFill>
        </w:rPr>
        <w:t>七、</w:t>
      </w:r>
      <w:r>
        <w:rPr>
          <w:rFonts w:hint="eastAsia" w:eastAsia="方正仿宋_GB2312"/>
          <w:color w:val="000000" w:themeColor="text1"/>
          <w:kern w:val="0"/>
          <w:sz w:val="32"/>
          <w:szCs w:val="32"/>
          <w:lang w:val="en-US" w:eastAsia="zh-CN"/>
          <w14:textFill>
            <w14:solidFill>
              <w14:schemeClr w14:val="tx1"/>
            </w14:solidFill>
          </w14:textFill>
        </w:rPr>
        <w:t>农业农村局</w:t>
      </w:r>
      <w:r>
        <w:rPr>
          <w:rFonts w:hint="eastAsia" w:eastAsia="方正仿宋_GB2312" w:cs="Times New Roman"/>
          <w:kern w:val="0"/>
          <w:sz w:val="32"/>
          <w:szCs w:val="32"/>
          <w:highlight w:val="none"/>
          <w:lang w:val="en-US" w:eastAsia="zh-CN" w:bidi="ar-SA"/>
        </w:rPr>
        <w:t>根据《第一师阿拉尔市有关部门生态环境保护责任清单》内容要求，对该项目进行监督管理，</w:t>
      </w:r>
      <w:r>
        <w:rPr>
          <w:rFonts w:hint="eastAsia" w:eastAsia="方正仿宋_GB2312"/>
          <w:color w:val="000000" w:themeColor="text1"/>
          <w:kern w:val="0"/>
          <w:sz w:val="32"/>
          <w:szCs w:val="32"/>
          <w14:textFill>
            <w14:solidFill>
              <w14:schemeClr w14:val="tx1"/>
            </w14:solidFill>
          </w14:textFill>
        </w:rPr>
        <w:t>二团新井子镇</w:t>
      </w:r>
      <w:r>
        <w:rPr>
          <w:rFonts w:eastAsia="方正仿宋_GB2312"/>
          <w:color w:val="000000" w:themeColor="text1"/>
          <w:kern w:val="0"/>
          <w:sz w:val="32"/>
          <w:szCs w:val="32"/>
          <w:lang w:val="zh-CN"/>
          <w14:textFill>
            <w14:solidFill>
              <w14:schemeClr w14:val="tx1"/>
            </w14:solidFill>
          </w14:textFill>
        </w:rPr>
        <w:t>积极发挥政府职能，做好该项目环境保护管理工作，师市生态环境保护综合行政执法支队做好该项目的抽查日常监督管理工作</w:t>
      </w:r>
      <w:r>
        <w:rPr>
          <w:rFonts w:eastAsia="方正仿宋_GB2312"/>
          <w:color w:val="000000" w:themeColor="text1"/>
          <w:kern w:val="0"/>
          <w:sz w:val="32"/>
          <w:szCs w:val="32"/>
          <w14:textFill>
            <w14:solidFill>
              <w14:schemeClr w14:val="tx1"/>
            </w14:solidFill>
          </w14:textFill>
        </w:rPr>
        <w:t>。</w:t>
      </w:r>
    </w:p>
    <w:p w14:paraId="0BDDF364">
      <w:pPr>
        <w:pStyle w:val="15"/>
        <w:spacing w:after="0" w:line="530" w:lineRule="exact"/>
        <w:ind w:left="0" w:leftChars="0" w:firstLine="640"/>
        <w:rPr>
          <w:rFonts w:eastAsia="方正仿宋_GB2312"/>
          <w:color w:val="000000" w:themeColor="text1"/>
          <w:kern w:val="0"/>
          <w:sz w:val="30"/>
          <w:szCs w:val="30"/>
          <w14:textFill>
            <w14:solidFill>
              <w14:schemeClr w14:val="tx1"/>
            </w14:solidFill>
          </w14:textFill>
        </w:rPr>
      </w:pPr>
      <w:r>
        <w:rPr>
          <w:rFonts w:eastAsia="方正仿宋_GB2312"/>
          <w:color w:val="000000" w:themeColor="text1"/>
          <w:kern w:val="0"/>
          <w:sz w:val="32"/>
          <w:szCs w:val="32"/>
          <w14:textFill>
            <w14:solidFill>
              <w14:schemeClr w14:val="tx1"/>
            </w14:solidFill>
          </w14:textFill>
        </w:rPr>
        <w:t>如你单位对本审批决定有不同意见，可在接到本决定书之日起六十日内向</w:t>
      </w:r>
      <w:r>
        <w:rPr>
          <w:rFonts w:eastAsia="方正仿宋_GB2312"/>
          <w:color w:val="000000" w:themeColor="text1"/>
          <w:kern w:val="0"/>
          <w:sz w:val="30"/>
          <w:szCs w:val="30"/>
          <w14:textFill>
            <w14:solidFill>
              <w14:schemeClr w14:val="tx1"/>
            </w14:solidFill>
          </w14:textFill>
        </w:rPr>
        <w:t>阿拉尔市人民政府申请行政复议，也可在六个月内依法向阿拉尔垦区人民法院起诉。</w:t>
      </w:r>
    </w:p>
    <w:p w14:paraId="43C5A23E">
      <w:pPr>
        <w:widowControl/>
        <w:spacing w:line="530" w:lineRule="exact"/>
        <w:ind w:firstLine="4800" w:firstLineChars="1500"/>
        <w:rPr>
          <w:rFonts w:eastAsia="方正仿宋_GB2312"/>
          <w:color w:val="000000" w:themeColor="text1"/>
          <w:kern w:val="0"/>
          <w:sz w:val="32"/>
          <w:szCs w:val="32"/>
          <w14:textFill>
            <w14:solidFill>
              <w14:schemeClr w14:val="tx1"/>
            </w14:solidFill>
          </w14:textFill>
        </w:rPr>
      </w:pPr>
    </w:p>
    <w:p w14:paraId="6DC4A438">
      <w:pPr>
        <w:widowControl/>
        <w:spacing w:line="530" w:lineRule="exact"/>
        <w:rPr>
          <w:rFonts w:eastAsia="方正仿宋_GB2312"/>
          <w:color w:val="000000" w:themeColor="text1"/>
          <w:kern w:val="0"/>
          <w:sz w:val="32"/>
          <w:szCs w:val="32"/>
          <w14:textFill>
            <w14:solidFill>
              <w14:schemeClr w14:val="tx1"/>
            </w14:solidFill>
          </w14:textFill>
        </w:rPr>
      </w:pPr>
    </w:p>
    <w:p w14:paraId="05307EA1">
      <w:pPr>
        <w:widowControl/>
        <w:spacing w:line="530" w:lineRule="exact"/>
        <w:ind w:firstLine="4800" w:firstLineChars="1500"/>
        <w:rPr>
          <w:rFonts w:eastAsia="方正仿宋_GB2312"/>
          <w:color w:val="000000" w:themeColor="text1"/>
          <w:kern w:val="0"/>
          <w:sz w:val="32"/>
          <w:szCs w:val="32"/>
          <w14:textFill>
            <w14:solidFill>
              <w14:schemeClr w14:val="tx1"/>
            </w14:solidFill>
          </w14:textFill>
        </w:rPr>
      </w:pPr>
      <w:r>
        <w:rPr>
          <w:rFonts w:eastAsia="方正仿宋_GB2312"/>
          <w:color w:val="000000" w:themeColor="text1"/>
          <w:kern w:val="0"/>
          <w:sz w:val="32"/>
          <w:szCs w:val="32"/>
          <w14:textFill>
            <w14:solidFill>
              <w14:schemeClr w14:val="tx1"/>
            </w14:solidFill>
          </w14:textFill>
        </w:rPr>
        <w:t>第一师阿拉尔市生态环境局</w:t>
      </w:r>
    </w:p>
    <w:p w14:paraId="432F2F74">
      <w:pPr>
        <w:widowControl/>
        <w:spacing w:line="530" w:lineRule="exact"/>
        <w:ind w:firstLine="5600" w:firstLineChars="1750"/>
        <w:rPr>
          <w:rFonts w:eastAsia="方正仿宋_GB2312"/>
          <w:color w:val="000000" w:themeColor="text1"/>
          <w:kern w:val="0"/>
          <w:sz w:val="32"/>
          <w:szCs w:val="32"/>
          <w14:textFill>
            <w14:solidFill>
              <w14:schemeClr w14:val="tx1"/>
            </w14:solidFill>
          </w14:textFill>
        </w:rPr>
      </w:pPr>
      <w:r>
        <w:rPr>
          <w:rFonts w:eastAsia="方正仿宋_GB2312"/>
          <w:color w:val="000000" w:themeColor="text1"/>
          <w:kern w:val="0"/>
          <w:sz w:val="32"/>
          <w:szCs w:val="32"/>
          <w14:textFill>
            <w14:solidFill>
              <w14:schemeClr w14:val="tx1"/>
            </w14:solidFill>
          </w14:textFill>
        </w:rPr>
        <w:t>2025年</w:t>
      </w:r>
      <w:r>
        <w:rPr>
          <w:rFonts w:hint="eastAsia" w:eastAsia="方正仿宋_GB2312"/>
          <w:color w:val="000000" w:themeColor="text1"/>
          <w:kern w:val="0"/>
          <w:sz w:val="32"/>
          <w:szCs w:val="32"/>
          <w14:textFill>
            <w14:solidFill>
              <w14:schemeClr w14:val="tx1"/>
            </w14:solidFill>
          </w14:textFill>
        </w:rPr>
        <w:t>4</w:t>
      </w:r>
      <w:r>
        <w:rPr>
          <w:rFonts w:eastAsia="方正仿宋_GB2312"/>
          <w:color w:val="000000" w:themeColor="text1"/>
          <w:kern w:val="0"/>
          <w:sz w:val="32"/>
          <w:szCs w:val="32"/>
          <w14:textFill>
            <w14:solidFill>
              <w14:schemeClr w14:val="tx1"/>
            </w14:solidFill>
          </w14:textFill>
        </w:rPr>
        <w:t>月</w:t>
      </w:r>
      <w:r>
        <w:rPr>
          <w:rFonts w:hint="eastAsia" w:eastAsia="方正仿宋_GB2312"/>
          <w:color w:val="000000" w:themeColor="text1"/>
          <w:kern w:val="0"/>
          <w:sz w:val="32"/>
          <w:szCs w:val="32"/>
          <w:lang w:val="en-US" w:eastAsia="zh-CN"/>
          <w14:textFill>
            <w14:solidFill>
              <w14:schemeClr w14:val="tx1"/>
            </w14:solidFill>
          </w14:textFill>
        </w:rPr>
        <w:t>22</w:t>
      </w:r>
      <w:r>
        <w:rPr>
          <w:rFonts w:hint="eastAsia" w:eastAsia="方正仿宋_GB2312"/>
          <w:color w:val="000000" w:themeColor="text1"/>
          <w:kern w:val="0"/>
          <w:sz w:val="32"/>
          <w:szCs w:val="32"/>
          <w14:textFill>
            <w14:solidFill>
              <w14:schemeClr w14:val="tx1"/>
            </w14:solidFill>
          </w14:textFill>
        </w:rPr>
        <w:t>日</w:t>
      </w:r>
    </w:p>
    <w:p w14:paraId="601418B3">
      <w:pPr>
        <w:pStyle w:val="2"/>
        <w:spacing w:before="0" w:after="0" w:line="520" w:lineRule="exact"/>
        <w:rPr>
          <w:rFonts w:ascii="Times New Roman" w:hAnsi="Times New Roman" w:eastAsia="方正仿宋_GB2312"/>
          <w:color w:val="000000" w:themeColor="text1"/>
          <w14:textFill>
            <w14:solidFill>
              <w14:schemeClr w14:val="tx1"/>
            </w14:solidFill>
          </w14:textFill>
        </w:rPr>
      </w:pPr>
    </w:p>
    <w:p w14:paraId="55862C4C">
      <w:pPr>
        <w:spacing w:line="520" w:lineRule="exact"/>
        <w:rPr>
          <w:rFonts w:eastAsia="方正仿宋_GB2312"/>
          <w:color w:val="000000" w:themeColor="text1"/>
          <w14:textFill>
            <w14:solidFill>
              <w14:schemeClr w14:val="tx1"/>
            </w14:solidFill>
          </w14:textFill>
        </w:rPr>
      </w:pPr>
    </w:p>
    <w:p w14:paraId="2657CE6B">
      <w:pPr>
        <w:spacing w:line="520" w:lineRule="exact"/>
        <w:rPr>
          <w:rFonts w:eastAsia="方正仿宋_GB2312"/>
          <w:color w:val="000000" w:themeColor="text1"/>
          <w14:textFill>
            <w14:solidFill>
              <w14:schemeClr w14:val="tx1"/>
            </w14:solidFill>
          </w14:textFill>
        </w:rPr>
      </w:pPr>
    </w:p>
    <w:p w14:paraId="18643AB1">
      <w:pPr>
        <w:spacing w:line="520" w:lineRule="exact"/>
        <w:rPr>
          <w:rFonts w:eastAsia="方正仿宋_GB2312"/>
          <w:color w:val="000000" w:themeColor="text1"/>
          <w14:textFill>
            <w14:solidFill>
              <w14:schemeClr w14:val="tx1"/>
            </w14:solidFill>
          </w14:textFill>
        </w:rPr>
      </w:pPr>
    </w:p>
    <w:p w14:paraId="36E41156">
      <w:pPr>
        <w:spacing w:line="520" w:lineRule="exact"/>
        <w:rPr>
          <w:rFonts w:eastAsia="方正仿宋_GB2312"/>
          <w:color w:val="000000" w:themeColor="text1"/>
          <w14:textFill>
            <w14:solidFill>
              <w14:schemeClr w14:val="tx1"/>
            </w14:solidFill>
          </w14:textFill>
        </w:rPr>
      </w:pPr>
    </w:p>
    <w:p w14:paraId="19100170">
      <w:pPr>
        <w:spacing w:line="520" w:lineRule="exact"/>
        <w:rPr>
          <w:rFonts w:eastAsia="方正仿宋_GB2312"/>
          <w:color w:val="000000" w:themeColor="text1"/>
          <w14:textFill>
            <w14:solidFill>
              <w14:schemeClr w14:val="tx1"/>
            </w14:solidFill>
          </w14:textFill>
        </w:rPr>
      </w:pPr>
      <w:bookmarkStart w:id="0" w:name="_GoBack"/>
      <w:bookmarkEnd w:id="0"/>
    </w:p>
    <w:p w14:paraId="10D00D5D">
      <w:pPr>
        <w:spacing w:line="520" w:lineRule="exact"/>
        <w:rPr>
          <w:rFonts w:eastAsia="方正仿宋_GB2312"/>
          <w:color w:val="000000" w:themeColor="text1"/>
          <w14:textFill>
            <w14:solidFill>
              <w14:schemeClr w14:val="tx1"/>
            </w14:solidFill>
          </w14:textFill>
        </w:rPr>
      </w:pPr>
    </w:p>
    <w:p w14:paraId="185FD55D">
      <w:pPr>
        <w:topLinePunct/>
        <w:adjustRightInd w:val="0"/>
        <w:snapToGrid w:val="0"/>
        <w:spacing w:line="520" w:lineRule="exact"/>
        <w:ind w:left="560" w:hanging="448" w:hangingChars="200"/>
        <w:rPr>
          <w:rFonts w:eastAsia="方正仿宋简体"/>
          <w:color w:val="000000" w:themeColor="text1"/>
          <w:spacing w:val="-28"/>
          <w:sz w:val="28"/>
          <w:szCs w:val="28"/>
          <w14:textFill>
            <w14:solidFill>
              <w14:schemeClr w14:val="tx1"/>
            </w14:solidFill>
          </w14:textFill>
        </w:rPr>
      </w:pPr>
      <w:r>
        <w:rPr>
          <w:rFonts w:eastAsia="方正仿宋简体"/>
          <w:color w:val="000000" w:themeColor="text1"/>
          <w:spacing w:val="-28"/>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67310</wp:posOffset>
                </wp:positionV>
                <wp:extent cx="5719445" cy="1079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719445" cy="10795"/>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75pt;margin-top:5.3pt;height:0.85pt;width:450.35pt;z-index:251659264;mso-width-relative:page;mso-height-relative:page;" filled="f" stroked="t" coordsize="21600,21600" o:gfxdata="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K7m6tcAAAAIAQAADwAAAAAAAAABACAAAAAiAAAAZHJzL2Rvd25yZXYu&#10;eG1sUEsBAhQAFAAAAAgAh07iQP5FeQf8AQAA9QMAAA4AAAAAAAAAAQAgAAAAJgEAAGRycy9lMm9E&#10;b2MueG1sUEsFBgAAAAAGAAYAWQEAAJQFAAAAAA==&#10;">
                <v:fill on="f" focussize="0,0"/>
                <v:stroke weight="1.5pt" color="#000000" joinstyle="round"/>
                <v:imagedata o:title=""/>
                <o:lock v:ext="edit" aspectratio="f"/>
              </v:line>
            </w:pict>
          </mc:Fallback>
        </mc:AlternateContent>
      </w:r>
      <w:r>
        <w:rPr>
          <w:rFonts w:eastAsia="方正仿宋简体"/>
          <w:color w:val="000000" w:themeColor="text1"/>
          <w:spacing w:val="-28"/>
          <w:sz w:val="28"/>
          <w:szCs w:val="28"/>
          <w14:textFill>
            <w14:solidFill>
              <w14:schemeClr w14:val="tx1"/>
            </w14:solidFill>
          </w14:textFill>
        </w:rPr>
        <w:t>抄送：</w:t>
      </w:r>
      <w:r>
        <w:rPr>
          <w:rFonts w:hint="eastAsia" w:eastAsia="方正仿宋简体"/>
          <w:color w:val="000000" w:themeColor="text1"/>
          <w:spacing w:val="-28"/>
          <w:sz w:val="28"/>
          <w:szCs w:val="28"/>
          <w:lang w:val="en-US" w:eastAsia="zh-CN"/>
          <w14:textFill>
            <w14:solidFill>
              <w14:schemeClr w14:val="tx1"/>
            </w14:solidFill>
          </w14:textFill>
        </w:rPr>
        <w:t>农业农村局，</w:t>
      </w:r>
      <w:r>
        <w:rPr>
          <w:rFonts w:hint="eastAsia" w:eastAsia="方正仿宋简体"/>
          <w:color w:val="000000" w:themeColor="text1"/>
          <w:spacing w:val="-28"/>
          <w:sz w:val="28"/>
          <w:szCs w:val="28"/>
          <w14:textFill>
            <w14:solidFill>
              <w14:schemeClr w14:val="tx1"/>
            </w14:solidFill>
          </w14:textFill>
        </w:rPr>
        <w:t>二团新井子镇</w:t>
      </w:r>
      <w:r>
        <w:rPr>
          <w:rFonts w:eastAsia="方正仿宋简体"/>
          <w:color w:val="000000" w:themeColor="text1"/>
          <w:spacing w:val="-28"/>
          <w:sz w:val="24"/>
          <w14:textFill>
            <w14:solidFill>
              <w14:schemeClr w14:val="tx1"/>
            </w14:solidFill>
          </w14:textFill>
        </w:rPr>
        <w:t>，</w:t>
      </w:r>
      <w:r>
        <w:rPr>
          <w:rFonts w:eastAsia="方正仿宋简体"/>
          <w:color w:val="000000" w:themeColor="text1"/>
          <w:spacing w:val="-28"/>
          <w:sz w:val="28"/>
          <w:szCs w:val="28"/>
          <w14:textFill>
            <w14:solidFill>
              <w14:schemeClr w14:val="tx1"/>
            </w14:solidFill>
          </w14:textFill>
        </w:rPr>
        <w:t>生态环境保护综合行政执法支队，</w:t>
      </w:r>
      <w:r>
        <w:rPr>
          <w:rFonts w:hint="eastAsia" w:eastAsia="方正仿宋简体"/>
          <w:color w:val="000000" w:themeColor="text1"/>
          <w:spacing w:val="-28"/>
          <w:sz w:val="28"/>
          <w:szCs w:val="28"/>
          <w14:textFill>
            <w14:solidFill>
              <w14:schemeClr w14:val="tx1"/>
            </w14:solidFill>
          </w14:textFill>
        </w:rPr>
        <w:t>阿克苏地区新地矿产资源开发有限责任公司</w:t>
      </w:r>
      <w:r>
        <w:rPr>
          <w:rFonts w:eastAsia="方正仿宋简体"/>
          <w:color w:val="000000" w:themeColor="text1"/>
          <w:spacing w:val="-28"/>
          <w:sz w:val="28"/>
          <w:szCs w:val="28"/>
          <w14:textFill>
            <w14:solidFill>
              <w14:schemeClr w14:val="tx1"/>
            </w14:solidFill>
          </w14:textFill>
        </w:rPr>
        <w:t>。</w:t>
      </w:r>
    </w:p>
    <w:p w14:paraId="0253E817">
      <w:pPr>
        <w:spacing w:line="520" w:lineRule="exact"/>
        <w:rPr>
          <w:color w:val="000000" w:themeColor="text1"/>
          <w14:textFill>
            <w14:solidFill>
              <w14:schemeClr w14:val="tx1"/>
            </w14:solidFill>
          </w14:textFill>
        </w:rPr>
      </w:pPr>
      <w:r>
        <w:rPr>
          <w:rFonts w:eastAsia="方正仿宋简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eastAsia="方正仿宋简体"/>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eastAsia="方正仿宋简体"/>
          <w:color w:val="000000" w:themeColor="text1"/>
          <w:sz w:val="28"/>
          <w:szCs w:val="28"/>
          <w14:textFill>
            <w14:solidFill>
              <w14:schemeClr w14:val="tx1"/>
            </w14:solidFill>
          </w14:textFill>
        </w:rPr>
        <w:t>第一师阿拉尔市生态环境局                   2025年</w:t>
      </w:r>
      <w:r>
        <w:rPr>
          <w:rFonts w:hint="eastAsia" w:eastAsia="方正仿宋简体"/>
          <w:color w:val="000000" w:themeColor="text1"/>
          <w:sz w:val="28"/>
          <w:szCs w:val="28"/>
          <w14:textFill>
            <w14:solidFill>
              <w14:schemeClr w14:val="tx1"/>
            </w14:solidFill>
          </w14:textFill>
        </w:rPr>
        <w:t>4</w:t>
      </w:r>
      <w:r>
        <w:rPr>
          <w:rFonts w:eastAsia="方正仿宋简体"/>
          <w:color w:val="000000" w:themeColor="text1"/>
          <w:sz w:val="28"/>
          <w:szCs w:val="28"/>
          <w14:textFill>
            <w14:solidFill>
              <w14:schemeClr w14:val="tx1"/>
            </w14:solidFill>
          </w14:textFill>
        </w:rPr>
        <w:t>月</w:t>
      </w:r>
      <w:r>
        <w:rPr>
          <w:rFonts w:hint="eastAsia" w:eastAsia="方正仿宋简体"/>
          <w:color w:val="000000" w:themeColor="text1"/>
          <w:sz w:val="28"/>
          <w:szCs w:val="28"/>
          <w:lang w:val="en-US" w:eastAsia="zh-CN"/>
          <w14:textFill>
            <w14:solidFill>
              <w14:schemeClr w14:val="tx1"/>
            </w14:solidFill>
          </w14:textFill>
        </w:rPr>
        <w:t>22</w:t>
      </w:r>
      <w:r>
        <w:rPr>
          <w:rFonts w:hint="eastAsia" w:eastAsia="方正仿宋简体"/>
          <w:color w:val="000000" w:themeColor="text1"/>
          <w:sz w:val="28"/>
          <w:szCs w:val="28"/>
          <w14:textFill>
            <w14:solidFill>
              <w14:schemeClr w14:val="tx1"/>
            </w14:solidFill>
          </w14:textFill>
        </w:rPr>
        <w:t>日</w:t>
      </w:r>
      <w:r>
        <w:rPr>
          <w:rFonts w:eastAsia="方正仿宋简体"/>
          <w:color w:val="000000" w:themeColor="text1"/>
          <w:sz w:val="28"/>
          <w:szCs w:val="28"/>
          <w14:textFill>
            <w14:solidFill>
              <w14:schemeClr w14:val="tx1"/>
            </w14:solidFill>
          </w14:textFill>
        </w:rPr>
        <w:t>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6BFD15FB-EF8E-46D0-AF1D-9E4F4BEC1471}"/>
  </w:font>
  <w:font w:name="方正仿宋_GB2312">
    <w:panose1 w:val="02000000000000000000"/>
    <w:charset w:val="86"/>
    <w:family w:val="auto"/>
    <w:pitch w:val="default"/>
    <w:sig w:usb0="A00002BF" w:usb1="184F6CFA" w:usb2="00000012" w:usb3="00000000" w:csb0="00040001" w:csb1="00000000"/>
    <w:embedRegular r:id="rId2" w:fontKey="{4C038240-2DDF-47AA-B191-61088D18453C}"/>
  </w:font>
  <w:font w:name="方正小标宋_GBK">
    <w:panose1 w:val="02000000000000000000"/>
    <w:charset w:val="86"/>
    <w:family w:val="auto"/>
    <w:pitch w:val="default"/>
    <w:sig w:usb0="A00002BF" w:usb1="38CF7CFA" w:usb2="00082016" w:usb3="00000000" w:csb0="00040001" w:csb1="00000000"/>
    <w:embedRegular r:id="rId3" w:fontKey="{A828E672-3E99-4381-82C9-E5E99EFAD4D2}"/>
  </w:font>
  <w:font w:name="方正小标宋简体">
    <w:panose1 w:val="02010600010101010101"/>
    <w:charset w:val="86"/>
    <w:family w:val="auto"/>
    <w:pitch w:val="default"/>
    <w:sig w:usb0="00000001" w:usb1="080E0000" w:usb2="00000000" w:usb3="00000000" w:csb0="00040000" w:csb1="00000000"/>
    <w:embedRegular r:id="rId4" w:fontKey="{C27FFC5F-AC6D-4A61-A40D-D184361D0CFA}"/>
  </w:font>
  <w:font w:name="方正楷体简体">
    <w:panose1 w:val="02000000000000000000"/>
    <w:charset w:val="86"/>
    <w:family w:val="auto"/>
    <w:pitch w:val="default"/>
    <w:sig w:usb0="A00002BF" w:usb1="184F6CFA" w:usb2="00000012" w:usb3="00000000" w:csb0="00040001" w:csb1="00000000"/>
    <w:embedRegular r:id="rId5" w:fontKey="{E8AE998D-CD92-44A1-9597-8FE0A2BE486A}"/>
  </w:font>
  <w:font w:name="方正仿宋简体">
    <w:panose1 w:val="02000000000000000000"/>
    <w:charset w:val="86"/>
    <w:family w:val="auto"/>
    <w:pitch w:val="default"/>
    <w:sig w:usb0="A00002BF" w:usb1="184F6CFA" w:usb2="00000012" w:usb3="00000000" w:csb0="00040001" w:csb1="00000000"/>
    <w:embedRegular r:id="rId6" w:fontKey="{ACB04796-E832-4E90-BC0E-4CE283FCA4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DE5F">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CC4F8">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5CCC4F8">
                    <w:pPr>
                      <w:pStyle w:val="10"/>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5A95">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7D102"/>
    <w:multiLevelType w:val="singleLevel"/>
    <w:tmpl w:val="69F7D102"/>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MDZlMWUwYjZiYjY4ZWMxYzUzZWZmNjcyNWM1ZTIifQ=="/>
  </w:docVars>
  <w:rsids>
    <w:rsidRoot w:val="6C9577F7"/>
    <w:rsid w:val="000C2961"/>
    <w:rsid w:val="002A6D44"/>
    <w:rsid w:val="00820339"/>
    <w:rsid w:val="008A3AF5"/>
    <w:rsid w:val="00C10F28"/>
    <w:rsid w:val="00D5082A"/>
    <w:rsid w:val="00DE5AEF"/>
    <w:rsid w:val="01D54B7E"/>
    <w:rsid w:val="02880C6E"/>
    <w:rsid w:val="02CF517F"/>
    <w:rsid w:val="030E41E0"/>
    <w:rsid w:val="03876935"/>
    <w:rsid w:val="06862B05"/>
    <w:rsid w:val="0992356F"/>
    <w:rsid w:val="0A7C794A"/>
    <w:rsid w:val="0DB066B9"/>
    <w:rsid w:val="0E5C209B"/>
    <w:rsid w:val="12FE7EC7"/>
    <w:rsid w:val="13BF1F8A"/>
    <w:rsid w:val="13F50A51"/>
    <w:rsid w:val="15F31839"/>
    <w:rsid w:val="16F03F77"/>
    <w:rsid w:val="174A7237"/>
    <w:rsid w:val="176127D3"/>
    <w:rsid w:val="18B13BE0"/>
    <w:rsid w:val="197B7B7C"/>
    <w:rsid w:val="1B2D2A19"/>
    <w:rsid w:val="1CAD7BA9"/>
    <w:rsid w:val="20654122"/>
    <w:rsid w:val="24AE2000"/>
    <w:rsid w:val="25513660"/>
    <w:rsid w:val="262F4CC7"/>
    <w:rsid w:val="2715049F"/>
    <w:rsid w:val="27EE3C0E"/>
    <w:rsid w:val="296D5007"/>
    <w:rsid w:val="29E057D9"/>
    <w:rsid w:val="2CF565EF"/>
    <w:rsid w:val="2E6D6AB5"/>
    <w:rsid w:val="2E815A75"/>
    <w:rsid w:val="2F505B14"/>
    <w:rsid w:val="2FDC6A42"/>
    <w:rsid w:val="311F752F"/>
    <w:rsid w:val="328330A2"/>
    <w:rsid w:val="335A5584"/>
    <w:rsid w:val="33E636E2"/>
    <w:rsid w:val="350B2B0E"/>
    <w:rsid w:val="381D1CB1"/>
    <w:rsid w:val="38F439B2"/>
    <w:rsid w:val="398B6069"/>
    <w:rsid w:val="3A145393"/>
    <w:rsid w:val="3B83709F"/>
    <w:rsid w:val="3BD55190"/>
    <w:rsid w:val="3DF3675E"/>
    <w:rsid w:val="3F606EC9"/>
    <w:rsid w:val="3FC67A98"/>
    <w:rsid w:val="43B34232"/>
    <w:rsid w:val="44F543D6"/>
    <w:rsid w:val="45124F88"/>
    <w:rsid w:val="472745EF"/>
    <w:rsid w:val="47486A40"/>
    <w:rsid w:val="48474BEB"/>
    <w:rsid w:val="48EC3D42"/>
    <w:rsid w:val="49F02B32"/>
    <w:rsid w:val="4AF13073"/>
    <w:rsid w:val="4B8F0F1D"/>
    <w:rsid w:val="4CB46925"/>
    <w:rsid w:val="4E5B6391"/>
    <w:rsid w:val="4F15661A"/>
    <w:rsid w:val="4FDF1F0B"/>
    <w:rsid w:val="53D96FF6"/>
    <w:rsid w:val="53E2021C"/>
    <w:rsid w:val="547F78C3"/>
    <w:rsid w:val="552C198B"/>
    <w:rsid w:val="563620CF"/>
    <w:rsid w:val="57AA72A2"/>
    <w:rsid w:val="57FB18AC"/>
    <w:rsid w:val="59301A29"/>
    <w:rsid w:val="593C017D"/>
    <w:rsid w:val="59E06FAB"/>
    <w:rsid w:val="5A8E07B6"/>
    <w:rsid w:val="5AA47504"/>
    <w:rsid w:val="5B33135D"/>
    <w:rsid w:val="5BD80832"/>
    <w:rsid w:val="5C761E49"/>
    <w:rsid w:val="5D2B49E2"/>
    <w:rsid w:val="5D4D7062"/>
    <w:rsid w:val="5D8511F0"/>
    <w:rsid w:val="5D9E283D"/>
    <w:rsid w:val="5E6D5D9C"/>
    <w:rsid w:val="5EFC6FEB"/>
    <w:rsid w:val="60234709"/>
    <w:rsid w:val="60CE1E21"/>
    <w:rsid w:val="612B3202"/>
    <w:rsid w:val="618A1E17"/>
    <w:rsid w:val="655F65F3"/>
    <w:rsid w:val="65C15EE3"/>
    <w:rsid w:val="6727066C"/>
    <w:rsid w:val="680C5410"/>
    <w:rsid w:val="6859222C"/>
    <w:rsid w:val="6ADB5079"/>
    <w:rsid w:val="6AE12B83"/>
    <w:rsid w:val="6C9577F7"/>
    <w:rsid w:val="6CA82EB0"/>
    <w:rsid w:val="709C192B"/>
    <w:rsid w:val="71AF5789"/>
    <w:rsid w:val="720C27E4"/>
    <w:rsid w:val="734F0FD2"/>
    <w:rsid w:val="74C72DA0"/>
    <w:rsid w:val="75CB690A"/>
    <w:rsid w:val="75FF68A2"/>
    <w:rsid w:val="7606097C"/>
    <w:rsid w:val="768371E5"/>
    <w:rsid w:val="77642B72"/>
    <w:rsid w:val="776808B4"/>
    <w:rsid w:val="77E53B53"/>
    <w:rsid w:val="78236589"/>
    <w:rsid w:val="788C05D2"/>
    <w:rsid w:val="789E2A4C"/>
    <w:rsid w:val="79F60B57"/>
    <w:rsid w:val="7CFE6B21"/>
    <w:rsid w:val="7DA0242A"/>
    <w:rsid w:val="7E694F12"/>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sz w:val="28"/>
      <w:szCs w:val="20"/>
    </w:rPr>
  </w:style>
  <w:style w:type="paragraph" w:styleId="4">
    <w:name w:val="annotation text"/>
    <w:basedOn w:val="1"/>
    <w:qFormat/>
    <w:uiPriority w:val="0"/>
    <w:pPr>
      <w:jc w:val="left"/>
    </w:pPr>
  </w:style>
  <w:style w:type="paragraph" w:styleId="5">
    <w:name w:val="Body Text"/>
    <w:basedOn w:val="1"/>
    <w:qFormat/>
    <w:uiPriority w:val="0"/>
    <w:pPr>
      <w:spacing w:after="120"/>
    </w:pPr>
    <w:rPr>
      <w:kern w:val="0"/>
      <w:sz w:val="20"/>
    </w:rPr>
  </w:style>
  <w:style w:type="paragraph" w:styleId="6">
    <w:name w:val="Body Text Indent"/>
    <w:basedOn w:val="1"/>
    <w:next w:val="5"/>
    <w:qFormat/>
    <w:uiPriority w:val="0"/>
    <w:pPr>
      <w:spacing w:after="120"/>
      <w:ind w:left="420" w:leftChars="200"/>
    </w:pPr>
  </w:style>
  <w:style w:type="paragraph" w:styleId="7">
    <w:name w:val="Block Text"/>
    <w:basedOn w:val="1"/>
    <w:qFormat/>
    <w:uiPriority w:val="0"/>
    <w:pPr>
      <w:adjustRightInd w:val="0"/>
      <w:spacing w:before="120" w:line="440" w:lineRule="exact"/>
      <w:ind w:left="284" w:right="284" w:firstLine="567"/>
      <w:textAlignment w:val="baseline"/>
    </w:pPr>
    <w:rPr>
      <w:rFonts w:ascii="楷体_GB2312" w:eastAsia="楷体_GB2312"/>
      <w:spacing w:val="-2"/>
      <w:kern w:val="0"/>
      <w:sz w:val="28"/>
      <w:szCs w:val="20"/>
    </w:rPr>
  </w:style>
  <w:style w:type="paragraph" w:styleId="8">
    <w:name w:val="Plain Text"/>
    <w:basedOn w:val="1"/>
    <w:next w:val="9"/>
    <w:qFormat/>
    <w:uiPriority w:val="0"/>
    <w:pPr>
      <w:spacing w:line="500" w:lineRule="exact"/>
    </w:pPr>
    <w:rPr>
      <w:rFonts w:ascii="宋体" w:hAnsi="Courier New"/>
      <w:sz w:val="28"/>
      <w:szCs w:val="21"/>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sz w:val="2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1"/>
  </w:style>
  <w:style w:type="paragraph" w:styleId="13">
    <w:name w:val="Body Text 2"/>
    <w:basedOn w:val="1"/>
    <w:unhideWhenUsed/>
    <w:qFormat/>
    <w:uiPriority w:val="99"/>
    <w:pPr>
      <w:spacing w:after="120" w:line="480" w:lineRule="auto"/>
    </w:pPr>
  </w:style>
  <w:style w:type="paragraph" w:styleId="14">
    <w:name w:val="Body Text First Indent"/>
    <w:basedOn w:val="5"/>
    <w:next w:val="15"/>
    <w:qFormat/>
    <w:uiPriority w:val="0"/>
    <w:pPr>
      <w:ind w:firstLine="420" w:firstLineChars="100"/>
    </w:pPr>
  </w:style>
  <w:style w:type="paragraph" w:styleId="15">
    <w:name w:val="Body Text First Indent 2"/>
    <w:basedOn w:val="6"/>
    <w:next w:val="1"/>
    <w:qFormat/>
    <w:uiPriority w:val="0"/>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表头"/>
    <w:basedOn w:val="14"/>
    <w:next w:val="1"/>
    <w:qFormat/>
    <w:uiPriority w:val="0"/>
    <w:pPr>
      <w:jc w:val="center"/>
    </w:pPr>
    <w:rPr>
      <w:rFonts w:ascii="黑体" w:eastAsia="黑体"/>
      <w:bCs/>
    </w:rPr>
  </w:style>
  <w:style w:type="paragraph" w:customStyle="1" w:styleId="21">
    <w:name w:val="正文（缩进）"/>
    <w:basedOn w:val="22"/>
    <w:next w:val="1"/>
    <w:qFormat/>
    <w:uiPriority w:val="99"/>
    <w:pPr>
      <w:ind w:firstLine="480"/>
    </w:pPr>
  </w:style>
  <w:style w:type="paragraph" w:customStyle="1" w:styleId="22">
    <w:name w:val="正文(首行缩进)"/>
    <w:basedOn w:val="1"/>
    <w:qFormat/>
    <w:uiPriority w:val="0"/>
    <w:pPr>
      <w:spacing w:line="360" w:lineRule="auto"/>
      <w:ind w:firstLine="540" w:firstLineChars="225"/>
    </w:pPr>
    <w:rPr>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2786</Words>
  <Characters>2990</Characters>
  <Lines>21</Lines>
  <Paragraphs>6</Paragraphs>
  <TotalTime>1</TotalTime>
  <ScaleCrop>false</ScaleCrop>
  <LinksUpToDate>false</LinksUpToDate>
  <CharactersWithSpaces>3012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明月清风晓星尘</cp:lastModifiedBy>
  <cp:lastPrinted>2025-04-22T09:06:09Z</cp:lastPrinted>
  <dcterms:modified xsi:type="dcterms:W3CDTF">2025-04-22T09:07:15Z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0BD8D9C34B8F4A60AA0FD1CF21E9CB5F_13</vt:lpwstr>
  </property>
  <property fmtid="{D5CDD505-2E9C-101B-9397-08002B2CF9AE}" pid="4" name="KSOTemplateDocerSaveRecord">
    <vt:lpwstr>eyJoZGlkIjoiZTMyOGY2Yzg5MDNjZWI5ODM5YmQ0YmE0YjI2ZTBjZTIiLCJ1c2VySWQiOiIzNTY3MzA4ODIifQ==</vt:lpwstr>
  </property>
</Properties>
</file>