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70A31">
      <w:pPr>
        <w:spacing w:line="520" w:lineRule="exact"/>
        <w:rPr>
          <w:sz w:val="44"/>
          <w:szCs w:val="44"/>
        </w:rPr>
      </w:pPr>
    </w:p>
    <w:p w14:paraId="43251B85">
      <w:pPr>
        <w:spacing w:line="520" w:lineRule="exact"/>
        <w:rPr>
          <w:sz w:val="44"/>
          <w:szCs w:val="44"/>
        </w:rPr>
      </w:pPr>
    </w:p>
    <w:p w14:paraId="1236C16A">
      <w:pPr>
        <w:spacing w:line="520" w:lineRule="exact"/>
        <w:rPr>
          <w:sz w:val="44"/>
          <w:szCs w:val="44"/>
        </w:rPr>
      </w:pPr>
    </w:p>
    <w:p w14:paraId="4834B10D">
      <w:pPr>
        <w:spacing w:line="520" w:lineRule="exact"/>
        <w:rPr>
          <w:sz w:val="44"/>
          <w:szCs w:val="44"/>
        </w:rPr>
      </w:pPr>
    </w:p>
    <w:p w14:paraId="086B454B">
      <w:pPr>
        <w:spacing w:line="520" w:lineRule="exact"/>
        <w:rPr>
          <w:sz w:val="72"/>
          <w:szCs w:val="72"/>
        </w:rPr>
      </w:pPr>
    </w:p>
    <w:p w14:paraId="16C3E6AE">
      <w:pPr>
        <w:spacing w:line="520" w:lineRule="exact"/>
        <w:rPr>
          <w:rFonts w:eastAsia="仿宋_GB2312"/>
          <w:sz w:val="32"/>
          <w:szCs w:val="32"/>
        </w:rPr>
      </w:pPr>
    </w:p>
    <w:p w14:paraId="0D909864">
      <w:pPr>
        <w:spacing w:line="520" w:lineRule="exact"/>
        <w:rPr>
          <w:rFonts w:eastAsia="仿宋_GB2312"/>
          <w:sz w:val="32"/>
          <w:szCs w:val="32"/>
        </w:rPr>
      </w:pPr>
    </w:p>
    <w:p w14:paraId="2FE524E4">
      <w:pPr>
        <w:spacing w:line="520" w:lineRule="exact"/>
        <w:rPr>
          <w:rFonts w:eastAsia="仿宋_GB2312"/>
          <w:sz w:val="32"/>
          <w:szCs w:val="32"/>
        </w:rPr>
      </w:pPr>
    </w:p>
    <w:p w14:paraId="32C353F6">
      <w:pPr>
        <w:spacing w:line="520" w:lineRule="exact"/>
        <w:jc w:val="center"/>
        <w:rPr>
          <w:rFonts w:eastAsia="方正仿宋_GB2312"/>
          <w:sz w:val="32"/>
          <w:szCs w:val="32"/>
        </w:rPr>
      </w:pPr>
      <w:r>
        <w:rPr>
          <w:rFonts w:eastAsia="方正仿宋_GB2312"/>
          <w:sz w:val="32"/>
          <w:szCs w:val="32"/>
        </w:rPr>
        <w:t>师市环审〔2025〕4</w:t>
      </w:r>
      <w:r>
        <w:rPr>
          <w:rFonts w:hint="eastAsia" w:eastAsia="方正仿宋_GB2312"/>
          <w:sz w:val="32"/>
          <w:szCs w:val="32"/>
        </w:rPr>
        <w:t>3</w:t>
      </w:r>
      <w:r>
        <w:rPr>
          <w:rFonts w:eastAsia="方正仿宋_GB2312"/>
          <w:sz w:val="32"/>
          <w:szCs w:val="32"/>
        </w:rPr>
        <w:t>号</w:t>
      </w:r>
    </w:p>
    <w:p w14:paraId="3EC6595F">
      <w:pPr>
        <w:spacing w:line="520" w:lineRule="exact"/>
        <w:rPr>
          <w:rFonts w:eastAsia="仿宋_GB2312"/>
          <w:szCs w:val="21"/>
        </w:rPr>
      </w:pPr>
    </w:p>
    <w:p w14:paraId="10294445">
      <w:pPr>
        <w:spacing w:line="520" w:lineRule="exact"/>
        <w:rPr>
          <w:rFonts w:eastAsia="仿宋_GB2312"/>
          <w:szCs w:val="21"/>
        </w:rPr>
      </w:pPr>
    </w:p>
    <w:p w14:paraId="03F744F3">
      <w:pPr>
        <w:widowControl/>
        <w:spacing w:line="52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关于第一师五团垃圾填埋场提升建设项目</w:t>
      </w:r>
    </w:p>
    <w:p w14:paraId="7FD04598">
      <w:pPr>
        <w:widowControl/>
        <w:spacing w:line="520" w:lineRule="exact"/>
        <w:jc w:val="center"/>
        <w:rPr>
          <w:rFonts w:eastAsia="方正小标宋简体"/>
          <w:bCs/>
          <w:sz w:val="44"/>
          <w:szCs w:val="44"/>
        </w:rPr>
      </w:pPr>
      <w:r>
        <w:rPr>
          <w:rFonts w:hint="eastAsia" w:ascii="方正小标宋_GBK" w:hAnsi="方正小标宋_GBK" w:eastAsia="方正小标宋_GBK" w:cs="方正小标宋_GBK"/>
          <w:bCs/>
          <w:sz w:val="44"/>
          <w:szCs w:val="44"/>
        </w:rPr>
        <w:t>环境影响报告书的批</w:t>
      </w:r>
      <w:r>
        <w:rPr>
          <w:rFonts w:eastAsia="方正小标宋简体"/>
          <w:bCs/>
          <w:sz w:val="44"/>
          <w:szCs w:val="44"/>
        </w:rPr>
        <w:t>复</w:t>
      </w:r>
    </w:p>
    <w:p w14:paraId="175883C0">
      <w:pPr>
        <w:widowControl/>
        <w:spacing w:line="520" w:lineRule="exact"/>
        <w:rPr>
          <w:rFonts w:eastAsia="方正小标宋简体"/>
          <w:bCs/>
          <w:sz w:val="44"/>
          <w:szCs w:val="44"/>
        </w:rPr>
      </w:pPr>
    </w:p>
    <w:p w14:paraId="34759E76">
      <w:pPr>
        <w:widowControl/>
        <w:spacing w:line="530" w:lineRule="exact"/>
        <w:ind w:left="640" w:hanging="640" w:hangingChars="200"/>
        <w:rPr>
          <w:rFonts w:eastAsia="方正仿宋_GB2312"/>
          <w:kern w:val="0"/>
          <w:sz w:val="32"/>
          <w:szCs w:val="32"/>
        </w:rPr>
      </w:pPr>
      <w:bookmarkStart w:id="0" w:name="_GoBack"/>
      <w:r>
        <w:rPr>
          <w:rFonts w:hint="eastAsia" w:eastAsia="方正仿宋_GB2312"/>
          <w:kern w:val="0"/>
          <w:sz w:val="32"/>
          <w:szCs w:val="32"/>
        </w:rPr>
        <w:t>五团城镇管理服务中心</w:t>
      </w:r>
      <w:r>
        <w:rPr>
          <w:rFonts w:eastAsia="方正仿宋_GB2312"/>
          <w:kern w:val="0"/>
          <w:sz w:val="32"/>
          <w:szCs w:val="32"/>
        </w:rPr>
        <w:t>：</w:t>
      </w:r>
    </w:p>
    <w:bookmarkEnd w:id="0"/>
    <w:p w14:paraId="061AF84D">
      <w:pPr>
        <w:widowControl/>
        <w:spacing w:line="530" w:lineRule="exact"/>
        <w:ind w:firstLine="640" w:firstLineChars="200"/>
        <w:rPr>
          <w:rFonts w:eastAsia="方正仿宋_GB2312"/>
          <w:kern w:val="0"/>
          <w:sz w:val="32"/>
          <w:szCs w:val="32"/>
        </w:rPr>
      </w:pPr>
      <w:r>
        <w:rPr>
          <w:rFonts w:eastAsia="方正仿宋_GB2312"/>
          <w:sz w:val="32"/>
          <w:szCs w:val="32"/>
        </w:rPr>
        <w:t>你单位报送的《关于送审</w:t>
      </w:r>
      <w:r>
        <w:rPr>
          <w:rFonts w:hint="eastAsia" w:eastAsia="方正仿宋_GB2312"/>
          <w:sz w:val="32"/>
          <w:szCs w:val="32"/>
        </w:rPr>
        <w:t>第一师五团垃圾填埋场提升建设项目环境影响报告书</w:t>
      </w:r>
      <w:r>
        <w:rPr>
          <w:rFonts w:eastAsia="方正仿宋_GB2312"/>
          <w:kern w:val="0"/>
          <w:sz w:val="32"/>
          <w:szCs w:val="32"/>
        </w:rPr>
        <w:t>的请示</w:t>
      </w:r>
      <w:r>
        <w:rPr>
          <w:rFonts w:eastAsia="方正仿宋_GB2312"/>
          <w:sz w:val="32"/>
          <w:szCs w:val="32"/>
        </w:rPr>
        <w:t>》及《</w:t>
      </w:r>
      <w:r>
        <w:rPr>
          <w:rFonts w:hint="eastAsia" w:eastAsia="方正仿宋_GB2312"/>
          <w:sz w:val="32"/>
          <w:szCs w:val="32"/>
        </w:rPr>
        <w:t>第一师五团垃圾填埋场提升建设项目环境影响报告书</w:t>
      </w:r>
      <w:r>
        <w:rPr>
          <w:rFonts w:eastAsia="方正仿宋_GB2312"/>
          <w:sz w:val="32"/>
          <w:szCs w:val="32"/>
        </w:rPr>
        <w:t>》（以下简称《</w:t>
      </w:r>
      <w:r>
        <w:rPr>
          <w:rFonts w:hint="eastAsia" w:eastAsia="方正仿宋_GB2312"/>
          <w:sz w:val="32"/>
          <w:szCs w:val="32"/>
        </w:rPr>
        <w:t>报告书</w:t>
      </w:r>
      <w:r>
        <w:rPr>
          <w:rFonts w:eastAsia="方正仿宋_GB2312"/>
          <w:sz w:val="32"/>
          <w:szCs w:val="32"/>
        </w:rPr>
        <w:t>》）已收悉。经专家审查和研究，现批复如下：</w:t>
      </w:r>
    </w:p>
    <w:p w14:paraId="45D24245">
      <w:pPr>
        <w:widowControl/>
        <w:numPr>
          <w:ilvl w:val="0"/>
          <w:numId w:val="2"/>
        </w:numPr>
        <w:spacing w:line="530" w:lineRule="exact"/>
        <w:ind w:firstLine="640" w:firstLineChars="200"/>
        <w:rPr>
          <w:rFonts w:eastAsia="方正仿宋_GB2312"/>
          <w:sz w:val="32"/>
          <w:szCs w:val="32"/>
        </w:rPr>
      </w:pPr>
      <w:r>
        <w:rPr>
          <w:rFonts w:eastAsia="方正仿宋_GB2312"/>
          <w:sz w:val="32"/>
          <w:szCs w:val="32"/>
        </w:rPr>
        <w:t>该项目</w:t>
      </w:r>
      <w:r>
        <w:rPr>
          <w:rFonts w:hint="eastAsia" w:eastAsia="方正仿宋_GB2312"/>
          <w:sz w:val="32"/>
          <w:szCs w:val="32"/>
        </w:rPr>
        <w:t>位于五团垃圾填埋场内预留用地，占地面积9.239公顷，项目区西侧和东侧为五团垃圾填埋场现有填埋区，北侧为空地，南侧为荒地。项目区中心地理坐标为东经80°53′13.76″、北纬41°20′57.38″。</w:t>
      </w:r>
      <w:r>
        <w:rPr>
          <w:rFonts w:eastAsia="方正仿宋_GB2312"/>
          <w:sz w:val="32"/>
          <w:szCs w:val="32"/>
        </w:rPr>
        <w:t>项目为改扩建项目，</w:t>
      </w:r>
      <w:r>
        <w:rPr>
          <w:rFonts w:hint="eastAsia" w:eastAsia="方正仿宋_GB2312"/>
          <w:sz w:val="32"/>
          <w:szCs w:val="32"/>
        </w:rPr>
        <w:t>建设内容为：新建垃圾填埋场区库容30万m</w:t>
      </w:r>
      <w:r>
        <w:rPr>
          <w:rFonts w:hint="eastAsia" w:eastAsia="方正仿宋_GB2312"/>
          <w:sz w:val="32"/>
          <w:szCs w:val="32"/>
          <w:vertAlign w:val="superscript"/>
        </w:rPr>
        <w:t>3</w:t>
      </w:r>
      <w:r>
        <w:rPr>
          <w:rFonts w:hint="eastAsia" w:eastAsia="方正仿宋_GB2312"/>
          <w:sz w:val="32"/>
          <w:szCs w:val="32"/>
        </w:rPr>
        <w:t>防渗系统、</w:t>
      </w:r>
      <w:r>
        <w:rPr>
          <w:rFonts w:eastAsia="方正仿宋_GB2312"/>
          <w:sz w:val="32"/>
          <w:szCs w:val="32"/>
        </w:rPr>
        <w:t>防洪雨水导</w:t>
      </w:r>
      <w:r>
        <w:rPr>
          <w:rFonts w:hint="eastAsia" w:eastAsia="方正仿宋_GB2312"/>
          <w:sz w:val="32"/>
          <w:szCs w:val="32"/>
        </w:rPr>
        <w:t>排系统、</w:t>
      </w:r>
      <w:r>
        <w:rPr>
          <w:rFonts w:eastAsia="方正仿宋_GB2312"/>
          <w:sz w:val="32"/>
          <w:szCs w:val="32"/>
        </w:rPr>
        <w:t>渗滤液导排系统</w:t>
      </w:r>
      <w:r>
        <w:rPr>
          <w:rFonts w:hint="eastAsia" w:eastAsia="方正仿宋_GB2312"/>
          <w:sz w:val="32"/>
          <w:szCs w:val="32"/>
        </w:rPr>
        <w:t>、</w:t>
      </w:r>
      <w:r>
        <w:rPr>
          <w:rFonts w:eastAsia="方正仿宋_GB2312"/>
          <w:sz w:val="32"/>
          <w:szCs w:val="32"/>
        </w:rPr>
        <w:t>渗滤液处理系统</w:t>
      </w:r>
      <w:r>
        <w:rPr>
          <w:rFonts w:hint="eastAsia" w:eastAsia="方正仿宋_GB2312"/>
          <w:sz w:val="32"/>
          <w:szCs w:val="32"/>
        </w:rPr>
        <w:t>、</w:t>
      </w:r>
      <w:r>
        <w:rPr>
          <w:rFonts w:eastAsia="方正仿宋_GB2312"/>
          <w:sz w:val="32"/>
          <w:szCs w:val="32"/>
        </w:rPr>
        <w:t>气体收集导排系统</w:t>
      </w:r>
      <w:r>
        <w:rPr>
          <w:rFonts w:hint="eastAsia" w:eastAsia="方正仿宋_GB2312"/>
          <w:sz w:val="32"/>
          <w:szCs w:val="32"/>
        </w:rPr>
        <w:t>等主体工程及配套辅助设施，项目建成后，日处理生活垃圾量45吨/天。生活垃圾填埋场服务年限为13年，服务期满后进行封场处理。项目总投资2970万元，其中环保投资1693.8万元，占总投资的57.03%。</w:t>
      </w:r>
    </w:p>
    <w:p w14:paraId="69F2C446">
      <w:pPr>
        <w:widowControl/>
        <w:numPr>
          <w:ilvl w:val="0"/>
          <w:numId w:val="2"/>
        </w:numPr>
        <w:spacing w:line="530" w:lineRule="exact"/>
        <w:ind w:firstLine="640" w:firstLineChars="200"/>
        <w:rPr>
          <w:rFonts w:eastAsia="方正仿宋_GB2312"/>
          <w:sz w:val="32"/>
          <w:szCs w:val="32"/>
          <w:lang w:val="zh-CN"/>
        </w:rPr>
      </w:pPr>
      <w:r>
        <w:rPr>
          <w:rFonts w:eastAsia="方正仿宋_GB2312"/>
          <w:sz w:val="32"/>
          <w:szCs w:val="32"/>
        </w:rPr>
        <w:t>根据兵团环境工程评估中心对《</w:t>
      </w:r>
      <w:r>
        <w:rPr>
          <w:rFonts w:hint="eastAsia" w:eastAsia="方正仿宋_GB2312"/>
          <w:sz w:val="32"/>
          <w:szCs w:val="32"/>
        </w:rPr>
        <w:t>报告书</w:t>
      </w:r>
      <w:r>
        <w:rPr>
          <w:rFonts w:eastAsia="方正仿宋_GB2312"/>
          <w:sz w:val="32"/>
          <w:szCs w:val="32"/>
        </w:rPr>
        <w:t>》的技术评估意见（兵环评估〔2025〕</w:t>
      </w:r>
      <w:r>
        <w:rPr>
          <w:rFonts w:hint="eastAsia" w:eastAsia="方正仿宋_GB2312"/>
          <w:sz w:val="32"/>
          <w:szCs w:val="32"/>
        </w:rPr>
        <w:t>35</w:t>
      </w:r>
      <w:r>
        <w:rPr>
          <w:rFonts w:eastAsia="方正仿宋_GB2312"/>
          <w:sz w:val="32"/>
          <w:szCs w:val="32"/>
        </w:rPr>
        <w:t>号）及</w:t>
      </w:r>
      <w:r>
        <w:rPr>
          <w:rFonts w:hint="eastAsia" w:eastAsia="方正仿宋_GB2312"/>
          <w:sz w:val="32"/>
          <w:szCs w:val="32"/>
        </w:rPr>
        <w:t>阿克苏地区新地矿产资源开发有限责任公司</w:t>
      </w:r>
      <w:r>
        <w:rPr>
          <w:rFonts w:eastAsia="方正仿宋_GB2312"/>
          <w:sz w:val="32"/>
          <w:szCs w:val="32"/>
        </w:rPr>
        <w:t>编制的《</w:t>
      </w:r>
      <w:r>
        <w:rPr>
          <w:rFonts w:hint="eastAsia" w:eastAsia="方正仿宋_GB2312"/>
          <w:sz w:val="32"/>
          <w:szCs w:val="32"/>
        </w:rPr>
        <w:t>报告书</w:t>
      </w:r>
      <w:r>
        <w:rPr>
          <w:rFonts w:eastAsia="方正仿宋_GB2312"/>
          <w:sz w:val="32"/>
          <w:szCs w:val="32"/>
        </w:rPr>
        <w:t>》评价结论和专家对项目的评价意见，该项目属于</w:t>
      </w:r>
      <w:r>
        <w:rPr>
          <w:rFonts w:hint="eastAsia" w:eastAsia="方正仿宋_GB2312"/>
          <w:sz w:val="32"/>
          <w:szCs w:val="32"/>
        </w:rPr>
        <w:t>生活垃圾集中处置类</w:t>
      </w:r>
      <w:r>
        <w:rPr>
          <w:rFonts w:eastAsia="方正仿宋_GB2312"/>
          <w:sz w:val="32"/>
          <w:szCs w:val="32"/>
        </w:rPr>
        <w:t>，在符合产业政策、选址符合国土空间规划等相关规划的前提下，从环境保护的角度，我局原则同意《</w:t>
      </w:r>
      <w:r>
        <w:rPr>
          <w:rFonts w:hint="eastAsia" w:eastAsia="方正仿宋_GB2312"/>
          <w:sz w:val="32"/>
          <w:szCs w:val="32"/>
        </w:rPr>
        <w:t>报告书</w:t>
      </w:r>
      <w:r>
        <w:rPr>
          <w:rFonts w:eastAsia="方正仿宋_GB2312"/>
          <w:sz w:val="32"/>
          <w:szCs w:val="32"/>
        </w:rPr>
        <w:t>》结论。</w:t>
      </w:r>
    </w:p>
    <w:p w14:paraId="4D014379">
      <w:pPr>
        <w:widowControl/>
        <w:spacing w:line="530" w:lineRule="exact"/>
        <w:ind w:firstLine="640" w:firstLineChars="200"/>
        <w:rPr>
          <w:rFonts w:eastAsia="方正仿宋_GB2312"/>
          <w:sz w:val="32"/>
          <w:szCs w:val="32"/>
        </w:rPr>
      </w:pPr>
      <w:r>
        <w:rPr>
          <w:rFonts w:eastAsia="方正仿宋_GB2312"/>
          <w:sz w:val="32"/>
          <w:szCs w:val="32"/>
          <w:lang w:val="zh-CN"/>
        </w:rPr>
        <w:t>三、</w:t>
      </w:r>
      <w:r>
        <w:rPr>
          <w:rFonts w:eastAsia="方正仿宋_GB2312"/>
          <w:sz w:val="32"/>
          <w:szCs w:val="32"/>
        </w:rPr>
        <w:t>你单位在项目建设和运营中，应严格执行有关环境质量标准和污染物排放标准，认真、全面落实</w:t>
      </w:r>
      <w:r>
        <w:rPr>
          <w:rFonts w:hint="eastAsia" w:eastAsia="方正仿宋_GB2312"/>
          <w:sz w:val="32"/>
          <w:szCs w:val="32"/>
        </w:rPr>
        <w:t>报告书</w:t>
      </w:r>
      <w:r>
        <w:rPr>
          <w:rFonts w:eastAsia="方正仿宋_GB2312"/>
          <w:sz w:val="32"/>
          <w:szCs w:val="32"/>
        </w:rPr>
        <w:t>提出的各项环保对策措施和要求，确保污染物达标排放和各环境敏感点满足相应功能要求。重点做好以下工作：</w:t>
      </w:r>
    </w:p>
    <w:p w14:paraId="067B585C">
      <w:pPr>
        <w:spacing w:line="530" w:lineRule="exact"/>
        <w:ind w:firstLine="640" w:firstLineChars="200"/>
        <w:rPr>
          <w:rFonts w:eastAsia="方正仿宋_GB2312"/>
          <w:kern w:val="0"/>
          <w:sz w:val="32"/>
          <w:szCs w:val="32"/>
        </w:rPr>
      </w:pPr>
      <w:r>
        <w:rPr>
          <w:rFonts w:hint="eastAsia" w:ascii="方正楷体简体" w:hAnsi="方正楷体简体" w:eastAsia="方正楷体简体" w:cs="方正楷体简体"/>
          <w:kern w:val="0"/>
          <w:sz w:val="32"/>
          <w:szCs w:val="32"/>
          <w:lang w:val="zh-CN"/>
        </w:rPr>
        <w:t>（一）</w:t>
      </w:r>
      <w:r>
        <w:rPr>
          <w:rFonts w:hint="eastAsia" w:ascii="方正楷体简体" w:hAnsi="方正楷体简体" w:eastAsia="方正楷体简体" w:cs="方正楷体简体"/>
          <w:kern w:val="0"/>
          <w:sz w:val="32"/>
          <w:szCs w:val="32"/>
        </w:rPr>
        <w:t>认真落实施工期生态环境保护和防沙治沙措施。</w:t>
      </w:r>
      <w:r>
        <w:rPr>
          <w:rFonts w:eastAsia="方正仿宋_GB2312"/>
          <w:kern w:val="0"/>
          <w:sz w:val="32"/>
          <w:szCs w:val="32"/>
        </w:rPr>
        <w:t>做好施工过程中的降噪、防尘、施工固废清理和水土保持、防沙治沙等生态环境保护措施，妥善处置施工废弃物、生活垃圾及生活污水。</w:t>
      </w:r>
    </w:p>
    <w:p w14:paraId="0CBD9897">
      <w:pPr>
        <w:spacing w:line="530" w:lineRule="exact"/>
        <w:ind w:firstLine="640" w:firstLineChars="200"/>
        <w:rPr>
          <w:rFonts w:eastAsia="方正仿宋_GB2312"/>
          <w:kern w:val="0"/>
          <w:sz w:val="32"/>
          <w:szCs w:val="32"/>
        </w:rPr>
      </w:pPr>
      <w:r>
        <w:rPr>
          <w:rFonts w:ascii="方正楷体简体" w:hAnsi="方正楷体简体" w:eastAsia="方正楷体简体" w:cs="方正楷体简体"/>
          <w:kern w:val="0"/>
          <w:sz w:val="32"/>
          <w:szCs w:val="32"/>
          <w:lang w:val="zh-CN"/>
        </w:rPr>
        <w:t>（二）严格落实大气污染防治措施。</w:t>
      </w:r>
      <w:r>
        <w:rPr>
          <w:rFonts w:eastAsia="方正仿宋_GB2312"/>
          <w:kern w:val="0"/>
          <w:sz w:val="32"/>
          <w:szCs w:val="32"/>
        </w:rPr>
        <w:t>该项目运营期产生的废气主要为</w:t>
      </w:r>
      <w:r>
        <w:rPr>
          <w:rFonts w:hint="eastAsia" w:eastAsia="方正仿宋_GB2312"/>
          <w:kern w:val="0"/>
          <w:sz w:val="32"/>
          <w:szCs w:val="32"/>
        </w:rPr>
        <w:t>填埋场发酵废气，渗滤液处理站产生的恶臭气体</w:t>
      </w:r>
      <w:r>
        <w:rPr>
          <w:rFonts w:eastAsia="方正仿宋_GB2312"/>
          <w:kern w:val="0"/>
          <w:sz w:val="32"/>
          <w:szCs w:val="32"/>
        </w:rPr>
        <w:t>。</w:t>
      </w:r>
      <w:r>
        <w:rPr>
          <w:rFonts w:hint="eastAsia" w:eastAsia="方正仿宋_GB2312"/>
          <w:kern w:val="0"/>
          <w:sz w:val="32"/>
          <w:szCs w:val="32"/>
        </w:rPr>
        <w:t>填埋场发酵废气经“垂直导气石笼+导气管”组成的导气系统收集导出后，由</w:t>
      </w:r>
      <w:r>
        <w:rPr>
          <w:rFonts w:hint="eastAsia" w:eastAsia="方正仿宋_GB2312"/>
          <w:kern w:val="0"/>
          <w:sz w:val="32"/>
          <w:szCs w:val="32"/>
          <w:highlight w:val="none"/>
        </w:rPr>
        <w:t>15米高的火炬燃烧系统（DA001）自动点火燃烧，废气中二氧化硫须满足《大气污染物综合排放</w:t>
      </w:r>
      <w:r>
        <w:rPr>
          <w:rFonts w:hint="eastAsia" w:eastAsia="方正仿宋_GB2312"/>
          <w:kern w:val="0"/>
          <w:sz w:val="32"/>
          <w:szCs w:val="32"/>
        </w:rPr>
        <w:t>标准》（GB16297-1996）中表2新污染源大气污染物排放标准值要求后排放；渗滤液处理站产生的恶臭气体经“负压收集+UV光氧+活性炭吸附”处理后，废气中氨、硫化氢、臭气浓度须满足《恶臭污染物排放标准》（GB14554-93）表2排放标准要求后由15米高排气筒（DA002）排放</w:t>
      </w:r>
      <w:r>
        <w:rPr>
          <w:rFonts w:eastAsia="方正仿宋_GB2312"/>
          <w:kern w:val="0"/>
          <w:sz w:val="32"/>
          <w:szCs w:val="32"/>
        </w:rPr>
        <w:t>。</w:t>
      </w:r>
      <w:r>
        <w:rPr>
          <w:rFonts w:hint="eastAsia" w:eastAsia="方正仿宋_GB2312"/>
          <w:kern w:val="0"/>
          <w:sz w:val="32"/>
          <w:szCs w:val="32"/>
        </w:rPr>
        <w:t>填埋场周围建设10米宽的绿化隔离带、堆土区篷布遮盖，设置5米防飞散网；渗滤液处理站采用地埋式加盖密闭，并喷洒除臭剂，加强收集池周边的绿化；填埋场定期洒水，设置防尘网，保证垃圾和覆盖土有一定湿度，遇大风天气减少作业面积或停止垃圾卸车、摊铺；垃圾及时填埋和覆土压实；确保垃圾运输车车体的密闭性，垃圾填埋过程严格执行分层、分单元的逐日覆盖制度，夏季增洒防腐剂和除臭剂，确保废气中颗粒物无组织排放满足《大气污染物综合排放标准》（GB16297-1996）表2新污染源无组织排放浓度限值要求；氨、硫化氢和臭气浓度无组织排放满足《恶臭污染物排放标准》（GB14554-93）中表1二级新扩改建标准要求；甲烷排放满足《生活垃圾填埋场污染控制标准》（GB16889-2024）相关要求。</w:t>
      </w:r>
    </w:p>
    <w:p w14:paraId="633ED0A6">
      <w:pPr>
        <w:adjustRightInd w:val="0"/>
        <w:snapToGrid w:val="0"/>
        <w:spacing w:line="560" w:lineRule="exact"/>
        <w:ind w:firstLine="640" w:firstLineChars="200"/>
        <w:rPr>
          <w:rFonts w:eastAsia="方正仿宋_GB2312"/>
          <w:kern w:val="0"/>
          <w:sz w:val="32"/>
          <w:szCs w:val="32"/>
          <w:highlight w:val="yellow"/>
        </w:rPr>
      </w:pPr>
      <w:r>
        <w:rPr>
          <w:rFonts w:ascii="方正楷体简体" w:hAnsi="方正楷体简体" w:eastAsia="方正楷体简体" w:cs="方正楷体简体"/>
          <w:kern w:val="0"/>
          <w:sz w:val="32"/>
          <w:szCs w:val="32"/>
          <w:lang w:val="zh-CN"/>
        </w:rPr>
        <w:t>（三）严格落实水污染防治措施。</w:t>
      </w:r>
      <w:r>
        <w:rPr>
          <w:rFonts w:hint="eastAsia" w:eastAsia="方正仿宋_GB2312"/>
          <w:kern w:val="0"/>
          <w:sz w:val="32"/>
          <w:szCs w:val="32"/>
        </w:rPr>
        <w:t>该项目运营期产生的废水主要为填埋垃圾渗滤液和生活污水。渗滤液收集</w:t>
      </w:r>
      <w:r>
        <w:rPr>
          <w:rFonts w:hint="eastAsia" w:eastAsia="方正仿宋_GB2312"/>
          <w:kern w:val="0"/>
          <w:sz w:val="32"/>
          <w:szCs w:val="32"/>
          <w:highlight w:val="none"/>
        </w:rPr>
        <w:t>至600立方米的调节池暂存，和经过隔油池处理后的洗车废水一并经渗滤液处理站（日处理量15立方米，采用预处理+两级DTRO工艺）处理，满足《城市污水再生利用城市杂用水水质》（GB/T18920-2020）中的绿化、道路清扫用水标准限值要求及《生活垃圾填埋场污染控制标准》（GB16889-2024）表2中污染物排放浓度限</w:t>
      </w:r>
      <w:r>
        <w:rPr>
          <w:rFonts w:hint="eastAsia" w:eastAsia="方正仿宋_GB2312"/>
          <w:kern w:val="0"/>
          <w:sz w:val="32"/>
          <w:szCs w:val="32"/>
        </w:rPr>
        <w:t>值的要求后，冬季由罐车拉运至五团污水处理厂处理，其他季节用于垃圾填埋场洒水、降尘；生活污水经化粪池收集处理后，须满足《污水综合排放标准》（GB8978-1996）三级标准，定期由吸污车拉运至五团污水处理厂处理。</w:t>
      </w:r>
    </w:p>
    <w:p w14:paraId="50DEEBB3">
      <w:pPr>
        <w:pStyle w:val="21"/>
        <w:spacing w:line="560" w:lineRule="exact"/>
        <w:ind w:firstLine="640" w:firstLineChars="200"/>
        <w:rPr>
          <w:rFonts w:eastAsia="方正仿宋_GB2312"/>
          <w:color w:val="auto"/>
          <w:sz w:val="32"/>
          <w:szCs w:val="32"/>
        </w:rPr>
      </w:pPr>
      <w:r>
        <w:rPr>
          <w:rFonts w:ascii="方正楷体简体" w:hAnsi="方正楷体简体" w:eastAsia="方正楷体简体" w:cs="方正楷体简体"/>
          <w:color w:val="auto"/>
          <w:sz w:val="32"/>
          <w:szCs w:val="32"/>
          <w:lang w:val="zh-CN"/>
        </w:rPr>
        <w:t>（四）严格落实噪声污染防治措施。</w:t>
      </w:r>
      <w:r>
        <w:rPr>
          <w:rFonts w:eastAsia="方正仿宋_GB2312"/>
          <w:color w:val="auto"/>
          <w:sz w:val="32"/>
          <w:szCs w:val="32"/>
        </w:rPr>
        <w:t>该项目运营期产生的噪声主要为</w:t>
      </w:r>
      <w:r>
        <w:rPr>
          <w:rFonts w:hint="eastAsia" w:eastAsia="方正仿宋_GB2312"/>
          <w:color w:val="auto"/>
          <w:sz w:val="32"/>
          <w:szCs w:val="32"/>
        </w:rPr>
        <w:t>推土机、挖掘机等设备运转</w:t>
      </w:r>
      <w:r>
        <w:rPr>
          <w:rFonts w:eastAsia="方正仿宋_GB2312"/>
          <w:color w:val="auto"/>
          <w:sz w:val="32"/>
          <w:szCs w:val="32"/>
        </w:rPr>
        <w:t>。通过</w:t>
      </w:r>
      <w:r>
        <w:rPr>
          <w:rFonts w:hint="eastAsia" w:eastAsia="方正仿宋_GB2312"/>
          <w:color w:val="auto"/>
          <w:sz w:val="32"/>
          <w:szCs w:val="32"/>
        </w:rPr>
        <w:t>选择先进可靠的低噪声设备，对大功率噪声设备采取安装减振垫、管道和风机口采用软连接、风机加装消声器，强噪声设备置于室内，并采用隔声、吸音材料制作门窗、砌体，对设备进行定期维护，保证设备运行状态良好等措施；确保厂界噪声排放满足《工业企业厂界环境噪声排放标准》（GB12348-2008）中2类标准要求。</w:t>
      </w:r>
    </w:p>
    <w:p w14:paraId="40D785CB">
      <w:pPr>
        <w:pStyle w:val="21"/>
        <w:spacing w:line="560" w:lineRule="exact"/>
        <w:ind w:firstLine="640" w:firstLineChars="200"/>
        <w:rPr>
          <w:rFonts w:eastAsia="方正仿宋_GB2312"/>
          <w:color w:val="auto"/>
          <w:sz w:val="32"/>
          <w:szCs w:val="32"/>
        </w:rPr>
      </w:pPr>
      <w:r>
        <w:rPr>
          <w:rFonts w:ascii="方正楷体简体" w:hAnsi="方正楷体简体" w:eastAsia="方正楷体简体" w:cs="方正楷体简体"/>
          <w:color w:val="auto"/>
          <w:sz w:val="32"/>
          <w:szCs w:val="32"/>
          <w:lang w:val="zh-CN"/>
        </w:rPr>
        <w:t>（五）严格落实固</w:t>
      </w:r>
      <w:r>
        <w:rPr>
          <w:rFonts w:ascii="方正楷体简体" w:hAnsi="方正楷体简体" w:eastAsia="方正楷体简体" w:cs="方正楷体简体"/>
          <w:color w:val="auto"/>
          <w:sz w:val="32"/>
          <w:szCs w:val="32"/>
          <w:highlight w:val="none"/>
          <w:lang w:val="zh-CN"/>
        </w:rPr>
        <w:t>体废物分类处置措施。</w:t>
      </w:r>
      <w:r>
        <w:rPr>
          <w:rFonts w:eastAsia="方正仿宋_GB2312"/>
          <w:color w:val="auto"/>
          <w:sz w:val="32"/>
          <w:szCs w:val="32"/>
          <w:highlight w:val="none"/>
        </w:rPr>
        <w:t>该项目运营期固废主要为</w:t>
      </w:r>
      <w:r>
        <w:rPr>
          <w:rFonts w:hint="eastAsia" w:eastAsia="方正仿宋_GB2312"/>
          <w:color w:val="auto"/>
          <w:sz w:val="32"/>
          <w:szCs w:val="32"/>
          <w:highlight w:val="none"/>
        </w:rPr>
        <w:t>杀虫剂废包装瓶、隔油池油泥、废滤膜、滤芯、废UV灯管</w:t>
      </w:r>
      <w:r>
        <w:rPr>
          <w:rFonts w:eastAsia="方正仿宋_GB2312"/>
          <w:color w:val="auto"/>
          <w:sz w:val="32"/>
          <w:szCs w:val="32"/>
          <w:highlight w:val="none"/>
        </w:rPr>
        <w:t>等危险废物；</w:t>
      </w:r>
      <w:r>
        <w:rPr>
          <w:rFonts w:hint="eastAsia" w:eastAsia="方正仿宋_GB2312"/>
          <w:color w:val="auto"/>
          <w:sz w:val="32"/>
          <w:szCs w:val="32"/>
          <w:highlight w:val="none"/>
        </w:rPr>
        <w:t>化粪池污泥、调节池污泥、废活性炭</w:t>
      </w:r>
      <w:r>
        <w:rPr>
          <w:rFonts w:eastAsia="方正仿宋_GB2312"/>
          <w:color w:val="auto"/>
          <w:sz w:val="32"/>
          <w:szCs w:val="32"/>
          <w:highlight w:val="none"/>
        </w:rPr>
        <w:t>等一般</w:t>
      </w:r>
      <w:r>
        <w:rPr>
          <w:rFonts w:eastAsia="方正仿宋_GB2312"/>
          <w:color w:val="auto"/>
          <w:sz w:val="32"/>
          <w:szCs w:val="32"/>
        </w:rPr>
        <w:t>固体废物以及生活垃圾。</w:t>
      </w:r>
      <w:r>
        <w:rPr>
          <w:rFonts w:hint="eastAsia" w:eastAsia="方正仿宋_GB2312"/>
          <w:color w:val="auto"/>
          <w:sz w:val="32"/>
          <w:szCs w:val="32"/>
        </w:rPr>
        <w:t>杀虫剂废包装瓶、隔油池油泥、废滤膜、滤芯、废UV灯管</w:t>
      </w:r>
      <w:r>
        <w:rPr>
          <w:rFonts w:eastAsia="方正仿宋_GB2312"/>
          <w:color w:val="auto"/>
          <w:sz w:val="32"/>
          <w:szCs w:val="32"/>
        </w:rPr>
        <w:t>暂存于厂区危险废物暂存间内，定期委托有资质的单位处置，危险废物的收集、贮存、运输须符合《危险废物收集 贮存 运输技术规范》（HJ 2025-2012）及《危险废物贮存污染控制标准》（GB18597-2023）的相关要求；</w:t>
      </w:r>
      <w:r>
        <w:rPr>
          <w:rFonts w:hint="eastAsia" w:eastAsia="方正仿宋_GB2312"/>
          <w:color w:val="auto"/>
          <w:sz w:val="32"/>
          <w:szCs w:val="32"/>
        </w:rPr>
        <w:t>化粪池污泥、调节池污泥脱水后，同废活性炭返回填埋区填埋</w:t>
      </w:r>
      <w:r>
        <w:rPr>
          <w:rFonts w:eastAsia="方正仿宋_GB2312"/>
          <w:color w:val="auto"/>
          <w:sz w:val="32"/>
          <w:szCs w:val="32"/>
        </w:rPr>
        <w:t>；</w:t>
      </w:r>
      <w:r>
        <w:rPr>
          <w:rFonts w:hint="eastAsia" w:eastAsia="方正仿宋_GB2312"/>
          <w:color w:val="auto"/>
          <w:sz w:val="32"/>
          <w:szCs w:val="32"/>
        </w:rPr>
        <w:t>生活垃圾集中收集后运至项目填埋区填埋。</w:t>
      </w:r>
    </w:p>
    <w:p w14:paraId="3AB1B8B2">
      <w:pPr>
        <w:pStyle w:val="3"/>
        <w:adjustRightInd w:val="0"/>
        <w:snapToGrid w:val="0"/>
        <w:spacing w:line="530" w:lineRule="exact"/>
        <w:ind w:firstLine="640" w:firstLineChars="200"/>
        <w:rPr>
          <w:rFonts w:eastAsia="方正仿宋_GB2312"/>
          <w:kern w:val="0"/>
          <w:sz w:val="32"/>
          <w:szCs w:val="32"/>
        </w:rPr>
      </w:pPr>
      <w:r>
        <w:rPr>
          <w:rFonts w:ascii="方正楷体简体" w:hAnsi="方正楷体简体" w:eastAsia="方正楷体简体" w:cs="方正楷体简体"/>
          <w:kern w:val="0"/>
          <w:sz w:val="32"/>
          <w:szCs w:val="32"/>
          <w:lang w:val="zh-CN"/>
        </w:rPr>
        <w:t>（六）严格落实地下水和土壤污染防治措施。</w:t>
      </w:r>
      <w:r>
        <w:rPr>
          <w:rFonts w:eastAsia="方正仿宋_GB2312"/>
          <w:sz w:val="32"/>
          <w:szCs w:val="32"/>
        </w:rPr>
        <w:t>根据《环境影响评</w:t>
      </w:r>
      <w:r>
        <w:rPr>
          <w:rFonts w:eastAsia="方正仿宋_GB2312"/>
          <w:sz w:val="32"/>
          <w:szCs w:val="32"/>
          <w:highlight w:val="none"/>
        </w:rPr>
        <w:t>价技术导则 地下水环境》（HJ610-2016）的要求，将厂区划分为重点防渗区、一般防渗区、简单防渗区。</w:t>
      </w:r>
      <w:r>
        <w:rPr>
          <w:rFonts w:hint="eastAsia" w:eastAsia="方正仿宋_GB2312"/>
          <w:sz w:val="32"/>
          <w:szCs w:val="32"/>
          <w:highlight w:val="none"/>
        </w:rPr>
        <w:t>重点防渗区主要为整个填埋场区、渗滤液调节池和处理站，其防渗性能为等效黏土防渗层Mb≥6.0米，渗透系数≤1×10</w:t>
      </w:r>
      <w:r>
        <w:rPr>
          <w:rFonts w:hint="eastAsia" w:eastAsia="方正仿宋_GB2312"/>
          <w:sz w:val="32"/>
          <w:szCs w:val="32"/>
          <w:highlight w:val="none"/>
          <w:vertAlign w:val="superscript"/>
        </w:rPr>
        <w:t>-7</w:t>
      </w:r>
      <w:r>
        <w:rPr>
          <w:rFonts w:hint="eastAsia" w:eastAsia="方正仿宋_GB2312"/>
          <w:sz w:val="32"/>
          <w:szCs w:val="32"/>
          <w:highlight w:val="none"/>
        </w:rPr>
        <w:t>厘米/秒；一般防渗区主要为泵房、计量间以及垃圾场内运输道路，等效黏土防渗层Mb≥1.5米，渗透系数≤1×10</w:t>
      </w:r>
      <w:r>
        <w:rPr>
          <w:rFonts w:hint="eastAsia" w:eastAsia="方正仿宋_GB2312"/>
          <w:sz w:val="32"/>
          <w:szCs w:val="32"/>
          <w:highlight w:val="none"/>
          <w:vertAlign w:val="superscript"/>
        </w:rPr>
        <w:t>-7</w:t>
      </w:r>
      <w:r>
        <w:rPr>
          <w:rFonts w:hint="eastAsia" w:eastAsia="方正仿宋_GB2312"/>
          <w:sz w:val="32"/>
          <w:szCs w:val="32"/>
          <w:highlight w:val="none"/>
        </w:rPr>
        <w:t>厘米/秒；其余部位为简单防渗区，仅进行地面硬化。</w:t>
      </w:r>
    </w:p>
    <w:p w14:paraId="099B5A6C">
      <w:pPr>
        <w:pStyle w:val="3"/>
        <w:adjustRightInd w:val="0"/>
        <w:snapToGrid w:val="0"/>
        <w:spacing w:line="530" w:lineRule="exact"/>
        <w:ind w:firstLine="640" w:firstLineChars="200"/>
        <w:rPr>
          <w:rFonts w:eastAsia="方正仿宋_GB2312"/>
        </w:rPr>
      </w:pPr>
      <w:r>
        <w:rPr>
          <w:rFonts w:ascii="方正楷体简体" w:hAnsi="方正楷体简体" w:eastAsia="方正楷体简体" w:cs="方正楷体简体"/>
          <w:kern w:val="0"/>
          <w:sz w:val="32"/>
          <w:szCs w:val="32"/>
          <w:lang w:val="zh-CN"/>
        </w:rPr>
        <w:t>（七）加强项目环境风险防范。</w:t>
      </w:r>
      <w:r>
        <w:rPr>
          <w:rFonts w:eastAsia="方正仿宋_GB2312"/>
          <w:sz w:val="32"/>
          <w:szCs w:val="32"/>
        </w:rPr>
        <w:t>建立严格的环境风险管理制度，认真落实</w:t>
      </w:r>
      <w:r>
        <w:rPr>
          <w:rFonts w:hint="eastAsia" w:eastAsia="方正仿宋_GB2312"/>
          <w:sz w:val="32"/>
          <w:szCs w:val="32"/>
        </w:rPr>
        <w:t>报告书</w:t>
      </w:r>
      <w:r>
        <w:rPr>
          <w:rFonts w:eastAsia="方正仿宋_GB2312"/>
          <w:sz w:val="32"/>
          <w:szCs w:val="32"/>
        </w:rPr>
        <w:t>提出的各项风险防范措施；制定相关应急预案，编制《突发环境事件应急预案》报生态环境主管部门备案，确保不发生环境污染事故；做好和地方环境应急预案的衔接，定期开展突发环境事件应急演练，及时对环境应急预案进行完善。</w:t>
      </w:r>
    </w:p>
    <w:p w14:paraId="4454970F">
      <w:pPr>
        <w:spacing w:line="530" w:lineRule="exact"/>
        <w:ind w:firstLine="640" w:firstLineChars="200"/>
        <w:rPr>
          <w:rFonts w:eastAsia="方正仿宋_GB2312"/>
          <w:kern w:val="0"/>
          <w:sz w:val="32"/>
          <w:szCs w:val="32"/>
        </w:rPr>
      </w:pPr>
      <w:r>
        <w:rPr>
          <w:rFonts w:eastAsia="方正仿宋_GB2312"/>
          <w:kern w:val="0"/>
          <w:sz w:val="32"/>
          <w:szCs w:val="32"/>
          <w:lang w:val="zh-CN"/>
        </w:rPr>
        <w:t>四、</w:t>
      </w:r>
      <w:r>
        <w:rPr>
          <w:rFonts w:eastAsia="方正仿宋_GB2312"/>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79759767">
      <w:pPr>
        <w:pStyle w:val="15"/>
        <w:spacing w:after="0" w:line="530" w:lineRule="exact"/>
        <w:ind w:left="0" w:leftChars="0" w:firstLine="640"/>
        <w:rPr>
          <w:rFonts w:eastAsia="方正仿宋_GB2312"/>
          <w:kern w:val="0"/>
          <w:sz w:val="32"/>
          <w:szCs w:val="32"/>
        </w:rPr>
      </w:pPr>
      <w:r>
        <w:rPr>
          <w:rFonts w:eastAsia="方正仿宋_GB2312"/>
          <w:kern w:val="0"/>
          <w:sz w:val="32"/>
          <w:szCs w:val="32"/>
          <w:lang w:val="zh-CN"/>
        </w:rPr>
        <w:t>五、</w:t>
      </w:r>
      <w:r>
        <w:rPr>
          <w:rFonts w:eastAsia="方正仿宋_GB2312"/>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450818C4">
      <w:pPr>
        <w:pStyle w:val="15"/>
        <w:spacing w:after="0" w:line="530" w:lineRule="exact"/>
        <w:ind w:left="0" w:leftChars="0" w:firstLine="640"/>
        <w:rPr>
          <w:rFonts w:eastAsia="方正仿宋_GB2312"/>
          <w:kern w:val="0"/>
          <w:sz w:val="32"/>
          <w:szCs w:val="32"/>
        </w:rPr>
      </w:pPr>
      <w:r>
        <w:rPr>
          <w:rFonts w:eastAsia="方正仿宋_GB2312"/>
          <w:kern w:val="0"/>
          <w:sz w:val="32"/>
          <w:szCs w:val="32"/>
          <w:lang w:val="zh-CN"/>
        </w:rPr>
        <w:t>六、</w:t>
      </w:r>
      <w:r>
        <w:rPr>
          <w:rFonts w:eastAsia="方正仿宋_GB2312"/>
          <w:kern w:val="0"/>
          <w:sz w:val="32"/>
          <w:szCs w:val="32"/>
        </w:rPr>
        <w:t>在启动生产设施或者在实际排污之前，按照经批准的环境影响评价文件认真梳理并确认各项环境保护措施落实后，依法申领或变更排污许可，按照排污许可要求制定自行监测制度。</w:t>
      </w:r>
    </w:p>
    <w:p w14:paraId="40072355">
      <w:pPr>
        <w:pStyle w:val="15"/>
        <w:spacing w:after="0" w:line="530" w:lineRule="exact"/>
        <w:ind w:left="0" w:leftChars="0" w:firstLine="640"/>
        <w:rPr>
          <w:rFonts w:eastAsia="方正仿宋_GB2312"/>
          <w:kern w:val="0"/>
          <w:sz w:val="32"/>
          <w:szCs w:val="32"/>
        </w:rPr>
      </w:pPr>
      <w:r>
        <w:rPr>
          <w:rFonts w:eastAsia="方正仿宋_GB2312"/>
          <w:kern w:val="0"/>
          <w:sz w:val="32"/>
          <w:szCs w:val="32"/>
          <w:lang w:val="zh-CN"/>
        </w:rPr>
        <w:t>七、</w:t>
      </w:r>
      <w:r>
        <w:rPr>
          <w:rFonts w:hint="eastAsia" w:eastAsia="方正仿宋_GB2312"/>
          <w:kern w:val="0"/>
          <w:sz w:val="32"/>
          <w:szCs w:val="32"/>
        </w:rPr>
        <w:t>五团沙河镇</w:t>
      </w:r>
      <w:r>
        <w:rPr>
          <w:rFonts w:eastAsia="方正仿宋_GB2312"/>
          <w:kern w:val="0"/>
          <w:sz w:val="32"/>
          <w:szCs w:val="32"/>
          <w:lang w:val="zh-CN"/>
        </w:rPr>
        <w:t>积极发挥政府职能，做好该项目环境保护管理工作，师市生态环境保护综合行政执法支队做好该项目的抽查日常监督管理工作</w:t>
      </w:r>
      <w:r>
        <w:rPr>
          <w:rFonts w:eastAsia="方正仿宋_GB2312"/>
          <w:kern w:val="0"/>
          <w:sz w:val="32"/>
          <w:szCs w:val="32"/>
        </w:rPr>
        <w:t>。</w:t>
      </w:r>
    </w:p>
    <w:p w14:paraId="10A2CFD8">
      <w:pPr>
        <w:pStyle w:val="15"/>
        <w:spacing w:after="0" w:line="530" w:lineRule="exact"/>
        <w:ind w:left="0" w:leftChars="0" w:firstLine="640"/>
        <w:rPr>
          <w:rFonts w:eastAsia="方正仿宋_GB2312"/>
          <w:kern w:val="0"/>
          <w:sz w:val="30"/>
          <w:szCs w:val="30"/>
        </w:rPr>
      </w:pPr>
      <w:r>
        <w:rPr>
          <w:rFonts w:eastAsia="方正仿宋_GB2312"/>
          <w:kern w:val="0"/>
          <w:sz w:val="32"/>
          <w:szCs w:val="32"/>
        </w:rPr>
        <w:t>如你单位对本审批决定有不同意见，可在接到本决定书之日起六十日内向</w:t>
      </w:r>
      <w:r>
        <w:rPr>
          <w:rFonts w:eastAsia="方正仿宋_GB2312"/>
          <w:kern w:val="0"/>
          <w:sz w:val="30"/>
          <w:szCs w:val="30"/>
        </w:rPr>
        <w:t>阿拉尔市人民政府申请行政复议，也可在六个月内依法向阿拉尔垦区人民法院起诉。</w:t>
      </w:r>
    </w:p>
    <w:p w14:paraId="69146482">
      <w:pPr>
        <w:widowControl/>
        <w:spacing w:line="530" w:lineRule="exact"/>
        <w:ind w:firstLine="4800" w:firstLineChars="1500"/>
        <w:rPr>
          <w:rFonts w:eastAsia="方正仿宋_GB2312"/>
          <w:kern w:val="0"/>
          <w:sz w:val="32"/>
          <w:szCs w:val="32"/>
        </w:rPr>
      </w:pPr>
    </w:p>
    <w:p w14:paraId="556899EA">
      <w:pPr>
        <w:widowControl/>
        <w:spacing w:line="530" w:lineRule="exact"/>
        <w:rPr>
          <w:rFonts w:eastAsia="方正仿宋_GB2312"/>
          <w:kern w:val="0"/>
          <w:sz w:val="32"/>
          <w:szCs w:val="32"/>
        </w:rPr>
      </w:pPr>
    </w:p>
    <w:p w14:paraId="2378359F">
      <w:pPr>
        <w:widowControl/>
        <w:spacing w:line="530" w:lineRule="exact"/>
        <w:ind w:firstLine="4800" w:firstLineChars="1500"/>
        <w:rPr>
          <w:rFonts w:eastAsia="方正仿宋_GB2312"/>
          <w:kern w:val="0"/>
          <w:sz w:val="32"/>
          <w:szCs w:val="32"/>
        </w:rPr>
      </w:pPr>
      <w:r>
        <w:rPr>
          <w:rFonts w:eastAsia="方正仿宋_GB2312"/>
          <w:kern w:val="0"/>
          <w:sz w:val="32"/>
          <w:szCs w:val="32"/>
        </w:rPr>
        <w:t>第一师阿拉尔市生态环境局</w:t>
      </w:r>
    </w:p>
    <w:p w14:paraId="2F67DEDA">
      <w:pPr>
        <w:widowControl/>
        <w:spacing w:line="530" w:lineRule="exact"/>
        <w:ind w:firstLine="5600" w:firstLineChars="1750"/>
        <w:rPr>
          <w:rFonts w:eastAsia="方正仿宋_GB2312"/>
          <w:kern w:val="0"/>
          <w:sz w:val="32"/>
          <w:szCs w:val="32"/>
        </w:rPr>
      </w:pPr>
      <w:r>
        <w:rPr>
          <w:rFonts w:eastAsia="方正仿宋_GB2312"/>
          <w:kern w:val="0"/>
          <w:sz w:val="32"/>
          <w:szCs w:val="32"/>
        </w:rPr>
        <w:t>2025年</w:t>
      </w:r>
      <w:r>
        <w:rPr>
          <w:rFonts w:hint="eastAsia" w:eastAsia="方正仿宋_GB2312"/>
          <w:kern w:val="0"/>
          <w:sz w:val="32"/>
          <w:szCs w:val="32"/>
        </w:rPr>
        <w:t>4</w:t>
      </w:r>
      <w:r>
        <w:rPr>
          <w:rFonts w:eastAsia="方正仿宋_GB2312"/>
          <w:kern w:val="0"/>
          <w:sz w:val="32"/>
          <w:szCs w:val="32"/>
        </w:rPr>
        <w:t>月</w:t>
      </w:r>
      <w:r>
        <w:rPr>
          <w:rFonts w:hint="eastAsia" w:eastAsia="方正仿宋_GB2312"/>
          <w:kern w:val="0"/>
          <w:sz w:val="32"/>
          <w:szCs w:val="32"/>
          <w:lang w:val="en-US" w:eastAsia="zh-CN"/>
        </w:rPr>
        <w:t>22</w:t>
      </w:r>
      <w:r>
        <w:rPr>
          <w:rFonts w:hint="eastAsia" w:eastAsia="方正仿宋_GB2312"/>
          <w:kern w:val="0"/>
          <w:sz w:val="32"/>
          <w:szCs w:val="32"/>
        </w:rPr>
        <w:t>日</w:t>
      </w:r>
    </w:p>
    <w:p w14:paraId="11A9DEBD">
      <w:pPr>
        <w:pStyle w:val="7"/>
        <w:ind w:left="0" w:firstLine="0"/>
        <w:rPr>
          <w:rFonts w:ascii="Times New Roman"/>
        </w:rPr>
      </w:pPr>
    </w:p>
    <w:p w14:paraId="25EBFBE2">
      <w:pPr>
        <w:pStyle w:val="7"/>
        <w:ind w:left="0" w:firstLine="0"/>
        <w:rPr>
          <w:rFonts w:ascii="Times New Roman"/>
        </w:rPr>
      </w:pPr>
    </w:p>
    <w:p w14:paraId="0A87DC14">
      <w:pPr>
        <w:pStyle w:val="20"/>
        <w:ind w:firstLine="200"/>
      </w:pPr>
    </w:p>
    <w:p w14:paraId="238CD791"/>
    <w:p w14:paraId="5407514F"/>
    <w:p w14:paraId="4A899DC4"/>
    <w:p w14:paraId="75B6178C"/>
    <w:p w14:paraId="12EA91D2"/>
    <w:p w14:paraId="40519E66"/>
    <w:p w14:paraId="7401637C"/>
    <w:p w14:paraId="51ED0967"/>
    <w:p w14:paraId="6B062D9B"/>
    <w:p w14:paraId="7AED151F"/>
    <w:p w14:paraId="34F8FB9E"/>
    <w:p w14:paraId="1A1CBE9E"/>
    <w:p w14:paraId="1F6142BA"/>
    <w:p w14:paraId="0F490EE9">
      <w:pPr>
        <w:topLinePunct/>
        <w:adjustRightInd w:val="0"/>
        <w:snapToGrid w:val="0"/>
        <w:spacing w:line="520" w:lineRule="exact"/>
        <w:rPr>
          <w:rFonts w:eastAsia="方正仿宋简体"/>
          <w:spacing w:val="-28"/>
          <w:sz w:val="28"/>
          <w:szCs w:val="28"/>
        </w:rPr>
      </w:pPr>
      <w:r>
        <w:rPr>
          <w:rFonts w:eastAsia="方正仿宋简体"/>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spacing w:val="-28"/>
          <w:sz w:val="28"/>
          <w:szCs w:val="28"/>
        </w:rPr>
        <w:t>抄送：</w:t>
      </w:r>
      <w:r>
        <w:rPr>
          <w:rFonts w:hint="eastAsia" w:eastAsia="方正仿宋简体"/>
          <w:spacing w:val="-28"/>
          <w:sz w:val="28"/>
          <w:szCs w:val="28"/>
        </w:rPr>
        <w:t>五团沙河镇</w:t>
      </w:r>
      <w:r>
        <w:rPr>
          <w:rFonts w:eastAsia="方正仿宋简体"/>
          <w:spacing w:val="-28"/>
          <w:sz w:val="24"/>
        </w:rPr>
        <w:t>，</w:t>
      </w:r>
      <w:r>
        <w:rPr>
          <w:rFonts w:eastAsia="方正仿宋简体"/>
          <w:spacing w:val="-28"/>
          <w:sz w:val="28"/>
          <w:szCs w:val="28"/>
        </w:rPr>
        <w:t>生态环境保护综合行政执法支队，</w:t>
      </w:r>
      <w:r>
        <w:rPr>
          <w:rFonts w:hint="eastAsia" w:eastAsia="方正仿宋简体"/>
          <w:spacing w:val="-28"/>
          <w:sz w:val="28"/>
          <w:szCs w:val="28"/>
        </w:rPr>
        <w:t>阿克苏地区新地矿产资源开发有限责任公司</w:t>
      </w:r>
      <w:r>
        <w:rPr>
          <w:rFonts w:eastAsia="方正仿宋简体"/>
          <w:spacing w:val="-28"/>
          <w:sz w:val="28"/>
          <w:szCs w:val="28"/>
        </w:rPr>
        <w:t>。</w:t>
      </w:r>
    </w:p>
    <w:p w14:paraId="5078361A">
      <w:pPr>
        <w:spacing w:line="520" w:lineRule="exact"/>
      </w:pPr>
      <w:r>
        <w:rPr>
          <w:rFonts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eastAsia="方正仿宋简体"/>
          <w:sz w:val="28"/>
          <w:szCs w:val="28"/>
        </w:rPr>
        <w:t>第一师阿拉尔市生态环境局                   2025年</w:t>
      </w:r>
      <w:r>
        <w:rPr>
          <w:rFonts w:hint="eastAsia" w:eastAsia="方正仿宋简体"/>
          <w:sz w:val="28"/>
          <w:szCs w:val="28"/>
        </w:rPr>
        <w:t>4</w:t>
      </w:r>
      <w:r>
        <w:rPr>
          <w:rFonts w:eastAsia="方正仿宋简体"/>
          <w:sz w:val="28"/>
          <w:szCs w:val="28"/>
        </w:rPr>
        <w:t>月</w:t>
      </w:r>
      <w:r>
        <w:rPr>
          <w:rFonts w:hint="eastAsia" w:eastAsia="方正仿宋简体"/>
          <w:sz w:val="28"/>
          <w:szCs w:val="28"/>
          <w:lang w:val="en-US" w:eastAsia="zh-CN"/>
        </w:rPr>
        <w:t>22</w:t>
      </w:r>
      <w:r>
        <w:rPr>
          <w:rFonts w:hint="eastAsia" w:eastAsia="方正仿宋简体"/>
          <w:sz w:val="28"/>
          <w:szCs w:val="28"/>
        </w:rPr>
        <w:t>日</w:t>
      </w:r>
      <w:r>
        <w:rPr>
          <w:rFonts w:eastAsia="方正仿宋简体"/>
          <w:sz w:val="28"/>
          <w:szCs w:val="28"/>
        </w:rPr>
        <w:t>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B4305E55-D79F-4D15-ADC0-BE5F64E8875E}"/>
  </w:font>
  <w:font w:name="方正仿宋_GB2312">
    <w:panose1 w:val="02000000000000000000"/>
    <w:charset w:val="86"/>
    <w:family w:val="auto"/>
    <w:pitch w:val="default"/>
    <w:sig w:usb0="A00002BF" w:usb1="184F6CFA" w:usb2="00000012" w:usb3="00000000" w:csb0="00040001" w:csb1="00000000"/>
    <w:embedRegular r:id="rId2" w:fontKey="{66B4D34C-2835-4E32-A8C9-CC9E0A6FBEF4}"/>
  </w:font>
  <w:font w:name="方正小标宋_GBK">
    <w:panose1 w:val="03000509000000000000"/>
    <w:charset w:val="86"/>
    <w:family w:val="auto"/>
    <w:pitch w:val="default"/>
    <w:sig w:usb0="00000001" w:usb1="080E0000" w:usb2="00000000" w:usb3="00000000" w:csb0="00040000" w:csb1="00000000"/>
    <w:embedRegular r:id="rId3" w:fontKey="{FF63C18A-D703-46D2-9DB3-38ADF4DA9DCB}"/>
  </w:font>
  <w:font w:name="方正小标宋简体">
    <w:panose1 w:val="03000509000000000000"/>
    <w:charset w:val="86"/>
    <w:family w:val="auto"/>
    <w:pitch w:val="default"/>
    <w:sig w:usb0="00000001" w:usb1="080E0000" w:usb2="00000000" w:usb3="00000000" w:csb0="00040000" w:csb1="00000000"/>
    <w:embedRegular r:id="rId4" w:fontKey="{5D7EB2A3-187A-484F-8BFE-369D2BBFD447}"/>
  </w:font>
  <w:font w:name="方正楷体简体">
    <w:panose1 w:val="02000000000000000000"/>
    <w:charset w:val="86"/>
    <w:family w:val="auto"/>
    <w:pitch w:val="default"/>
    <w:sig w:usb0="00000001" w:usb1="080E0000" w:usb2="00000000" w:usb3="00000000" w:csb0="00040000" w:csb1="00000000"/>
    <w:embedRegular r:id="rId5" w:fontKey="{3E6823A5-29EE-4663-8657-4E833E5BD34F}"/>
  </w:font>
  <w:font w:name="方正仿宋简体">
    <w:panose1 w:val="02000000000000000000"/>
    <w:charset w:val="86"/>
    <w:family w:val="auto"/>
    <w:pitch w:val="default"/>
    <w:sig w:usb0="00000001" w:usb1="080E0000" w:usb2="00000000" w:usb3="00000000" w:csb0="00040000" w:csb1="00000000"/>
    <w:embedRegular r:id="rId6" w:fontKey="{C6D0B377-2D12-4DFF-87C1-C1DCAF960A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01B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272F3B">
                          <w:pPr>
                            <w:pStyle w:val="10"/>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7B272F3B">
                    <w:pPr>
                      <w:pStyle w:val="10"/>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5</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6C34">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EEC48"/>
    <w:multiLevelType w:val="singleLevel"/>
    <w:tmpl w:val="8A6EEC48"/>
    <w:lvl w:ilvl="0" w:tentative="0">
      <w:start w:val="1"/>
      <w:numFmt w:val="chineseCounting"/>
      <w:suff w:val="nothing"/>
      <w:lvlText w:val="%1、"/>
      <w:lvlJc w:val="left"/>
      <w:rPr>
        <w:rFonts w:hint="eastAsia"/>
      </w:rPr>
    </w:lvl>
  </w:abstractNum>
  <w:abstractNum w:abstractNumId="1">
    <w:nsid w:val="69F7D102"/>
    <w:multiLevelType w:val="singleLevel"/>
    <w:tmpl w:val="69F7D102"/>
    <w:lvl w:ilvl="0" w:tentative="0">
      <w:start w:val="1"/>
      <w:numFmt w:val="decimal"/>
      <w:pStyle w:val="9"/>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DZlMWUwYjZiYjY4ZWMxYzUzZWZmNjcyNWM1ZTIifQ=="/>
  </w:docVars>
  <w:rsids>
    <w:rsidRoot w:val="6C9577F7"/>
    <w:rsid w:val="000A14BD"/>
    <w:rsid w:val="000C2961"/>
    <w:rsid w:val="00820339"/>
    <w:rsid w:val="008347D5"/>
    <w:rsid w:val="008A3AF5"/>
    <w:rsid w:val="00A979FA"/>
    <w:rsid w:val="00D3743B"/>
    <w:rsid w:val="00D5082A"/>
    <w:rsid w:val="01D54B7E"/>
    <w:rsid w:val="02CF517F"/>
    <w:rsid w:val="030E41E0"/>
    <w:rsid w:val="0A7C794A"/>
    <w:rsid w:val="0E5C209B"/>
    <w:rsid w:val="13BF1F8A"/>
    <w:rsid w:val="13F50A51"/>
    <w:rsid w:val="14EE3B40"/>
    <w:rsid w:val="18B13BE0"/>
    <w:rsid w:val="1B2D2A19"/>
    <w:rsid w:val="20654122"/>
    <w:rsid w:val="24AE2000"/>
    <w:rsid w:val="25513660"/>
    <w:rsid w:val="262F4CC7"/>
    <w:rsid w:val="2A0240FC"/>
    <w:rsid w:val="2CF565EF"/>
    <w:rsid w:val="2D0A6A66"/>
    <w:rsid w:val="2E6D6AB5"/>
    <w:rsid w:val="2F505B14"/>
    <w:rsid w:val="328330A2"/>
    <w:rsid w:val="33E636E2"/>
    <w:rsid w:val="3549166B"/>
    <w:rsid w:val="381D1CB1"/>
    <w:rsid w:val="398B6069"/>
    <w:rsid w:val="3A145393"/>
    <w:rsid w:val="3DF3675E"/>
    <w:rsid w:val="3FC67A98"/>
    <w:rsid w:val="40AE7C29"/>
    <w:rsid w:val="42B03F86"/>
    <w:rsid w:val="470D54E3"/>
    <w:rsid w:val="49F02B32"/>
    <w:rsid w:val="4AF13073"/>
    <w:rsid w:val="4B8F0F1D"/>
    <w:rsid w:val="4E5B6391"/>
    <w:rsid w:val="53D96FF6"/>
    <w:rsid w:val="547F78C3"/>
    <w:rsid w:val="563620CF"/>
    <w:rsid w:val="57FB18AC"/>
    <w:rsid w:val="5BC8134A"/>
    <w:rsid w:val="5BD80832"/>
    <w:rsid w:val="5D8511F0"/>
    <w:rsid w:val="5D9E283D"/>
    <w:rsid w:val="5E6D5D9C"/>
    <w:rsid w:val="60CE1E21"/>
    <w:rsid w:val="612B3202"/>
    <w:rsid w:val="642F2ACF"/>
    <w:rsid w:val="66806BAB"/>
    <w:rsid w:val="6727066C"/>
    <w:rsid w:val="6859222C"/>
    <w:rsid w:val="6A7F65C7"/>
    <w:rsid w:val="6ADB5079"/>
    <w:rsid w:val="6C9577F7"/>
    <w:rsid w:val="720C27E4"/>
    <w:rsid w:val="75B02C7E"/>
    <w:rsid w:val="75CB690A"/>
    <w:rsid w:val="768371E5"/>
    <w:rsid w:val="789E2A4C"/>
    <w:rsid w:val="7CFE6B21"/>
    <w:rsid w:val="7D89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20" w:lineRule="exact"/>
      <w:ind w:firstLine="624"/>
    </w:pPr>
    <w:rPr>
      <w:sz w:val="28"/>
      <w:szCs w:val="20"/>
    </w:rPr>
  </w:style>
  <w:style w:type="paragraph" w:styleId="4">
    <w:name w:val="annotation text"/>
    <w:basedOn w:val="1"/>
    <w:qFormat/>
    <w:uiPriority w:val="0"/>
    <w:pPr>
      <w:jc w:val="left"/>
    </w:pPr>
  </w:style>
  <w:style w:type="paragraph" w:styleId="5">
    <w:name w:val="Body Text"/>
    <w:basedOn w:val="1"/>
    <w:qFormat/>
    <w:uiPriority w:val="0"/>
    <w:pPr>
      <w:spacing w:after="120"/>
    </w:pPr>
    <w:rPr>
      <w:kern w:val="0"/>
      <w:sz w:val="20"/>
    </w:rPr>
  </w:style>
  <w:style w:type="paragraph" w:styleId="6">
    <w:name w:val="Body Text Indent"/>
    <w:basedOn w:val="1"/>
    <w:next w:val="5"/>
    <w:qFormat/>
    <w:uiPriority w:val="0"/>
    <w:pPr>
      <w:spacing w:after="120"/>
      <w:ind w:left="420" w:leftChars="200"/>
    </w:pPr>
  </w:style>
  <w:style w:type="paragraph" w:styleId="7">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8">
    <w:name w:val="Plain Text"/>
    <w:basedOn w:val="1"/>
    <w:next w:val="9"/>
    <w:qFormat/>
    <w:uiPriority w:val="0"/>
    <w:pPr>
      <w:spacing w:line="500" w:lineRule="exact"/>
    </w:pPr>
    <w:rPr>
      <w:rFonts w:ascii="宋体" w:hAnsi="Courier New"/>
      <w:sz w:val="28"/>
      <w:szCs w:val="21"/>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2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1"/>
  </w:style>
  <w:style w:type="paragraph" w:styleId="13">
    <w:name w:val="Body Text 2"/>
    <w:basedOn w:val="1"/>
    <w:unhideWhenUsed/>
    <w:qFormat/>
    <w:uiPriority w:val="99"/>
    <w:pPr>
      <w:spacing w:after="120" w:line="480" w:lineRule="auto"/>
    </w:pPr>
  </w:style>
  <w:style w:type="paragraph" w:styleId="14">
    <w:name w:val="Body Text First Indent"/>
    <w:basedOn w:val="5"/>
    <w:next w:val="15"/>
    <w:qFormat/>
    <w:uiPriority w:val="0"/>
    <w:pPr>
      <w:ind w:firstLine="420" w:firstLineChars="100"/>
    </w:pPr>
  </w:style>
  <w:style w:type="paragraph" w:styleId="15">
    <w:name w:val="Body Text First Indent 2"/>
    <w:basedOn w:val="6"/>
    <w:next w:val="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表头"/>
    <w:basedOn w:val="14"/>
    <w:next w:val="1"/>
    <w:qFormat/>
    <w:uiPriority w:val="0"/>
    <w:pPr>
      <w:jc w:val="center"/>
    </w:pPr>
    <w:rPr>
      <w:rFonts w:ascii="黑体" w:eastAsia="黑体"/>
      <w:bCs/>
    </w:rPr>
  </w:style>
  <w:style w:type="paragraph" w:customStyle="1" w:styleId="21">
    <w:name w:val="正文（缩进）"/>
    <w:basedOn w:val="22"/>
    <w:next w:val="1"/>
    <w:qFormat/>
    <w:uiPriority w:val="99"/>
    <w:pPr>
      <w:ind w:firstLine="480"/>
    </w:pPr>
  </w:style>
  <w:style w:type="paragraph" w:customStyle="1" w:styleId="22">
    <w:name w:val="正文(首行缩进)"/>
    <w:basedOn w:val="1"/>
    <w:qFormat/>
    <w:uiPriority w:val="0"/>
    <w:pPr>
      <w:spacing w:line="360" w:lineRule="auto"/>
      <w:ind w:firstLine="540" w:firstLineChars="225"/>
    </w:pPr>
    <w:rPr>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2807</Words>
  <Characters>3014</Characters>
  <Lines>23</Lines>
  <Paragraphs>6</Paragraphs>
  <TotalTime>315</TotalTime>
  <ScaleCrop>false</ScaleCrop>
  <LinksUpToDate>false</LinksUpToDate>
  <CharactersWithSpaces>3037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2025-04-22T04:01:55Z</cp:lastPrinted>
  <dcterms:modified xsi:type="dcterms:W3CDTF">2025-04-22T04:27:46Z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893CDFD63AE04FCE9E8F8C794C65DB03_13</vt:lpwstr>
  </property>
  <property fmtid="{D5CDD505-2E9C-101B-9397-08002B2CF9AE}" pid="4" name="KSOTemplateDocerSaveRecord">
    <vt:lpwstr>eyJoZGlkIjoiZjEzODdhZDFmYzk5ODE2MmE3OTk4OTBkMjc2NjcxZTIiLCJ1c2VySWQiOiIzNTY3MzA4ODIifQ==</vt:lpwstr>
  </property>
</Properties>
</file>