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adjustRightInd w:val="0"/>
        <w:snapToGrid w:val="0"/>
        <w:spacing w:line="360" w:lineRule="auto"/>
        <w:jc w:val="center"/>
        <w:rPr>
          <w:rFonts w:eastAsia="黑体"/>
          <w:b/>
          <w:color w:val="auto"/>
          <w:w w:val="98"/>
          <w:kern w:val="0"/>
          <w:sz w:val="44"/>
          <w:szCs w:val="36"/>
        </w:rPr>
      </w:pPr>
      <w:bookmarkStart w:id="0" w:name="_Hlk119418502"/>
      <w:r>
        <w:rPr>
          <w:rFonts w:eastAsia="黑体"/>
          <w:b/>
          <w:color w:val="auto"/>
          <w:w w:val="98"/>
          <w:kern w:val="0"/>
          <w:sz w:val="44"/>
          <w:szCs w:val="36"/>
        </w:rPr>
        <w:t>第一师阿拉尔市重污染天气应急预案</w:t>
      </w:r>
    </w:p>
    <w:bookmarkEnd w:id="0"/>
    <w:p>
      <w:pPr>
        <w:spacing w:line="360" w:lineRule="auto"/>
        <w:jc w:val="center"/>
        <w:rPr>
          <w:rFonts w:hint="eastAsia" w:eastAsia="仿宋"/>
          <w:b/>
          <w:color w:val="auto"/>
          <w:spacing w:val="-4"/>
          <w:sz w:val="36"/>
          <w:szCs w:val="36"/>
          <w:lang w:eastAsia="zh-CN"/>
        </w:rPr>
      </w:pPr>
      <w:r>
        <w:rPr>
          <w:rFonts w:hint="eastAsia"/>
          <w:b/>
          <w:color w:val="auto"/>
          <w:spacing w:val="-4"/>
          <w:sz w:val="36"/>
          <w:szCs w:val="36"/>
          <w:lang w:eastAsia="zh-CN"/>
        </w:rPr>
        <w:t>（征求意见稿）</w:t>
      </w:r>
    </w:p>
    <w:p>
      <w:pPr>
        <w:spacing w:line="360" w:lineRule="auto"/>
        <w:jc w:val="center"/>
        <w:rPr>
          <w:b/>
          <w:color w:val="auto"/>
          <w:spacing w:val="-4"/>
          <w:sz w:val="36"/>
          <w:szCs w:val="36"/>
        </w:rPr>
      </w:pPr>
    </w:p>
    <w:p>
      <w:pPr>
        <w:spacing w:line="360" w:lineRule="auto"/>
        <w:jc w:val="center"/>
        <w:rPr>
          <w:b/>
          <w:color w:val="auto"/>
          <w:spacing w:val="-4"/>
          <w:sz w:val="36"/>
          <w:szCs w:val="36"/>
        </w:rPr>
      </w:pPr>
      <w:bookmarkStart w:id="63" w:name="_GoBack"/>
      <w:bookmarkEnd w:id="63"/>
    </w:p>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spacing w:line="360" w:lineRule="auto"/>
        <w:jc w:val="center"/>
        <w:rPr>
          <w:b/>
          <w:color w:val="auto"/>
          <w:spacing w:val="-4"/>
          <w:sz w:val="36"/>
          <w:szCs w:val="36"/>
        </w:rPr>
      </w:pPr>
    </w:p>
    <w:p>
      <w:pPr>
        <w:widowControl/>
        <w:spacing w:line="360" w:lineRule="auto"/>
        <w:jc w:val="center"/>
        <w:rPr>
          <w:rFonts w:eastAsia="黑体"/>
          <w:b/>
          <w:color w:val="auto"/>
          <w:sz w:val="44"/>
          <w:szCs w:val="36"/>
        </w:rPr>
      </w:pPr>
    </w:p>
    <w:p>
      <w:pPr>
        <w:widowControl/>
        <w:spacing w:line="360" w:lineRule="auto"/>
        <w:jc w:val="center"/>
        <w:rPr>
          <w:rFonts w:eastAsia="黑体"/>
          <w:b/>
          <w:color w:val="auto"/>
          <w:sz w:val="44"/>
          <w:szCs w:val="36"/>
        </w:rPr>
      </w:pPr>
    </w:p>
    <w:p>
      <w:pPr>
        <w:widowControl/>
        <w:spacing w:line="360" w:lineRule="auto"/>
        <w:jc w:val="center"/>
        <w:rPr>
          <w:rFonts w:eastAsia="黑体"/>
          <w:b/>
          <w:color w:val="auto"/>
          <w:sz w:val="44"/>
          <w:szCs w:val="36"/>
        </w:rPr>
      </w:pPr>
      <w:r>
        <w:rPr>
          <w:rFonts w:eastAsia="黑体"/>
          <w:b/>
          <w:color w:val="auto"/>
          <w:sz w:val="44"/>
          <w:szCs w:val="36"/>
        </w:rPr>
        <w:t>第一师阿拉尔市生态环境局</w:t>
      </w:r>
    </w:p>
    <w:p>
      <w:pPr>
        <w:widowControl/>
        <w:spacing w:line="360" w:lineRule="auto"/>
        <w:jc w:val="center"/>
        <w:rPr>
          <w:rFonts w:eastAsia="黑体"/>
          <w:b/>
          <w:color w:val="auto"/>
          <w:sz w:val="44"/>
          <w:szCs w:val="36"/>
        </w:rPr>
      </w:pPr>
      <w:r>
        <w:rPr>
          <w:rFonts w:eastAsia="黑体"/>
          <w:b/>
          <w:color w:val="auto"/>
          <w:sz w:val="44"/>
          <w:szCs w:val="36"/>
        </w:rPr>
        <w:t>二〇二</w:t>
      </w:r>
      <w:r>
        <w:rPr>
          <w:rFonts w:hint="eastAsia" w:eastAsia="黑体"/>
          <w:b/>
          <w:color w:val="auto"/>
          <w:sz w:val="44"/>
          <w:szCs w:val="36"/>
          <w:lang w:val="en-US" w:eastAsia="zh-CN"/>
        </w:rPr>
        <w:t>三</w:t>
      </w:r>
      <w:r>
        <w:rPr>
          <w:rFonts w:eastAsia="黑体"/>
          <w:b/>
          <w:color w:val="auto"/>
          <w:sz w:val="44"/>
          <w:szCs w:val="36"/>
        </w:rPr>
        <w:t>年</w:t>
      </w:r>
      <w:r>
        <w:rPr>
          <w:rFonts w:hint="eastAsia" w:eastAsia="黑体"/>
          <w:b/>
          <w:color w:val="auto"/>
          <w:sz w:val="44"/>
          <w:szCs w:val="36"/>
          <w:lang w:val="en-US" w:eastAsia="zh-CN"/>
        </w:rPr>
        <w:t>五</w:t>
      </w:r>
      <w:r>
        <w:rPr>
          <w:rFonts w:eastAsia="黑体"/>
          <w:b/>
          <w:color w:val="auto"/>
          <w:sz w:val="44"/>
          <w:szCs w:val="36"/>
        </w:rPr>
        <w:t>月</w:t>
      </w:r>
    </w:p>
    <w:p>
      <w:pPr>
        <w:widowControl/>
        <w:spacing w:line="360" w:lineRule="auto"/>
        <w:jc w:val="center"/>
        <w:rPr>
          <w:rFonts w:eastAsia="黑体"/>
          <w:b/>
          <w:color w:val="auto"/>
          <w:sz w:val="44"/>
          <w:szCs w:val="36"/>
        </w:rPr>
      </w:pPr>
    </w:p>
    <w:p>
      <w:pPr>
        <w:widowControl/>
        <w:spacing w:line="360" w:lineRule="auto"/>
        <w:jc w:val="center"/>
        <w:rPr>
          <w:rFonts w:eastAsia="黑体"/>
          <w:b/>
          <w:color w:val="auto"/>
          <w:sz w:val="44"/>
          <w:szCs w:val="36"/>
        </w:rPr>
      </w:pPr>
    </w:p>
    <w:p>
      <w:pPr>
        <w:widowControl/>
        <w:spacing w:line="360" w:lineRule="auto"/>
        <w:jc w:val="center"/>
        <w:rPr>
          <w:rFonts w:eastAsia="黑体"/>
          <w:b/>
          <w:color w:val="auto"/>
          <w:sz w:val="44"/>
          <w:szCs w:val="36"/>
        </w:rPr>
      </w:pPr>
    </w:p>
    <w:p>
      <w:pPr>
        <w:spacing w:line="360" w:lineRule="auto"/>
        <w:ind w:firstLine="1988" w:firstLineChars="450"/>
        <w:rPr>
          <w:rFonts w:eastAsia="黑体"/>
          <w:b/>
          <w:color w:val="auto"/>
          <w:sz w:val="44"/>
          <w:szCs w:val="44"/>
        </w:rPr>
      </w:pPr>
    </w:p>
    <w:p>
      <w:pPr>
        <w:rPr>
          <w:color w:val="auto"/>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360" w:lineRule="auto"/>
        <w:jc w:val="center"/>
        <w:rPr>
          <w:b/>
          <w:bCs/>
          <w:color w:val="auto"/>
          <w:sz w:val="44"/>
          <w:szCs w:val="44"/>
          <w:lang w:eastAsia="en-US"/>
        </w:rPr>
      </w:pPr>
      <w:r>
        <w:rPr>
          <w:b/>
          <w:bCs/>
          <w:color w:val="auto"/>
          <w:sz w:val="44"/>
          <w:szCs w:val="44"/>
          <w:lang w:val="zh-CN" w:eastAsia="en-US"/>
        </w:rPr>
        <w:t>目录</w:t>
      </w:r>
    </w:p>
    <w:p>
      <w:pPr>
        <w:pStyle w:val="26"/>
        <w:tabs>
          <w:tab w:val="right" w:leader="dot" w:pos="8306"/>
        </w:tabs>
      </w:pPr>
      <w:r>
        <w:rPr>
          <w:color w:val="auto"/>
          <w:sz w:val="28"/>
          <w:szCs w:val="28"/>
        </w:rPr>
        <w:fldChar w:fldCharType="begin"/>
      </w:r>
      <w:r>
        <w:rPr>
          <w:color w:val="auto"/>
          <w:sz w:val="28"/>
          <w:szCs w:val="28"/>
        </w:rPr>
        <w:instrText xml:space="preserve"> TOC \o "1-2" \h \z \u </w:instrText>
      </w:r>
      <w:r>
        <w:rPr>
          <w:color w:val="auto"/>
          <w:sz w:val="28"/>
          <w:szCs w:val="28"/>
        </w:rPr>
        <w:fldChar w:fldCharType="separate"/>
      </w:r>
      <w:r>
        <w:rPr>
          <w:color w:val="auto"/>
          <w:szCs w:val="28"/>
        </w:rPr>
        <w:fldChar w:fldCharType="begin"/>
      </w:r>
      <w:r>
        <w:rPr>
          <w:szCs w:val="28"/>
        </w:rPr>
        <w:instrText xml:space="preserve"> HYPERLINK \l _Toc25459 </w:instrText>
      </w:r>
      <w:r>
        <w:rPr>
          <w:szCs w:val="28"/>
        </w:rPr>
        <w:fldChar w:fldCharType="separate"/>
      </w:r>
      <w:r>
        <w:rPr>
          <w:kern w:val="0"/>
          <w:szCs w:val="36"/>
        </w:rPr>
        <w:t>0前言</w:t>
      </w:r>
      <w:r>
        <w:tab/>
      </w:r>
      <w:r>
        <w:fldChar w:fldCharType="begin"/>
      </w:r>
      <w:r>
        <w:instrText xml:space="preserve"> PAGEREF _Toc25459 \h </w:instrText>
      </w:r>
      <w:r>
        <w:fldChar w:fldCharType="separate"/>
      </w:r>
      <w:r>
        <w:t>1</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_Toc12733 </w:instrText>
      </w:r>
      <w:r>
        <w:rPr>
          <w:szCs w:val="28"/>
        </w:rPr>
        <w:fldChar w:fldCharType="separate"/>
      </w:r>
      <w:r>
        <w:rPr>
          <w:kern w:val="0"/>
          <w:szCs w:val="36"/>
        </w:rPr>
        <w:t>1总则</w:t>
      </w:r>
      <w:r>
        <w:tab/>
      </w:r>
      <w:r>
        <w:fldChar w:fldCharType="begin"/>
      </w:r>
      <w:r>
        <w:instrText xml:space="preserve"> PAGEREF _Toc12733 \h </w:instrText>
      </w:r>
      <w:r>
        <w:fldChar w:fldCharType="separate"/>
      </w:r>
      <w:r>
        <w:t>2</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_Toc21087 </w:instrText>
      </w:r>
      <w:r>
        <w:rPr>
          <w:szCs w:val="28"/>
        </w:rPr>
        <w:fldChar w:fldCharType="separate"/>
      </w:r>
      <w:r>
        <w:rPr>
          <w:bCs w:val="0"/>
          <w:kern w:val="0"/>
          <w:lang w:val="zh-CN"/>
        </w:rPr>
        <w:t>1.1编制</w:t>
      </w:r>
      <w:r>
        <w:rPr>
          <w:rFonts w:hint="eastAsia"/>
          <w:bCs w:val="0"/>
          <w:kern w:val="0"/>
          <w:lang w:val="zh-CN"/>
        </w:rPr>
        <w:t>目的</w:t>
      </w:r>
      <w:r>
        <w:tab/>
      </w:r>
      <w:r>
        <w:fldChar w:fldCharType="begin"/>
      </w:r>
      <w:r>
        <w:instrText xml:space="preserve"> PAGEREF _Toc21087 \h </w:instrText>
      </w:r>
      <w:r>
        <w:fldChar w:fldCharType="separate"/>
      </w:r>
      <w:r>
        <w:t>2</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_Toc1256 </w:instrText>
      </w:r>
      <w:r>
        <w:rPr>
          <w:szCs w:val="28"/>
        </w:rPr>
        <w:fldChar w:fldCharType="separate"/>
      </w:r>
      <w:r>
        <w:rPr>
          <w:bCs w:val="0"/>
          <w:kern w:val="0"/>
          <w:lang w:val="zh-CN"/>
        </w:rPr>
        <w:t>1.2编制</w:t>
      </w:r>
      <w:r>
        <w:rPr>
          <w:rFonts w:hint="eastAsia"/>
          <w:bCs w:val="0"/>
          <w:kern w:val="0"/>
          <w:lang w:val="zh-CN"/>
        </w:rPr>
        <w:t>依据</w:t>
      </w:r>
      <w:r>
        <w:tab/>
      </w:r>
      <w:r>
        <w:fldChar w:fldCharType="begin"/>
      </w:r>
      <w:r>
        <w:instrText xml:space="preserve"> PAGEREF _Toc1256 \h </w:instrText>
      </w:r>
      <w:r>
        <w:fldChar w:fldCharType="separate"/>
      </w:r>
      <w:r>
        <w:t>2</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_Toc19253 </w:instrText>
      </w:r>
      <w:r>
        <w:rPr>
          <w:szCs w:val="28"/>
        </w:rPr>
        <w:fldChar w:fldCharType="separate"/>
      </w:r>
      <w:r>
        <w:rPr>
          <w:bCs w:val="0"/>
          <w:kern w:val="0"/>
          <w:lang w:val="zh-CN"/>
        </w:rPr>
        <w:t>1.</w:t>
      </w:r>
      <w:r>
        <w:rPr>
          <w:bCs w:val="0"/>
          <w:kern w:val="0"/>
        </w:rPr>
        <w:t>3</w:t>
      </w:r>
      <w:r>
        <w:rPr>
          <w:rFonts w:hint="eastAsia"/>
          <w:bCs w:val="0"/>
          <w:kern w:val="0"/>
          <w:lang w:val="zh-CN"/>
        </w:rPr>
        <w:t>适用范围</w:t>
      </w:r>
      <w:r>
        <w:tab/>
      </w:r>
      <w:r>
        <w:fldChar w:fldCharType="begin"/>
      </w:r>
      <w:r>
        <w:instrText xml:space="preserve"> PAGEREF _Toc19253 \h </w:instrText>
      </w:r>
      <w:r>
        <w:fldChar w:fldCharType="separate"/>
      </w:r>
      <w:r>
        <w:t>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_Toc19715 </w:instrText>
      </w:r>
      <w:r>
        <w:rPr>
          <w:szCs w:val="28"/>
        </w:rPr>
        <w:fldChar w:fldCharType="separate"/>
      </w:r>
      <w:r>
        <w:rPr>
          <w:bCs w:val="0"/>
          <w:kern w:val="0"/>
          <w:lang w:val="zh-CN"/>
        </w:rPr>
        <w:t>1.</w:t>
      </w:r>
      <w:r>
        <w:rPr>
          <w:rFonts w:hint="default"/>
          <w:bCs w:val="0"/>
          <w:kern w:val="0"/>
          <w:lang w:val="en-US"/>
        </w:rPr>
        <w:t>4</w:t>
      </w:r>
      <w:r>
        <w:rPr>
          <w:rFonts w:hint="eastAsia"/>
          <w:bCs w:val="0"/>
          <w:kern w:val="0"/>
        </w:rPr>
        <w:t>工作原则</w:t>
      </w:r>
      <w:r>
        <w:tab/>
      </w:r>
      <w:r>
        <w:fldChar w:fldCharType="begin"/>
      </w:r>
      <w:r>
        <w:instrText xml:space="preserve"> PAGEREF _Toc19715 \h </w:instrText>
      </w:r>
      <w:r>
        <w:fldChar w:fldCharType="separate"/>
      </w:r>
      <w:r>
        <w:t>4</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_Toc15912 </w:instrText>
      </w:r>
      <w:r>
        <w:rPr>
          <w:szCs w:val="28"/>
        </w:rPr>
        <w:fldChar w:fldCharType="separate"/>
      </w:r>
      <w:r>
        <w:rPr>
          <w:bCs w:val="0"/>
          <w:kern w:val="0"/>
          <w:lang w:val="zh-CN"/>
        </w:rPr>
        <w:t>1.</w:t>
      </w:r>
      <w:r>
        <w:rPr>
          <w:rFonts w:hint="default"/>
          <w:bCs w:val="0"/>
          <w:kern w:val="0"/>
          <w:lang w:val="en-US"/>
        </w:rPr>
        <w:t>5</w:t>
      </w:r>
      <w:r>
        <w:rPr>
          <w:rFonts w:hint="eastAsia"/>
          <w:bCs w:val="0"/>
          <w:kern w:val="0"/>
        </w:rPr>
        <w:t>预案体系</w:t>
      </w:r>
      <w:r>
        <w:tab/>
      </w:r>
      <w:r>
        <w:fldChar w:fldCharType="begin"/>
      </w:r>
      <w:r>
        <w:instrText xml:space="preserve"> PAGEREF _Toc15912 \h </w:instrText>
      </w:r>
      <w:r>
        <w:fldChar w:fldCharType="separate"/>
      </w:r>
      <w:r>
        <w:t>4</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_Toc26876 </w:instrText>
      </w:r>
      <w:r>
        <w:rPr>
          <w:szCs w:val="28"/>
        </w:rPr>
        <w:fldChar w:fldCharType="separate"/>
      </w:r>
      <w:r>
        <w:rPr>
          <w:bCs w:val="0"/>
          <w:kern w:val="0"/>
        </w:rPr>
        <w:t>1.6应急预案关系说明</w:t>
      </w:r>
      <w:r>
        <w:tab/>
      </w:r>
      <w:r>
        <w:fldChar w:fldCharType="begin"/>
      </w:r>
      <w:r>
        <w:instrText xml:space="preserve"> PAGEREF _Toc26876 \h </w:instrText>
      </w:r>
      <w:r>
        <w:fldChar w:fldCharType="separate"/>
      </w:r>
      <w:r>
        <w:t>4</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_Toc2028 </w:instrText>
      </w:r>
      <w:r>
        <w:rPr>
          <w:szCs w:val="28"/>
        </w:rPr>
        <w:fldChar w:fldCharType="separate"/>
      </w:r>
      <w:r>
        <w:rPr>
          <w:kern w:val="0"/>
          <w:szCs w:val="36"/>
        </w:rPr>
        <w:t>2</w:t>
      </w:r>
      <w:r>
        <w:rPr>
          <w:rFonts w:hint="eastAsia"/>
          <w:kern w:val="0"/>
          <w:szCs w:val="36"/>
        </w:rPr>
        <w:t>组织机构及职责</w:t>
      </w:r>
      <w:r>
        <w:tab/>
      </w:r>
      <w:r>
        <w:fldChar w:fldCharType="begin"/>
      </w:r>
      <w:r>
        <w:instrText xml:space="preserve"> PAGEREF _Toc2028 \h </w:instrText>
      </w:r>
      <w:r>
        <w:fldChar w:fldCharType="separate"/>
      </w:r>
      <w:r>
        <w:t>5</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_Toc15938 </w:instrText>
      </w:r>
      <w:r>
        <w:rPr>
          <w:szCs w:val="28"/>
        </w:rPr>
        <w:fldChar w:fldCharType="separate"/>
      </w:r>
      <w:r>
        <w:rPr>
          <w:bCs w:val="0"/>
          <w:kern w:val="0"/>
          <w:lang w:val="zh-CN"/>
        </w:rPr>
        <w:t>2.1</w:t>
      </w:r>
      <w:r>
        <w:rPr>
          <w:rFonts w:hint="eastAsia"/>
          <w:bCs w:val="0"/>
          <w:kern w:val="0"/>
          <w:lang w:val="zh-CN"/>
        </w:rPr>
        <w:t>组织机构</w:t>
      </w:r>
      <w:r>
        <w:tab/>
      </w:r>
      <w:r>
        <w:fldChar w:fldCharType="begin"/>
      </w:r>
      <w:r>
        <w:instrText xml:space="preserve"> PAGEREF _Toc15938 \h </w:instrText>
      </w:r>
      <w:r>
        <w:fldChar w:fldCharType="separate"/>
      </w:r>
      <w:r>
        <w:t>5</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_Toc19835 </w:instrText>
      </w:r>
      <w:r>
        <w:rPr>
          <w:szCs w:val="28"/>
        </w:rPr>
        <w:fldChar w:fldCharType="separate"/>
      </w:r>
      <w:r>
        <w:rPr>
          <w:bCs w:val="0"/>
          <w:kern w:val="0"/>
          <w:lang w:val="zh-CN"/>
        </w:rPr>
        <w:t>2.2</w:t>
      </w:r>
      <w:r>
        <w:rPr>
          <w:rFonts w:hint="eastAsia"/>
          <w:bCs w:val="0"/>
          <w:kern w:val="0"/>
          <w:lang w:val="zh-CN"/>
        </w:rPr>
        <w:t>组织职责</w:t>
      </w:r>
      <w:r>
        <w:tab/>
      </w:r>
      <w:r>
        <w:fldChar w:fldCharType="begin"/>
      </w:r>
      <w:r>
        <w:instrText xml:space="preserve"> PAGEREF _Toc19835 \h </w:instrText>
      </w:r>
      <w:r>
        <w:fldChar w:fldCharType="separate"/>
      </w:r>
      <w:r>
        <w:t>5</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_Toc1554 </w:instrText>
      </w:r>
      <w:r>
        <w:rPr>
          <w:szCs w:val="28"/>
        </w:rPr>
        <w:fldChar w:fldCharType="separate"/>
      </w:r>
      <w:r>
        <w:rPr>
          <w:kern w:val="0"/>
          <w:szCs w:val="36"/>
        </w:rPr>
        <w:t>3</w:t>
      </w:r>
      <w:r>
        <w:rPr>
          <w:rFonts w:hint="eastAsia"/>
          <w:kern w:val="0"/>
          <w:szCs w:val="36"/>
        </w:rPr>
        <w:t>监测与预警</w:t>
      </w:r>
      <w:r>
        <w:tab/>
      </w:r>
      <w:r>
        <w:fldChar w:fldCharType="begin"/>
      </w:r>
      <w:r>
        <w:instrText xml:space="preserve"> PAGEREF _Toc1554 \h </w:instrText>
      </w:r>
      <w:r>
        <w:fldChar w:fldCharType="separate"/>
      </w:r>
      <w:r>
        <w:t>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_Toc29372 </w:instrText>
      </w:r>
      <w:r>
        <w:rPr>
          <w:szCs w:val="28"/>
        </w:rPr>
        <w:fldChar w:fldCharType="separate"/>
      </w:r>
      <w:r>
        <w:rPr>
          <w:bCs w:val="0"/>
          <w:kern w:val="0"/>
          <w:lang w:val="zh-CN"/>
        </w:rPr>
        <w:t>3</w:t>
      </w:r>
      <w:r>
        <w:rPr>
          <w:rFonts w:hint="eastAsia"/>
          <w:bCs w:val="0"/>
          <w:kern w:val="0"/>
          <w:lang w:val="zh-CN"/>
        </w:rPr>
        <w:t>.</w:t>
      </w:r>
      <w:r>
        <w:rPr>
          <w:bCs w:val="0"/>
          <w:kern w:val="0"/>
          <w:lang w:val="zh-CN"/>
        </w:rPr>
        <w:t>1</w:t>
      </w:r>
      <w:r>
        <w:rPr>
          <w:rFonts w:hint="eastAsia"/>
          <w:bCs w:val="0"/>
          <w:kern w:val="0"/>
          <w:lang w:val="en-US" w:eastAsia="zh-CN"/>
        </w:rPr>
        <w:t>预报</w:t>
      </w:r>
      <w:r>
        <w:tab/>
      </w:r>
      <w:r>
        <w:fldChar w:fldCharType="begin"/>
      </w:r>
      <w:r>
        <w:instrText xml:space="preserve"> PAGEREF _Toc29372 \h </w:instrText>
      </w:r>
      <w:r>
        <w:fldChar w:fldCharType="separate"/>
      </w:r>
      <w:r>
        <w:t>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_Toc19938 </w:instrText>
      </w:r>
      <w:r>
        <w:rPr>
          <w:szCs w:val="28"/>
        </w:rPr>
        <w:fldChar w:fldCharType="separate"/>
      </w:r>
      <w:r>
        <w:rPr>
          <w:rFonts w:hint="default"/>
          <w:bCs w:val="0"/>
          <w:kern w:val="0"/>
          <w:lang w:val="en-US"/>
        </w:rPr>
        <w:t>3.2</w:t>
      </w:r>
      <w:r>
        <w:rPr>
          <w:rFonts w:hint="eastAsia"/>
          <w:bCs w:val="0"/>
          <w:kern w:val="0"/>
          <w:lang w:val="en-US" w:eastAsia="zh-CN"/>
        </w:rPr>
        <w:t>会商</w:t>
      </w:r>
      <w:r>
        <w:tab/>
      </w:r>
      <w:r>
        <w:fldChar w:fldCharType="begin"/>
      </w:r>
      <w:r>
        <w:instrText xml:space="preserve"> PAGEREF _Toc19938 \h </w:instrText>
      </w:r>
      <w:r>
        <w:fldChar w:fldCharType="separate"/>
      </w:r>
      <w:r>
        <w:t>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_Toc27569 </w:instrText>
      </w:r>
      <w:r>
        <w:rPr>
          <w:szCs w:val="28"/>
        </w:rPr>
        <w:fldChar w:fldCharType="separate"/>
      </w:r>
      <w:r>
        <w:rPr>
          <w:bCs w:val="0"/>
          <w:kern w:val="0"/>
          <w:lang w:val="zh-CN"/>
        </w:rPr>
        <w:t>3.</w:t>
      </w:r>
      <w:r>
        <w:rPr>
          <w:rFonts w:hint="default"/>
          <w:bCs w:val="0"/>
          <w:kern w:val="0"/>
          <w:lang w:val="en-US"/>
        </w:rPr>
        <w:t>3</w:t>
      </w:r>
      <w:r>
        <w:rPr>
          <w:rFonts w:hint="eastAsia"/>
          <w:bCs w:val="0"/>
          <w:kern w:val="0"/>
          <w:lang w:val="zh-CN"/>
        </w:rPr>
        <w:t>预警分级</w:t>
      </w:r>
      <w:r>
        <w:tab/>
      </w:r>
      <w:r>
        <w:fldChar w:fldCharType="begin"/>
      </w:r>
      <w:r>
        <w:instrText xml:space="preserve"> PAGEREF _Toc27569 \h </w:instrText>
      </w:r>
      <w:r>
        <w:fldChar w:fldCharType="separate"/>
      </w:r>
      <w:r>
        <w:t>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_Toc3184 </w:instrText>
      </w:r>
      <w:r>
        <w:rPr>
          <w:szCs w:val="28"/>
        </w:rPr>
        <w:fldChar w:fldCharType="separate"/>
      </w:r>
      <w:r>
        <w:rPr>
          <w:bCs w:val="0"/>
          <w:kern w:val="0"/>
          <w:lang w:val="zh-CN"/>
        </w:rPr>
        <w:t>3.3</w:t>
      </w:r>
      <w:r>
        <w:rPr>
          <w:rFonts w:hint="eastAsia"/>
          <w:bCs w:val="0"/>
          <w:kern w:val="0"/>
          <w:lang w:val="zh-CN"/>
        </w:rPr>
        <w:t>预警发布与解除</w:t>
      </w:r>
      <w:r>
        <w:tab/>
      </w:r>
      <w:r>
        <w:fldChar w:fldCharType="begin"/>
      </w:r>
      <w:r>
        <w:instrText xml:space="preserve"> PAGEREF _Toc3184 \h </w:instrText>
      </w:r>
      <w:r>
        <w:fldChar w:fldCharType="separate"/>
      </w:r>
      <w:r>
        <w:t>10</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_Toc25566 </w:instrText>
      </w:r>
      <w:r>
        <w:rPr>
          <w:szCs w:val="28"/>
        </w:rPr>
        <w:fldChar w:fldCharType="separate"/>
      </w:r>
      <w:r>
        <w:rPr>
          <w:rFonts w:hint="eastAsia"/>
          <w:bCs w:val="0"/>
          <w:kern w:val="0"/>
          <w:lang w:val="zh-CN"/>
        </w:rPr>
        <w:t>3.</w:t>
      </w:r>
      <w:r>
        <w:rPr>
          <w:bCs w:val="0"/>
          <w:kern w:val="0"/>
          <w:lang w:val="zh-CN"/>
        </w:rPr>
        <w:t>4</w:t>
      </w:r>
      <w:r>
        <w:rPr>
          <w:rFonts w:hint="eastAsia"/>
          <w:bCs w:val="0"/>
          <w:kern w:val="0"/>
          <w:lang w:val="zh-CN"/>
        </w:rPr>
        <w:t>预警响应</w:t>
      </w:r>
      <w:r>
        <w:tab/>
      </w:r>
      <w:r>
        <w:fldChar w:fldCharType="begin"/>
      </w:r>
      <w:r>
        <w:instrText xml:space="preserve"> PAGEREF _Toc25566 \h </w:instrText>
      </w:r>
      <w:r>
        <w:fldChar w:fldCharType="separate"/>
      </w:r>
      <w:r>
        <w:t>11</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_Toc30721 </w:instrText>
      </w:r>
      <w:r>
        <w:rPr>
          <w:szCs w:val="28"/>
        </w:rPr>
        <w:fldChar w:fldCharType="separate"/>
      </w:r>
      <w:r>
        <w:rPr>
          <w:kern w:val="0"/>
          <w:szCs w:val="36"/>
        </w:rPr>
        <w:t>4</w:t>
      </w:r>
      <w:r>
        <w:rPr>
          <w:rFonts w:hint="eastAsia"/>
          <w:kern w:val="0"/>
          <w:szCs w:val="36"/>
        </w:rPr>
        <w:t>应急响应</w:t>
      </w:r>
      <w:r>
        <w:tab/>
      </w:r>
      <w:r>
        <w:fldChar w:fldCharType="begin"/>
      </w:r>
      <w:r>
        <w:instrText xml:space="preserve"> PAGEREF _Toc30721 \h </w:instrText>
      </w:r>
      <w:r>
        <w:fldChar w:fldCharType="separate"/>
      </w:r>
      <w:r>
        <w:t>13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_Toc22013 </w:instrText>
      </w:r>
      <w:r>
        <w:rPr>
          <w:szCs w:val="28"/>
        </w:rPr>
        <w:fldChar w:fldCharType="separate"/>
      </w:r>
      <w:r>
        <w:rPr>
          <w:bCs w:val="0"/>
          <w:kern w:val="0"/>
          <w:lang w:val="zh-CN"/>
        </w:rPr>
        <w:t>4.1</w:t>
      </w:r>
      <w:r>
        <w:rPr>
          <w:rFonts w:hint="eastAsia"/>
          <w:bCs w:val="0"/>
          <w:kern w:val="0"/>
          <w:lang w:val="zh-CN"/>
        </w:rPr>
        <w:t>应急响应分级</w:t>
      </w:r>
      <w:r>
        <w:tab/>
      </w:r>
      <w:r>
        <w:fldChar w:fldCharType="begin"/>
      </w:r>
      <w:r>
        <w:instrText xml:space="preserve"> PAGEREF _Toc22013 \h </w:instrText>
      </w:r>
      <w:r>
        <w:fldChar w:fldCharType="separate"/>
      </w:r>
      <w:r>
        <w:t>13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_Toc28623 </w:instrText>
      </w:r>
      <w:r>
        <w:rPr>
          <w:szCs w:val="28"/>
        </w:rPr>
        <w:fldChar w:fldCharType="separate"/>
      </w:r>
      <w:r>
        <w:rPr>
          <w:bCs w:val="0"/>
          <w:kern w:val="0"/>
          <w:lang w:val="zh-CN"/>
        </w:rPr>
        <w:t>4.2</w:t>
      </w:r>
      <w:r>
        <w:rPr>
          <w:rFonts w:hint="eastAsia"/>
          <w:bCs w:val="0"/>
          <w:kern w:val="0"/>
          <w:lang w:val="en-US" w:eastAsia="zh-CN"/>
        </w:rPr>
        <w:t>应急</w:t>
      </w:r>
      <w:r>
        <w:rPr>
          <w:rFonts w:hint="eastAsia"/>
          <w:bCs w:val="0"/>
          <w:kern w:val="0"/>
          <w:lang w:val="zh-CN"/>
        </w:rPr>
        <w:t>响应</w:t>
      </w:r>
      <w:r>
        <w:rPr>
          <w:rFonts w:hint="eastAsia"/>
          <w:bCs w:val="0"/>
          <w:kern w:val="0"/>
          <w:lang w:val="en-US" w:eastAsia="zh-CN"/>
        </w:rPr>
        <w:t>启动</w:t>
      </w:r>
      <w:r>
        <w:rPr>
          <w:rFonts w:hint="eastAsia"/>
          <w:bCs w:val="0"/>
          <w:kern w:val="0"/>
          <w:lang w:val="zh-CN"/>
        </w:rPr>
        <w:t>程序</w:t>
      </w:r>
      <w:r>
        <w:tab/>
      </w:r>
      <w:r>
        <w:fldChar w:fldCharType="begin"/>
      </w:r>
      <w:r>
        <w:instrText xml:space="preserve"> PAGEREF _Toc28623 \h </w:instrText>
      </w:r>
      <w:r>
        <w:fldChar w:fldCharType="separate"/>
      </w:r>
      <w:r>
        <w:t>13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_Toc15931 </w:instrText>
      </w:r>
      <w:r>
        <w:rPr>
          <w:szCs w:val="28"/>
        </w:rPr>
        <w:fldChar w:fldCharType="separate"/>
      </w:r>
      <w:r>
        <w:rPr>
          <w:rFonts w:hint="eastAsia"/>
          <w:bCs w:val="0"/>
          <w:kern w:val="0"/>
          <w:lang w:val="zh-CN"/>
        </w:rPr>
        <w:t>4.3</w:t>
      </w:r>
      <w:r>
        <w:rPr>
          <w:rFonts w:hint="eastAsia"/>
          <w:bCs w:val="0"/>
          <w:kern w:val="0"/>
          <w:lang w:val="en-US" w:eastAsia="zh-CN"/>
        </w:rPr>
        <w:t>应急</w:t>
      </w:r>
      <w:r>
        <w:rPr>
          <w:rFonts w:hint="eastAsia"/>
          <w:bCs w:val="0"/>
          <w:kern w:val="0"/>
          <w:lang w:val="zh-CN"/>
        </w:rPr>
        <w:t>响应措施</w:t>
      </w:r>
      <w:r>
        <w:tab/>
      </w:r>
      <w:r>
        <w:fldChar w:fldCharType="begin"/>
      </w:r>
      <w:r>
        <w:instrText xml:space="preserve"> PAGEREF _Toc15931 \h </w:instrText>
      </w:r>
      <w:r>
        <w:fldChar w:fldCharType="separate"/>
      </w:r>
      <w:r>
        <w:t>14</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_Toc6587 </w:instrText>
      </w:r>
      <w:r>
        <w:rPr>
          <w:szCs w:val="28"/>
        </w:rPr>
        <w:fldChar w:fldCharType="separate"/>
      </w:r>
      <w:r>
        <w:rPr>
          <w:rFonts w:hint="eastAsia"/>
          <w:bCs w:val="0"/>
          <w:kern w:val="0"/>
          <w:lang w:val="zh-CN"/>
        </w:rPr>
        <w:t>4.4响应终止</w:t>
      </w:r>
      <w:r>
        <w:tab/>
      </w:r>
      <w:r>
        <w:fldChar w:fldCharType="begin"/>
      </w:r>
      <w:r>
        <w:instrText xml:space="preserve"> PAGEREF _Toc6587 \h </w:instrText>
      </w:r>
      <w:r>
        <w:fldChar w:fldCharType="separate"/>
      </w:r>
      <w:r>
        <w:t>26</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_Toc9118 </w:instrText>
      </w:r>
      <w:r>
        <w:rPr>
          <w:szCs w:val="28"/>
        </w:rPr>
        <w:fldChar w:fldCharType="separate"/>
      </w:r>
      <w:r>
        <w:rPr>
          <w:kern w:val="0"/>
          <w:szCs w:val="36"/>
        </w:rPr>
        <w:t>5</w:t>
      </w:r>
      <w:r>
        <w:rPr>
          <w:rFonts w:hint="eastAsia"/>
          <w:kern w:val="0"/>
          <w:szCs w:val="36"/>
        </w:rPr>
        <w:t>信息</w:t>
      </w:r>
      <w:r>
        <w:rPr>
          <w:rFonts w:hint="eastAsia"/>
          <w:kern w:val="0"/>
          <w:szCs w:val="36"/>
          <w:lang w:val="en-US" w:eastAsia="zh-CN"/>
        </w:rPr>
        <w:t>上报和总结评估</w:t>
      </w:r>
      <w:r>
        <w:tab/>
      </w:r>
      <w:r>
        <w:fldChar w:fldCharType="begin"/>
      </w:r>
      <w:r>
        <w:instrText xml:space="preserve"> PAGEREF _Toc9118 \h </w:instrText>
      </w:r>
      <w:r>
        <w:fldChar w:fldCharType="separate"/>
      </w:r>
      <w:r>
        <w:t>27</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_Toc7869 </w:instrText>
      </w:r>
      <w:r>
        <w:rPr>
          <w:szCs w:val="28"/>
        </w:rPr>
        <w:fldChar w:fldCharType="separate"/>
      </w:r>
      <w:r>
        <w:rPr>
          <w:rFonts w:hint="eastAsia"/>
          <w:bCs w:val="0"/>
          <w:kern w:val="0"/>
          <w:lang w:val="zh-CN"/>
        </w:rPr>
        <w:t>5.1信息发布</w:t>
      </w:r>
      <w:r>
        <w:tab/>
      </w:r>
      <w:r>
        <w:fldChar w:fldCharType="begin"/>
      </w:r>
      <w:r>
        <w:instrText xml:space="preserve"> PAGEREF _Toc7869 \h </w:instrText>
      </w:r>
      <w:r>
        <w:fldChar w:fldCharType="separate"/>
      </w:r>
      <w:r>
        <w:t>27</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_Toc22842 </w:instrText>
      </w:r>
      <w:r>
        <w:rPr>
          <w:szCs w:val="28"/>
        </w:rPr>
        <w:fldChar w:fldCharType="separate"/>
      </w:r>
      <w:r>
        <w:rPr>
          <w:rFonts w:hint="eastAsia"/>
          <w:bCs w:val="0"/>
          <w:kern w:val="0"/>
          <w:lang w:val="zh-CN"/>
        </w:rPr>
        <w:t>5.2信息报送</w:t>
      </w:r>
      <w:r>
        <w:tab/>
      </w:r>
      <w:r>
        <w:fldChar w:fldCharType="begin"/>
      </w:r>
      <w:r>
        <w:instrText xml:space="preserve"> PAGEREF _Toc22842 \h </w:instrText>
      </w:r>
      <w:r>
        <w:fldChar w:fldCharType="separate"/>
      </w:r>
      <w:r>
        <w:t>27</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_Toc937 </w:instrText>
      </w:r>
      <w:r>
        <w:rPr>
          <w:szCs w:val="28"/>
        </w:rPr>
        <w:fldChar w:fldCharType="separate"/>
      </w:r>
      <w:r>
        <w:rPr>
          <w:rFonts w:hint="default"/>
          <w:bCs w:val="0"/>
          <w:kern w:val="0"/>
          <w:lang w:val="en-US"/>
        </w:rPr>
        <w:t>5.3</w:t>
      </w:r>
      <w:r>
        <w:rPr>
          <w:rFonts w:hint="eastAsia"/>
          <w:bCs w:val="0"/>
          <w:kern w:val="0"/>
          <w:lang w:val="zh-CN"/>
        </w:rPr>
        <w:t>总结评估</w:t>
      </w:r>
      <w:r>
        <w:tab/>
      </w:r>
      <w:r>
        <w:fldChar w:fldCharType="begin"/>
      </w:r>
      <w:r>
        <w:instrText xml:space="preserve"> PAGEREF _Toc937 \h </w:instrText>
      </w:r>
      <w:r>
        <w:fldChar w:fldCharType="separate"/>
      </w:r>
      <w:r>
        <w:t>27</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_Toc7769 </w:instrText>
      </w:r>
      <w:r>
        <w:rPr>
          <w:szCs w:val="28"/>
        </w:rPr>
        <w:fldChar w:fldCharType="separate"/>
      </w:r>
      <w:r>
        <w:rPr>
          <w:rFonts w:hint="eastAsia"/>
          <w:kern w:val="0"/>
          <w:szCs w:val="36"/>
        </w:rPr>
        <w:t>6应急保障</w:t>
      </w:r>
      <w:r>
        <w:tab/>
      </w:r>
      <w:r>
        <w:fldChar w:fldCharType="begin"/>
      </w:r>
      <w:r>
        <w:instrText xml:space="preserve"> PAGEREF _Toc7769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_Toc18752 </w:instrText>
      </w:r>
      <w:r>
        <w:rPr>
          <w:szCs w:val="28"/>
        </w:rPr>
        <w:fldChar w:fldCharType="separate"/>
      </w:r>
      <w:r>
        <w:rPr>
          <w:rFonts w:hint="eastAsia"/>
          <w:bCs w:val="0"/>
          <w:kern w:val="0"/>
          <w:lang w:val="zh-CN"/>
        </w:rPr>
        <w:t>6.1人力资源保障</w:t>
      </w:r>
      <w:r>
        <w:tab/>
      </w:r>
      <w:r>
        <w:fldChar w:fldCharType="begin"/>
      </w:r>
      <w:r>
        <w:instrText xml:space="preserve"> PAGEREF _Toc18752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_Toc15574 </w:instrText>
      </w:r>
      <w:r>
        <w:rPr>
          <w:szCs w:val="28"/>
        </w:rPr>
        <w:fldChar w:fldCharType="separate"/>
      </w:r>
      <w:r>
        <w:rPr>
          <w:rFonts w:hint="eastAsia"/>
          <w:bCs w:val="0"/>
          <w:kern w:val="0"/>
          <w:lang w:val="zh-CN"/>
        </w:rPr>
        <w:t>6.</w:t>
      </w:r>
      <w:r>
        <w:rPr>
          <w:rFonts w:hint="default"/>
          <w:bCs w:val="0"/>
          <w:kern w:val="0"/>
          <w:lang w:val="en-US"/>
        </w:rPr>
        <w:t>2</w:t>
      </w:r>
      <w:r>
        <w:rPr>
          <w:rFonts w:hint="eastAsia"/>
          <w:bCs w:val="0"/>
          <w:kern w:val="0"/>
          <w:lang w:val="zh-CN"/>
        </w:rPr>
        <w:t>监测</w:t>
      </w:r>
      <w:r>
        <w:rPr>
          <w:rFonts w:hint="eastAsia"/>
          <w:bCs w:val="0"/>
          <w:kern w:val="0"/>
          <w:lang w:val="en-US" w:eastAsia="zh-CN"/>
        </w:rPr>
        <w:t>与</w:t>
      </w:r>
      <w:r>
        <w:rPr>
          <w:rFonts w:hint="eastAsia"/>
          <w:bCs w:val="0"/>
          <w:kern w:val="0"/>
          <w:lang w:val="zh-CN"/>
        </w:rPr>
        <w:t>预警能力保障</w:t>
      </w:r>
      <w:r>
        <w:tab/>
      </w:r>
      <w:r>
        <w:fldChar w:fldCharType="begin"/>
      </w:r>
      <w:r>
        <w:instrText xml:space="preserve"> PAGEREF _Toc15574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_Toc5543 </w:instrText>
      </w:r>
      <w:r>
        <w:rPr>
          <w:szCs w:val="28"/>
        </w:rPr>
        <w:fldChar w:fldCharType="separate"/>
      </w:r>
      <w:r>
        <w:rPr>
          <w:rFonts w:hint="eastAsia"/>
          <w:bCs w:val="0"/>
          <w:kern w:val="0"/>
          <w:lang w:val="zh-CN"/>
        </w:rPr>
        <w:t>6.3物资保障</w:t>
      </w:r>
      <w:r>
        <w:tab/>
      </w:r>
      <w:r>
        <w:fldChar w:fldCharType="begin"/>
      </w:r>
      <w:r>
        <w:instrText xml:space="preserve"> PAGEREF _Toc5543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_Toc32551 </w:instrText>
      </w:r>
      <w:r>
        <w:rPr>
          <w:szCs w:val="28"/>
        </w:rPr>
        <w:fldChar w:fldCharType="separate"/>
      </w:r>
      <w:r>
        <w:rPr>
          <w:rFonts w:hint="eastAsia"/>
          <w:bCs w:val="0"/>
          <w:kern w:val="0"/>
          <w:lang w:val="zh-CN"/>
        </w:rPr>
        <w:t>6.4预报能力保障</w:t>
      </w:r>
      <w:r>
        <w:tab/>
      </w:r>
      <w:r>
        <w:fldChar w:fldCharType="begin"/>
      </w:r>
      <w:r>
        <w:instrText xml:space="preserve"> PAGEREF _Toc32551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_Toc31420 </w:instrText>
      </w:r>
      <w:r>
        <w:rPr>
          <w:szCs w:val="28"/>
        </w:rPr>
        <w:fldChar w:fldCharType="separate"/>
      </w:r>
      <w:r>
        <w:rPr>
          <w:rFonts w:hint="eastAsia"/>
          <w:bCs w:val="0"/>
          <w:kern w:val="0"/>
          <w:lang w:val="zh-CN"/>
        </w:rPr>
        <w:t>6.</w:t>
      </w:r>
      <w:r>
        <w:rPr>
          <w:rFonts w:hint="default"/>
          <w:bCs w:val="0"/>
          <w:kern w:val="0"/>
          <w:lang w:val="en-US"/>
        </w:rPr>
        <w:t>5</w:t>
      </w:r>
      <w:r>
        <w:rPr>
          <w:rFonts w:hint="eastAsia"/>
          <w:bCs w:val="0"/>
          <w:kern w:val="0"/>
          <w:lang w:val="zh-CN"/>
        </w:rPr>
        <w:t>组织保障</w:t>
      </w:r>
      <w:r>
        <w:tab/>
      </w:r>
      <w:r>
        <w:fldChar w:fldCharType="begin"/>
      </w:r>
      <w:r>
        <w:instrText xml:space="preserve"> PAGEREF _Toc31420 \h </w:instrText>
      </w:r>
      <w:r>
        <w:fldChar w:fldCharType="separate"/>
      </w:r>
      <w:r>
        <w:t>29</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_Toc25587 </w:instrText>
      </w:r>
      <w:r>
        <w:rPr>
          <w:szCs w:val="28"/>
        </w:rPr>
        <w:fldChar w:fldCharType="separate"/>
      </w:r>
      <w:r>
        <w:rPr>
          <w:rFonts w:hint="eastAsia"/>
          <w:bCs w:val="0"/>
          <w:kern w:val="0"/>
          <w:lang w:val="zh-CN"/>
        </w:rPr>
        <w:t>6.</w:t>
      </w:r>
      <w:r>
        <w:rPr>
          <w:rFonts w:hint="default"/>
          <w:bCs w:val="0"/>
          <w:kern w:val="0"/>
          <w:lang w:val="en-US"/>
        </w:rPr>
        <w:t>6</w:t>
      </w:r>
      <w:r>
        <w:rPr>
          <w:rFonts w:hint="eastAsia"/>
          <w:bCs w:val="0"/>
          <w:kern w:val="0"/>
          <w:lang w:val="en-US" w:eastAsia="zh-CN"/>
        </w:rPr>
        <w:t>经费</w:t>
      </w:r>
      <w:r>
        <w:rPr>
          <w:rFonts w:hint="eastAsia"/>
          <w:bCs w:val="0"/>
          <w:kern w:val="0"/>
          <w:lang w:val="zh-CN"/>
        </w:rPr>
        <w:t>保障</w:t>
      </w:r>
      <w:r>
        <w:tab/>
      </w:r>
      <w:r>
        <w:fldChar w:fldCharType="begin"/>
      </w:r>
      <w:r>
        <w:instrText xml:space="preserve"> PAGEREF _Toc25587 \h </w:instrText>
      </w:r>
      <w:r>
        <w:fldChar w:fldCharType="separate"/>
      </w:r>
      <w:r>
        <w:t>30</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_Toc18395 </w:instrText>
      </w:r>
      <w:r>
        <w:rPr>
          <w:szCs w:val="28"/>
        </w:rPr>
        <w:fldChar w:fldCharType="separate"/>
      </w:r>
      <w:r>
        <w:rPr>
          <w:rFonts w:hint="eastAsia"/>
          <w:bCs w:val="0"/>
          <w:kern w:val="0"/>
          <w:lang w:val="zh-CN"/>
        </w:rPr>
        <w:t>6.7制度保障</w:t>
      </w:r>
      <w:r>
        <w:tab/>
      </w:r>
      <w:r>
        <w:fldChar w:fldCharType="begin"/>
      </w:r>
      <w:r>
        <w:instrText xml:space="preserve"> PAGEREF _Toc18395 \h </w:instrText>
      </w:r>
      <w:r>
        <w:fldChar w:fldCharType="separate"/>
      </w:r>
      <w:r>
        <w:t>30</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_Toc25387 </w:instrText>
      </w:r>
      <w:r>
        <w:rPr>
          <w:szCs w:val="28"/>
        </w:rPr>
        <w:fldChar w:fldCharType="separate"/>
      </w:r>
      <w:r>
        <w:rPr>
          <w:rFonts w:hint="eastAsia"/>
          <w:bCs w:val="0"/>
          <w:kern w:val="0"/>
          <w:lang w:val="zh-CN"/>
        </w:rPr>
        <w:t>6.8信息联络保障</w:t>
      </w:r>
      <w:r>
        <w:tab/>
      </w:r>
      <w:r>
        <w:fldChar w:fldCharType="begin"/>
      </w:r>
      <w:r>
        <w:instrText xml:space="preserve"> PAGEREF _Toc25387 \h </w:instrText>
      </w:r>
      <w:r>
        <w:fldChar w:fldCharType="separate"/>
      </w:r>
      <w:r>
        <w:t>30</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_Toc2838 </w:instrText>
      </w:r>
      <w:r>
        <w:rPr>
          <w:szCs w:val="28"/>
        </w:rPr>
        <w:fldChar w:fldCharType="separate"/>
      </w:r>
      <w:r>
        <w:rPr>
          <w:kern w:val="0"/>
          <w:szCs w:val="36"/>
        </w:rPr>
        <w:t>7</w:t>
      </w:r>
      <w:r>
        <w:rPr>
          <w:rFonts w:hint="eastAsia"/>
          <w:kern w:val="0"/>
          <w:szCs w:val="36"/>
          <w:lang w:val="en-US" w:eastAsia="zh-CN"/>
        </w:rPr>
        <w:t>监督问责</w:t>
      </w:r>
      <w:r>
        <w:tab/>
      </w:r>
      <w:r>
        <w:fldChar w:fldCharType="begin"/>
      </w:r>
      <w:r>
        <w:instrText xml:space="preserve"> PAGEREF _Toc2838 \h </w:instrText>
      </w:r>
      <w:r>
        <w:fldChar w:fldCharType="separate"/>
      </w:r>
      <w:r>
        <w:t>31</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_Toc30962 </w:instrText>
      </w:r>
      <w:r>
        <w:rPr>
          <w:szCs w:val="28"/>
        </w:rPr>
        <w:fldChar w:fldCharType="separate"/>
      </w:r>
      <w:r>
        <w:rPr>
          <w:rFonts w:hint="default"/>
          <w:kern w:val="0"/>
          <w:szCs w:val="36"/>
          <w:lang w:val="en-US"/>
        </w:rPr>
        <w:t>8</w:t>
      </w:r>
      <w:r>
        <w:rPr>
          <w:rFonts w:hint="eastAsia"/>
          <w:kern w:val="0"/>
          <w:szCs w:val="36"/>
        </w:rPr>
        <w:t>预案管理</w:t>
      </w:r>
      <w:r>
        <w:tab/>
      </w:r>
      <w:r>
        <w:fldChar w:fldCharType="begin"/>
      </w:r>
      <w:r>
        <w:instrText xml:space="preserve"> PAGEREF _Toc30962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_Toc17651 </w:instrText>
      </w:r>
      <w:r>
        <w:rPr>
          <w:szCs w:val="28"/>
        </w:rPr>
        <w:fldChar w:fldCharType="separate"/>
      </w:r>
      <w:r>
        <w:rPr>
          <w:rFonts w:hint="default"/>
          <w:bCs w:val="0"/>
          <w:kern w:val="0"/>
          <w:lang w:val="en-US"/>
        </w:rPr>
        <w:t>8.1</w:t>
      </w:r>
      <w:r>
        <w:rPr>
          <w:rFonts w:hint="eastAsia"/>
          <w:bCs w:val="0"/>
          <w:kern w:val="0"/>
          <w:lang w:val="en-US" w:eastAsia="zh-CN"/>
        </w:rPr>
        <w:t>预案编制</w:t>
      </w:r>
      <w:r>
        <w:tab/>
      </w:r>
      <w:r>
        <w:fldChar w:fldCharType="begin"/>
      </w:r>
      <w:r>
        <w:instrText xml:space="preserve"> PAGEREF _Toc17651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_Toc3302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2</w:t>
      </w:r>
      <w:r>
        <w:rPr>
          <w:rFonts w:hint="eastAsia"/>
          <w:bCs w:val="0"/>
          <w:kern w:val="0"/>
          <w:lang w:val="en-US" w:eastAsia="zh-CN"/>
        </w:rPr>
        <w:t>预案宣传</w:t>
      </w:r>
      <w:r>
        <w:tab/>
      </w:r>
      <w:r>
        <w:fldChar w:fldCharType="begin"/>
      </w:r>
      <w:r>
        <w:instrText xml:space="preserve"> PAGEREF _Toc3302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_Toc11034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3</w:t>
      </w:r>
      <w:r>
        <w:rPr>
          <w:rFonts w:hint="eastAsia"/>
          <w:bCs w:val="0"/>
          <w:kern w:val="0"/>
          <w:lang w:val="zh-CN"/>
        </w:rPr>
        <w:t>预案演练</w:t>
      </w:r>
      <w:r>
        <w:tab/>
      </w:r>
      <w:r>
        <w:fldChar w:fldCharType="begin"/>
      </w:r>
      <w:r>
        <w:instrText xml:space="preserve"> PAGEREF _Toc11034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_Toc16515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4</w:t>
      </w:r>
      <w:r>
        <w:rPr>
          <w:rFonts w:hint="eastAsia"/>
          <w:bCs w:val="0"/>
          <w:kern w:val="0"/>
          <w:lang w:val="en-US" w:eastAsia="zh-CN"/>
        </w:rPr>
        <w:t>预案备案</w:t>
      </w:r>
      <w:r>
        <w:tab/>
      </w:r>
      <w:r>
        <w:fldChar w:fldCharType="begin"/>
      </w:r>
      <w:r>
        <w:instrText xml:space="preserve"> PAGEREF _Toc16515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_Toc31149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5</w:t>
      </w:r>
      <w:r>
        <w:rPr>
          <w:rFonts w:hint="eastAsia"/>
          <w:bCs w:val="0"/>
          <w:kern w:val="0"/>
          <w:lang w:val="en-US" w:eastAsia="zh-CN"/>
        </w:rPr>
        <w:t>预案修订</w:t>
      </w:r>
      <w:r>
        <w:tab/>
      </w:r>
      <w:r>
        <w:fldChar w:fldCharType="begin"/>
      </w:r>
      <w:r>
        <w:instrText xml:space="preserve"> PAGEREF _Toc31149 \h </w:instrText>
      </w:r>
      <w:r>
        <w:fldChar w:fldCharType="separate"/>
      </w:r>
      <w:r>
        <w:t>33</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_Toc17838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6</w:t>
      </w:r>
      <w:r>
        <w:rPr>
          <w:rFonts w:hint="eastAsia"/>
          <w:bCs w:val="0"/>
          <w:kern w:val="0"/>
          <w:lang w:val="en-US" w:eastAsia="zh-CN"/>
        </w:rPr>
        <w:t>预案解释</w:t>
      </w:r>
      <w:r>
        <w:tab/>
      </w:r>
      <w:r>
        <w:fldChar w:fldCharType="begin"/>
      </w:r>
      <w:r>
        <w:instrText xml:space="preserve"> PAGEREF _Toc17838 \h </w:instrText>
      </w:r>
      <w:r>
        <w:fldChar w:fldCharType="separate"/>
      </w:r>
      <w:r>
        <w:t>34</w:t>
      </w:r>
      <w:r>
        <w:fldChar w:fldCharType="end"/>
      </w:r>
      <w:r>
        <w:rPr>
          <w:color w:val="auto"/>
          <w:szCs w:val="28"/>
        </w:rPr>
        <w:fldChar w:fldCharType="end"/>
      </w:r>
    </w:p>
    <w:p>
      <w:pPr>
        <w:pStyle w:val="31"/>
        <w:tabs>
          <w:tab w:val="right" w:leader="dot" w:pos="8306"/>
        </w:tabs>
      </w:pPr>
      <w:r>
        <w:rPr>
          <w:color w:val="auto"/>
          <w:szCs w:val="28"/>
        </w:rPr>
        <w:fldChar w:fldCharType="begin"/>
      </w:r>
      <w:r>
        <w:rPr>
          <w:szCs w:val="28"/>
        </w:rPr>
        <w:instrText xml:space="preserve"> HYPERLINK \l _Toc4122 </w:instrText>
      </w:r>
      <w:r>
        <w:rPr>
          <w:szCs w:val="28"/>
        </w:rPr>
        <w:fldChar w:fldCharType="separate"/>
      </w:r>
      <w:r>
        <w:rPr>
          <w:rFonts w:hint="default"/>
          <w:bCs w:val="0"/>
          <w:kern w:val="0"/>
          <w:lang w:val="en-US"/>
        </w:rPr>
        <w:t>8</w:t>
      </w:r>
      <w:r>
        <w:rPr>
          <w:rFonts w:hint="eastAsia"/>
          <w:bCs w:val="0"/>
          <w:kern w:val="0"/>
          <w:lang w:val="zh-CN"/>
        </w:rPr>
        <w:t>.</w:t>
      </w:r>
      <w:r>
        <w:rPr>
          <w:rFonts w:hint="default"/>
          <w:bCs w:val="0"/>
          <w:kern w:val="0"/>
          <w:lang w:val="en-US"/>
        </w:rPr>
        <w:t>7</w:t>
      </w:r>
      <w:r>
        <w:rPr>
          <w:rFonts w:hint="eastAsia"/>
          <w:bCs w:val="0"/>
          <w:kern w:val="0"/>
          <w:lang w:val="en-US" w:eastAsia="zh-CN"/>
        </w:rPr>
        <w:t>预案实施</w:t>
      </w:r>
      <w:r>
        <w:tab/>
      </w:r>
      <w:r>
        <w:fldChar w:fldCharType="begin"/>
      </w:r>
      <w:r>
        <w:instrText xml:space="preserve"> PAGEREF _Toc4122 \h </w:instrText>
      </w:r>
      <w:r>
        <w:fldChar w:fldCharType="separate"/>
      </w:r>
      <w:r>
        <w:t>34</w:t>
      </w:r>
      <w:r>
        <w:fldChar w:fldCharType="end"/>
      </w:r>
      <w:r>
        <w:rPr>
          <w:color w:val="auto"/>
          <w:szCs w:val="28"/>
        </w:rPr>
        <w:fldChar w:fldCharType="end"/>
      </w:r>
    </w:p>
    <w:p>
      <w:pPr>
        <w:pStyle w:val="26"/>
        <w:tabs>
          <w:tab w:val="right" w:leader="dot" w:pos="8306"/>
        </w:tabs>
      </w:pPr>
      <w:r>
        <w:rPr>
          <w:color w:val="auto"/>
          <w:szCs w:val="28"/>
        </w:rPr>
        <w:fldChar w:fldCharType="begin"/>
      </w:r>
      <w:r>
        <w:rPr>
          <w:szCs w:val="28"/>
        </w:rPr>
        <w:instrText xml:space="preserve"> HYPERLINK \l _Toc9914 </w:instrText>
      </w:r>
      <w:r>
        <w:rPr>
          <w:szCs w:val="28"/>
        </w:rPr>
        <w:fldChar w:fldCharType="separate"/>
      </w:r>
      <w:r>
        <w:rPr>
          <w:rFonts w:hint="default"/>
          <w:kern w:val="0"/>
          <w:szCs w:val="36"/>
          <w:lang w:val="en-US"/>
        </w:rPr>
        <w:t>9</w:t>
      </w:r>
      <w:r>
        <w:rPr>
          <w:rFonts w:hint="eastAsia"/>
          <w:kern w:val="0"/>
          <w:szCs w:val="36"/>
        </w:rPr>
        <w:t>附则</w:t>
      </w:r>
      <w:r>
        <w:tab/>
      </w:r>
      <w:r>
        <w:fldChar w:fldCharType="begin"/>
      </w:r>
      <w:r>
        <w:instrText xml:space="preserve"> PAGEREF _Toc9914 \h </w:instrText>
      </w:r>
      <w:r>
        <w:fldChar w:fldCharType="separate"/>
      </w:r>
      <w:r>
        <w:t>35</w:t>
      </w:r>
      <w:r>
        <w:fldChar w:fldCharType="end"/>
      </w:r>
      <w:r>
        <w:rPr>
          <w:color w:val="auto"/>
          <w:szCs w:val="28"/>
        </w:rPr>
        <w:fldChar w:fldCharType="end"/>
      </w:r>
    </w:p>
    <w:p>
      <w:pPr>
        <w:spacing w:line="500" w:lineRule="exact"/>
        <w:rPr>
          <w:color w:val="auto"/>
        </w:rPr>
      </w:pPr>
      <w:r>
        <w:rPr>
          <w:color w:val="auto"/>
          <w:szCs w:val="28"/>
        </w:rPr>
        <w:fldChar w:fldCharType="end"/>
      </w:r>
    </w:p>
    <w:p>
      <w:pPr>
        <w:pStyle w:val="64"/>
        <w:rPr>
          <w:rFonts w:ascii="Times New Roman" w:hAnsi="Times New Roman" w:cs="Times New Roman"/>
          <w:color w:val="auto"/>
        </w:rPr>
      </w:pPr>
    </w:p>
    <w:p>
      <w:pPr>
        <w:pStyle w:val="64"/>
        <w:rPr>
          <w:rFonts w:ascii="Times New Roman" w:hAnsi="Times New Roman" w:cs="Times New Roman"/>
          <w:color w:val="auto"/>
        </w:rPr>
        <w:sectPr>
          <w:footerReference r:id="rId5" w:type="default"/>
          <w:pgSz w:w="11906" w:h="16838"/>
          <w:pgMar w:top="1440" w:right="1800" w:bottom="1440" w:left="1800" w:header="851" w:footer="992" w:gutter="0"/>
          <w:cols w:space="720" w:num="1"/>
          <w:docGrid w:type="lines" w:linePitch="312" w:charSpace="0"/>
        </w:sectPr>
      </w:pPr>
    </w:p>
    <w:p>
      <w:pPr>
        <w:pStyle w:val="6"/>
        <w:keepNext w:val="0"/>
        <w:keepLines w:val="0"/>
        <w:spacing w:before="312" w:beforeLines="100" w:after="312" w:afterLines="100" w:line="500" w:lineRule="exact"/>
        <w:jc w:val="left"/>
        <w:rPr>
          <w:color w:val="auto"/>
          <w:kern w:val="0"/>
          <w:sz w:val="36"/>
          <w:szCs w:val="36"/>
        </w:rPr>
      </w:pPr>
      <w:bookmarkStart w:id="1" w:name="_Toc32711"/>
      <w:bookmarkStart w:id="2" w:name="_Toc40975741"/>
      <w:bookmarkStart w:id="3" w:name="_Toc25459"/>
      <w:r>
        <w:rPr>
          <w:color w:val="auto"/>
          <w:kern w:val="0"/>
          <w:sz w:val="36"/>
          <w:szCs w:val="36"/>
        </w:rPr>
        <w:t>0前言</w:t>
      </w:r>
      <w:bookmarkEnd w:id="1"/>
      <w:bookmarkEnd w:id="2"/>
      <w:bookmarkEnd w:id="3"/>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为规范城市大气重污染应急预案管理，提高城市大气重污染的预测预警和应急响应能力，降低大气重污染危害程度，保障环境安全和公众身体健康，根据《中华人民共和国环境保护法》、《中华人民共和国大气污染防治法》、《中华人民共和国突发事件应对法》及相关的法律、法规、规章及标准。第一师阿拉尔市人民政府办公室于</w:t>
      </w:r>
      <w:r>
        <w:rPr>
          <w:rFonts w:eastAsia="仿宋_GB2312"/>
          <w:color w:val="auto"/>
          <w:szCs w:val="28"/>
        </w:rPr>
        <w:t>2015</w:t>
      </w:r>
      <w:r>
        <w:rPr>
          <w:rFonts w:hint="eastAsia" w:eastAsia="仿宋_GB2312"/>
          <w:color w:val="auto"/>
          <w:szCs w:val="28"/>
        </w:rPr>
        <w:t>年批准印发了《第一师阿拉尔市重污染天气应急预案（试行）》（师市办发〔2015〕35号）。</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现为进一步完善和提高第一师阿拉尔市的重污染天气能力，特对原有预案进行修编。</w:t>
      </w:r>
    </w:p>
    <w:p>
      <w:pPr>
        <w:adjustRightInd w:val="0"/>
        <w:snapToGrid w:val="0"/>
        <w:spacing w:line="500" w:lineRule="exact"/>
        <w:ind w:firstLine="560" w:firstLineChars="200"/>
        <w:rPr>
          <w:rFonts w:eastAsia="仿宋_GB2312"/>
          <w:color w:val="auto"/>
          <w:szCs w:val="28"/>
        </w:rPr>
      </w:pPr>
    </w:p>
    <w:p>
      <w:pPr>
        <w:adjustRightInd w:val="0"/>
        <w:snapToGrid w:val="0"/>
        <w:spacing w:line="360" w:lineRule="auto"/>
        <w:rPr>
          <w:rFonts w:eastAsia="仿宋_GB2312"/>
          <w:color w:val="auto"/>
          <w:szCs w:val="28"/>
        </w:rPr>
      </w:pPr>
    </w:p>
    <w:p>
      <w:pPr>
        <w:spacing w:line="360" w:lineRule="auto"/>
        <w:ind w:firstLine="480" w:firstLineChars="200"/>
        <w:rPr>
          <w:rStyle w:val="67"/>
          <w:rFonts w:hint="default"/>
          <w:color w:val="auto"/>
        </w:rPr>
        <w:sectPr>
          <w:footerReference r:id="rId6" w:type="default"/>
          <w:pgSz w:w="11906" w:h="16838"/>
          <w:pgMar w:top="1440" w:right="1800" w:bottom="1440" w:left="1800" w:header="851" w:footer="992" w:gutter="0"/>
          <w:pgNumType w:start="1"/>
          <w:cols w:space="720" w:num="1"/>
          <w:docGrid w:type="lines" w:linePitch="312" w:charSpace="0"/>
        </w:sectPr>
      </w:pPr>
    </w:p>
    <w:p>
      <w:pPr>
        <w:pStyle w:val="6"/>
        <w:keepNext w:val="0"/>
        <w:keepLines w:val="0"/>
        <w:spacing w:before="312" w:beforeLines="100" w:after="312" w:afterLines="100" w:line="500" w:lineRule="exact"/>
        <w:jc w:val="left"/>
        <w:rPr>
          <w:color w:val="auto"/>
          <w:kern w:val="0"/>
          <w:sz w:val="36"/>
          <w:szCs w:val="36"/>
        </w:rPr>
      </w:pPr>
      <w:bookmarkStart w:id="4" w:name="_Toc40975742"/>
      <w:bookmarkStart w:id="5" w:name="_Toc12733"/>
      <w:bookmarkStart w:id="6" w:name="_Toc2206"/>
      <w:r>
        <w:rPr>
          <w:color w:val="auto"/>
          <w:kern w:val="0"/>
          <w:sz w:val="36"/>
          <w:szCs w:val="36"/>
        </w:rPr>
        <w:t>1总则</w:t>
      </w:r>
      <w:bookmarkEnd w:id="4"/>
      <w:bookmarkEnd w:id="5"/>
      <w:bookmarkEnd w:id="6"/>
    </w:p>
    <w:p>
      <w:pPr>
        <w:pStyle w:val="7"/>
        <w:keepNext w:val="0"/>
        <w:keepLines w:val="0"/>
        <w:topLinePunct/>
        <w:spacing w:before="156" w:beforeLines="50" w:after="156" w:afterLines="50" w:line="500" w:lineRule="exact"/>
        <w:jc w:val="left"/>
        <w:rPr>
          <w:bCs w:val="0"/>
          <w:color w:val="auto"/>
          <w:kern w:val="0"/>
          <w:sz w:val="32"/>
          <w:lang w:val="zh-CN"/>
        </w:rPr>
      </w:pPr>
      <w:bookmarkStart w:id="7" w:name="_Toc21087"/>
      <w:r>
        <w:rPr>
          <w:bCs w:val="0"/>
          <w:color w:val="auto"/>
          <w:kern w:val="0"/>
          <w:sz w:val="32"/>
          <w:lang w:val="zh-CN"/>
        </w:rPr>
        <w:t>1.1编制</w:t>
      </w:r>
      <w:r>
        <w:rPr>
          <w:rFonts w:hint="eastAsia"/>
          <w:bCs w:val="0"/>
          <w:color w:val="auto"/>
          <w:kern w:val="0"/>
          <w:sz w:val="32"/>
          <w:lang w:val="zh-CN"/>
        </w:rPr>
        <w:t>目的</w:t>
      </w:r>
      <w:bookmarkEnd w:id="7"/>
    </w:p>
    <w:p>
      <w:pPr>
        <w:adjustRightInd w:val="0"/>
        <w:snapToGrid w:val="0"/>
        <w:spacing w:line="500" w:lineRule="exact"/>
        <w:ind w:firstLine="560" w:firstLineChars="200"/>
        <w:rPr>
          <w:rFonts w:hint="eastAsia" w:eastAsia="仿宋_GB2312"/>
          <w:color w:val="0000FF"/>
          <w:szCs w:val="28"/>
          <w:lang w:eastAsia="zh-CN"/>
        </w:rPr>
      </w:pPr>
      <w:r>
        <w:rPr>
          <w:rFonts w:hint="eastAsia" w:eastAsia="仿宋_GB2312"/>
          <w:color w:val="0000FF"/>
          <w:szCs w:val="28"/>
          <w:lang w:val="en-US" w:eastAsia="zh-CN"/>
        </w:rPr>
        <w:t>为</w:t>
      </w:r>
      <w:r>
        <w:rPr>
          <w:rFonts w:hint="eastAsia" w:eastAsia="仿宋_GB2312"/>
          <w:color w:val="0000FF"/>
          <w:szCs w:val="28"/>
        </w:rPr>
        <w:t>进一步规范</w:t>
      </w:r>
      <w:r>
        <w:rPr>
          <w:rFonts w:hint="eastAsia" w:eastAsia="仿宋_GB2312"/>
          <w:color w:val="0000FF"/>
          <w:szCs w:val="28"/>
          <w:lang w:val="en-US" w:eastAsia="zh-CN"/>
        </w:rPr>
        <w:t>新疆生产建设兵团第一师（后文简称“第一师”）</w:t>
      </w:r>
      <w:r>
        <w:rPr>
          <w:rFonts w:hint="eastAsia" w:eastAsia="仿宋_GB2312"/>
          <w:color w:val="0000FF"/>
          <w:szCs w:val="28"/>
        </w:rPr>
        <w:t>重污染天气应急响应工作，健全</w:t>
      </w:r>
      <w:r>
        <w:rPr>
          <w:rFonts w:hint="eastAsia" w:eastAsia="仿宋_GB2312"/>
          <w:color w:val="0000FF"/>
          <w:szCs w:val="28"/>
          <w:lang w:val="en-US" w:eastAsia="zh-CN"/>
        </w:rPr>
        <w:t>第一师</w:t>
      </w:r>
      <w:r>
        <w:rPr>
          <w:rFonts w:hint="eastAsia" w:eastAsia="仿宋_GB2312"/>
          <w:color w:val="0000FF"/>
          <w:szCs w:val="28"/>
        </w:rPr>
        <w:t>重污染天气应急工作机制，强化区域重污染天气应急联动，科学有效应对重污染天气，最大限度减缓大气污染程度，降低重污染天气造成的危害，保护公众身体健康</w:t>
      </w:r>
      <w:r>
        <w:rPr>
          <w:rFonts w:hint="eastAsia" w:eastAsia="仿宋_GB2312"/>
          <w:color w:val="0000FF"/>
          <w:szCs w:val="28"/>
          <w:lang w:eastAsia="zh-CN"/>
        </w:rPr>
        <w:t>。结合</w:t>
      </w:r>
      <w:r>
        <w:rPr>
          <w:rFonts w:hint="eastAsia" w:eastAsia="仿宋_GB2312"/>
          <w:color w:val="0000FF"/>
          <w:szCs w:val="28"/>
          <w:lang w:val="en-US" w:eastAsia="zh-CN"/>
        </w:rPr>
        <w:t>第一师</w:t>
      </w:r>
      <w:r>
        <w:rPr>
          <w:rFonts w:hint="eastAsia" w:eastAsia="仿宋_GB2312"/>
          <w:color w:val="0000FF"/>
          <w:szCs w:val="28"/>
          <w:lang w:eastAsia="zh-CN"/>
        </w:rPr>
        <w:t>实际，制定本预案。</w:t>
      </w:r>
    </w:p>
    <w:p>
      <w:pPr>
        <w:pStyle w:val="7"/>
        <w:keepNext w:val="0"/>
        <w:keepLines w:val="0"/>
        <w:topLinePunct/>
        <w:spacing w:before="156" w:beforeLines="50" w:after="156" w:afterLines="50" w:line="500" w:lineRule="exact"/>
        <w:jc w:val="left"/>
        <w:rPr>
          <w:bCs w:val="0"/>
          <w:color w:val="auto"/>
          <w:kern w:val="0"/>
          <w:sz w:val="32"/>
          <w:lang w:val="zh-CN"/>
        </w:rPr>
      </w:pPr>
      <w:bookmarkStart w:id="8" w:name="_Toc28293"/>
      <w:bookmarkStart w:id="9" w:name="_Toc40975743"/>
      <w:bookmarkStart w:id="10" w:name="_Toc1256"/>
      <w:r>
        <w:rPr>
          <w:bCs w:val="0"/>
          <w:color w:val="auto"/>
          <w:kern w:val="0"/>
          <w:sz w:val="32"/>
          <w:lang w:val="zh-CN"/>
        </w:rPr>
        <w:t>1.2编制</w:t>
      </w:r>
      <w:bookmarkEnd w:id="8"/>
      <w:bookmarkEnd w:id="9"/>
      <w:r>
        <w:rPr>
          <w:rFonts w:hint="eastAsia"/>
          <w:bCs w:val="0"/>
          <w:color w:val="auto"/>
          <w:kern w:val="0"/>
          <w:sz w:val="32"/>
          <w:lang w:val="zh-CN"/>
        </w:rPr>
        <w:t>依据</w:t>
      </w:r>
      <w:bookmarkEnd w:id="10"/>
    </w:p>
    <w:p>
      <w:pPr>
        <w:spacing w:before="78" w:beforeLines="25" w:after="78" w:afterLines="25" w:line="500" w:lineRule="exact"/>
        <w:outlineLvl w:val="2"/>
        <w:rPr>
          <w:b/>
          <w:bCs/>
          <w:color w:val="auto"/>
          <w:szCs w:val="24"/>
          <w:lang w:val="zh-CN"/>
        </w:rPr>
      </w:pPr>
      <w:bookmarkStart w:id="11" w:name="_Toc40975745"/>
      <w:r>
        <w:rPr>
          <w:b/>
          <w:bCs/>
          <w:color w:val="auto"/>
          <w:szCs w:val="24"/>
          <w:lang w:val="zh-CN"/>
        </w:rPr>
        <w:t>1.2.1法律法规、规章、规范性文件</w:t>
      </w:r>
      <w:bookmarkEnd w:id="11"/>
    </w:p>
    <w:p>
      <w:pPr>
        <w:spacing w:line="500" w:lineRule="exact"/>
        <w:ind w:firstLine="560" w:firstLineChars="200"/>
        <w:rPr>
          <w:color w:val="auto"/>
        </w:rPr>
      </w:pPr>
      <w:r>
        <w:rPr>
          <w:color w:val="auto"/>
        </w:rPr>
        <w:t>（1）《中华人民共和国突发事件应对法》</w:t>
      </w:r>
      <w:r>
        <w:rPr>
          <w:rFonts w:eastAsia="仿宋_GB2312"/>
          <w:color w:val="auto"/>
          <w:szCs w:val="28"/>
        </w:rPr>
        <w:t>（2007.11.1）</w:t>
      </w:r>
      <w:r>
        <w:rPr>
          <w:color w:val="auto"/>
        </w:rPr>
        <w:t>；</w:t>
      </w:r>
    </w:p>
    <w:p>
      <w:pPr>
        <w:spacing w:line="500" w:lineRule="exact"/>
        <w:ind w:firstLine="560" w:firstLineChars="200"/>
        <w:rPr>
          <w:color w:val="auto"/>
        </w:rPr>
      </w:pPr>
      <w:r>
        <w:rPr>
          <w:color w:val="auto"/>
        </w:rPr>
        <w:t>（2）《中华人民共和国环境保护法》</w:t>
      </w:r>
      <w:r>
        <w:rPr>
          <w:rFonts w:eastAsia="仿宋_GB2312"/>
          <w:color w:val="auto"/>
          <w:szCs w:val="28"/>
        </w:rPr>
        <w:t>（2015.1.1）</w:t>
      </w:r>
      <w:r>
        <w:rPr>
          <w:color w:val="auto"/>
        </w:rPr>
        <w:t>；</w:t>
      </w:r>
    </w:p>
    <w:p>
      <w:pPr>
        <w:spacing w:line="500" w:lineRule="exact"/>
        <w:ind w:firstLine="560" w:firstLineChars="200"/>
        <w:rPr>
          <w:color w:val="auto"/>
        </w:rPr>
      </w:pPr>
      <w:r>
        <w:rPr>
          <w:color w:val="auto"/>
        </w:rPr>
        <w:t>（3）《中华人民共和国大气污染防治法》（2018.10.26）；</w:t>
      </w:r>
    </w:p>
    <w:p>
      <w:pPr>
        <w:spacing w:before="78" w:beforeLines="25" w:after="78" w:afterLines="25" w:line="500" w:lineRule="exact"/>
        <w:outlineLvl w:val="2"/>
        <w:rPr>
          <w:b/>
          <w:bCs/>
          <w:color w:val="auto"/>
          <w:szCs w:val="24"/>
          <w:lang w:val="zh-CN"/>
        </w:rPr>
      </w:pPr>
      <w:bookmarkStart w:id="12" w:name="_Toc40975746"/>
      <w:r>
        <w:rPr>
          <w:b/>
          <w:bCs/>
          <w:color w:val="auto"/>
          <w:szCs w:val="24"/>
          <w:lang w:val="zh-CN"/>
        </w:rPr>
        <w:t>1.2.2标准、技术规范</w:t>
      </w:r>
      <w:bookmarkEnd w:id="12"/>
    </w:p>
    <w:p>
      <w:pPr>
        <w:numPr>
          <w:ilvl w:val="0"/>
          <w:numId w:val="1"/>
        </w:numPr>
        <w:adjustRightInd w:val="0"/>
        <w:snapToGrid w:val="0"/>
        <w:spacing w:line="500" w:lineRule="exact"/>
        <w:ind w:firstLine="560" w:firstLineChars="200"/>
        <w:rPr>
          <w:rFonts w:eastAsia="仿宋_GB2312"/>
          <w:color w:val="auto"/>
          <w:szCs w:val="28"/>
        </w:rPr>
      </w:pPr>
      <w:r>
        <w:rPr>
          <w:rFonts w:eastAsia="仿宋_GB2312"/>
          <w:color w:val="auto"/>
          <w:szCs w:val="28"/>
        </w:rPr>
        <w:t>环境保护部办公厅关于印发〈城市大气重污染应急预案编制指南〉的函》（环办函〔2013〕504号）；</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《大气污染防治行动计划》（国发〔2013〕37号)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eastAsia="仿宋_GB2312"/>
          <w:color w:val="auto"/>
          <w:szCs w:val="28"/>
        </w:rPr>
      </w:pPr>
      <w:r>
        <w:rPr>
          <w:rFonts w:hint="eastAsia" w:eastAsia="仿宋_GB2312"/>
          <w:color w:val="auto"/>
          <w:szCs w:val="28"/>
          <w:lang w:eastAsia="zh-CN"/>
        </w:rPr>
        <w:t>《关于加强重污染天气应急预案编制工作的函》，</w:t>
      </w:r>
      <w:r>
        <w:rPr>
          <w:rFonts w:hint="eastAsia" w:eastAsia="仿宋_GB2312"/>
          <w:color w:val="auto"/>
          <w:szCs w:val="28"/>
          <w:lang w:val="en-US" w:eastAsia="zh-CN"/>
        </w:rPr>
        <w:t>原环境保护部；</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《关于加强重污染天气应急预案编修工作的函》[环办函〔2014〕1461号)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《突发环境事件应急管理办法》（国办发〔2013〕101号)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《重污染天气预警分级标准和应急减排措施修订工作方案》（环办大气函〔2017〕86号）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《重污染天气应急预案修订工作的指导意见》（环办大气函〔2018〕875号）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《关于加强重污染天气应对夯实应急减排措施的指导意见》（环办大气函〔2019〕648号）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《重污染天气重点行业应急减排措施制定技术指南（2020年修订版）》（环办大气函〔2020〕340号）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《关于进一步提高认识规范程序扎实做好重污染天气重点行业绩效分级有关工作的通知》（环办大气函〔2020〕510号）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《重污染天气重点行业绩效分级及减排措施》补充说明（环办便函〔2021〕341号）</w:t>
      </w:r>
      <w:r>
        <w:rPr>
          <w:rFonts w:hint="eastAsia" w:eastAsia="仿宋_GB2312"/>
          <w:color w:val="auto"/>
          <w:szCs w:val="28"/>
          <w:lang w:eastAsia="zh-CN"/>
        </w:rPr>
        <w:t>；</w:t>
      </w:r>
    </w:p>
    <w:p>
      <w:pPr>
        <w:numPr>
          <w:ilvl w:val="0"/>
          <w:numId w:val="1"/>
        </w:numPr>
        <w:adjustRightInd w:val="0"/>
        <w:snapToGrid w:val="0"/>
        <w:spacing w:line="500" w:lineRule="exact"/>
        <w:ind w:firstLine="560" w:firstLineChars="200"/>
        <w:rPr>
          <w:rFonts w:eastAsia="仿宋_GB2312"/>
          <w:color w:val="auto"/>
          <w:szCs w:val="28"/>
        </w:rPr>
      </w:pPr>
      <w:r>
        <w:rPr>
          <w:rFonts w:hint="eastAsia" w:eastAsia="仿宋_GB2312"/>
          <w:color w:val="auto"/>
          <w:szCs w:val="28"/>
        </w:rPr>
        <w:t>《深入打好重污染天气消除、臭氧污染防治和柴油货车污染治理攻坚战行动方案》（环大气〔2022〕68号）</w:t>
      </w:r>
      <w:r>
        <w:rPr>
          <w:rFonts w:hint="eastAsia" w:eastAsia="仿宋_GB2312"/>
          <w:color w:val="auto"/>
          <w:szCs w:val="28"/>
          <w:lang w:eastAsia="zh-CN"/>
        </w:rPr>
        <w:t>；</w:t>
      </w:r>
    </w:p>
    <w:p>
      <w:pPr>
        <w:adjustRightInd w:val="0"/>
        <w:snapToGrid w:val="0"/>
        <w:spacing w:line="500" w:lineRule="exact"/>
        <w:ind w:firstLine="560" w:firstLineChars="200"/>
        <w:rPr>
          <w:rFonts w:eastAsia="仿宋_GB2312"/>
          <w:color w:val="auto"/>
          <w:szCs w:val="28"/>
        </w:rPr>
      </w:pPr>
      <w:r>
        <w:rPr>
          <w:rFonts w:eastAsia="仿宋_GB2312"/>
          <w:color w:val="auto"/>
          <w:szCs w:val="28"/>
        </w:rPr>
        <w:t>（</w:t>
      </w:r>
      <w:r>
        <w:rPr>
          <w:rFonts w:hint="default" w:eastAsia="仿宋_GB2312"/>
          <w:color w:val="auto"/>
          <w:szCs w:val="28"/>
          <w:lang w:val="en-US"/>
        </w:rPr>
        <w:t>13</w:t>
      </w:r>
      <w:r>
        <w:rPr>
          <w:rFonts w:eastAsia="仿宋_GB2312"/>
          <w:color w:val="auto"/>
          <w:szCs w:val="28"/>
        </w:rPr>
        <w:t>）</w:t>
      </w:r>
      <w:r>
        <w:rPr>
          <w:rFonts w:hint="eastAsia" w:eastAsia="仿宋_GB2312"/>
          <w:color w:val="auto"/>
          <w:szCs w:val="28"/>
        </w:rPr>
        <w:t>《环境空气质量标准》（GB3095-2012）及修改单；</w:t>
      </w:r>
    </w:p>
    <w:p>
      <w:pPr>
        <w:adjustRightInd w:val="0"/>
        <w:snapToGrid w:val="0"/>
        <w:spacing w:line="500" w:lineRule="exact"/>
        <w:ind w:firstLine="560" w:firstLineChars="200"/>
        <w:rPr>
          <w:rFonts w:eastAsia="仿宋_GB2312"/>
          <w:color w:val="auto"/>
          <w:szCs w:val="28"/>
          <w:lang w:val="zh-CN"/>
        </w:rPr>
      </w:pPr>
      <w:bookmarkStart w:id="13" w:name="_Toc40975747"/>
      <w:r>
        <w:rPr>
          <w:rFonts w:hint="eastAsia" w:eastAsia="仿宋_GB2312"/>
          <w:color w:val="auto"/>
          <w:szCs w:val="28"/>
        </w:rPr>
        <w:t>（</w:t>
      </w:r>
      <w:r>
        <w:rPr>
          <w:rFonts w:hint="default" w:eastAsia="仿宋_GB2312"/>
          <w:color w:val="auto"/>
          <w:szCs w:val="28"/>
          <w:lang w:val="en-US"/>
        </w:rPr>
        <w:t>14</w:t>
      </w:r>
      <w:r>
        <w:rPr>
          <w:rFonts w:hint="eastAsia" w:eastAsia="仿宋_GB2312"/>
          <w:color w:val="auto"/>
          <w:szCs w:val="28"/>
        </w:rPr>
        <w:t>）《新疆生产建设兵团突发环境事件应急预案》(新兵办发〔2021〕124号)；</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lang w:val="zh-CN"/>
        </w:rPr>
        <w:t>（</w:t>
      </w:r>
      <w:r>
        <w:rPr>
          <w:rFonts w:hint="default" w:eastAsia="仿宋_GB2312"/>
          <w:color w:val="auto"/>
          <w:szCs w:val="28"/>
          <w:lang w:val="en-US"/>
        </w:rPr>
        <w:t>15</w:t>
      </w:r>
      <w:r>
        <w:rPr>
          <w:rFonts w:hint="eastAsia" w:eastAsia="仿宋_GB2312"/>
          <w:color w:val="auto"/>
          <w:szCs w:val="28"/>
          <w:lang w:val="zh-CN"/>
        </w:rPr>
        <w:t>）</w:t>
      </w:r>
      <w:r>
        <w:rPr>
          <w:rFonts w:hint="eastAsia" w:eastAsia="仿宋_GB2312"/>
          <w:color w:val="auto"/>
          <w:szCs w:val="28"/>
        </w:rPr>
        <w:t>《新疆生态环境保护“十四五”规划》2</w:t>
      </w:r>
      <w:r>
        <w:rPr>
          <w:rFonts w:eastAsia="仿宋_GB2312"/>
          <w:color w:val="auto"/>
          <w:szCs w:val="28"/>
        </w:rPr>
        <w:t>021.</w:t>
      </w:r>
      <w:r>
        <w:rPr>
          <w:rFonts w:hint="eastAsia" w:eastAsia="仿宋_GB2312"/>
          <w:color w:val="auto"/>
          <w:szCs w:val="28"/>
        </w:rPr>
        <w:t>1</w:t>
      </w:r>
      <w:r>
        <w:rPr>
          <w:rFonts w:eastAsia="仿宋_GB2312"/>
          <w:color w:val="auto"/>
          <w:szCs w:val="28"/>
        </w:rPr>
        <w:t>2.</w:t>
      </w:r>
      <w:r>
        <w:rPr>
          <w:rFonts w:hint="eastAsia" w:eastAsia="仿宋_GB2312"/>
          <w:color w:val="auto"/>
          <w:szCs w:val="28"/>
        </w:rPr>
        <w:t>2</w:t>
      </w:r>
      <w:r>
        <w:rPr>
          <w:rFonts w:eastAsia="仿宋_GB2312"/>
          <w:color w:val="auto"/>
          <w:szCs w:val="28"/>
        </w:rPr>
        <w:t>4</w:t>
      </w:r>
      <w:r>
        <w:rPr>
          <w:rFonts w:hint="eastAsia" w:eastAsia="仿宋_GB2312"/>
          <w:color w:val="auto"/>
          <w:szCs w:val="28"/>
        </w:rPr>
        <w:t>；</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eastAsia="zh-CN"/>
        </w:rPr>
        <w:t>（</w:t>
      </w:r>
      <w:r>
        <w:rPr>
          <w:rFonts w:hint="default" w:eastAsia="仿宋_GB2312"/>
          <w:color w:val="auto"/>
          <w:szCs w:val="28"/>
          <w:lang w:val="en-US" w:eastAsia="zh-CN"/>
        </w:rPr>
        <w:t>16</w:t>
      </w:r>
      <w:r>
        <w:rPr>
          <w:rFonts w:hint="eastAsia" w:eastAsia="仿宋_GB2312"/>
          <w:color w:val="auto"/>
          <w:szCs w:val="28"/>
          <w:lang w:eastAsia="zh-CN"/>
        </w:rPr>
        <w:t>）</w:t>
      </w:r>
      <w:r>
        <w:rPr>
          <w:rFonts w:hint="eastAsia" w:eastAsia="仿宋_GB2312"/>
          <w:color w:val="auto"/>
          <w:szCs w:val="28"/>
          <w:lang w:val="en-US" w:eastAsia="zh-CN"/>
        </w:rPr>
        <w:t>《新疆生产建设兵团“十四五”生态环境保护规划》</w:t>
      </w:r>
      <w:r>
        <w:rPr>
          <w:rFonts w:hint="default" w:eastAsia="仿宋_GB2312"/>
          <w:color w:val="auto"/>
          <w:szCs w:val="28"/>
          <w:lang w:val="en-US" w:eastAsia="zh-CN"/>
        </w:rPr>
        <w:t>2021.12</w:t>
      </w:r>
      <w:r>
        <w:rPr>
          <w:rFonts w:hint="eastAsia" w:eastAsia="仿宋_GB2312"/>
          <w:color w:val="auto"/>
          <w:szCs w:val="28"/>
          <w:lang w:val="en-US" w:eastAsia="zh-CN"/>
        </w:rPr>
        <w:t>；</w:t>
      </w:r>
    </w:p>
    <w:p>
      <w:pPr>
        <w:spacing w:before="78" w:beforeLines="25" w:after="78" w:afterLines="25" w:line="500" w:lineRule="exact"/>
        <w:outlineLvl w:val="2"/>
        <w:rPr>
          <w:b/>
          <w:bCs/>
          <w:color w:val="auto"/>
          <w:szCs w:val="24"/>
          <w:lang w:val="zh-CN"/>
        </w:rPr>
      </w:pPr>
      <w:r>
        <w:rPr>
          <w:b/>
          <w:bCs/>
          <w:color w:val="auto"/>
          <w:szCs w:val="24"/>
          <w:lang w:val="zh-CN"/>
        </w:rPr>
        <w:t>1.2.3其他参考资料</w:t>
      </w:r>
      <w:bookmarkEnd w:id="13"/>
    </w:p>
    <w:p>
      <w:pPr>
        <w:adjustRightInd w:val="0"/>
        <w:snapToGrid w:val="0"/>
        <w:spacing w:line="500" w:lineRule="exact"/>
        <w:ind w:firstLine="560" w:firstLineChars="200"/>
        <w:rPr>
          <w:rFonts w:eastAsia="仿宋_GB2312"/>
          <w:color w:val="auto"/>
          <w:szCs w:val="28"/>
        </w:rPr>
      </w:pPr>
      <w:r>
        <w:rPr>
          <w:rFonts w:eastAsia="仿宋_GB2312"/>
          <w:color w:val="auto"/>
          <w:szCs w:val="28"/>
        </w:rPr>
        <w:t>（1）</w:t>
      </w:r>
      <w:r>
        <w:rPr>
          <w:rFonts w:hint="eastAsia" w:eastAsia="仿宋_GB2312"/>
          <w:color w:val="auto"/>
          <w:szCs w:val="28"/>
        </w:rPr>
        <w:t>第一师阿拉尔市大气重点企业名单</w:t>
      </w:r>
      <w:r>
        <w:rPr>
          <w:rFonts w:eastAsia="仿宋_GB2312"/>
          <w:color w:val="auto"/>
          <w:szCs w:val="28"/>
        </w:rPr>
        <w:t>；</w:t>
      </w:r>
    </w:p>
    <w:p>
      <w:pPr>
        <w:adjustRightInd w:val="0"/>
        <w:snapToGrid w:val="0"/>
        <w:spacing w:line="500" w:lineRule="exact"/>
        <w:ind w:firstLine="560" w:firstLineChars="200"/>
        <w:rPr>
          <w:rFonts w:eastAsia="仿宋_GB2312"/>
          <w:color w:val="auto"/>
          <w:szCs w:val="28"/>
        </w:rPr>
      </w:pPr>
      <w:r>
        <w:rPr>
          <w:rFonts w:eastAsia="仿宋_GB2312"/>
          <w:color w:val="auto"/>
          <w:szCs w:val="28"/>
        </w:rPr>
        <w:t>（2）</w:t>
      </w:r>
      <w:r>
        <w:rPr>
          <w:rFonts w:hint="eastAsia" w:eastAsia="仿宋_GB2312"/>
          <w:color w:val="auto"/>
          <w:szCs w:val="28"/>
        </w:rPr>
        <w:t>《第一师阿拉尔市重污染天气应急预案（试行）》（师市办发〔2015〕35号）；</w:t>
      </w:r>
    </w:p>
    <w:p>
      <w:pPr>
        <w:adjustRightInd w:val="0"/>
        <w:snapToGrid w:val="0"/>
        <w:spacing w:line="500" w:lineRule="exact"/>
        <w:ind w:firstLine="560" w:firstLineChars="200"/>
        <w:rPr>
          <w:rFonts w:eastAsia="仿宋_GB2312"/>
          <w:color w:val="auto"/>
          <w:szCs w:val="28"/>
        </w:rPr>
      </w:pPr>
      <w:r>
        <w:rPr>
          <w:rFonts w:eastAsia="仿宋_GB2312"/>
          <w:color w:val="auto"/>
          <w:szCs w:val="28"/>
        </w:rPr>
        <w:t>（3）第一师</w:t>
      </w:r>
      <w:r>
        <w:rPr>
          <w:rFonts w:hint="eastAsia" w:eastAsia="仿宋_GB2312"/>
          <w:color w:val="auto"/>
          <w:szCs w:val="28"/>
        </w:rPr>
        <w:t>阿拉尔市</w:t>
      </w:r>
      <w:r>
        <w:rPr>
          <w:rFonts w:eastAsia="仿宋_GB2312"/>
          <w:color w:val="auto"/>
          <w:szCs w:val="28"/>
        </w:rPr>
        <w:t>其他资料。</w:t>
      </w:r>
    </w:p>
    <w:p>
      <w:pPr>
        <w:pStyle w:val="7"/>
        <w:keepNext w:val="0"/>
        <w:keepLines w:val="0"/>
        <w:topLinePunct/>
        <w:spacing w:before="156" w:beforeLines="50" w:after="156" w:afterLines="50" w:line="500" w:lineRule="exact"/>
        <w:jc w:val="left"/>
        <w:rPr>
          <w:bCs w:val="0"/>
          <w:color w:val="auto"/>
          <w:kern w:val="0"/>
          <w:sz w:val="32"/>
          <w:lang w:val="zh-CN"/>
        </w:rPr>
      </w:pPr>
      <w:bookmarkStart w:id="14" w:name="_Toc40975748"/>
      <w:bookmarkStart w:id="15" w:name="_Toc27822"/>
      <w:bookmarkStart w:id="16" w:name="_Toc19253"/>
      <w:r>
        <w:rPr>
          <w:bCs w:val="0"/>
          <w:color w:val="auto"/>
          <w:kern w:val="0"/>
          <w:sz w:val="32"/>
          <w:lang w:val="zh-CN"/>
        </w:rPr>
        <w:t>1.</w:t>
      </w:r>
      <w:bookmarkEnd w:id="14"/>
      <w:r>
        <w:rPr>
          <w:bCs w:val="0"/>
          <w:color w:val="auto"/>
          <w:kern w:val="0"/>
          <w:sz w:val="32"/>
        </w:rPr>
        <w:t>3</w:t>
      </w:r>
      <w:bookmarkEnd w:id="15"/>
      <w:r>
        <w:rPr>
          <w:rFonts w:hint="eastAsia"/>
          <w:bCs w:val="0"/>
          <w:color w:val="auto"/>
          <w:kern w:val="0"/>
          <w:sz w:val="32"/>
          <w:lang w:val="zh-CN"/>
        </w:rPr>
        <w:t>适用范围</w:t>
      </w:r>
      <w:bookmarkEnd w:id="16"/>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本预案适用于第一师阿拉尔市行政区域内出现重污染天气的预警、控制和应急响应工作。</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预案所指的重污染天气，是指根据《环境空气质量指数（AQI）技术规定（试行）》（HJ633-2012），环境空气质量指数（AQI）大于200的污染天气。</w:t>
      </w:r>
    </w:p>
    <w:p>
      <w:pPr>
        <w:pStyle w:val="30"/>
        <w:rPr>
          <w:rFonts w:hint="default" w:eastAsia="仿宋"/>
          <w:color w:val="auto"/>
          <w:lang w:val="en-US" w:eastAsia="zh-CN"/>
        </w:rPr>
      </w:pPr>
      <w:r>
        <w:rPr>
          <w:rFonts w:hint="default" w:eastAsia="仿宋"/>
          <w:color w:val="auto"/>
          <w:lang w:val="en-US" w:eastAsia="zh-CN"/>
        </w:rPr>
        <w:t>因沙尘天气形成的重污染</w:t>
      </w:r>
      <w:r>
        <w:rPr>
          <w:rFonts w:hint="eastAsia"/>
          <w:color w:val="auto"/>
          <w:lang w:val="en-US" w:eastAsia="zh-CN"/>
        </w:rPr>
        <w:t>天气</w:t>
      </w:r>
      <w:r>
        <w:rPr>
          <w:rFonts w:hint="default" w:eastAsia="仿宋"/>
          <w:color w:val="auto"/>
          <w:lang w:val="en-US" w:eastAsia="zh-CN"/>
        </w:rPr>
        <w:t>不适用本预案</w:t>
      </w:r>
    </w:p>
    <w:p>
      <w:pPr>
        <w:pStyle w:val="7"/>
        <w:keepNext w:val="0"/>
        <w:keepLines w:val="0"/>
        <w:topLinePunct/>
        <w:spacing w:before="156" w:beforeLines="50" w:after="156" w:afterLines="50" w:line="500" w:lineRule="exact"/>
        <w:jc w:val="left"/>
        <w:rPr>
          <w:bCs w:val="0"/>
          <w:color w:val="auto"/>
          <w:kern w:val="0"/>
          <w:sz w:val="32"/>
          <w:lang w:val="zh-CN"/>
        </w:rPr>
      </w:pPr>
      <w:bookmarkStart w:id="17" w:name="_Toc19715"/>
      <w:r>
        <w:rPr>
          <w:bCs w:val="0"/>
          <w:color w:val="auto"/>
          <w:kern w:val="0"/>
          <w:sz w:val="32"/>
          <w:lang w:val="zh-CN"/>
        </w:rPr>
        <w:t>1.</w:t>
      </w:r>
      <w:r>
        <w:rPr>
          <w:rFonts w:hint="default"/>
          <w:bCs w:val="0"/>
          <w:color w:val="auto"/>
          <w:kern w:val="0"/>
          <w:sz w:val="32"/>
          <w:lang w:val="en-US"/>
        </w:rPr>
        <w:t>4</w:t>
      </w:r>
      <w:r>
        <w:rPr>
          <w:rFonts w:hint="eastAsia"/>
          <w:bCs w:val="0"/>
          <w:color w:val="auto"/>
          <w:kern w:val="0"/>
          <w:sz w:val="32"/>
        </w:rPr>
        <w:t>工作原则</w:t>
      </w:r>
      <w:bookmarkEnd w:id="17"/>
    </w:p>
    <w:p>
      <w:pPr>
        <w:numPr>
          <w:ilvl w:val="0"/>
          <w:numId w:val="2"/>
        </w:numPr>
        <w:adjustRightInd w:val="0"/>
        <w:snapToGrid w:val="0"/>
        <w:spacing w:line="500" w:lineRule="exact"/>
        <w:ind w:firstLine="560" w:firstLineChars="200"/>
        <w:rPr>
          <w:rFonts w:eastAsia="仿宋_GB2312"/>
          <w:color w:val="auto"/>
          <w:szCs w:val="28"/>
        </w:rPr>
      </w:pPr>
      <w:r>
        <w:rPr>
          <w:rFonts w:eastAsia="仿宋_GB2312"/>
          <w:color w:val="auto"/>
          <w:szCs w:val="28"/>
        </w:rPr>
        <w:t>以人为本，预防为主。</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坚持把保障人民群众身体健康作为应对重污染天气的首要任务，预防与处置相结合，最大程度预防和降低重污染天气造成的危害。</w:t>
      </w:r>
    </w:p>
    <w:p>
      <w:pPr>
        <w:adjustRightInd w:val="0"/>
        <w:snapToGrid w:val="0"/>
        <w:spacing w:line="500" w:lineRule="exact"/>
        <w:ind w:firstLine="560" w:firstLineChars="200"/>
        <w:rPr>
          <w:rFonts w:eastAsia="仿宋_GB2312"/>
          <w:color w:val="auto"/>
          <w:szCs w:val="28"/>
        </w:rPr>
      </w:pPr>
      <w:r>
        <w:rPr>
          <w:rFonts w:eastAsia="仿宋_GB2312"/>
          <w:color w:val="auto"/>
          <w:szCs w:val="28"/>
        </w:rPr>
        <w:t>（</w:t>
      </w:r>
      <w:r>
        <w:rPr>
          <w:rFonts w:hint="default" w:eastAsia="仿宋_GB2312"/>
          <w:color w:val="auto"/>
          <w:szCs w:val="28"/>
          <w:lang w:val="en-US"/>
        </w:rPr>
        <w:t>2</w:t>
      </w:r>
      <w:r>
        <w:rPr>
          <w:rFonts w:eastAsia="仿宋_GB2312"/>
          <w:color w:val="auto"/>
          <w:szCs w:val="28"/>
        </w:rPr>
        <w:t>）区域统筹，属地管理。</w:t>
      </w:r>
    </w:p>
    <w:p>
      <w:pPr>
        <w:adjustRightInd w:val="0"/>
        <w:snapToGrid w:val="0"/>
        <w:spacing w:line="500" w:lineRule="exact"/>
        <w:ind w:firstLine="560" w:firstLineChars="200"/>
        <w:rPr>
          <w:rFonts w:eastAsia="仿宋_GB2312"/>
          <w:color w:val="auto"/>
          <w:szCs w:val="28"/>
        </w:rPr>
      </w:pPr>
      <w:r>
        <w:rPr>
          <w:rFonts w:eastAsia="仿宋_GB2312"/>
          <w:color w:val="auto"/>
          <w:szCs w:val="28"/>
        </w:rPr>
        <w:t>加强对重污染天气应对的区域统筹，落实属地责任，实行政府主要负责人负责制，本辖区内重污染天气应急响应实施统一指挥，按照区域重污染天气应急联动的需要，及时组织落实相关应急响应措施。</w:t>
      </w:r>
    </w:p>
    <w:p>
      <w:pPr>
        <w:numPr>
          <w:ilvl w:val="0"/>
          <w:numId w:val="0"/>
        </w:numPr>
        <w:adjustRightInd w:val="0"/>
        <w:snapToGrid w:val="0"/>
        <w:spacing w:line="500" w:lineRule="exact"/>
        <w:ind w:leftChars="200"/>
        <w:rPr>
          <w:rFonts w:eastAsia="仿宋_GB2312"/>
          <w:color w:val="auto"/>
          <w:szCs w:val="28"/>
        </w:rPr>
      </w:pPr>
      <w:r>
        <w:rPr>
          <w:rFonts w:eastAsia="仿宋_GB2312"/>
          <w:color w:val="auto"/>
          <w:szCs w:val="28"/>
        </w:rPr>
        <w:t>（</w:t>
      </w:r>
      <w:r>
        <w:rPr>
          <w:rFonts w:hint="default" w:eastAsia="仿宋_GB2312"/>
          <w:color w:val="auto"/>
          <w:szCs w:val="28"/>
          <w:lang w:val="en-US"/>
        </w:rPr>
        <w:t>3</w:t>
      </w:r>
      <w:r>
        <w:rPr>
          <w:rFonts w:eastAsia="仿宋_GB2312"/>
          <w:color w:val="auto"/>
          <w:szCs w:val="28"/>
        </w:rPr>
        <w:t>）</w:t>
      </w:r>
      <w:r>
        <w:rPr>
          <w:rFonts w:hint="eastAsia" w:eastAsia="仿宋_GB2312"/>
          <w:color w:val="auto"/>
          <w:szCs w:val="28"/>
        </w:rPr>
        <w:t>科学预警，分级管控</w:t>
      </w:r>
      <w:r>
        <w:rPr>
          <w:rFonts w:eastAsia="仿宋_GB2312"/>
          <w:color w:val="auto"/>
          <w:szCs w:val="28"/>
        </w:rPr>
        <w:t>。</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做好环境空气质量和气象条件日常监测，及时准确把握环境空气质量和气象条件的变化情况，加强污染天气监测、预报和预警工作，开展污染过程趋势分析和研判，做好应对重污染天气的各项准备，做到及时、快速和有效应对。</w:t>
      </w:r>
    </w:p>
    <w:p>
      <w:pPr>
        <w:numPr>
          <w:ilvl w:val="0"/>
          <w:numId w:val="3"/>
        </w:num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协同联动，社会参与</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加强各有关部门协调联动，建立健全信息共享机制，充分发挥各自专业优势，综合采用经济、法律以及必要的行政手段协同做好重污染天气应对工作。完善信息公开制度，提高公众自我防护意识及参与意识。</w:t>
      </w:r>
    </w:p>
    <w:p>
      <w:pPr>
        <w:pStyle w:val="7"/>
        <w:keepNext w:val="0"/>
        <w:keepLines w:val="0"/>
        <w:topLinePunct/>
        <w:spacing w:before="156" w:beforeLines="50" w:after="156" w:afterLines="50" w:line="500" w:lineRule="exact"/>
        <w:jc w:val="left"/>
        <w:rPr>
          <w:bCs w:val="0"/>
          <w:color w:val="auto"/>
          <w:kern w:val="0"/>
          <w:sz w:val="32"/>
          <w:lang w:val="zh-CN"/>
        </w:rPr>
      </w:pPr>
      <w:bookmarkStart w:id="18" w:name="_Toc15912"/>
      <w:r>
        <w:rPr>
          <w:bCs w:val="0"/>
          <w:color w:val="auto"/>
          <w:kern w:val="0"/>
          <w:sz w:val="32"/>
          <w:lang w:val="zh-CN"/>
        </w:rPr>
        <w:t>1.</w:t>
      </w:r>
      <w:r>
        <w:rPr>
          <w:rFonts w:hint="default"/>
          <w:bCs w:val="0"/>
          <w:color w:val="auto"/>
          <w:kern w:val="0"/>
          <w:sz w:val="32"/>
          <w:lang w:val="en-US"/>
        </w:rPr>
        <w:t>5</w:t>
      </w:r>
      <w:r>
        <w:rPr>
          <w:rFonts w:hint="eastAsia"/>
          <w:bCs w:val="0"/>
          <w:color w:val="auto"/>
          <w:kern w:val="0"/>
          <w:sz w:val="32"/>
        </w:rPr>
        <w:t>预案体系</w:t>
      </w:r>
      <w:bookmarkEnd w:id="18"/>
    </w:p>
    <w:p>
      <w:pPr>
        <w:adjustRightInd w:val="0"/>
        <w:snapToGrid w:val="0"/>
        <w:spacing w:line="500" w:lineRule="exact"/>
        <w:ind w:firstLine="560" w:firstLineChars="200"/>
        <w:rPr>
          <w:rFonts w:eastAsia="仿宋_GB2312"/>
          <w:color w:val="auto"/>
          <w:szCs w:val="28"/>
        </w:rPr>
      </w:pPr>
      <w:r>
        <w:rPr>
          <w:rFonts w:eastAsia="仿宋_GB2312"/>
          <w:color w:val="auto"/>
          <w:szCs w:val="28"/>
        </w:rPr>
        <w:t>本预案主要包括总则、组织机构及职责、监测与预警、应急响应、</w:t>
      </w:r>
      <w:r>
        <w:rPr>
          <w:rFonts w:hint="eastAsia" w:eastAsia="仿宋_GB2312"/>
          <w:color w:val="auto"/>
          <w:szCs w:val="28"/>
        </w:rPr>
        <w:t>信息发布、</w:t>
      </w:r>
      <w:r>
        <w:rPr>
          <w:rFonts w:eastAsia="仿宋_GB2312"/>
          <w:color w:val="auto"/>
          <w:szCs w:val="28"/>
        </w:rPr>
        <w:t>应急保障、预案管理和附则以及相关附件。</w:t>
      </w:r>
    </w:p>
    <w:p>
      <w:pPr>
        <w:pStyle w:val="7"/>
        <w:keepNext w:val="0"/>
        <w:keepLines w:val="0"/>
        <w:topLinePunct/>
        <w:spacing w:before="156" w:beforeLines="50" w:after="156" w:afterLines="50" w:line="500" w:lineRule="exact"/>
        <w:jc w:val="left"/>
        <w:rPr>
          <w:bCs w:val="0"/>
          <w:color w:val="auto"/>
          <w:kern w:val="0"/>
          <w:sz w:val="32"/>
        </w:rPr>
      </w:pPr>
      <w:bookmarkStart w:id="19" w:name="_Toc26876"/>
      <w:r>
        <w:rPr>
          <w:bCs w:val="0"/>
          <w:color w:val="auto"/>
          <w:kern w:val="0"/>
          <w:sz w:val="32"/>
        </w:rPr>
        <w:t>1.6应急预案关系说明</w:t>
      </w:r>
      <w:bookmarkEnd w:id="19"/>
    </w:p>
    <w:p>
      <w:pPr>
        <w:adjustRightInd w:val="0"/>
        <w:snapToGrid w:val="0"/>
        <w:spacing w:line="500" w:lineRule="exact"/>
        <w:ind w:firstLine="560" w:firstLineChars="200"/>
        <w:rPr>
          <w:rFonts w:hint="eastAsia" w:eastAsia="仿宋_GB2312"/>
          <w:color w:val="auto"/>
          <w:szCs w:val="28"/>
        </w:rPr>
        <w:sectPr>
          <w:pgSz w:w="11906" w:h="16838"/>
          <w:pgMar w:top="1440" w:right="1800" w:bottom="1440" w:left="1800" w:header="851" w:footer="992" w:gutter="0"/>
          <w:cols w:space="425" w:num="1"/>
          <w:docGrid w:type="lines" w:linePitch="312" w:charSpace="0"/>
        </w:sectPr>
      </w:pPr>
      <w:r>
        <w:rPr>
          <w:rFonts w:eastAsia="仿宋_GB2312"/>
          <w:color w:val="auto"/>
          <w:szCs w:val="28"/>
        </w:rPr>
        <w:t>本预案是</w:t>
      </w:r>
      <w:r>
        <w:rPr>
          <w:rFonts w:hint="eastAsia" w:eastAsia="仿宋_GB2312"/>
          <w:color w:val="auto"/>
          <w:szCs w:val="28"/>
        </w:rPr>
        <w:t>本预案为阿拉尔市突发事件总体应急预案的组成部分</w:t>
      </w:r>
      <w:r>
        <w:rPr>
          <w:rFonts w:eastAsia="仿宋_GB2312"/>
          <w:color w:val="auto"/>
          <w:szCs w:val="28"/>
        </w:rPr>
        <w:t>，</w:t>
      </w:r>
      <w:r>
        <w:rPr>
          <w:rFonts w:hint="eastAsia" w:eastAsia="仿宋_GB2312"/>
          <w:color w:val="auto"/>
          <w:szCs w:val="28"/>
        </w:rPr>
        <w:t>是专项应急预案，统领阿拉尔市重污染天气应急处置工作，与各有关部门重污染天气应急工作方案、有关企业重污染天气应急操作方案共同组成阿拉尔市重污染天气应急预案体系。</w:t>
      </w:r>
    </w:p>
    <w:p>
      <w:pPr>
        <w:pStyle w:val="6"/>
        <w:keepNext w:val="0"/>
        <w:keepLines w:val="0"/>
        <w:spacing w:before="312" w:beforeLines="100" w:after="312" w:afterLines="100" w:line="500" w:lineRule="exact"/>
        <w:jc w:val="left"/>
        <w:rPr>
          <w:color w:val="auto"/>
          <w:kern w:val="0"/>
          <w:sz w:val="36"/>
          <w:szCs w:val="36"/>
        </w:rPr>
      </w:pPr>
      <w:bookmarkStart w:id="20" w:name="_Toc2028"/>
      <w:r>
        <w:rPr>
          <w:color w:val="auto"/>
          <w:kern w:val="0"/>
          <w:sz w:val="36"/>
          <w:szCs w:val="36"/>
        </w:rPr>
        <w:t>2</w:t>
      </w:r>
      <w:r>
        <w:rPr>
          <w:rFonts w:hint="eastAsia"/>
          <w:color w:val="auto"/>
          <w:kern w:val="0"/>
          <w:sz w:val="36"/>
          <w:szCs w:val="36"/>
        </w:rPr>
        <w:t>组织机构及职责</w:t>
      </w:r>
      <w:bookmarkEnd w:id="20"/>
    </w:p>
    <w:p>
      <w:pPr>
        <w:pStyle w:val="7"/>
        <w:keepNext w:val="0"/>
        <w:keepLines w:val="0"/>
        <w:topLinePunct/>
        <w:spacing w:before="156" w:beforeLines="50" w:after="156" w:afterLines="50" w:line="500" w:lineRule="exact"/>
        <w:jc w:val="left"/>
        <w:rPr>
          <w:bCs w:val="0"/>
          <w:color w:val="auto"/>
          <w:kern w:val="0"/>
          <w:sz w:val="32"/>
          <w:lang w:val="zh-CN"/>
        </w:rPr>
      </w:pPr>
      <w:bookmarkStart w:id="21" w:name="_Toc15938"/>
      <w:r>
        <w:rPr>
          <w:bCs w:val="0"/>
          <w:color w:val="auto"/>
          <w:kern w:val="0"/>
          <w:sz w:val="32"/>
          <w:lang w:val="zh-CN"/>
        </w:rPr>
        <w:t>2.1</w:t>
      </w:r>
      <w:r>
        <w:rPr>
          <w:rFonts w:hint="eastAsia"/>
          <w:bCs w:val="0"/>
          <w:color w:val="auto"/>
          <w:kern w:val="0"/>
          <w:sz w:val="32"/>
          <w:lang w:val="zh-CN"/>
        </w:rPr>
        <w:t>组织机构</w:t>
      </w:r>
      <w:bookmarkEnd w:id="21"/>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重污染天气应急指挥部(简称“指挥部”)，指挥部是本级重污染天气应急工作组织指挥和协调机构。</w:t>
      </w:r>
    </w:p>
    <w:p>
      <w:pPr>
        <w:adjustRightInd w:val="0"/>
        <w:snapToGrid w:val="0"/>
        <w:spacing w:line="500" w:lineRule="exact"/>
        <w:ind w:firstLine="560" w:firstLineChars="200"/>
        <w:rPr>
          <w:rFonts w:eastAsia="仿宋_GB2312"/>
          <w:color w:val="0000FF"/>
          <w:szCs w:val="28"/>
        </w:rPr>
      </w:pPr>
      <w:r>
        <w:rPr>
          <w:rFonts w:hint="eastAsia" w:eastAsia="仿宋_GB2312"/>
          <w:color w:val="auto"/>
          <w:szCs w:val="28"/>
        </w:rPr>
        <w:t>总指挥由师市分管环境保护工作的领导担任，副总指挥由师市分管生态环境局局长担任，</w:t>
      </w:r>
      <w:r>
        <w:rPr>
          <w:rFonts w:hint="eastAsia" w:eastAsia="仿宋_GB2312"/>
          <w:color w:val="0000FF"/>
          <w:szCs w:val="28"/>
        </w:rPr>
        <w:t>指挥部下设</w:t>
      </w:r>
      <w:r>
        <w:rPr>
          <w:rFonts w:hint="eastAsia" w:eastAsia="仿宋_GB2312"/>
          <w:color w:val="0000FF"/>
          <w:szCs w:val="28"/>
          <w:lang w:val="en-US" w:eastAsia="zh-CN"/>
        </w:rPr>
        <w:t>应急</w:t>
      </w:r>
      <w:r>
        <w:rPr>
          <w:rFonts w:hint="eastAsia" w:eastAsia="仿宋_GB2312"/>
          <w:color w:val="0000FF"/>
          <w:szCs w:val="28"/>
        </w:rPr>
        <w:t>办公室、预警工作组、</w:t>
      </w:r>
      <w:r>
        <w:rPr>
          <w:rFonts w:hint="eastAsia" w:eastAsia="仿宋_GB2312"/>
          <w:color w:val="0000FF"/>
          <w:szCs w:val="28"/>
          <w:lang w:eastAsia="zh-CN"/>
        </w:rPr>
        <w:t>应急处置组</w:t>
      </w:r>
      <w:r>
        <w:rPr>
          <w:rFonts w:hint="eastAsia" w:eastAsia="仿宋_GB2312"/>
          <w:color w:val="0000FF"/>
          <w:szCs w:val="28"/>
        </w:rPr>
        <w:t>、卫生防护组、信息公开和宣传组、专家咨询组、督导检查组等。</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成员部门：纪委监委、党委宣传部、党委网信办、生态环境局、发改委、财政局、应急管理局、工业和信息化局、自然资源和规划局、农业农村局、住房和城乡建设局、交通运输局、商务局、卫生健康委员会、市场监督管理局、公安局、教育局</w:t>
      </w:r>
      <w:r>
        <w:rPr>
          <w:rFonts w:hint="eastAsia" w:eastAsia="仿宋_GB2312"/>
          <w:color w:val="0000FF"/>
          <w:szCs w:val="28"/>
          <w:lang w:eastAsia="zh-CN"/>
        </w:rPr>
        <w:t>、卫生健康委员会</w:t>
      </w:r>
      <w:r>
        <w:rPr>
          <w:rFonts w:hint="eastAsia" w:eastAsia="仿宋_GB2312"/>
          <w:color w:val="0000FF"/>
          <w:szCs w:val="28"/>
          <w:lang w:val="en-US" w:eastAsia="zh-CN"/>
        </w:rPr>
        <w:t>及</w:t>
      </w:r>
      <w:r>
        <w:rPr>
          <w:rFonts w:hint="eastAsia" w:eastAsia="仿宋_GB2312"/>
          <w:color w:val="0000FF"/>
          <w:szCs w:val="28"/>
        </w:rPr>
        <w:t>阿拉尔市气象局和事发地（团场、农场、乡镇、工业园区、各企业）等部门和单位的负责人组成。</w:t>
      </w:r>
    </w:p>
    <w:p>
      <w:pPr>
        <w:pStyle w:val="2"/>
        <w:keepNext w:val="0"/>
        <w:keepLines w:val="0"/>
        <w:pageBreakBefore w:val="0"/>
        <w:kinsoku/>
        <w:wordWrap/>
        <w:overflowPunct/>
        <w:topLinePunct w:val="0"/>
        <w:autoSpaceDE/>
        <w:autoSpaceDN/>
        <w:bidi w:val="0"/>
        <w:spacing w:after="0" w:line="500" w:lineRule="exact"/>
        <w:ind w:left="0" w:leftChars="0"/>
        <w:textAlignment w:val="auto"/>
        <w:rPr>
          <w:rFonts w:hint="eastAsia" w:eastAsia="仿宋_GB2312"/>
          <w:color w:val="0000FF"/>
          <w:szCs w:val="28"/>
          <w:lang w:val="en-US" w:eastAsia="zh-CN"/>
        </w:rPr>
      </w:pPr>
      <w:r>
        <w:rPr>
          <w:rFonts w:hint="eastAsia" w:eastAsia="仿宋_GB2312"/>
          <w:color w:val="0000FF"/>
          <w:szCs w:val="28"/>
          <w:lang w:val="en-US" w:eastAsia="zh-CN"/>
        </w:rPr>
        <w:t>各成员单位职责如下：</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纪委监委：对因措施落实不到位，在重污染天气应急准备、监测、预警、响应等工作中出现失职失责的行为，进行追责问责。</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党委宣传部：负责重污染天气预警、应对处置工作新闻报道，舆论引导工作；组织报纸、广播、电视等新闻媒体及其所属新媒体做好重污染天气预警信息发布和舆论引导工作；督导、协调各级各类新闻媒体开展健康防护、公民和企业自愿减排措施的宣传工作。</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党委网信办：负责重污染天气网络舆情调控、管控工作；负责重污染天气期间舆情收集、汇总、分析和上报等工作，指导有关单位及时回应社会关切。</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发展和改革委员会：负责清洁能源规划及开发建设工作；负责煤炭监督管理；负责确保预警期间严格实施“压非保民”，保障居民的清洁能源供应等能源保障工作；参照一师及周边相关政策，制定重污染天气公共交通系统的优惠价格，引导绿色出行；协调应急状态下的能源保障工作，加强与重点能源保供企业和上级主管部门对接协调，加大天然气、电等清洁能源供应，实行清洁能源调度。</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教育局：负责制定并组织落实教育系统重污染天气应急工作方案，指导做好中小学、幼儿园在重污染天气发生时的健康防护工作，组织中小学及幼儿园实施减少或停止体育课、早操、课间操及户外活动等措施，加强大气重污染防护知识的宣传，及时汇总上报学校重污染天气期间响应措施落实情况。</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工业和信息化局：督促工业企业编制重污染天气应急预案，并按照重污染天气应急减排项目清单落实减排措施；负责制定《工业企业错峰生产方案》，并督促有关单位对企业错峰生产执行情况进行监督；配合生态环境部门指导各企业拟定在不同预警等级下需要降低生产负荷（限产）和停产的应急减排项目清单；在重污染天气预警期间，配合生态环境部门加大督导巡查，汇总停产、限产对园区工业生产造成的影响情况报告指挥部办公室。</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公安局：负责组织、协调本行政区域内大气重污染应急处置时的机动车限行、公车停驶、道路交通管制，以及会同有关部门加大对高污染排放车辆的检查等工作；按照师划定的烟花爆竹禁燃区域范围，联合城市管理、生态环境等部门加强重污染天气下禁燃执法，管控烟花爆竹禁燃区治安秩序，制止和查处在禁燃期间、禁燃区域违规燃放行为，依法办理阻碍执行任务、扰乱社会秩序等案件。</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财政局：负责师本级污染天气应急能力建设经费，并落实重污染天气预警和应急工作所需经费；协调各地保障重污染天气应急能力建设经费。</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自然资源和规划局：科学、合理制定城镇周边防尘林带的规划，协助做好应急响应期间采石（砂）场的扬尘控制工作；负责房屋征收拆迁工地扬尘管控，减少扬尘污染。</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生态环境局：负责指挥部办公室的日常工作，建立并完善环境空气质量监测、预报、预警系统，联合师农业农村局开展重污染天气会商，提出预警建议；负责预案的修订及应急减排清单的更新；加强对大气污染源的日常监管，指导相关单位进行环境风险隐患排查与整治；参与应急时期督导检查工作；根据《重污染天气重点行业应急减排措施制定技术指南（2020年修订版）》（以下简称《指南》）组织实施绩效评级申报工作，建立重污染天气企业应急减排清单并及时更新，指导企业制修订“一厂一策”实施方案。</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住房和城乡建设局：认真落实《建筑施工现场安全检查标准》（JGJ59-2011）、《建筑施工现状环境与卫生标准》（JGJ146-2013），发现违法违规行为及时督促整改并予以严肃处理。加强对建筑施工工地和市政道路开挖弃土扬尘管控，减少扬尘污染。同时，按规定要求将重污染天气期间落实应急响应情况和重污染天气对建设领域影响评估情况报告指挥部办公室。扩大城市园林绿化面积，延长道路清扫保洁和洒水压尘作业时间、增加频次，减少扬尘污染。指导市容环卫部门加强城市道路机械化清扫（冲洗）保洁作业。重污染天气期间，组织开展餐饮油烟污染、露天烧烤，焚烧垃圾、树叶、秸秆等方面的执法检查。</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交通运输局：负责制定公共交通应急行动方案，指导预警期间增加公共交通运行，引导绿色出行；加强运输车辆、道路保洁的管控工作；落实第一师辖区内省、县、乡公路车辆通行应急响应措施；督导所属施工工地、物流园区、汽车维修企业非道路移动机械落实应急响应措施。</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农业农村局：加强秸秆焚烧污染防控工作，开展秸秆禁烧督查；指导和督促团（镇）加强秸秆综合利用工作，及时汇总上报工作情况；负责大气环境气象监测、预报及信息发布工作；会同生态环境局做好重污染天气预报工作；确保大气重污染应急气象服务工作高效有序地进行，做好气象服务保障工作。</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商务局：加强车用燃油销售、使用的监管，严禁销售不合格油品；加大对加油站、储油库、油罐车的油气回收治理设施正常使用情况进行督导检查。</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卫生健康委员会：配合宣传部门，开展重污染天气造成的健康防护知识宣传，提高重污染天气易感人群诊治医疗机构的应急能力，负责制定重污染天气公众健康防护及医疗保障工作方案；与生态环境、气象等部门联合开展评估重污染天气相关的健康影响与疾病负担。</w:t>
      </w:r>
    </w:p>
    <w:p>
      <w:pPr>
        <w:keepNext w:val="0"/>
        <w:keepLines w:val="0"/>
        <w:pageBreakBefore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eastAsia="仿宋_GB2312"/>
          <w:color w:val="0000FF"/>
          <w:szCs w:val="28"/>
          <w:lang w:val="en-US" w:eastAsia="zh-CN"/>
        </w:rPr>
      </w:pPr>
      <w:r>
        <w:rPr>
          <w:rFonts w:hint="eastAsia" w:eastAsia="仿宋_GB2312"/>
          <w:color w:val="0000FF"/>
          <w:szCs w:val="28"/>
          <w:lang w:val="en-US" w:eastAsia="zh-CN"/>
        </w:rPr>
        <w:t>市场监督管理局：加强对锅炉、油气罐及压力容器、管道等特种设备的质量检测和安全管理，防止各类事故隐患次生环境污染；加强对加油站燃油品质达标的监督管理；负责对企业生产、销售国家明令淘汰产品违法行为的查处，加强对不符合人体健康、人身、财产安全国家标准、行业标准的产品的查处。</w:t>
      </w:r>
    </w:p>
    <w:p>
      <w:pPr>
        <w:adjustRightInd w:val="0"/>
        <w:snapToGrid w:val="0"/>
        <w:spacing w:line="500" w:lineRule="exact"/>
        <w:ind w:firstLine="560" w:firstLineChars="200"/>
        <w:rPr>
          <w:rFonts w:hint="eastAsia" w:eastAsia="仿宋_GB2312"/>
          <w:color w:val="0000FF"/>
          <w:szCs w:val="28"/>
          <w:lang w:val="en-US" w:eastAsia="zh-CN"/>
        </w:rPr>
      </w:pPr>
      <w:r>
        <w:rPr>
          <w:rFonts w:hint="eastAsia" w:eastAsia="仿宋_GB2312"/>
          <w:color w:val="0000FF"/>
          <w:szCs w:val="28"/>
          <w:lang w:val="en-US" w:eastAsia="zh-CN"/>
        </w:rPr>
        <w:t>应急管理局：会同交通运输、公安消防等部门做好危险化学品及烟花爆竹企业的生产、经营、储存、使用过程中的安全生产工作，加强辖区内重点单位的安全生产检查，督促企业落实隐患排查整治。</w:t>
      </w:r>
    </w:p>
    <w:p>
      <w:pPr>
        <w:adjustRightInd w:val="0"/>
        <w:snapToGrid w:val="0"/>
        <w:spacing w:line="500" w:lineRule="exact"/>
        <w:ind w:firstLine="560" w:firstLineChars="200"/>
        <w:rPr>
          <w:rFonts w:hint="eastAsia" w:eastAsia="仿宋_GB2312"/>
          <w:color w:val="0000FF"/>
          <w:szCs w:val="28"/>
          <w:lang w:val="en-US" w:eastAsia="zh-CN"/>
        </w:rPr>
      </w:pPr>
      <w:r>
        <w:rPr>
          <w:rFonts w:hint="eastAsia" w:eastAsia="仿宋_GB2312"/>
          <w:color w:val="0000FF"/>
          <w:szCs w:val="28"/>
          <w:lang w:val="en-US" w:eastAsia="zh-CN"/>
        </w:rPr>
        <w:t>经济技术开发区：负责制定园区重污染天气应急预案，督促并指导园区内重点企业编制重污染天气应急预案。</w:t>
      </w:r>
    </w:p>
    <w:p>
      <w:pPr>
        <w:adjustRightInd w:val="0"/>
        <w:snapToGrid w:val="0"/>
        <w:spacing w:line="500" w:lineRule="exact"/>
        <w:ind w:firstLine="560" w:firstLineChars="200"/>
        <w:rPr>
          <w:rFonts w:hint="default" w:eastAsia="仿宋_GB2312"/>
          <w:color w:val="0000FF"/>
          <w:szCs w:val="28"/>
          <w:lang w:val="en-US" w:eastAsia="zh-CN"/>
        </w:rPr>
      </w:pPr>
      <w:r>
        <w:rPr>
          <w:rFonts w:hint="eastAsia" w:eastAsia="仿宋_GB2312"/>
          <w:color w:val="0000FF"/>
          <w:szCs w:val="28"/>
          <w:lang w:val="en-US" w:eastAsia="zh-CN"/>
        </w:rPr>
        <w:t>团场负责人：督促和协助上级部门下达重污染天气应急响应，协助落实相应措施。</w:t>
      </w:r>
    </w:p>
    <w:p>
      <w:pPr>
        <w:pStyle w:val="7"/>
        <w:keepNext w:val="0"/>
        <w:keepLines w:val="0"/>
        <w:topLinePunct/>
        <w:spacing w:before="156" w:beforeLines="50" w:after="156" w:afterLines="50" w:line="500" w:lineRule="exact"/>
        <w:jc w:val="left"/>
        <w:rPr>
          <w:bCs w:val="0"/>
          <w:color w:val="auto"/>
          <w:kern w:val="0"/>
          <w:sz w:val="32"/>
          <w:lang w:val="zh-CN"/>
        </w:rPr>
      </w:pPr>
      <w:bookmarkStart w:id="22" w:name="_Toc19835"/>
      <w:r>
        <w:rPr>
          <w:bCs w:val="0"/>
          <w:color w:val="auto"/>
          <w:kern w:val="0"/>
          <w:sz w:val="32"/>
          <w:lang w:val="zh-CN"/>
        </w:rPr>
        <w:t>2.2</w:t>
      </w:r>
      <w:r>
        <w:rPr>
          <w:rFonts w:hint="eastAsia"/>
          <w:bCs w:val="0"/>
          <w:color w:val="auto"/>
          <w:kern w:val="0"/>
          <w:sz w:val="32"/>
          <w:lang w:val="zh-CN"/>
        </w:rPr>
        <w:t>组织职责</w:t>
      </w:r>
      <w:bookmarkEnd w:id="22"/>
    </w:p>
    <w:p>
      <w:pPr>
        <w:spacing w:before="78" w:beforeLines="25" w:after="78" w:afterLines="25" w:line="500" w:lineRule="exact"/>
        <w:outlineLvl w:val="2"/>
        <w:rPr>
          <w:b/>
          <w:bCs/>
          <w:color w:val="auto"/>
          <w:szCs w:val="24"/>
          <w:lang w:val="zh-CN"/>
        </w:rPr>
      </w:pPr>
      <w:r>
        <w:rPr>
          <w:b/>
          <w:bCs/>
          <w:color w:val="auto"/>
          <w:szCs w:val="24"/>
          <w:lang w:val="zh-CN"/>
        </w:rPr>
        <w:t>2.</w:t>
      </w:r>
      <w:r>
        <w:rPr>
          <w:rFonts w:hint="default"/>
          <w:b/>
          <w:bCs/>
          <w:color w:val="auto"/>
          <w:szCs w:val="24"/>
          <w:lang w:val="en-US"/>
        </w:rPr>
        <w:t>2</w:t>
      </w:r>
      <w:r>
        <w:rPr>
          <w:b/>
          <w:bCs/>
          <w:color w:val="auto"/>
          <w:szCs w:val="24"/>
          <w:lang w:val="zh-CN"/>
        </w:rPr>
        <w:t>.1</w:t>
      </w:r>
      <w:r>
        <w:rPr>
          <w:rFonts w:hint="eastAsia"/>
          <w:b/>
          <w:bCs/>
          <w:color w:val="auto"/>
          <w:szCs w:val="24"/>
          <w:lang w:val="zh-CN"/>
        </w:rPr>
        <w:t>应急指挥部</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总指挥由师市分管环境保护工作的领导担任，副总指挥由生态环境局局长担任。指挥部下设应急指挥办公室。</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应急指挥部职责：</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lang w:val="en-US" w:eastAsia="zh-CN"/>
        </w:rPr>
        <w:t>（</w:t>
      </w:r>
      <w:r>
        <w:rPr>
          <w:rFonts w:hint="default" w:eastAsia="仿宋_GB2312"/>
          <w:color w:val="auto"/>
          <w:szCs w:val="28"/>
          <w:lang w:val="en-US" w:eastAsia="zh-CN"/>
        </w:rPr>
        <w:t>1</w:t>
      </w:r>
      <w:r>
        <w:rPr>
          <w:rFonts w:hint="eastAsia" w:eastAsia="仿宋_GB2312"/>
          <w:color w:val="auto"/>
          <w:szCs w:val="28"/>
          <w:lang w:val="en-US" w:eastAsia="zh-CN"/>
        </w:rPr>
        <w:t>）</w:t>
      </w:r>
      <w:r>
        <w:rPr>
          <w:rFonts w:hint="eastAsia" w:eastAsia="仿宋_GB2312"/>
          <w:color w:val="auto"/>
          <w:szCs w:val="28"/>
        </w:rPr>
        <w:t>在总指挥和副总指挥的统一领导下，积极贯彻落实《中华人民共和国突发事件应对法》《中华人民共和国大气污染防治法》《新疆维吾尔自治区大气污染防治条例》《新疆生产建设兵团突发环境事件应急预案》等相关法律法规；</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lang w:val="en-US" w:eastAsia="zh-CN"/>
        </w:rPr>
        <w:t>（</w:t>
      </w:r>
      <w:r>
        <w:rPr>
          <w:rFonts w:hint="default" w:eastAsia="仿宋_GB2312"/>
          <w:color w:val="auto"/>
          <w:szCs w:val="28"/>
          <w:lang w:val="en-US" w:eastAsia="zh-CN"/>
        </w:rPr>
        <w:t>2</w:t>
      </w:r>
      <w:r>
        <w:rPr>
          <w:rFonts w:hint="eastAsia" w:eastAsia="仿宋_GB2312"/>
          <w:color w:val="auto"/>
          <w:szCs w:val="28"/>
          <w:lang w:val="en-US" w:eastAsia="zh-CN"/>
        </w:rPr>
        <w:t>）</w:t>
      </w:r>
      <w:r>
        <w:rPr>
          <w:rFonts w:hint="eastAsia" w:eastAsia="仿宋_GB2312"/>
          <w:color w:val="auto"/>
          <w:szCs w:val="28"/>
        </w:rPr>
        <w:t>研究制定</w:t>
      </w:r>
      <w:r>
        <w:rPr>
          <w:rFonts w:hint="eastAsia" w:eastAsia="仿宋_GB2312"/>
          <w:color w:val="auto"/>
          <w:szCs w:val="28"/>
          <w:lang w:val="en-US" w:eastAsia="zh-CN"/>
        </w:rPr>
        <w:t>一师</w:t>
      </w:r>
      <w:r>
        <w:rPr>
          <w:rFonts w:hint="eastAsia" w:eastAsia="仿宋_GB2312"/>
          <w:color w:val="auto"/>
          <w:szCs w:val="28"/>
        </w:rPr>
        <w:t>应对重污染天气的政策措施和指导意见；</w:t>
      </w:r>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val="en-US" w:eastAsia="zh-CN"/>
        </w:rPr>
        <w:t>（</w:t>
      </w:r>
      <w:r>
        <w:rPr>
          <w:rFonts w:hint="default" w:eastAsia="仿宋_GB2312"/>
          <w:color w:val="auto"/>
          <w:szCs w:val="28"/>
          <w:lang w:val="en-US" w:eastAsia="zh-CN"/>
        </w:rPr>
        <w:t>3</w:t>
      </w:r>
      <w:r>
        <w:rPr>
          <w:rFonts w:hint="eastAsia" w:eastAsia="仿宋_GB2312"/>
          <w:color w:val="auto"/>
          <w:szCs w:val="28"/>
          <w:lang w:val="en-US" w:eastAsia="zh-CN"/>
        </w:rPr>
        <w:t>）</w:t>
      </w:r>
      <w:r>
        <w:rPr>
          <w:rFonts w:hint="eastAsia" w:eastAsia="仿宋_GB2312"/>
          <w:color w:val="auto"/>
          <w:szCs w:val="28"/>
        </w:rPr>
        <w:t>负责具体指挥</w:t>
      </w:r>
      <w:r>
        <w:rPr>
          <w:rFonts w:hint="eastAsia" w:eastAsia="仿宋_GB2312"/>
          <w:color w:val="auto"/>
          <w:szCs w:val="28"/>
          <w:lang w:val="en-US" w:eastAsia="zh-CN"/>
        </w:rPr>
        <w:t>一师</w:t>
      </w:r>
      <w:r>
        <w:rPr>
          <w:rFonts w:hint="eastAsia" w:eastAsia="仿宋_GB2312"/>
          <w:color w:val="auto"/>
          <w:szCs w:val="28"/>
        </w:rPr>
        <w:t>重污染天气应急处置工作，依法指挥协调</w:t>
      </w:r>
      <w:r>
        <w:rPr>
          <w:rFonts w:hint="eastAsia" w:eastAsia="仿宋_GB2312"/>
          <w:color w:val="auto"/>
          <w:szCs w:val="28"/>
          <w:lang w:val="en-US" w:eastAsia="zh-CN"/>
        </w:rPr>
        <w:t>一师</w:t>
      </w:r>
      <w:r>
        <w:rPr>
          <w:rFonts w:hint="eastAsia" w:eastAsia="仿宋_GB2312"/>
          <w:color w:val="auto"/>
          <w:szCs w:val="28"/>
        </w:rPr>
        <w:t>各级</w:t>
      </w:r>
      <w:r>
        <w:rPr>
          <w:rFonts w:hint="eastAsia" w:eastAsia="仿宋_GB2312"/>
          <w:color w:val="auto"/>
          <w:szCs w:val="28"/>
          <w:lang w:val="en-US" w:eastAsia="zh-CN"/>
        </w:rPr>
        <w:t>单位和部门</w:t>
      </w:r>
      <w:r>
        <w:rPr>
          <w:rFonts w:hint="eastAsia" w:eastAsia="仿宋_GB2312"/>
          <w:color w:val="auto"/>
          <w:szCs w:val="28"/>
        </w:rPr>
        <w:t>做好工作</w:t>
      </w:r>
      <w:r>
        <w:rPr>
          <w:rFonts w:hint="eastAsia" w:eastAsia="仿宋_GB2312"/>
          <w:color w:val="auto"/>
          <w:szCs w:val="28"/>
          <w:lang w:eastAsia="zh-CN"/>
        </w:rPr>
        <w:t>。</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lang w:eastAsia="zh-CN"/>
        </w:rPr>
        <w:t>（</w:t>
      </w:r>
      <w:r>
        <w:rPr>
          <w:rFonts w:hint="default" w:eastAsia="仿宋_GB2312"/>
          <w:color w:val="auto"/>
          <w:szCs w:val="28"/>
          <w:lang w:val="en-US" w:eastAsia="zh-CN"/>
        </w:rPr>
        <w:t>4</w:t>
      </w:r>
      <w:r>
        <w:rPr>
          <w:rFonts w:hint="eastAsia" w:eastAsia="仿宋_GB2312"/>
          <w:color w:val="auto"/>
          <w:szCs w:val="28"/>
          <w:lang w:eastAsia="zh-CN"/>
        </w:rPr>
        <w:t>）</w:t>
      </w:r>
      <w:r>
        <w:rPr>
          <w:rFonts w:hint="eastAsia" w:eastAsia="仿宋_GB2312"/>
          <w:color w:val="auto"/>
          <w:szCs w:val="28"/>
        </w:rPr>
        <w:t>负责指挥协调《</w:t>
      </w:r>
      <w:r>
        <w:rPr>
          <w:rFonts w:hint="eastAsia" w:eastAsia="仿宋_GB2312"/>
          <w:color w:val="auto"/>
          <w:szCs w:val="28"/>
          <w:lang w:val="en-US" w:eastAsia="zh-CN"/>
        </w:rPr>
        <w:t>重污染天气</w:t>
      </w:r>
      <w:r>
        <w:rPr>
          <w:rFonts w:hint="eastAsia" w:eastAsia="仿宋_GB2312"/>
          <w:color w:val="auto"/>
          <w:szCs w:val="28"/>
        </w:rPr>
        <w:t>应急预案》组织实施工作，督促检查</w:t>
      </w:r>
      <w:r>
        <w:rPr>
          <w:rFonts w:hint="eastAsia" w:eastAsia="仿宋_GB2312"/>
          <w:color w:val="auto"/>
          <w:szCs w:val="28"/>
          <w:lang w:val="en-US" w:eastAsia="zh-CN"/>
        </w:rPr>
        <w:t>一师</w:t>
      </w:r>
      <w:r>
        <w:rPr>
          <w:rFonts w:hint="eastAsia" w:eastAsia="仿宋_GB2312"/>
          <w:color w:val="auto"/>
          <w:szCs w:val="28"/>
        </w:rPr>
        <w:t>有关部门和</w:t>
      </w:r>
      <w:r>
        <w:rPr>
          <w:rFonts w:hint="eastAsia" w:eastAsia="仿宋_GB2312"/>
          <w:color w:val="auto"/>
          <w:szCs w:val="28"/>
          <w:lang w:val="en-US" w:eastAsia="zh-CN"/>
        </w:rPr>
        <w:t>一师</w:t>
      </w:r>
      <w:r>
        <w:rPr>
          <w:rFonts w:hint="eastAsia" w:eastAsia="仿宋_GB2312"/>
          <w:color w:val="auto"/>
          <w:szCs w:val="28"/>
        </w:rPr>
        <w:t>各</w:t>
      </w:r>
      <w:r>
        <w:rPr>
          <w:rFonts w:hint="eastAsia" w:eastAsia="仿宋_GB2312"/>
          <w:color w:val="auto"/>
          <w:szCs w:val="28"/>
          <w:lang w:val="en-US" w:eastAsia="zh-CN"/>
        </w:rPr>
        <w:t>个团场</w:t>
      </w:r>
      <w:r>
        <w:rPr>
          <w:rFonts w:hint="eastAsia" w:eastAsia="仿宋_GB2312"/>
          <w:color w:val="auto"/>
          <w:szCs w:val="28"/>
        </w:rPr>
        <w:t>重污染天气应急工作的落实情况；</w:t>
      </w:r>
    </w:p>
    <w:p>
      <w:pPr>
        <w:pStyle w:val="30"/>
        <w:rPr>
          <w:rFonts w:hint="default"/>
          <w:color w:val="auto"/>
          <w:lang w:val="en-US" w:eastAsia="zh-CN"/>
        </w:rPr>
      </w:pPr>
      <w:r>
        <w:rPr>
          <w:rFonts w:hint="eastAsia" w:eastAsia="仿宋_GB2312"/>
          <w:color w:val="auto"/>
          <w:szCs w:val="28"/>
          <w:lang w:val="en-US" w:eastAsia="zh-CN"/>
        </w:rPr>
        <w:t>主要如下：</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lang w:val="en-US" w:eastAsia="zh-CN"/>
        </w:rPr>
        <w:t>①</w:t>
      </w:r>
      <w:r>
        <w:rPr>
          <w:rFonts w:hint="eastAsia" w:eastAsia="仿宋_GB2312"/>
          <w:color w:val="auto"/>
          <w:szCs w:val="28"/>
        </w:rPr>
        <w:t>在总指挥和副总指挥的统一领导下，实施重污染天气事件应对处置工作，根据事件的性质、规模、类别等情况提出突发环境事件应急处置的原则要求；</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②进入紧急状态时，应急指挥部自动转为应急救援指挥部，承担应急处置工作的决策，指挥与控制、救援等任务；</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③及时研究处理重污染天气事件的重大事项；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④向师市及上级部门报告重污染天气污染事件应急处置工作的进展情况；突发环境事件发生时及时对应急指挥办公室下达指令，并保持沟通与协调；</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⑤负责重污染天气事件有关信息的发布；</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⑥对第一师阿拉尔市范围内的重污染天气事件引发重污染天气的，与第一师阿拉尔市有关单位建立联络协调机制。</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⑦发布应急预案启动和终止指令。</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lang w:eastAsia="zh-CN"/>
        </w:rPr>
        <w:t>（</w:t>
      </w:r>
      <w:r>
        <w:rPr>
          <w:rFonts w:hint="default" w:eastAsia="仿宋_GB2312"/>
          <w:color w:val="auto"/>
          <w:szCs w:val="28"/>
          <w:lang w:val="en-US" w:eastAsia="zh-CN"/>
        </w:rPr>
        <w:t>5</w:t>
      </w:r>
      <w:r>
        <w:rPr>
          <w:rFonts w:hint="eastAsia" w:eastAsia="仿宋_GB2312"/>
          <w:color w:val="auto"/>
          <w:szCs w:val="28"/>
          <w:lang w:eastAsia="zh-CN"/>
        </w:rPr>
        <w:t>）</w:t>
      </w:r>
      <w:r>
        <w:rPr>
          <w:rFonts w:hint="eastAsia" w:eastAsia="仿宋_GB2312"/>
          <w:color w:val="auto"/>
          <w:szCs w:val="28"/>
          <w:lang w:val="en-US" w:eastAsia="zh-CN"/>
        </w:rPr>
        <w:t>组织</w:t>
      </w:r>
      <w:r>
        <w:rPr>
          <w:rFonts w:hint="eastAsia" w:eastAsia="仿宋_GB2312"/>
          <w:color w:val="auto"/>
          <w:szCs w:val="28"/>
        </w:rPr>
        <w:t>分析总结</w:t>
      </w:r>
      <w:r>
        <w:rPr>
          <w:rFonts w:hint="eastAsia" w:eastAsia="仿宋_GB2312"/>
          <w:color w:val="auto"/>
          <w:szCs w:val="28"/>
          <w:lang w:val="en-US" w:eastAsia="zh-CN"/>
        </w:rPr>
        <w:t>一师</w:t>
      </w:r>
      <w:r>
        <w:rPr>
          <w:rFonts w:hint="eastAsia" w:eastAsia="仿宋_GB2312"/>
          <w:color w:val="auto"/>
          <w:szCs w:val="28"/>
        </w:rPr>
        <w:t>重污染天气应对工作，制定工作规划和年度计划</w:t>
      </w:r>
    </w:p>
    <w:p>
      <w:pPr>
        <w:spacing w:before="78" w:beforeLines="25" w:after="78" w:afterLines="25" w:line="500" w:lineRule="exact"/>
        <w:outlineLvl w:val="2"/>
        <w:rPr>
          <w:b/>
          <w:bCs/>
          <w:color w:val="auto"/>
          <w:szCs w:val="24"/>
          <w:lang w:val="zh-CN"/>
        </w:rPr>
      </w:pPr>
      <w:r>
        <w:rPr>
          <w:b/>
          <w:bCs/>
          <w:color w:val="auto"/>
          <w:szCs w:val="24"/>
          <w:lang w:val="zh-CN"/>
        </w:rPr>
        <w:t>2.</w:t>
      </w:r>
      <w:r>
        <w:rPr>
          <w:rFonts w:hint="default"/>
          <w:b/>
          <w:bCs/>
          <w:color w:val="auto"/>
          <w:szCs w:val="24"/>
          <w:lang w:val="en-US"/>
        </w:rPr>
        <w:t>2</w:t>
      </w:r>
      <w:r>
        <w:rPr>
          <w:b/>
          <w:bCs/>
          <w:color w:val="auto"/>
          <w:szCs w:val="24"/>
          <w:lang w:val="zh-CN"/>
        </w:rPr>
        <w:t>.2</w:t>
      </w:r>
      <w:r>
        <w:rPr>
          <w:rFonts w:hint="eastAsia"/>
          <w:b/>
          <w:bCs/>
          <w:color w:val="auto"/>
          <w:szCs w:val="24"/>
          <w:lang w:val="zh-CN"/>
        </w:rPr>
        <w:t>应急指挥办公室</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重污染天气应急指挥部办公室设在师市生态环境局，办公室主任由师市生态环境局局长兼任。</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rPr>
        <w:t>指挥部办公室</w:t>
      </w:r>
      <w:r>
        <w:rPr>
          <w:rFonts w:hint="eastAsia" w:eastAsia="仿宋_GB2312"/>
          <w:color w:val="auto"/>
          <w:szCs w:val="28"/>
          <w:lang w:val="en-US" w:eastAsia="zh-CN"/>
        </w:rPr>
        <w:t>主要职责如下：</w:t>
      </w:r>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val="en-US" w:eastAsia="zh-CN"/>
        </w:rPr>
        <w:t>（</w:t>
      </w:r>
      <w:r>
        <w:rPr>
          <w:rFonts w:hint="default" w:eastAsia="仿宋_GB2312"/>
          <w:color w:val="auto"/>
          <w:szCs w:val="28"/>
          <w:lang w:val="en-US" w:eastAsia="zh-CN"/>
        </w:rPr>
        <w:t>1</w:t>
      </w:r>
      <w:r>
        <w:rPr>
          <w:rFonts w:hint="eastAsia" w:eastAsia="仿宋_GB2312"/>
          <w:color w:val="auto"/>
          <w:szCs w:val="28"/>
          <w:lang w:val="en-US" w:eastAsia="zh-CN"/>
        </w:rPr>
        <w:t>）</w:t>
      </w:r>
      <w:r>
        <w:rPr>
          <w:rFonts w:hint="eastAsia" w:eastAsia="仿宋_GB2312"/>
          <w:color w:val="auto"/>
          <w:szCs w:val="28"/>
        </w:rPr>
        <w:t>贯彻指挥部指令和部署</w:t>
      </w:r>
      <w:r>
        <w:rPr>
          <w:rFonts w:hint="eastAsia" w:eastAsia="仿宋_GB2312"/>
          <w:color w:val="auto"/>
          <w:szCs w:val="28"/>
          <w:lang w:eastAsia="zh-CN"/>
        </w:rPr>
        <w:t>；</w:t>
      </w:r>
    </w:p>
    <w:p>
      <w:pPr>
        <w:adjustRightInd w:val="0"/>
        <w:snapToGrid w:val="0"/>
        <w:spacing w:line="500" w:lineRule="exact"/>
        <w:ind w:firstLine="560" w:firstLineChars="200"/>
        <w:rPr>
          <w:rFonts w:hint="eastAsia"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2</w:t>
      </w:r>
      <w:r>
        <w:rPr>
          <w:rFonts w:hint="eastAsia" w:eastAsia="仿宋_GB2312"/>
          <w:color w:val="auto"/>
          <w:szCs w:val="28"/>
          <w:lang w:val="en-US" w:eastAsia="zh-CN"/>
        </w:rPr>
        <w:t>）</w:t>
      </w:r>
      <w:r>
        <w:rPr>
          <w:rFonts w:hint="eastAsia" w:eastAsia="仿宋_GB2312"/>
          <w:color w:val="auto"/>
          <w:szCs w:val="28"/>
        </w:rPr>
        <w:t>组织开展重污染天气预警会商</w:t>
      </w:r>
      <w:r>
        <w:rPr>
          <w:rFonts w:hint="eastAsia" w:eastAsia="仿宋_GB2312"/>
          <w:color w:val="auto"/>
          <w:szCs w:val="28"/>
          <w:lang w:eastAsia="zh-CN"/>
        </w:rPr>
        <w:t>、</w:t>
      </w:r>
      <w:r>
        <w:rPr>
          <w:rFonts w:hint="eastAsia" w:eastAsia="仿宋_GB2312"/>
          <w:color w:val="auto"/>
          <w:szCs w:val="28"/>
          <w:lang w:val="en-US" w:eastAsia="zh-CN"/>
        </w:rPr>
        <w:t>对</w:t>
      </w:r>
      <w:r>
        <w:rPr>
          <w:rFonts w:hint="eastAsia" w:eastAsia="仿宋_GB2312"/>
          <w:color w:val="auto"/>
          <w:szCs w:val="28"/>
        </w:rPr>
        <w:t>重污染天气形势分析判断及监测、预警等</w:t>
      </w:r>
      <w:r>
        <w:rPr>
          <w:rFonts w:hint="eastAsia" w:eastAsia="仿宋_GB2312"/>
          <w:color w:val="auto"/>
          <w:szCs w:val="28"/>
          <w:lang w:eastAsia="zh-CN"/>
        </w:rPr>
        <w:t>；</w:t>
      </w:r>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eastAsia="zh-CN"/>
        </w:rPr>
        <w:t>（</w:t>
      </w:r>
      <w:r>
        <w:rPr>
          <w:rFonts w:hint="default" w:eastAsia="仿宋_GB2312"/>
          <w:color w:val="auto"/>
          <w:szCs w:val="28"/>
          <w:lang w:val="en-US" w:eastAsia="zh-CN"/>
        </w:rPr>
        <w:t>3</w:t>
      </w:r>
      <w:r>
        <w:rPr>
          <w:rFonts w:hint="eastAsia" w:eastAsia="仿宋_GB2312"/>
          <w:color w:val="auto"/>
          <w:szCs w:val="28"/>
          <w:lang w:eastAsia="zh-CN"/>
        </w:rPr>
        <w:t>）</w:t>
      </w:r>
      <w:r>
        <w:rPr>
          <w:rFonts w:hint="eastAsia" w:eastAsia="仿宋_GB2312"/>
          <w:color w:val="auto"/>
          <w:szCs w:val="28"/>
        </w:rPr>
        <w:t>研判及发布相关信息</w:t>
      </w:r>
      <w:r>
        <w:rPr>
          <w:rFonts w:hint="eastAsia" w:eastAsia="仿宋_GB2312"/>
          <w:color w:val="auto"/>
          <w:szCs w:val="28"/>
          <w:lang w:eastAsia="zh-CN"/>
        </w:rPr>
        <w:t>；</w:t>
      </w:r>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val="en-US" w:eastAsia="zh-CN"/>
        </w:rPr>
        <w:t>（</w:t>
      </w:r>
      <w:r>
        <w:rPr>
          <w:rFonts w:hint="default" w:eastAsia="仿宋_GB2312"/>
          <w:color w:val="auto"/>
          <w:szCs w:val="28"/>
          <w:lang w:val="en-US" w:eastAsia="zh-CN"/>
        </w:rPr>
        <w:t>4</w:t>
      </w:r>
      <w:r>
        <w:rPr>
          <w:rFonts w:hint="eastAsia" w:eastAsia="仿宋_GB2312"/>
          <w:color w:val="auto"/>
          <w:szCs w:val="28"/>
          <w:lang w:val="en-US" w:eastAsia="zh-CN"/>
        </w:rPr>
        <w:t>）</w:t>
      </w:r>
      <w:r>
        <w:rPr>
          <w:rFonts w:hint="eastAsia" w:eastAsia="仿宋_GB2312"/>
          <w:color w:val="auto"/>
          <w:szCs w:val="28"/>
        </w:rPr>
        <w:t>指导各地(</w:t>
      </w:r>
      <w:r>
        <w:rPr>
          <w:rFonts w:hint="eastAsia" w:eastAsia="仿宋_GB2312"/>
          <w:color w:val="auto"/>
          <w:szCs w:val="28"/>
          <w:lang w:val="en-US" w:eastAsia="zh-CN"/>
        </w:rPr>
        <w:t>团场</w:t>
      </w:r>
      <w:r>
        <w:rPr>
          <w:rFonts w:hint="eastAsia" w:eastAsia="仿宋_GB2312"/>
          <w:color w:val="auto"/>
          <w:szCs w:val="28"/>
        </w:rPr>
        <w:t>)和</w:t>
      </w:r>
      <w:r>
        <w:rPr>
          <w:rFonts w:hint="eastAsia" w:eastAsia="仿宋_GB2312"/>
          <w:color w:val="auto"/>
          <w:szCs w:val="28"/>
          <w:lang w:val="en-US" w:eastAsia="zh-CN"/>
        </w:rPr>
        <w:t>有关企业及单位</w:t>
      </w:r>
      <w:r>
        <w:rPr>
          <w:rFonts w:hint="eastAsia" w:eastAsia="仿宋_GB2312"/>
          <w:color w:val="auto"/>
          <w:szCs w:val="28"/>
        </w:rPr>
        <w:t>重污染天气应对处置</w:t>
      </w:r>
      <w:r>
        <w:rPr>
          <w:rFonts w:hint="eastAsia" w:eastAsia="仿宋_GB2312"/>
          <w:color w:val="auto"/>
          <w:szCs w:val="28"/>
          <w:lang w:eastAsia="zh-CN"/>
        </w:rPr>
        <w:t>；</w:t>
      </w:r>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val="en-US" w:eastAsia="zh-CN"/>
        </w:rPr>
        <w:t>（</w:t>
      </w:r>
      <w:r>
        <w:rPr>
          <w:rFonts w:hint="default" w:eastAsia="仿宋_GB2312"/>
          <w:color w:val="auto"/>
          <w:szCs w:val="28"/>
          <w:lang w:val="en-US" w:eastAsia="zh-CN"/>
        </w:rPr>
        <w:t>5</w:t>
      </w:r>
      <w:r>
        <w:rPr>
          <w:rFonts w:hint="eastAsia" w:eastAsia="仿宋_GB2312"/>
          <w:color w:val="auto"/>
          <w:szCs w:val="28"/>
          <w:lang w:val="en-US" w:eastAsia="zh-CN"/>
        </w:rPr>
        <w:t>）</w:t>
      </w:r>
      <w:r>
        <w:rPr>
          <w:rFonts w:hint="eastAsia" w:eastAsia="仿宋_GB2312"/>
          <w:color w:val="auto"/>
          <w:szCs w:val="28"/>
        </w:rPr>
        <w:t>承担指挥部交办的其他工作</w:t>
      </w:r>
      <w:r>
        <w:rPr>
          <w:rFonts w:hint="eastAsia" w:eastAsia="仿宋_GB2312"/>
          <w:color w:val="auto"/>
          <w:szCs w:val="28"/>
          <w:lang w:eastAsia="zh-CN"/>
        </w:rPr>
        <w:t>；</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6</w:t>
      </w:r>
      <w:r>
        <w:rPr>
          <w:rFonts w:hint="eastAsia" w:eastAsia="仿宋_GB2312"/>
          <w:color w:val="auto"/>
          <w:szCs w:val="28"/>
          <w:lang w:val="en-US" w:eastAsia="zh-CN"/>
        </w:rPr>
        <w:t>）</w:t>
      </w:r>
      <w:r>
        <w:rPr>
          <w:rFonts w:hint="default" w:eastAsia="仿宋_GB2312"/>
          <w:color w:val="auto"/>
          <w:szCs w:val="28"/>
          <w:lang w:val="en-US" w:eastAsia="zh-CN"/>
        </w:rPr>
        <w:t>指导</w:t>
      </w:r>
      <w:r>
        <w:rPr>
          <w:rFonts w:hint="eastAsia" w:eastAsia="仿宋_GB2312"/>
          <w:color w:val="auto"/>
          <w:szCs w:val="28"/>
          <w:lang w:val="en-US" w:eastAsia="zh-CN"/>
        </w:rPr>
        <w:t>或组织一师各团场及企业</w:t>
      </w:r>
      <w:r>
        <w:rPr>
          <w:rFonts w:hint="default" w:eastAsia="仿宋_GB2312"/>
          <w:color w:val="auto"/>
          <w:szCs w:val="28"/>
          <w:lang w:val="en-US" w:eastAsia="zh-CN"/>
        </w:rPr>
        <w:t>重污染天气应急演练；</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7</w:t>
      </w:r>
      <w:r>
        <w:rPr>
          <w:rFonts w:hint="eastAsia" w:eastAsia="仿宋_GB2312"/>
          <w:color w:val="auto"/>
          <w:szCs w:val="28"/>
          <w:lang w:val="en-US" w:eastAsia="zh-CN"/>
        </w:rPr>
        <w:t>）</w:t>
      </w:r>
      <w:r>
        <w:rPr>
          <w:rFonts w:hint="default" w:eastAsia="仿宋_GB2312"/>
          <w:color w:val="auto"/>
          <w:szCs w:val="28"/>
          <w:lang w:val="en-US" w:eastAsia="zh-CN"/>
        </w:rPr>
        <w:t>指导</w:t>
      </w:r>
      <w:r>
        <w:rPr>
          <w:rFonts w:hint="eastAsia" w:eastAsia="仿宋_GB2312"/>
          <w:color w:val="auto"/>
          <w:szCs w:val="28"/>
          <w:lang w:val="en-US" w:eastAsia="zh-CN"/>
        </w:rPr>
        <w:t>或组织一师各团场及企业</w:t>
      </w:r>
      <w:r>
        <w:rPr>
          <w:rFonts w:hint="default" w:eastAsia="仿宋_GB2312"/>
          <w:color w:val="auto"/>
          <w:szCs w:val="28"/>
          <w:lang w:val="en-US" w:eastAsia="zh-CN"/>
        </w:rPr>
        <w:t>重污染天气应急宣传教育与培训；</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8</w:t>
      </w:r>
      <w:r>
        <w:rPr>
          <w:rFonts w:hint="eastAsia" w:eastAsia="仿宋_GB2312"/>
          <w:color w:val="auto"/>
          <w:szCs w:val="28"/>
          <w:lang w:val="en-US" w:eastAsia="zh-CN"/>
        </w:rPr>
        <w:t>）</w:t>
      </w:r>
      <w:r>
        <w:rPr>
          <w:rFonts w:hint="default" w:eastAsia="仿宋_GB2312"/>
          <w:color w:val="auto"/>
          <w:szCs w:val="28"/>
          <w:lang w:val="en-US" w:eastAsia="zh-CN"/>
        </w:rPr>
        <w:t>协调重污染天气应急指挥部应急指挥技术系统的建设管理工作；</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9</w:t>
      </w:r>
      <w:r>
        <w:rPr>
          <w:rFonts w:hint="eastAsia" w:eastAsia="仿宋_GB2312"/>
          <w:color w:val="auto"/>
          <w:szCs w:val="28"/>
          <w:lang w:val="en-US" w:eastAsia="zh-CN"/>
        </w:rPr>
        <w:t>）</w:t>
      </w:r>
      <w:r>
        <w:rPr>
          <w:rFonts w:hint="default" w:eastAsia="仿宋_GB2312"/>
          <w:color w:val="auto"/>
          <w:szCs w:val="28"/>
          <w:lang w:val="en-US" w:eastAsia="zh-CN"/>
        </w:rPr>
        <w:t>负责重污染天气应急专家委员会的组建与联络，并组织开展重污染天气预报、预警会商、应急响应及总结评估等工作；</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10</w:t>
      </w:r>
      <w:r>
        <w:rPr>
          <w:rFonts w:hint="eastAsia" w:eastAsia="仿宋_GB2312"/>
          <w:color w:val="auto"/>
          <w:szCs w:val="28"/>
          <w:lang w:val="en-US" w:eastAsia="zh-CN"/>
        </w:rPr>
        <w:t>）</w:t>
      </w:r>
      <w:r>
        <w:rPr>
          <w:rFonts w:hint="default" w:eastAsia="仿宋_GB2312"/>
          <w:color w:val="auto"/>
          <w:szCs w:val="28"/>
          <w:lang w:val="en-US" w:eastAsia="zh-CN"/>
        </w:rPr>
        <w:t>承担重污染天气应急指挥部的日常工作。</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11</w:t>
      </w:r>
      <w:r>
        <w:rPr>
          <w:rFonts w:hint="eastAsia" w:eastAsia="仿宋_GB2312"/>
          <w:color w:val="auto"/>
          <w:szCs w:val="28"/>
          <w:lang w:val="en-US" w:eastAsia="zh-CN"/>
        </w:rPr>
        <w:t>）</w:t>
      </w:r>
      <w:r>
        <w:rPr>
          <w:rFonts w:hint="default" w:eastAsia="仿宋_GB2312"/>
          <w:color w:val="auto"/>
          <w:szCs w:val="28"/>
          <w:lang w:val="en-US" w:eastAsia="zh-CN"/>
        </w:rPr>
        <w:t>协调和督促成员单位、各地做好重污染天气应急相关工作，落实应急响应措施；</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12</w:t>
      </w:r>
      <w:r>
        <w:rPr>
          <w:rFonts w:hint="eastAsia" w:eastAsia="仿宋_GB2312"/>
          <w:color w:val="auto"/>
          <w:szCs w:val="28"/>
          <w:lang w:val="en-US" w:eastAsia="zh-CN"/>
        </w:rPr>
        <w:t>）</w:t>
      </w:r>
      <w:r>
        <w:rPr>
          <w:rFonts w:hint="default" w:eastAsia="仿宋_GB2312"/>
          <w:color w:val="auto"/>
          <w:szCs w:val="28"/>
          <w:lang w:val="en-US" w:eastAsia="zh-CN"/>
        </w:rPr>
        <w:t>承担重污染天气应急指挥部应急值守工作；</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13</w:t>
      </w:r>
      <w:r>
        <w:rPr>
          <w:rFonts w:hint="eastAsia" w:eastAsia="仿宋_GB2312"/>
          <w:color w:val="auto"/>
          <w:szCs w:val="28"/>
          <w:lang w:val="en-US" w:eastAsia="zh-CN"/>
        </w:rPr>
        <w:t>）</w:t>
      </w:r>
      <w:r>
        <w:rPr>
          <w:rFonts w:hint="default" w:eastAsia="仿宋_GB2312"/>
          <w:color w:val="auto"/>
          <w:szCs w:val="28"/>
          <w:lang w:val="en-US" w:eastAsia="zh-CN"/>
        </w:rPr>
        <w:t>收集分析工作信息，及时上报重要信息；</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14</w:t>
      </w:r>
      <w:r>
        <w:rPr>
          <w:rFonts w:hint="eastAsia" w:eastAsia="仿宋_GB2312"/>
          <w:color w:val="auto"/>
          <w:szCs w:val="28"/>
          <w:lang w:val="en-US" w:eastAsia="zh-CN"/>
        </w:rPr>
        <w:t>）</w:t>
      </w:r>
      <w:r>
        <w:rPr>
          <w:rFonts w:hint="default" w:eastAsia="仿宋_GB2312"/>
          <w:color w:val="auto"/>
          <w:szCs w:val="28"/>
          <w:lang w:val="en-US" w:eastAsia="zh-CN"/>
        </w:rPr>
        <w:t>组织开展全区重污染天气应对工作的分析、总结评估，指导全区各地风险评估控制、隐患排查整改工作；</w:t>
      </w:r>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15</w:t>
      </w:r>
      <w:r>
        <w:rPr>
          <w:rFonts w:hint="eastAsia" w:eastAsia="仿宋_GB2312"/>
          <w:color w:val="auto"/>
          <w:szCs w:val="28"/>
          <w:lang w:val="en-US" w:eastAsia="zh-CN"/>
        </w:rPr>
        <w:t>）</w:t>
      </w:r>
      <w:r>
        <w:rPr>
          <w:rFonts w:hint="default" w:eastAsia="仿宋_GB2312"/>
          <w:color w:val="auto"/>
          <w:szCs w:val="28"/>
          <w:lang w:val="en-US" w:eastAsia="zh-CN"/>
        </w:rPr>
        <w:t>负责组织发布黄色预警，向重污染天气应急指挥部提出发布红色、橙色预警的建议，解除预警；</w:t>
      </w:r>
    </w:p>
    <w:p>
      <w:pPr>
        <w:adjustRightInd w:val="0"/>
        <w:snapToGrid w:val="0"/>
        <w:spacing w:line="500" w:lineRule="exact"/>
        <w:ind w:firstLine="560" w:firstLineChars="200"/>
        <w:rPr>
          <w:rFonts w:hint="default"/>
          <w:color w:val="auto"/>
          <w:lang w:val="en-US" w:eastAsia="zh-CN"/>
        </w:rPr>
      </w:pPr>
      <w:r>
        <w:rPr>
          <w:rFonts w:hint="eastAsia" w:eastAsia="仿宋_GB2312"/>
          <w:color w:val="auto"/>
          <w:szCs w:val="28"/>
          <w:lang w:val="en-US" w:eastAsia="zh-CN"/>
        </w:rPr>
        <w:t>（</w:t>
      </w:r>
      <w:r>
        <w:rPr>
          <w:rFonts w:hint="default" w:eastAsia="仿宋_GB2312"/>
          <w:color w:val="auto"/>
          <w:szCs w:val="28"/>
          <w:lang w:val="en-US" w:eastAsia="zh-CN"/>
        </w:rPr>
        <w:t>16</w:t>
      </w:r>
      <w:r>
        <w:rPr>
          <w:rFonts w:hint="eastAsia" w:eastAsia="仿宋_GB2312"/>
          <w:color w:val="auto"/>
          <w:szCs w:val="28"/>
          <w:lang w:val="en-US" w:eastAsia="zh-CN"/>
        </w:rPr>
        <w:t>）</w:t>
      </w:r>
      <w:r>
        <w:rPr>
          <w:rFonts w:hint="default" w:eastAsia="仿宋_GB2312"/>
          <w:color w:val="auto"/>
          <w:szCs w:val="28"/>
          <w:lang w:val="en-US" w:eastAsia="zh-CN"/>
        </w:rPr>
        <w:t>配合有关部门做好重污染天气应急指挥部新闻发布工作</w:t>
      </w:r>
      <w:r>
        <w:rPr>
          <w:rFonts w:hint="eastAsia" w:eastAsia="仿宋_GB2312"/>
          <w:color w:val="auto"/>
          <w:szCs w:val="28"/>
          <w:lang w:val="en-US" w:eastAsia="zh-CN"/>
        </w:rPr>
        <w:t>。</w:t>
      </w:r>
    </w:p>
    <w:p>
      <w:pPr>
        <w:spacing w:before="78" w:beforeLines="25" w:after="78" w:afterLines="25" w:line="500" w:lineRule="exact"/>
        <w:outlineLvl w:val="2"/>
        <w:rPr>
          <w:b/>
          <w:bCs/>
          <w:color w:val="auto"/>
          <w:szCs w:val="24"/>
          <w:lang w:val="zh-CN"/>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b/>
          <w:bCs/>
          <w:color w:val="auto"/>
          <w:szCs w:val="24"/>
          <w:lang w:val="zh-CN"/>
        </w:rPr>
        <w:t>3</w:t>
      </w:r>
      <w:r>
        <w:rPr>
          <w:rFonts w:hint="eastAsia"/>
          <w:b/>
          <w:bCs/>
          <w:color w:val="auto"/>
          <w:szCs w:val="24"/>
          <w:lang w:val="zh-CN"/>
        </w:rPr>
        <w:t>预警工作组</w:t>
      </w:r>
    </w:p>
    <w:p>
      <w:pPr>
        <w:adjustRightInd w:val="0"/>
        <w:snapToGrid w:val="0"/>
        <w:spacing w:line="500" w:lineRule="exact"/>
        <w:ind w:firstLine="560" w:firstLineChars="200"/>
        <w:rPr>
          <w:rFonts w:hint="eastAsia" w:eastAsia="仿宋_GB2312"/>
          <w:color w:val="0000FF"/>
          <w:szCs w:val="28"/>
          <w:lang w:val="en-US" w:eastAsia="zh-CN"/>
        </w:rPr>
      </w:pPr>
      <w:r>
        <w:rPr>
          <w:rFonts w:hint="eastAsia" w:eastAsia="仿宋_GB2312"/>
          <w:color w:val="0000FF"/>
          <w:szCs w:val="28"/>
          <w:lang w:val="en-US" w:eastAsia="zh-CN"/>
        </w:rPr>
        <w:t>成员单位：</w:t>
      </w:r>
      <w:r>
        <w:rPr>
          <w:rFonts w:hint="eastAsia" w:eastAsia="仿宋_GB2312"/>
          <w:color w:val="0000FF"/>
          <w:szCs w:val="28"/>
        </w:rPr>
        <w:t>师市生态环境局</w:t>
      </w:r>
      <w:r>
        <w:rPr>
          <w:rFonts w:hint="eastAsia" w:eastAsia="仿宋_GB2312"/>
          <w:color w:val="0000FF"/>
          <w:szCs w:val="28"/>
          <w:lang w:eastAsia="zh-CN"/>
        </w:rPr>
        <w:t>、</w:t>
      </w:r>
      <w:r>
        <w:rPr>
          <w:rFonts w:hint="eastAsia" w:eastAsia="仿宋_GB2312"/>
          <w:color w:val="0000FF"/>
          <w:szCs w:val="28"/>
        </w:rPr>
        <w:t>第一师生态环境监测站</w:t>
      </w:r>
      <w:r>
        <w:rPr>
          <w:rFonts w:hint="eastAsia" w:eastAsia="仿宋_GB2312"/>
          <w:color w:val="0000FF"/>
          <w:szCs w:val="28"/>
          <w:lang w:val="en-US" w:eastAsia="zh-CN"/>
        </w:rPr>
        <w:t>和</w:t>
      </w:r>
      <w:r>
        <w:rPr>
          <w:rFonts w:hint="eastAsia" w:eastAsia="仿宋_GB2312"/>
          <w:color w:val="0000FF"/>
          <w:szCs w:val="28"/>
        </w:rPr>
        <w:t>阿拉尔市气象站</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lang w:val="en-US" w:eastAsia="zh-CN"/>
        </w:rPr>
        <w:t>职责：</w:t>
      </w:r>
      <w:r>
        <w:rPr>
          <w:rFonts w:hint="eastAsia" w:eastAsia="仿宋_GB2312"/>
          <w:color w:val="0000FF"/>
          <w:szCs w:val="28"/>
        </w:rPr>
        <w:t>由师市生态环境局牵头，由第一师生态环境监测站和阿拉尔市气象站联合组成监测预报组。负责师市空气质量和气象监测、预测，会同专家组及时分析污染趋势，为重污染天气形势研判及专家会商提供预报预警信息，确定预警等级。</w:t>
      </w:r>
    </w:p>
    <w:p>
      <w:pPr>
        <w:spacing w:before="78" w:beforeLines="25" w:after="78" w:afterLines="25" w:line="500" w:lineRule="exact"/>
        <w:outlineLvl w:val="2"/>
        <w:rPr>
          <w:b/>
          <w:bCs/>
          <w:color w:val="auto"/>
          <w:szCs w:val="24"/>
          <w:lang w:val="zh-CN"/>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b/>
          <w:bCs/>
          <w:color w:val="auto"/>
          <w:szCs w:val="24"/>
          <w:lang w:val="zh-CN"/>
        </w:rPr>
        <w:t>4</w:t>
      </w:r>
      <w:r>
        <w:rPr>
          <w:rFonts w:hint="eastAsia"/>
          <w:b/>
          <w:bCs/>
          <w:color w:val="auto"/>
          <w:szCs w:val="24"/>
          <w:lang w:val="zh-CN"/>
        </w:rPr>
        <w:t>应急处置组</w:t>
      </w:r>
    </w:p>
    <w:p>
      <w:pPr>
        <w:adjustRightInd w:val="0"/>
        <w:snapToGrid w:val="0"/>
        <w:spacing w:line="500" w:lineRule="exact"/>
        <w:ind w:firstLine="560" w:firstLineChars="200"/>
        <w:rPr>
          <w:rFonts w:hint="eastAsia" w:eastAsia="仿宋_GB2312"/>
          <w:color w:val="0000FF"/>
          <w:szCs w:val="28"/>
          <w:lang w:val="en-US" w:eastAsia="zh-CN"/>
        </w:rPr>
      </w:pPr>
      <w:bookmarkStart w:id="23" w:name="_Hlk119417813"/>
      <w:r>
        <w:rPr>
          <w:rFonts w:hint="eastAsia" w:eastAsia="仿宋_GB2312"/>
          <w:color w:val="0000FF"/>
          <w:szCs w:val="28"/>
          <w:lang w:val="en-US" w:eastAsia="zh-CN"/>
        </w:rPr>
        <w:t>成员单位：</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生态环境局</w:t>
      </w:r>
      <w:r>
        <w:rPr>
          <w:rFonts w:hint="eastAsia" w:eastAsia="仿宋_GB2312"/>
          <w:color w:val="0000FF"/>
          <w:szCs w:val="28"/>
          <w:lang w:eastAsia="zh-CN"/>
        </w:rPr>
        <w:t>、</w:t>
      </w:r>
      <w:r>
        <w:rPr>
          <w:rFonts w:hint="eastAsia" w:eastAsia="仿宋_GB2312"/>
          <w:color w:val="0000FF"/>
          <w:szCs w:val="28"/>
        </w:rPr>
        <w:t>师发改委、教育局、工业和信息化局、公安局、财政局（国资委）、住房和城乡建设局、交通运输局、农业农村局、商务局、卫生健康委员会、市场监督管理局、应急管理局、和各团场(农场)、工业园区、各企业配合。</w:t>
      </w:r>
    </w:p>
    <w:bookmarkEnd w:id="23"/>
    <w:p>
      <w:pPr>
        <w:adjustRightInd w:val="0"/>
        <w:snapToGrid w:val="0"/>
        <w:spacing w:line="500" w:lineRule="exact"/>
        <w:ind w:firstLine="560" w:firstLineChars="200"/>
        <w:rPr>
          <w:rFonts w:hint="eastAsia" w:eastAsia="仿宋_GB2312"/>
          <w:color w:val="0000FF"/>
          <w:szCs w:val="28"/>
          <w:lang w:eastAsia="zh-CN"/>
        </w:rPr>
      </w:pPr>
      <w:r>
        <w:rPr>
          <w:rFonts w:hint="eastAsia" w:eastAsia="仿宋_GB2312"/>
          <w:color w:val="0000FF"/>
          <w:szCs w:val="28"/>
        </w:rPr>
        <w:t>负责师市工业、机动车、扬尘等污染源的监督检查与控制，并指导各辖区、各有关部门、相关企业启动与实施应急预案</w:t>
      </w:r>
      <w:r>
        <w:rPr>
          <w:rFonts w:hint="eastAsia" w:eastAsia="仿宋_GB2312"/>
          <w:color w:val="0000FF"/>
          <w:szCs w:val="28"/>
          <w:lang w:eastAsia="zh-CN"/>
        </w:rPr>
        <w:t>。</w:t>
      </w:r>
      <w:r>
        <w:rPr>
          <w:rFonts w:hint="eastAsia" w:eastAsia="仿宋_GB2312"/>
          <w:color w:val="0000FF"/>
          <w:szCs w:val="28"/>
        </w:rPr>
        <w:t>根据指挥部指令开展应急处置工作，以减缓或消除污染；完成指挥部交办的其他事项。</w:t>
      </w:r>
    </w:p>
    <w:p>
      <w:pPr>
        <w:spacing w:before="78" w:beforeLines="25" w:after="78" w:afterLines="25" w:line="500" w:lineRule="exact"/>
        <w:outlineLvl w:val="2"/>
        <w:rPr>
          <w:b/>
          <w:bCs/>
          <w:color w:val="auto"/>
          <w:szCs w:val="24"/>
          <w:lang w:val="zh-CN"/>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b/>
          <w:bCs/>
          <w:color w:val="auto"/>
          <w:szCs w:val="24"/>
          <w:lang w:val="zh-CN"/>
        </w:rPr>
        <w:t>5</w:t>
      </w:r>
      <w:r>
        <w:rPr>
          <w:rFonts w:hint="eastAsia"/>
          <w:b/>
          <w:bCs/>
          <w:color w:val="auto"/>
          <w:szCs w:val="24"/>
          <w:lang w:val="zh-CN"/>
        </w:rPr>
        <w:t>卫生防护组</w:t>
      </w:r>
    </w:p>
    <w:p>
      <w:pPr>
        <w:adjustRightInd w:val="0"/>
        <w:snapToGrid w:val="0"/>
        <w:spacing w:line="500" w:lineRule="exact"/>
        <w:ind w:firstLine="560" w:firstLineChars="200"/>
        <w:rPr>
          <w:rFonts w:hint="eastAsia" w:eastAsia="仿宋_GB2312"/>
          <w:color w:val="0000FF"/>
          <w:szCs w:val="28"/>
          <w:lang w:eastAsia="zh-CN"/>
        </w:rPr>
      </w:pPr>
      <w:r>
        <w:rPr>
          <w:rFonts w:hint="eastAsia" w:eastAsia="仿宋_GB2312"/>
          <w:color w:val="0000FF"/>
          <w:szCs w:val="28"/>
        </w:rPr>
        <w:t>卫生健康委员会</w:t>
      </w:r>
      <w:r>
        <w:rPr>
          <w:rFonts w:hint="eastAsia" w:eastAsia="仿宋_GB2312"/>
          <w:color w:val="0000FF"/>
          <w:szCs w:val="28"/>
          <w:lang w:val="en-US" w:eastAsia="zh-CN"/>
        </w:rPr>
        <w:t>牵头</w:t>
      </w:r>
      <w:r>
        <w:rPr>
          <w:rFonts w:hint="eastAsia" w:eastAsia="仿宋_GB2312"/>
          <w:color w:val="0000FF"/>
          <w:szCs w:val="28"/>
        </w:rPr>
        <w:t>，教育局配合。负责组织医疗卫生机构做好医疗救护等工作；组织师市学校及幼儿园等敏感点实施健康防护工作。根据指挥部指令</w:t>
      </w:r>
      <w:r>
        <w:rPr>
          <w:rFonts w:hint="eastAsia" w:eastAsia="仿宋_GB2312"/>
          <w:color w:val="0000FF"/>
          <w:szCs w:val="28"/>
          <w:lang w:eastAsia="zh-CN"/>
        </w:rPr>
        <w:t>，</w:t>
      </w:r>
      <w:r>
        <w:rPr>
          <w:rFonts w:hint="eastAsia" w:eastAsia="仿宋_GB2312"/>
          <w:color w:val="0000FF"/>
          <w:szCs w:val="28"/>
        </w:rPr>
        <w:t>完成指挥部交办的其他事项。</w:t>
      </w:r>
    </w:p>
    <w:p>
      <w:pPr>
        <w:spacing w:before="78" w:beforeLines="25" w:after="78" w:afterLines="25" w:line="500" w:lineRule="exact"/>
        <w:outlineLvl w:val="2"/>
        <w:rPr>
          <w:rFonts w:eastAsia="仿宋_GB2312"/>
          <w:color w:val="auto"/>
          <w:szCs w:val="28"/>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b/>
          <w:bCs/>
          <w:color w:val="auto"/>
          <w:szCs w:val="24"/>
          <w:lang w:val="zh-CN"/>
        </w:rPr>
        <w:t>6</w:t>
      </w:r>
      <w:bookmarkStart w:id="24" w:name="_Hlk119406511"/>
      <w:r>
        <w:rPr>
          <w:rFonts w:hint="eastAsia"/>
          <w:b/>
          <w:bCs/>
          <w:color w:val="auto"/>
          <w:szCs w:val="24"/>
          <w:lang w:val="zh-CN"/>
        </w:rPr>
        <w:t>信息公开和宣传组</w:t>
      </w:r>
      <w:bookmarkEnd w:id="24"/>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由师市</w:t>
      </w:r>
      <w:r>
        <w:rPr>
          <w:rFonts w:hint="eastAsia" w:eastAsia="仿宋_GB2312"/>
          <w:color w:val="0000FF"/>
          <w:szCs w:val="28"/>
          <w:lang w:val="en-US" w:eastAsia="zh-CN"/>
        </w:rPr>
        <w:t>党委宣传部、党委网信办主导，</w:t>
      </w:r>
      <w:r>
        <w:rPr>
          <w:rFonts w:hint="eastAsia" w:eastAsia="仿宋_GB2312"/>
          <w:color w:val="0000FF"/>
          <w:szCs w:val="28"/>
        </w:rPr>
        <w:t>工业和信息化局、卫生健康委员会、生态环境局、气象局配合。负责重污染天气发生时的新闻宣传和舆情引导。根据指挥部指令</w:t>
      </w:r>
      <w:r>
        <w:rPr>
          <w:rFonts w:hint="eastAsia" w:eastAsia="仿宋_GB2312"/>
          <w:color w:val="0000FF"/>
          <w:szCs w:val="28"/>
          <w:lang w:eastAsia="zh-CN"/>
        </w:rPr>
        <w:t>，</w:t>
      </w:r>
      <w:r>
        <w:rPr>
          <w:rFonts w:hint="eastAsia" w:eastAsia="仿宋_GB2312"/>
          <w:color w:val="0000FF"/>
          <w:szCs w:val="28"/>
        </w:rPr>
        <w:t>完成指挥部交办的其他事项。</w:t>
      </w:r>
    </w:p>
    <w:p>
      <w:pPr>
        <w:spacing w:before="78" w:beforeLines="25" w:after="78" w:afterLines="25" w:line="500" w:lineRule="exact"/>
        <w:outlineLvl w:val="2"/>
        <w:rPr>
          <w:b/>
          <w:bCs/>
          <w:color w:val="auto"/>
          <w:szCs w:val="24"/>
          <w:lang w:val="zh-CN"/>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b/>
          <w:bCs/>
          <w:color w:val="auto"/>
          <w:szCs w:val="24"/>
          <w:lang w:val="zh-CN"/>
        </w:rPr>
        <w:t>7</w:t>
      </w:r>
      <w:r>
        <w:rPr>
          <w:rFonts w:hint="eastAsia"/>
          <w:b/>
          <w:bCs/>
          <w:color w:val="auto"/>
          <w:szCs w:val="24"/>
          <w:lang w:val="zh-CN"/>
        </w:rPr>
        <w:t>专家咨询组</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由自治区、兵团和师有关污染控制、环境监测、气象、环境空气质量预测以及相关法律、专业知识的高级专业技术人员和管理人员组成。</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lang w:val="en-US" w:eastAsia="zh-CN"/>
        </w:rPr>
        <w:t>一师重污染天气</w:t>
      </w:r>
      <w:r>
        <w:rPr>
          <w:rFonts w:hint="eastAsia" w:eastAsia="仿宋_GB2312"/>
          <w:color w:val="0000FF"/>
          <w:szCs w:val="28"/>
        </w:rPr>
        <w:t>专家组由</w:t>
      </w:r>
      <w:r>
        <w:rPr>
          <w:rFonts w:hint="eastAsia" w:eastAsia="仿宋_GB2312"/>
          <w:color w:val="0000FF"/>
          <w:szCs w:val="28"/>
          <w:lang w:val="en-US" w:eastAsia="zh-CN"/>
        </w:rPr>
        <w:t>一师</w:t>
      </w:r>
      <w:r>
        <w:rPr>
          <w:rFonts w:hint="eastAsia" w:eastAsia="仿宋_GB2312"/>
          <w:color w:val="0000FF"/>
          <w:szCs w:val="28"/>
        </w:rPr>
        <w:t>重污染天气应急指挥部办公室聘请</w:t>
      </w:r>
      <w:bookmarkStart w:id="25" w:name="_Hlk119418420"/>
      <w:r>
        <w:rPr>
          <w:rFonts w:hint="eastAsia" w:eastAsia="仿宋_GB2312"/>
          <w:color w:val="0000FF"/>
          <w:szCs w:val="28"/>
        </w:rPr>
        <w:t>大气污染防治、气象、环境监测、卫生防护等方面的专家</w:t>
      </w:r>
      <w:bookmarkEnd w:id="25"/>
      <w:r>
        <w:rPr>
          <w:rFonts w:hint="eastAsia" w:eastAsia="仿宋_GB2312"/>
          <w:color w:val="0000FF"/>
          <w:szCs w:val="28"/>
        </w:rPr>
        <w:t>组成。负责参与预测分析，为应急响应工作提供决策参考，必要时参与应急处置工作。</w:t>
      </w:r>
    </w:p>
    <w:p>
      <w:pPr>
        <w:spacing w:before="78" w:beforeLines="25" w:after="78" w:afterLines="25" w:line="500" w:lineRule="exact"/>
        <w:outlineLvl w:val="2"/>
        <w:rPr>
          <w:rFonts w:hint="eastAsia"/>
          <w:b/>
          <w:bCs/>
          <w:color w:val="auto"/>
          <w:szCs w:val="24"/>
          <w:lang w:val="zh-CN"/>
        </w:rPr>
      </w:pPr>
      <w:r>
        <w:rPr>
          <w:rFonts w:hint="eastAsia"/>
          <w:b/>
          <w:bCs/>
          <w:color w:val="auto"/>
          <w:szCs w:val="24"/>
          <w:lang w:val="zh-CN"/>
        </w:rPr>
        <w:t>2.</w:t>
      </w:r>
      <w:r>
        <w:rPr>
          <w:rFonts w:hint="default"/>
          <w:b/>
          <w:bCs/>
          <w:color w:val="auto"/>
          <w:szCs w:val="24"/>
          <w:lang w:val="en-US"/>
        </w:rPr>
        <w:t>2</w:t>
      </w:r>
      <w:r>
        <w:rPr>
          <w:rFonts w:hint="eastAsia"/>
          <w:b/>
          <w:bCs/>
          <w:color w:val="auto"/>
          <w:szCs w:val="24"/>
          <w:lang w:val="zh-CN"/>
        </w:rPr>
        <w:t>.</w:t>
      </w:r>
      <w:r>
        <w:rPr>
          <w:rFonts w:hint="default"/>
          <w:b/>
          <w:bCs/>
          <w:color w:val="auto"/>
          <w:szCs w:val="24"/>
          <w:lang w:val="en-US"/>
        </w:rPr>
        <w:t>8</w:t>
      </w:r>
      <w:r>
        <w:rPr>
          <w:rFonts w:hint="eastAsia"/>
          <w:b/>
          <w:bCs/>
          <w:color w:val="auto"/>
          <w:szCs w:val="24"/>
          <w:lang w:val="zh-CN"/>
        </w:rPr>
        <w:t>督导</w:t>
      </w:r>
      <w:r>
        <w:rPr>
          <w:rFonts w:hint="eastAsia"/>
          <w:b/>
          <w:bCs/>
          <w:color w:val="auto"/>
          <w:szCs w:val="24"/>
          <w:lang w:val="en-US" w:eastAsia="zh-CN"/>
        </w:rPr>
        <w:t>检查</w:t>
      </w:r>
      <w:r>
        <w:rPr>
          <w:rFonts w:hint="eastAsia"/>
          <w:b/>
          <w:bCs/>
          <w:color w:val="auto"/>
          <w:szCs w:val="24"/>
          <w:lang w:val="zh-CN"/>
        </w:rPr>
        <w:t>组</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由师纪委监委牵头。</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主要职责：负责督导、协调各部门按照各自职责实施应急工作；监督、检查各应急机构、相关部门的应急准备工作；提出对指挥部要求落实不到位的部门和人员的处理意见；完成指挥部交办的其他事项。</w:t>
      </w:r>
    </w:p>
    <w:p>
      <w:pPr>
        <w:spacing w:before="78" w:beforeLines="25" w:after="78" w:afterLines="25" w:line="500" w:lineRule="exact"/>
        <w:outlineLvl w:val="2"/>
        <w:rPr>
          <w:rFonts w:hint="eastAsia"/>
          <w:b/>
          <w:bCs/>
          <w:color w:val="auto"/>
          <w:szCs w:val="24"/>
          <w:lang w:val="en-US" w:eastAsia="zh-CN"/>
        </w:rPr>
      </w:pPr>
      <w:r>
        <w:rPr>
          <w:rFonts w:hint="eastAsia"/>
          <w:b/>
          <w:bCs/>
          <w:color w:val="auto"/>
          <w:szCs w:val="24"/>
          <w:lang w:val="zh-CN" w:eastAsia="zh-CN"/>
        </w:rPr>
        <w:t>2.</w:t>
      </w:r>
      <w:r>
        <w:rPr>
          <w:rFonts w:hint="default"/>
          <w:b/>
          <w:bCs/>
          <w:color w:val="auto"/>
          <w:szCs w:val="24"/>
          <w:lang w:val="en-US" w:eastAsia="zh-CN"/>
        </w:rPr>
        <w:t>2</w:t>
      </w:r>
      <w:r>
        <w:rPr>
          <w:rFonts w:hint="eastAsia"/>
          <w:b/>
          <w:bCs/>
          <w:color w:val="auto"/>
          <w:szCs w:val="24"/>
          <w:lang w:val="zh-CN" w:eastAsia="zh-CN"/>
        </w:rPr>
        <w:t>.</w:t>
      </w:r>
      <w:r>
        <w:rPr>
          <w:rFonts w:hint="default"/>
          <w:b/>
          <w:bCs/>
          <w:color w:val="auto"/>
          <w:szCs w:val="24"/>
          <w:lang w:val="en-US" w:eastAsia="zh-CN"/>
        </w:rPr>
        <w:t>9</w:t>
      </w:r>
      <w:r>
        <w:rPr>
          <w:rFonts w:hint="eastAsia"/>
          <w:b/>
          <w:bCs/>
          <w:color w:val="auto"/>
          <w:szCs w:val="24"/>
          <w:lang w:val="en-US" w:eastAsia="zh-CN"/>
        </w:rPr>
        <w:t>后勤保障组</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由师发改委、财政局、工业和信息化局、应急管理局组成。</w:t>
      </w:r>
    </w:p>
    <w:p>
      <w:pPr>
        <w:adjustRightInd w:val="0"/>
        <w:snapToGrid w:val="0"/>
        <w:spacing w:line="500" w:lineRule="exact"/>
        <w:ind w:firstLine="560" w:firstLineChars="200"/>
        <w:rPr>
          <w:rFonts w:hint="eastAsia" w:eastAsia="仿宋_GB2312"/>
          <w:color w:val="0000FF"/>
          <w:szCs w:val="28"/>
        </w:rPr>
      </w:pPr>
      <w:r>
        <w:rPr>
          <w:rFonts w:hint="eastAsia" w:eastAsia="仿宋_GB2312"/>
          <w:color w:val="0000FF"/>
          <w:szCs w:val="28"/>
        </w:rPr>
        <w:t>主要职责：负责应急物资的储备、调配及应急监测、应急处置队伍所需装备的采购和调配；应急人力资源和通信与信息保障；完成指挥部交办的其他事项。</w:t>
      </w:r>
    </w:p>
    <w:p>
      <w:pPr>
        <w:pStyle w:val="2"/>
        <w:rPr>
          <w:rFonts w:hint="eastAsia" w:eastAsia="仿宋"/>
          <w:lang w:val="en-US" w:eastAsia="zh-CN"/>
        </w:rPr>
      </w:pPr>
    </w:p>
    <w:p>
      <w:pPr>
        <w:pStyle w:val="2"/>
        <w:rPr>
          <w:rFonts w:hint="eastAsia"/>
        </w:rPr>
        <w:sectPr>
          <w:pgSz w:w="11906" w:h="16838"/>
          <w:pgMar w:top="1440" w:right="1800" w:bottom="1440" w:left="1800" w:header="851" w:footer="992" w:gutter="0"/>
          <w:cols w:space="425" w:num="1"/>
          <w:docGrid w:type="lines" w:linePitch="312" w:charSpace="0"/>
        </w:sectPr>
      </w:pPr>
    </w:p>
    <w:p>
      <w:pPr>
        <w:pStyle w:val="6"/>
        <w:keepNext w:val="0"/>
        <w:keepLines w:val="0"/>
        <w:spacing w:before="312" w:beforeLines="100" w:after="312" w:afterLines="100" w:line="500" w:lineRule="exact"/>
        <w:jc w:val="left"/>
        <w:rPr>
          <w:color w:val="auto"/>
          <w:kern w:val="0"/>
          <w:sz w:val="36"/>
          <w:szCs w:val="36"/>
        </w:rPr>
      </w:pPr>
      <w:bookmarkStart w:id="26" w:name="_Toc1554"/>
      <w:r>
        <w:rPr>
          <w:color w:val="auto"/>
          <w:kern w:val="0"/>
          <w:sz w:val="36"/>
          <w:szCs w:val="36"/>
        </w:rPr>
        <w:t>3</w:t>
      </w:r>
      <w:r>
        <w:rPr>
          <w:rFonts w:hint="eastAsia"/>
          <w:color w:val="auto"/>
          <w:kern w:val="0"/>
          <w:sz w:val="36"/>
          <w:szCs w:val="36"/>
        </w:rPr>
        <w:t>监测与预警</w:t>
      </w:r>
      <w:bookmarkEnd w:id="26"/>
    </w:p>
    <w:p>
      <w:pPr>
        <w:pStyle w:val="7"/>
        <w:keepNext w:val="0"/>
        <w:keepLines w:val="0"/>
        <w:topLinePunct/>
        <w:spacing w:before="156" w:beforeLines="50" w:after="156" w:afterLines="50" w:line="500" w:lineRule="exact"/>
        <w:jc w:val="left"/>
        <w:rPr>
          <w:rFonts w:hint="eastAsia" w:eastAsia="仿宋"/>
          <w:bCs w:val="0"/>
          <w:color w:val="auto"/>
          <w:kern w:val="0"/>
          <w:sz w:val="32"/>
          <w:lang w:val="en-US" w:eastAsia="zh-CN"/>
        </w:rPr>
      </w:pPr>
      <w:bookmarkStart w:id="27" w:name="_Toc29372"/>
      <w:r>
        <w:rPr>
          <w:bCs w:val="0"/>
          <w:color w:val="auto"/>
          <w:kern w:val="0"/>
          <w:sz w:val="32"/>
          <w:lang w:val="zh-CN"/>
        </w:rPr>
        <w:t>3</w:t>
      </w:r>
      <w:r>
        <w:rPr>
          <w:rFonts w:hint="eastAsia"/>
          <w:bCs w:val="0"/>
          <w:color w:val="auto"/>
          <w:kern w:val="0"/>
          <w:sz w:val="32"/>
          <w:lang w:val="zh-CN"/>
        </w:rPr>
        <w:t>.</w:t>
      </w:r>
      <w:r>
        <w:rPr>
          <w:bCs w:val="0"/>
          <w:color w:val="auto"/>
          <w:kern w:val="0"/>
          <w:sz w:val="32"/>
          <w:lang w:val="zh-CN"/>
        </w:rPr>
        <w:t>1</w:t>
      </w:r>
      <w:r>
        <w:rPr>
          <w:rFonts w:hint="eastAsia"/>
          <w:bCs w:val="0"/>
          <w:color w:val="auto"/>
          <w:kern w:val="0"/>
          <w:sz w:val="32"/>
          <w:lang w:val="en-US" w:eastAsia="zh-CN"/>
        </w:rPr>
        <w:t>预报</w:t>
      </w:r>
      <w:bookmarkEnd w:id="27"/>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第一师</w:t>
      </w:r>
      <w:r>
        <w:rPr>
          <w:rFonts w:eastAsia="仿宋_GB2312"/>
          <w:color w:val="auto"/>
          <w:szCs w:val="28"/>
        </w:rPr>
        <w:t>生态环境监测站要按照“早发现、早报告、早处置”的原则，做好空气质量常规监测、数据收集、综合分析、风险评估等工作。当</w:t>
      </w:r>
      <w:r>
        <w:rPr>
          <w:rFonts w:hint="eastAsia" w:eastAsia="仿宋_GB2312"/>
          <w:color w:val="auto"/>
          <w:szCs w:val="28"/>
        </w:rPr>
        <w:t>阿拉尔市气象站</w:t>
      </w:r>
      <w:r>
        <w:rPr>
          <w:rFonts w:eastAsia="仿宋_GB2312"/>
          <w:color w:val="auto"/>
          <w:szCs w:val="28"/>
        </w:rPr>
        <w:t>预报可能出现重污染天气时，每日跟踪掌握环境空气质量和气象条件的变化情况，为应急预警、响应工作提供决策依据；重污染预警启动期间，加密会商频次，必要时请相关专家共同参与会商，及时提出调整、解除预警的建议。</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bookmarkStart w:id="28" w:name="_Toc19938"/>
      <w:r>
        <w:rPr>
          <w:rFonts w:hint="default"/>
          <w:bCs w:val="0"/>
          <w:color w:val="auto"/>
          <w:kern w:val="0"/>
          <w:sz w:val="32"/>
          <w:lang w:val="en-US"/>
        </w:rPr>
        <w:t>3.2</w:t>
      </w:r>
      <w:r>
        <w:rPr>
          <w:rFonts w:hint="eastAsia"/>
          <w:bCs w:val="0"/>
          <w:color w:val="auto"/>
          <w:kern w:val="0"/>
          <w:sz w:val="32"/>
          <w:lang w:val="en-US" w:eastAsia="zh-CN"/>
        </w:rPr>
        <w:t>会商</w:t>
      </w:r>
      <w:bookmarkEnd w:id="28"/>
    </w:p>
    <w:p>
      <w:pPr>
        <w:adjustRightInd w:val="0"/>
        <w:snapToGrid w:val="0"/>
        <w:spacing w:line="500" w:lineRule="exact"/>
        <w:ind w:firstLine="560" w:firstLineChars="200"/>
        <w:rPr>
          <w:rFonts w:hint="eastAsia" w:eastAsia="仿宋_GB2312"/>
          <w:color w:val="auto"/>
          <w:szCs w:val="28"/>
          <w:lang w:val="en-US" w:eastAsia="zh-CN"/>
        </w:rPr>
      </w:pPr>
      <w:r>
        <w:rPr>
          <w:rFonts w:hint="eastAsia" w:eastAsia="仿宋_GB2312"/>
          <w:color w:val="auto"/>
          <w:szCs w:val="28"/>
          <w:lang w:val="en-US" w:eastAsia="zh-CN"/>
        </w:rPr>
        <w:t>应急指挥部办公室按照上级指示和要求，建立会商研判报告制度。通过成立常态化的重污染天气应急专家组，非采暖期每月会商，采暖期每周会商，重污染天气期间，实行日报告制度。重点区域间建立会商研判报告制度，加强数据及信息共享。及时与上级部门进行信息反馈。相邻区域可通过会商研判，统一发布相邻区域预警，统一启动应急响应。</w:t>
      </w:r>
    </w:p>
    <w:p>
      <w:pPr>
        <w:pStyle w:val="7"/>
        <w:keepNext w:val="0"/>
        <w:keepLines w:val="0"/>
        <w:topLinePunct/>
        <w:spacing w:before="156" w:beforeLines="50" w:after="156" w:afterLines="50" w:line="500" w:lineRule="exact"/>
        <w:jc w:val="left"/>
        <w:rPr>
          <w:bCs w:val="0"/>
          <w:color w:val="auto"/>
          <w:kern w:val="0"/>
          <w:sz w:val="32"/>
          <w:lang w:val="zh-CN"/>
        </w:rPr>
      </w:pPr>
      <w:bookmarkStart w:id="29" w:name="_Toc27569"/>
      <w:r>
        <w:rPr>
          <w:bCs w:val="0"/>
          <w:color w:val="auto"/>
          <w:kern w:val="0"/>
          <w:sz w:val="32"/>
          <w:lang w:val="zh-CN"/>
        </w:rPr>
        <w:t>3.</w:t>
      </w:r>
      <w:r>
        <w:rPr>
          <w:rFonts w:hint="default"/>
          <w:bCs w:val="0"/>
          <w:color w:val="auto"/>
          <w:kern w:val="0"/>
          <w:sz w:val="32"/>
          <w:lang w:val="en-US"/>
        </w:rPr>
        <w:t>3</w:t>
      </w:r>
      <w:r>
        <w:rPr>
          <w:rFonts w:hint="eastAsia"/>
          <w:bCs w:val="0"/>
          <w:color w:val="auto"/>
          <w:kern w:val="0"/>
          <w:sz w:val="32"/>
          <w:lang w:val="zh-CN"/>
        </w:rPr>
        <w:t>预警分级</w:t>
      </w:r>
      <w:bookmarkEnd w:id="29"/>
    </w:p>
    <w:p>
      <w:pPr>
        <w:adjustRightInd w:val="0"/>
        <w:snapToGrid w:val="0"/>
        <w:spacing w:line="500" w:lineRule="exact"/>
        <w:ind w:firstLine="560" w:firstLineChars="200"/>
        <w:rPr>
          <w:rFonts w:hint="eastAsia" w:eastAsia="仿宋_GB2312"/>
          <w:color w:val="auto"/>
          <w:szCs w:val="28"/>
          <w:lang w:val="en-US" w:eastAsia="zh-CN"/>
        </w:rPr>
      </w:pPr>
      <w:r>
        <w:rPr>
          <w:rFonts w:eastAsia="仿宋_GB2312"/>
          <w:color w:val="auto"/>
          <w:szCs w:val="28"/>
        </w:rPr>
        <w:t>重污染天气预警统一以空气质量指数（AQI）日均值为指标</w:t>
      </w:r>
      <w:r>
        <w:rPr>
          <w:rFonts w:hint="eastAsia" w:eastAsia="仿宋_GB2312"/>
          <w:color w:val="auto"/>
          <w:szCs w:val="28"/>
        </w:rPr>
        <w:t>，</w:t>
      </w:r>
      <w:r>
        <w:rPr>
          <w:rFonts w:eastAsia="仿宋_GB2312"/>
          <w:color w:val="auto"/>
          <w:szCs w:val="28"/>
        </w:rPr>
        <w:t>按照环境空气质量预测结果及重污染天气的发展趋势</w:t>
      </w:r>
      <w:r>
        <w:rPr>
          <w:rFonts w:hint="eastAsia" w:eastAsia="仿宋_GB2312"/>
          <w:color w:val="auto"/>
          <w:szCs w:val="28"/>
        </w:rPr>
        <w:t>、</w:t>
      </w:r>
      <w:r>
        <w:rPr>
          <w:rFonts w:eastAsia="仿宋_GB2312"/>
          <w:color w:val="auto"/>
          <w:szCs w:val="28"/>
        </w:rPr>
        <w:t>影响范围和严重程度</w:t>
      </w:r>
      <w:r>
        <w:rPr>
          <w:rFonts w:hint="eastAsia" w:eastAsia="仿宋_GB2312"/>
          <w:color w:val="auto"/>
          <w:szCs w:val="28"/>
        </w:rPr>
        <w:t>，</w:t>
      </w:r>
      <w:r>
        <w:rPr>
          <w:rFonts w:eastAsia="仿宋_GB2312"/>
          <w:color w:val="auto"/>
          <w:szCs w:val="28"/>
        </w:rPr>
        <w:t>将重污染天气预警分为3个级别</w:t>
      </w:r>
      <w:r>
        <w:rPr>
          <w:rFonts w:hint="eastAsia" w:eastAsia="仿宋_GB2312"/>
          <w:color w:val="auto"/>
          <w:szCs w:val="28"/>
        </w:rPr>
        <w:t>，</w:t>
      </w:r>
      <w:r>
        <w:rPr>
          <w:rFonts w:eastAsia="仿宋_GB2312"/>
          <w:color w:val="auto"/>
          <w:szCs w:val="28"/>
        </w:rPr>
        <w:t>由轻到重依次为黄色预警、橙色预警、红色预警。</w:t>
      </w:r>
      <w:r>
        <w:rPr>
          <w:rFonts w:hint="eastAsia" w:eastAsia="仿宋_GB2312"/>
          <w:color w:val="auto"/>
          <w:szCs w:val="28"/>
          <w:lang w:val="en-US" w:eastAsia="zh-CN"/>
        </w:rPr>
        <w:t>参考上级部门预警标准，本次预警标准如下：</w:t>
      </w:r>
    </w:p>
    <w:p>
      <w:pPr>
        <w:adjustRightInd w:val="0"/>
        <w:snapToGrid w:val="0"/>
        <w:spacing w:line="500" w:lineRule="exact"/>
        <w:ind w:firstLine="560" w:firstLineChars="200"/>
        <w:rPr>
          <w:rFonts w:eastAsia="仿宋_GB2312"/>
          <w:color w:val="auto"/>
          <w:szCs w:val="28"/>
        </w:rPr>
      </w:pPr>
      <w:r>
        <w:rPr>
          <w:rFonts w:eastAsia="仿宋_GB2312"/>
          <w:color w:val="auto"/>
          <w:szCs w:val="28"/>
        </w:rPr>
        <w:t>（1）黄色预警：</w:t>
      </w:r>
      <w:r>
        <w:rPr>
          <w:rFonts w:hint="eastAsia" w:eastAsia="仿宋_GB2312"/>
          <w:color w:val="auto"/>
          <w:szCs w:val="28"/>
        </w:rPr>
        <w:t>预测AQI日均值&gt;200将持续2天(48小时)及以上，且短时出现重度污染、未达到高级别预警条件</w:t>
      </w:r>
      <w:r>
        <w:rPr>
          <w:rFonts w:hint="eastAsia" w:eastAsia="仿宋_GB2312"/>
          <w:color w:val="auto"/>
          <w:szCs w:val="28"/>
          <w:lang w:eastAsia="zh-CN"/>
        </w:rPr>
        <w:t>；</w:t>
      </w:r>
      <w:r>
        <w:rPr>
          <w:rFonts w:hint="eastAsia" w:eastAsia="仿宋_GB2312"/>
          <w:color w:val="auto"/>
          <w:szCs w:val="28"/>
        </w:rPr>
        <w:t>或SO₂实际监测浓度(1小时均值)&gt;500微克/立方米</w:t>
      </w:r>
      <w:r>
        <w:rPr>
          <w:rFonts w:eastAsia="仿宋_GB2312"/>
          <w:color w:val="auto"/>
          <w:szCs w:val="28"/>
        </w:rPr>
        <w:t>，且未达更高级别预警条件。</w:t>
      </w:r>
    </w:p>
    <w:p>
      <w:pPr>
        <w:adjustRightInd w:val="0"/>
        <w:snapToGrid w:val="0"/>
        <w:spacing w:line="500" w:lineRule="exact"/>
        <w:ind w:firstLine="560" w:firstLineChars="200"/>
        <w:rPr>
          <w:rFonts w:hint="eastAsia" w:eastAsia="仿宋_GB2312"/>
          <w:color w:val="auto"/>
          <w:szCs w:val="28"/>
        </w:rPr>
      </w:pPr>
      <w:r>
        <w:rPr>
          <w:rFonts w:eastAsia="仿宋_GB2312"/>
          <w:color w:val="auto"/>
          <w:szCs w:val="28"/>
        </w:rPr>
        <w:t>（2）橙色预警：</w:t>
      </w:r>
      <w:r>
        <w:rPr>
          <w:rFonts w:hint="eastAsia" w:eastAsia="仿宋_GB2312"/>
          <w:color w:val="auto"/>
          <w:szCs w:val="28"/>
        </w:rPr>
        <w:t>预测AQI日均值&gt;200将持续3天(72小时)及以上，且未达到高级别预警条件</w:t>
      </w:r>
      <w:r>
        <w:rPr>
          <w:rFonts w:hint="eastAsia" w:eastAsia="仿宋_GB2312"/>
          <w:color w:val="auto"/>
          <w:szCs w:val="28"/>
          <w:lang w:eastAsia="zh-CN"/>
        </w:rPr>
        <w:t>；</w:t>
      </w:r>
      <w:r>
        <w:rPr>
          <w:rFonts w:hint="eastAsia" w:eastAsia="仿宋_GB2312"/>
          <w:color w:val="auto"/>
          <w:szCs w:val="28"/>
        </w:rPr>
        <w:t>或SO₂实际监测浓度(1小时均值)&gt;650微克/立方米。</w:t>
      </w:r>
    </w:p>
    <w:p>
      <w:pPr>
        <w:adjustRightInd w:val="0"/>
        <w:snapToGrid w:val="0"/>
        <w:spacing w:line="500" w:lineRule="exact"/>
        <w:ind w:firstLine="560" w:firstLineChars="200"/>
        <w:rPr>
          <w:rFonts w:hint="eastAsia" w:eastAsia="仿宋_GB2312"/>
          <w:color w:val="auto"/>
          <w:szCs w:val="28"/>
        </w:rPr>
      </w:pPr>
      <w:r>
        <w:rPr>
          <w:rFonts w:eastAsia="仿宋_GB2312"/>
          <w:color w:val="auto"/>
          <w:szCs w:val="28"/>
        </w:rPr>
        <w:t>（3）红色预警：</w:t>
      </w:r>
      <w:r>
        <w:rPr>
          <w:rFonts w:hint="eastAsia" w:eastAsia="仿宋_GB2312"/>
          <w:color w:val="auto"/>
          <w:szCs w:val="28"/>
        </w:rPr>
        <w:t>预测AQI日均值&gt;200将持续4天(96小时)及以上，且预测AQI日均值&gt;300将持续2天(48小时)及以上；或预测AQI日均值达到500</w:t>
      </w:r>
      <w:r>
        <w:rPr>
          <w:rFonts w:hint="eastAsia" w:eastAsia="仿宋_GB2312"/>
          <w:color w:val="auto"/>
          <w:szCs w:val="28"/>
          <w:lang w:eastAsia="zh-CN"/>
        </w:rPr>
        <w:t>，</w:t>
      </w:r>
      <w:r>
        <w:rPr>
          <w:rFonts w:hint="eastAsia" w:eastAsia="仿宋_GB2312"/>
          <w:color w:val="auto"/>
          <w:szCs w:val="28"/>
        </w:rPr>
        <w:t>或SO₂实际监测浓度(1小时均值)&gt;800微克/立方米。</w:t>
      </w:r>
    </w:p>
    <w:p>
      <w:pPr>
        <w:pStyle w:val="7"/>
        <w:keepNext w:val="0"/>
        <w:keepLines w:val="0"/>
        <w:topLinePunct/>
        <w:spacing w:before="156" w:beforeLines="50" w:after="156" w:afterLines="50" w:line="500" w:lineRule="exact"/>
        <w:jc w:val="left"/>
        <w:rPr>
          <w:bCs w:val="0"/>
          <w:color w:val="auto"/>
          <w:kern w:val="0"/>
          <w:sz w:val="32"/>
          <w:lang w:val="zh-CN"/>
        </w:rPr>
      </w:pPr>
      <w:bookmarkStart w:id="30" w:name="_Toc3184"/>
      <w:r>
        <w:rPr>
          <w:bCs w:val="0"/>
          <w:color w:val="auto"/>
          <w:kern w:val="0"/>
          <w:sz w:val="32"/>
          <w:lang w:val="zh-CN"/>
        </w:rPr>
        <w:t>3.3</w:t>
      </w:r>
      <w:r>
        <w:rPr>
          <w:rFonts w:hint="eastAsia"/>
          <w:bCs w:val="0"/>
          <w:color w:val="auto"/>
          <w:kern w:val="0"/>
          <w:sz w:val="32"/>
          <w:lang w:val="zh-CN"/>
        </w:rPr>
        <w:t>预警发布与解除</w:t>
      </w:r>
      <w:bookmarkEnd w:id="30"/>
    </w:p>
    <w:p>
      <w:pPr>
        <w:spacing w:before="78" w:beforeLines="25" w:after="78" w:afterLines="25" w:line="500" w:lineRule="exact"/>
        <w:outlineLvl w:val="2"/>
        <w:rPr>
          <w:b/>
          <w:bCs/>
          <w:color w:val="auto"/>
          <w:szCs w:val="24"/>
          <w:lang w:val="zh-CN"/>
        </w:rPr>
      </w:pPr>
      <w:r>
        <w:rPr>
          <w:b/>
          <w:bCs/>
          <w:color w:val="auto"/>
          <w:szCs w:val="24"/>
          <w:lang w:val="zh-CN"/>
        </w:rPr>
        <w:t>3.3.1预警</w:t>
      </w:r>
      <w:r>
        <w:rPr>
          <w:rFonts w:hint="eastAsia"/>
          <w:b/>
          <w:bCs/>
          <w:color w:val="auto"/>
          <w:szCs w:val="24"/>
          <w:lang w:val="zh-CN"/>
        </w:rPr>
        <w:t>发布时间</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重污染天气应急预警信息应提前24小时发布，若遇特殊气象条件未能提前发布预警信息，或已出现重污染天气，通过实时会商，判断满足预警条件，应立即发布预警信息。特殊情况下至少提前12小时发布。</w:t>
      </w:r>
    </w:p>
    <w:p>
      <w:pPr>
        <w:spacing w:before="78" w:beforeLines="25" w:after="78" w:afterLines="25" w:line="500" w:lineRule="exact"/>
        <w:outlineLvl w:val="2"/>
        <w:rPr>
          <w:b/>
          <w:bCs/>
          <w:color w:val="auto"/>
          <w:szCs w:val="24"/>
          <w:lang w:val="zh-CN"/>
        </w:rPr>
      </w:pPr>
      <w:r>
        <w:rPr>
          <w:b/>
          <w:bCs/>
          <w:color w:val="auto"/>
          <w:szCs w:val="24"/>
          <w:lang w:val="zh-CN"/>
        </w:rPr>
        <w:t>3.3.2</w:t>
      </w:r>
      <w:r>
        <w:rPr>
          <w:rFonts w:hint="eastAsia"/>
          <w:b/>
          <w:bCs/>
          <w:color w:val="auto"/>
          <w:szCs w:val="24"/>
          <w:lang w:val="zh-CN"/>
        </w:rPr>
        <w:t>发布程序与方式</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（1）当预测未来将出现或已出现重污染天气，预警工作组应及时组织会商，确认预警意见后，立即向区应急指挥办公室报告。预警意见信息包括重污染天气发生的时间、首要污染物、建议预警等级等内容。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黄色预警由应急指挥办公室提出预警意见，经副总指挥批准后发布，同时下达响应指令和响应启动时间；橙色、红色预警由应急指挥办公室提出预警意见，经总指挥批准后发布，同时下达响应指令和响应启动时间。</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（3）当重污染天气应急指挥办公室接到响应指令后，2小时内通知各成员单位启动相应级别响应措施，落实区域应急联防联控，同时上报上级部门。</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（4）信息公开和宣传组在接到应急指挥办公室发布的预警信息后于2小时内通过报纸、广播、电视、网络和新媒体平台及手机短信，向社会公众发布重污染天气的应急响应有关信息。预警信息应持续滚动播报。</w:t>
      </w:r>
    </w:p>
    <w:p>
      <w:pPr>
        <w:spacing w:before="78" w:beforeLines="25" w:after="78" w:afterLines="25" w:line="500" w:lineRule="exact"/>
        <w:outlineLvl w:val="2"/>
        <w:rPr>
          <w:b/>
          <w:bCs/>
          <w:color w:val="auto"/>
          <w:szCs w:val="24"/>
          <w:lang w:val="zh-CN"/>
        </w:rPr>
      </w:pPr>
      <w:r>
        <w:rPr>
          <w:rFonts w:hint="eastAsia"/>
          <w:b/>
          <w:bCs/>
          <w:color w:val="auto"/>
          <w:szCs w:val="24"/>
          <w:lang w:val="zh-CN"/>
        </w:rPr>
        <w:t>3.3.3预警信息发布要求</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预警信息发布内容包括：发布单位、发布时间、重污染天气出现的时间、范围、污染程度、主要污染物、预警级别及气象条件情况等。</w:t>
      </w:r>
    </w:p>
    <w:p>
      <w:pPr>
        <w:spacing w:before="78" w:beforeLines="25" w:after="78" w:afterLines="25" w:line="500" w:lineRule="exact"/>
        <w:outlineLvl w:val="2"/>
        <w:rPr>
          <w:b/>
          <w:bCs/>
          <w:color w:val="auto"/>
          <w:szCs w:val="24"/>
          <w:lang w:val="zh-CN"/>
        </w:rPr>
      </w:pPr>
      <w:r>
        <w:rPr>
          <w:rFonts w:hint="eastAsia"/>
          <w:b/>
          <w:bCs/>
          <w:color w:val="auto"/>
          <w:szCs w:val="24"/>
          <w:lang w:val="zh-CN"/>
        </w:rPr>
        <w:t>3.3.4预警等级调整</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预警信息发布后，预警工作组应密切关注重污染天气发展趋势，会同专家组加强研判和跟踪分析，提出预警调整建议按程序报批。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预测发生前后两次污染过程，且间隔时间未达到解除预警条件时，应按一次污染过程计算，从高级别启动预警；当监测空气质量已经达到重污染，且预测未来24小时内不会有明显改善时，应根据实际污染情况及时启动相应级别的预警；当预测或监测空气质量将达到更高级别预警条件时，应尽早采取升级措施；当空气质量改善到相应级别预警启动标准以下，且预测将持续36小时以上时，可以降低预警级别，并提前发布信息。</w:t>
      </w:r>
    </w:p>
    <w:p>
      <w:pPr>
        <w:spacing w:before="78" w:beforeLines="25" w:after="78" w:afterLines="25" w:line="500" w:lineRule="exact"/>
        <w:outlineLvl w:val="2"/>
        <w:rPr>
          <w:b/>
          <w:bCs/>
          <w:color w:val="auto"/>
          <w:szCs w:val="24"/>
          <w:lang w:val="zh-CN"/>
        </w:rPr>
      </w:pPr>
      <w:r>
        <w:rPr>
          <w:rFonts w:hint="eastAsia"/>
          <w:b/>
          <w:bCs/>
          <w:color w:val="auto"/>
          <w:szCs w:val="24"/>
          <w:lang w:val="zh-CN"/>
        </w:rPr>
        <w:t>3.3.5预警解除</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当监测空气质量改善至黄色预警条件以下，且预测将持续36小时以上时，预警工作组提出解除预警建议信息。</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预警解除由应急指挥部审核批准后发布。</w:t>
      </w:r>
    </w:p>
    <w:p>
      <w:pPr>
        <w:spacing w:before="78" w:beforeLines="25" w:after="78" w:afterLines="25" w:line="500" w:lineRule="exact"/>
        <w:outlineLvl w:val="2"/>
        <w:rPr>
          <w:b/>
          <w:bCs/>
          <w:color w:val="auto"/>
          <w:szCs w:val="24"/>
          <w:lang w:val="zh-CN"/>
        </w:rPr>
      </w:pPr>
      <w:r>
        <w:rPr>
          <w:rFonts w:hint="eastAsia"/>
          <w:b/>
          <w:bCs/>
          <w:color w:val="auto"/>
          <w:szCs w:val="24"/>
          <w:lang w:val="zh-CN"/>
        </w:rPr>
        <w:t>3.</w:t>
      </w:r>
      <w:r>
        <w:rPr>
          <w:b/>
          <w:bCs/>
          <w:color w:val="auto"/>
          <w:szCs w:val="24"/>
          <w:lang w:val="zh-CN"/>
        </w:rPr>
        <w:t>3</w:t>
      </w:r>
      <w:r>
        <w:rPr>
          <w:rFonts w:hint="eastAsia"/>
          <w:b/>
          <w:bCs/>
          <w:color w:val="auto"/>
          <w:szCs w:val="24"/>
          <w:lang w:val="zh-CN"/>
        </w:rPr>
        <w:t>.</w:t>
      </w:r>
      <w:r>
        <w:rPr>
          <w:b/>
          <w:bCs/>
          <w:color w:val="auto"/>
          <w:szCs w:val="24"/>
          <w:lang w:val="zh-CN"/>
        </w:rPr>
        <w:t>6</w:t>
      </w:r>
      <w:r>
        <w:rPr>
          <w:rFonts w:hint="eastAsia"/>
          <w:b/>
          <w:bCs/>
          <w:color w:val="auto"/>
          <w:szCs w:val="24"/>
          <w:lang w:val="zh-CN"/>
        </w:rPr>
        <w:t>区域应急联动</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当接到兵团级或区域空气质量预测预报中心发布的区域预警提示信息后，若我辖区内污染程度超过区域预警等级，按照实际情况发布预警信息并启动相应等级的应急响应；若辖区内污染程度未达到区域预警等级，按照兵团级或区域空气质量预测预报中心通报的预警提示等级发布预警信息。</w:t>
      </w:r>
    </w:p>
    <w:p>
      <w:pPr>
        <w:pStyle w:val="7"/>
        <w:keepNext w:val="0"/>
        <w:keepLines w:val="0"/>
        <w:topLinePunct/>
        <w:spacing w:before="156" w:beforeLines="50" w:after="156" w:afterLines="50" w:line="500" w:lineRule="exact"/>
        <w:jc w:val="left"/>
        <w:rPr>
          <w:bCs w:val="0"/>
          <w:color w:val="auto"/>
          <w:kern w:val="0"/>
          <w:sz w:val="32"/>
          <w:lang w:val="zh-CN"/>
        </w:rPr>
      </w:pPr>
      <w:bookmarkStart w:id="31" w:name="_Toc25566"/>
      <w:r>
        <w:rPr>
          <w:rFonts w:hint="eastAsia"/>
          <w:bCs w:val="0"/>
          <w:color w:val="auto"/>
          <w:kern w:val="0"/>
          <w:sz w:val="32"/>
          <w:lang w:val="zh-CN"/>
        </w:rPr>
        <w:t>3.</w:t>
      </w:r>
      <w:r>
        <w:rPr>
          <w:bCs w:val="0"/>
          <w:color w:val="auto"/>
          <w:kern w:val="0"/>
          <w:sz w:val="32"/>
          <w:lang w:val="zh-CN"/>
        </w:rPr>
        <w:t>4</w:t>
      </w:r>
      <w:r>
        <w:rPr>
          <w:rFonts w:hint="eastAsia"/>
          <w:bCs w:val="0"/>
          <w:color w:val="auto"/>
          <w:kern w:val="0"/>
          <w:sz w:val="32"/>
          <w:lang w:val="zh-CN"/>
        </w:rPr>
        <w:t>预警响应</w:t>
      </w:r>
      <w:bookmarkEnd w:id="31"/>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各相关部门单位及企业接到预警信息后，根据本单位职责及应对工作方案发布相关信息，启动相应预警措施。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（1）黄色预警措施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信息公开和宣传组通过广播、电视、网站、报刊、微博、微信平台等渠道及时向受影响区域公众发布消息，告知公众主动采取自我防护措施，并提出健康保护和出行建议。</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（2）橙色、红色预警措施</w:t>
      </w:r>
    </w:p>
    <w:p>
      <w:pPr>
        <w:adjustRightInd w:val="0"/>
        <w:snapToGrid w:val="0"/>
        <w:spacing w:line="500" w:lineRule="exact"/>
        <w:ind w:firstLine="560" w:firstLineChars="200"/>
        <w:rPr>
          <w:rFonts w:hint="eastAsia" w:eastAsia="仿宋_GB2312"/>
          <w:color w:val="auto"/>
          <w:szCs w:val="28"/>
        </w:rPr>
        <w:sectPr>
          <w:pgSz w:w="11906" w:h="16838"/>
          <w:pgMar w:top="1440" w:right="1800" w:bottom="1440" w:left="1800" w:header="851" w:footer="992" w:gutter="0"/>
          <w:cols w:space="425" w:num="1"/>
          <w:docGrid w:type="lines" w:linePitch="312" w:charSpace="0"/>
        </w:sectPr>
      </w:pPr>
      <w:r>
        <w:rPr>
          <w:rFonts w:hint="eastAsia" w:eastAsia="仿宋_GB2312"/>
          <w:color w:val="auto"/>
          <w:szCs w:val="28"/>
        </w:rPr>
        <w:t>在采取黄色级预警措施的基础上，要求值班人员24小时上岗、保持通讯畅通，加强监控，对重污染天气可能发生的时间、范围、强度和变化趋势及时做出预测预报，对重污染区域相邻区域（团场）的环境空气质量、气象条件等情况进行重点跟踪了解，并及时报告，增加向社会公众发布通告的频次。当地人民政府及有关部门做好应急响应的准备工作。学校、医院、体育场（馆）、车站、旅游景区（点）、购物商场及商业区办公楼列等区域和人员密集场所，应做好重污染天气预警信息接收和传播工作。</w:t>
      </w:r>
    </w:p>
    <w:p>
      <w:pPr>
        <w:pStyle w:val="6"/>
        <w:keepNext w:val="0"/>
        <w:keepLines w:val="0"/>
        <w:spacing w:before="312" w:beforeLines="100" w:after="312" w:afterLines="100" w:line="500" w:lineRule="exact"/>
        <w:jc w:val="left"/>
        <w:rPr>
          <w:color w:val="auto"/>
          <w:kern w:val="0"/>
          <w:sz w:val="36"/>
          <w:szCs w:val="36"/>
        </w:rPr>
      </w:pPr>
      <w:bookmarkStart w:id="32" w:name="_Toc30721"/>
      <w:r>
        <w:rPr>
          <w:color w:val="auto"/>
          <w:kern w:val="0"/>
          <w:sz w:val="36"/>
          <w:szCs w:val="36"/>
        </w:rPr>
        <w:t>4</w:t>
      </w:r>
      <w:r>
        <w:rPr>
          <w:rFonts w:hint="eastAsia"/>
          <w:color w:val="auto"/>
          <w:kern w:val="0"/>
          <w:sz w:val="36"/>
          <w:szCs w:val="36"/>
        </w:rPr>
        <w:t>应急响应</w:t>
      </w:r>
      <w:bookmarkEnd w:id="32"/>
    </w:p>
    <w:p>
      <w:pPr>
        <w:pStyle w:val="7"/>
        <w:keepNext w:val="0"/>
        <w:keepLines w:val="0"/>
        <w:topLinePunct/>
        <w:spacing w:before="156" w:beforeLines="50" w:after="156" w:afterLines="50" w:line="500" w:lineRule="exact"/>
        <w:jc w:val="left"/>
        <w:rPr>
          <w:bCs w:val="0"/>
          <w:color w:val="auto"/>
          <w:kern w:val="0"/>
          <w:sz w:val="32"/>
          <w:lang w:val="zh-CN"/>
        </w:rPr>
      </w:pPr>
      <w:bookmarkStart w:id="33" w:name="_Toc22013"/>
      <w:r>
        <w:rPr>
          <w:bCs w:val="0"/>
          <w:color w:val="auto"/>
          <w:kern w:val="0"/>
          <w:sz w:val="32"/>
          <w:lang w:val="zh-CN"/>
        </w:rPr>
        <w:t>4.1</w:t>
      </w:r>
      <w:r>
        <w:rPr>
          <w:rFonts w:hint="eastAsia"/>
          <w:bCs w:val="0"/>
          <w:color w:val="auto"/>
          <w:kern w:val="0"/>
          <w:sz w:val="32"/>
          <w:lang w:val="zh-CN"/>
        </w:rPr>
        <w:t>应急响应分级</w:t>
      </w:r>
      <w:bookmarkEnd w:id="33"/>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按重污染天气的严重程度和影响范围，与预警等级相对应实行3级应急响应：</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当发布黄色预警时，启动III级响应；</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当发布橙色预警时，启动II级响应；</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当发布红色预警时，启动I级响应。</w:t>
      </w:r>
    </w:p>
    <w:p>
      <w:pPr>
        <w:pStyle w:val="7"/>
        <w:keepNext w:val="0"/>
        <w:keepLines w:val="0"/>
        <w:topLinePunct/>
        <w:spacing w:before="156" w:beforeLines="50" w:after="156" w:afterLines="50" w:line="500" w:lineRule="exact"/>
        <w:jc w:val="left"/>
        <w:rPr>
          <w:bCs w:val="0"/>
          <w:color w:val="auto"/>
          <w:kern w:val="0"/>
          <w:sz w:val="32"/>
          <w:lang w:val="zh-CN"/>
        </w:rPr>
      </w:pPr>
      <w:bookmarkStart w:id="34" w:name="_Toc28623"/>
      <w:r>
        <w:rPr>
          <w:bCs w:val="0"/>
          <w:color w:val="auto"/>
          <w:kern w:val="0"/>
          <w:sz w:val="32"/>
          <w:lang w:val="zh-CN"/>
        </w:rPr>
        <w:t>4.2</w:t>
      </w:r>
      <w:r>
        <w:rPr>
          <w:rFonts w:hint="eastAsia"/>
          <w:bCs w:val="0"/>
          <w:color w:val="auto"/>
          <w:kern w:val="0"/>
          <w:sz w:val="32"/>
          <w:lang w:val="en-US" w:eastAsia="zh-CN"/>
        </w:rPr>
        <w:t>应急</w:t>
      </w:r>
      <w:r>
        <w:rPr>
          <w:rFonts w:hint="eastAsia"/>
          <w:bCs w:val="0"/>
          <w:color w:val="auto"/>
          <w:kern w:val="0"/>
          <w:sz w:val="32"/>
          <w:lang w:val="zh-CN"/>
        </w:rPr>
        <w:t>响应</w:t>
      </w:r>
      <w:r>
        <w:rPr>
          <w:rFonts w:hint="eastAsia"/>
          <w:bCs w:val="0"/>
          <w:color w:val="auto"/>
          <w:kern w:val="0"/>
          <w:sz w:val="32"/>
          <w:lang w:val="en-US" w:eastAsia="zh-CN"/>
        </w:rPr>
        <w:t>启动</w:t>
      </w:r>
      <w:r>
        <w:rPr>
          <w:rFonts w:hint="eastAsia"/>
          <w:bCs w:val="0"/>
          <w:color w:val="auto"/>
          <w:kern w:val="0"/>
          <w:sz w:val="32"/>
          <w:lang w:val="zh-CN"/>
        </w:rPr>
        <w:t>程序</w:t>
      </w:r>
      <w:bookmarkEnd w:id="34"/>
    </w:p>
    <w:p>
      <w:pPr>
        <w:spacing w:before="78" w:beforeLines="25" w:after="78" w:afterLines="25" w:line="500" w:lineRule="exact"/>
        <w:outlineLvl w:val="2"/>
        <w:rPr>
          <w:b/>
          <w:bCs/>
          <w:color w:val="auto"/>
          <w:szCs w:val="24"/>
          <w:lang w:val="zh-CN"/>
        </w:rPr>
      </w:pPr>
      <w:r>
        <w:rPr>
          <w:b/>
          <w:bCs/>
          <w:color w:val="auto"/>
          <w:szCs w:val="24"/>
          <w:lang w:val="zh-CN"/>
        </w:rPr>
        <w:t>4.2.1应急启动、终止、调整</w:t>
      </w:r>
    </w:p>
    <w:p>
      <w:pPr>
        <w:adjustRightInd w:val="0"/>
        <w:snapToGrid w:val="0"/>
        <w:spacing w:line="500" w:lineRule="exact"/>
        <w:ind w:firstLine="560" w:firstLineChars="200"/>
        <w:rPr>
          <w:rFonts w:eastAsia="仿宋_GB2312"/>
          <w:color w:val="auto"/>
          <w:szCs w:val="28"/>
        </w:rPr>
      </w:pPr>
      <w:r>
        <w:rPr>
          <w:rFonts w:eastAsia="仿宋_GB2312"/>
          <w:color w:val="auto"/>
          <w:szCs w:val="28"/>
        </w:rPr>
        <w:t>黄色预警、橙色预警的发布与解除由总指挥或授权副总指挥批准后发布实施；红色预警的发布与解除由总指挥批准后发布实施。</w:t>
      </w:r>
    </w:p>
    <w:p>
      <w:pPr>
        <w:spacing w:before="78" w:beforeLines="25" w:after="78" w:afterLines="25" w:line="500" w:lineRule="exact"/>
        <w:outlineLvl w:val="2"/>
        <w:rPr>
          <w:b/>
          <w:bCs/>
          <w:color w:val="auto"/>
          <w:szCs w:val="24"/>
          <w:lang w:val="zh-CN"/>
        </w:rPr>
      </w:pPr>
      <w:r>
        <w:rPr>
          <w:b/>
          <w:bCs/>
          <w:color w:val="auto"/>
          <w:szCs w:val="24"/>
          <w:lang w:val="zh-CN"/>
        </w:rPr>
        <w:t>4.2.2应急响应时间要求</w:t>
      </w:r>
    </w:p>
    <w:p>
      <w:pPr>
        <w:adjustRightInd w:val="0"/>
        <w:snapToGrid w:val="0"/>
        <w:spacing w:line="500" w:lineRule="exact"/>
        <w:ind w:firstLine="560" w:firstLineChars="200"/>
        <w:rPr>
          <w:rFonts w:eastAsia="仿宋_GB2312"/>
          <w:color w:val="auto"/>
          <w:szCs w:val="28"/>
        </w:rPr>
      </w:pPr>
      <w:r>
        <w:rPr>
          <w:rFonts w:eastAsia="仿宋_GB2312"/>
          <w:color w:val="auto"/>
          <w:szCs w:val="28"/>
        </w:rPr>
        <w:t>（1）预警信息发布和指令下达后，</w:t>
      </w:r>
      <w:r>
        <w:rPr>
          <w:rFonts w:hint="eastAsia" w:eastAsia="仿宋_GB2312"/>
          <w:color w:val="auto"/>
          <w:szCs w:val="28"/>
        </w:rPr>
        <w:t>阿拉尔市</w:t>
      </w:r>
      <w:r>
        <w:rPr>
          <w:rFonts w:eastAsia="仿宋_GB2312"/>
          <w:color w:val="auto"/>
          <w:szCs w:val="28"/>
        </w:rPr>
        <w:t>人民政府完成向区域主要媒体发布预警信息，完成</w:t>
      </w:r>
      <w:r>
        <w:rPr>
          <w:rFonts w:hint="eastAsia" w:eastAsia="仿宋_GB2312"/>
          <w:color w:val="auto"/>
          <w:szCs w:val="28"/>
        </w:rPr>
        <w:t>团场</w:t>
      </w:r>
      <w:r>
        <w:rPr>
          <w:rFonts w:eastAsia="仿宋_GB2312"/>
          <w:color w:val="auto"/>
          <w:szCs w:val="28"/>
        </w:rPr>
        <w:t>、</w:t>
      </w:r>
      <w:r>
        <w:rPr>
          <w:rFonts w:hint="eastAsia" w:eastAsia="仿宋_GB2312"/>
          <w:color w:val="auto"/>
          <w:szCs w:val="28"/>
        </w:rPr>
        <w:t>相关单位</w:t>
      </w:r>
      <w:r>
        <w:rPr>
          <w:rFonts w:eastAsia="仿宋_GB2312"/>
          <w:color w:val="auto"/>
          <w:szCs w:val="28"/>
        </w:rPr>
        <w:t>下达应急指令，原则上耗时不超过1小时。</w:t>
      </w:r>
    </w:p>
    <w:p>
      <w:pPr>
        <w:adjustRightInd w:val="0"/>
        <w:snapToGrid w:val="0"/>
        <w:spacing w:line="500" w:lineRule="exact"/>
        <w:ind w:firstLine="560" w:firstLineChars="200"/>
        <w:rPr>
          <w:rFonts w:eastAsia="仿宋_GB2312"/>
          <w:color w:val="auto"/>
          <w:szCs w:val="28"/>
        </w:rPr>
      </w:pPr>
      <w:r>
        <w:rPr>
          <w:rFonts w:eastAsia="仿宋_GB2312"/>
          <w:color w:val="auto"/>
          <w:szCs w:val="28"/>
        </w:rPr>
        <w:t>（2）报送当天应急措施落实情况总结（空气质量状况会商结果）：主要涉及单位在重污染预警启动期间于每天16时前向应急指挥部报告情况总结（具体流程见</w:t>
      </w:r>
      <w:r>
        <w:rPr>
          <w:rFonts w:hint="eastAsia" w:eastAsia="仿宋_GB2312"/>
          <w:color w:val="auto"/>
          <w:szCs w:val="28"/>
        </w:rPr>
        <w:t>附图</w:t>
      </w:r>
      <w:r>
        <w:rPr>
          <w:rFonts w:eastAsia="仿宋_GB2312"/>
          <w:color w:val="auto"/>
          <w:szCs w:val="28"/>
        </w:rPr>
        <w:t>）。</w:t>
      </w:r>
    </w:p>
    <w:p>
      <w:pPr>
        <w:spacing w:before="78" w:beforeLines="25" w:after="78" w:afterLines="25" w:line="500" w:lineRule="exact"/>
        <w:outlineLvl w:val="2"/>
        <w:rPr>
          <w:b/>
          <w:bCs/>
          <w:color w:val="auto"/>
          <w:szCs w:val="24"/>
          <w:lang w:val="zh-CN"/>
        </w:rPr>
      </w:pPr>
      <w:r>
        <w:rPr>
          <w:b/>
          <w:bCs/>
          <w:color w:val="auto"/>
          <w:szCs w:val="24"/>
          <w:lang w:val="zh-CN"/>
        </w:rPr>
        <w:t>4.2</w:t>
      </w:r>
      <w:r>
        <w:rPr>
          <w:rFonts w:hint="eastAsia"/>
          <w:b/>
          <w:bCs/>
          <w:color w:val="auto"/>
          <w:szCs w:val="24"/>
          <w:lang w:val="zh-CN"/>
        </w:rPr>
        <w:t>.</w:t>
      </w:r>
      <w:r>
        <w:rPr>
          <w:b/>
          <w:bCs/>
          <w:color w:val="auto"/>
          <w:szCs w:val="24"/>
          <w:lang w:val="zh-CN"/>
        </w:rPr>
        <w:t>3指挥与协调</w:t>
      </w:r>
    </w:p>
    <w:p>
      <w:pPr>
        <w:adjustRightInd w:val="0"/>
        <w:snapToGrid w:val="0"/>
        <w:spacing w:line="500" w:lineRule="exact"/>
        <w:ind w:firstLine="560" w:firstLineChars="200"/>
        <w:rPr>
          <w:rFonts w:eastAsia="仿宋_GB2312"/>
          <w:color w:val="auto"/>
          <w:szCs w:val="28"/>
        </w:rPr>
      </w:pPr>
      <w:r>
        <w:rPr>
          <w:rFonts w:eastAsia="仿宋_GB2312"/>
          <w:color w:val="auto"/>
          <w:szCs w:val="28"/>
        </w:rPr>
        <w:t>应急指挥部负责组织、协调和指挥重污染天气应急处置工作；各有关单位按照职责参与应急处置工作。</w:t>
      </w:r>
    </w:p>
    <w:p>
      <w:pPr>
        <w:spacing w:before="78" w:beforeLines="25" w:after="78" w:afterLines="25" w:line="500" w:lineRule="exact"/>
        <w:outlineLvl w:val="2"/>
        <w:rPr>
          <w:b/>
          <w:bCs/>
          <w:color w:val="auto"/>
          <w:szCs w:val="24"/>
          <w:lang w:val="zh-CN"/>
        </w:rPr>
      </w:pPr>
      <w:r>
        <w:rPr>
          <w:b/>
          <w:bCs/>
          <w:color w:val="auto"/>
          <w:szCs w:val="24"/>
          <w:lang w:val="zh-CN"/>
        </w:rPr>
        <w:t>4</w:t>
      </w:r>
      <w:r>
        <w:rPr>
          <w:rFonts w:hint="eastAsia"/>
          <w:b/>
          <w:bCs/>
          <w:color w:val="auto"/>
          <w:szCs w:val="24"/>
          <w:lang w:val="zh-CN"/>
        </w:rPr>
        <w:t>.</w:t>
      </w:r>
      <w:r>
        <w:rPr>
          <w:b/>
          <w:bCs/>
          <w:color w:val="auto"/>
          <w:szCs w:val="24"/>
          <w:lang w:val="zh-CN"/>
        </w:rPr>
        <w:t>2</w:t>
      </w:r>
      <w:r>
        <w:rPr>
          <w:rFonts w:hint="eastAsia"/>
          <w:b/>
          <w:bCs/>
          <w:color w:val="auto"/>
          <w:szCs w:val="24"/>
          <w:lang w:val="zh-CN"/>
        </w:rPr>
        <w:t>.</w:t>
      </w:r>
      <w:r>
        <w:rPr>
          <w:b/>
          <w:bCs/>
          <w:color w:val="auto"/>
          <w:szCs w:val="24"/>
          <w:lang w:val="zh-CN"/>
        </w:rPr>
        <w:t>4</w:t>
      </w:r>
      <w:r>
        <w:rPr>
          <w:rFonts w:hint="eastAsia"/>
          <w:b/>
          <w:bCs/>
          <w:color w:val="auto"/>
          <w:szCs w:val="24"/>
          <w:lang w:val="zh-CN"/>
        </w:rPr>
        <w:t>应急监测</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由应急指挥部牵头，第一师生态环境监测站和阿拉尔市气象站对区域内环境空气质量和主要企业大气污染物排放情况进行监测。企业名单见附件。</w:t>
      </w:r>
    </w:p>
    <w:p>
      <w:pPr>
        <w:spacing w:before="78" w:beforeLines="25" w:after="78" w:afterLines="25" w:line="500" w:lineRule="exact"/>
        <w:outlineLvl w:val="2"/>
        <w:rPr>
          <w:rFonts w:hint="default" w:eastAsia="仿宋"/>
          <w:b/>
          <w:bCs/>
          <w:color w:val="auto"/>
          <w:szCs w:val="24"/>
          <w:lang w:val="en-US" w:eastAsia="zh-CN"/>
        </w:rPr>
      </w:pPr>
      <w:r>
        <w:rPr>
          <w:b/>
          <w:bCs/>
          <w:color w:val="auto"/>
          <w:szCs w:val="24"/>
          <w:lang w:val="zh-CN"/>
        </w:rPr>
        <w:t>4</w:t>
      </w:r>
      <w:r>
        <w:rPr>
          <w:rFonts w:hint="eastAsia"/>
          <w:b/>
          <w:bCs/>
          <w:color w:val="auto"/>
          <w:szCs w:val="24"/>
          <w:lang w:val="zh-CN"/>
        </w:rPr>
        <w:t>.</w:t>
      </w:r>
      <w:r>
        <w:rPr>
          <w:b/>
          <w:bCs/>
          <w:color w:val="auto"/>
          <w:szCs w:val="24"/>
          <w:lang w:val="zh-CN"/>
        </w:rPr>
        <w:t>2</w:t>
      </w:r>
      <w:r>
        <w:rPr>
          <w:rFonts w:hint="eastAsia"/>
          <w:b/>
          <w:bCs/>
          <w:color w:val="auto"/>
          <w:szCs w:val="24"/>
          <w:lang w:val="zh-CN"/>
        </w:rPr>
        <w:t>.</w:t>
      </w:r>
      <w:r>
        <w:rPr>
          <w:rFonts w:hint="default"/>
          <w:b/>
          <w:bCs/>
          <w:color w:val="auto"/>
          <w:szCs w:val="24"/>
          <w:lang w:val="en-US"/>
        </w:rPr>
        <w:t>5</w:t>
      </w:r>
      <w:r>
        <w:rPr>
          <w:rFonts w:hint="eastAsia"/>
          <w:b/>
          <w:bCs/>
          <w:color w:val="auto"/>
          <w:szCs w:val="24"/>
          <w:lang w:val="en-US" w:eastAsia="zh-CN"/>
        </w:rPr>
        <w:t>相应要求</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重点企业：严格按照差异性指标执行重污染天气绩效分级管控措施；</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小涉微企业：重点管控柴油车辆；</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保障类企业：根据实际情况采取减排措施，实施“以量定产”或“以热定产”；</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其他企业：结合实际情况，制定科学、合理、有效的差异化管控措施，严防“一刀切”</w:t>
      </w:r>
    </w:p>
    <w:p>
      <w:pPr>
        <w:pStyle w:val="7"/>
        <w:keepNext w:val="0"/>
        <w:keepLines w:val="0"/>
        <w:topLinePunct/>
        <w:spacing w:before="156" w:beforeLines="50" w:after="156" w:afterLines="50" w:line="500" w:lineRule="exact"/>
        <w:jc w:val="left"/>
        <w:rPr>
          <w:bCs w:val="0"/>
          <w:color w:val="auto"/>
          <w:kern w:val="0"/>
          <w:sz w:val="32"/>
          <w:lang w:val="zh-CN"/>
        </w:rPr>
      </w:pPr>
      <w:bookmarkStart w:id="35" w:name="_Toc15931"/>
      <w:r>
        <w:rPr>
          <w:rFonts w:hint="eastAsia"/>
          <w:bCs w:val="0"/>
          <w:color w:val="auto"/>
          <w:kern w:val="0"/>
          <w:sz w:val="32"/>
          <w:lang w:val="zh-CN"/>
        </w:rPr>
        <w:t>4.3</w:t>
      </w:r>
      <w:r>
        <w:rPr>
          <w:rFonts w:hint="eastAsia"/>
          <w:bCs w:val="0"/>
          <w:color w:val="auto"/>
          <w:kern w:val="0"/>
          <w:sz w:val="32"/>
          <w:lang w:val="en-US" w:eastAsia="zh-CN"/>
        </w:rPr>
        <w:t>应急</w:t>
      </w:r>
      <w:r>
        <w:rPr>
          <w:rFonts w:hint="eastAsia"/>
          <w:bCs w:val="0"/>
          <w:color w:val="auto"/>
          <w:kern w:val="0"/>
          <w:sz w:val="32"/>
          <w:lang w:val="zh-CN"/>
        </w:rPr>
        <w:t>响应措施</w:t>
      </w:r>
      <w:bookmarkEnd w:id="35"/>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应急响应内容包括健康防护措施、倡议性污染减排措施和强制性污染减排措施。各项污染源须严格执行应急减排项目清单中的各项减排措施，必要的生产生活活动或执行应急抢险、重大安保等任务时可不执行相关响应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（1）针对不同首要污染物，实施重污染天气分类分级应急管控措施：当首要污染物为细颗粒物（PM</w:t>
      </w:r>
      <w:r>
        <w:rPr>
          <w:rFonts w:hint="eastAsia" w:eastAsia="仿宋_GB2312"/>
          <w:color w:val="auto"/>
          <w:szCs w:val="28"/>
          <w:vertAlign w:val="subscript"/>
        </w:rPr>
        <w:t>2.5</w:t>
      </w:r>
      <w:r>
        <w:rPr>
          <w:rFonts w:hint="eastAsia" w:eastAsia="仿宋_GB2312"/>
          <w:color w:val="auto"/>
          <w:szCs w:val="28"/>
        </w:rPr>
        <w:t>）时，重点控制二氧化硫（SO</w:t>
      </w:r>
      <w:r>
        <w:rPr>
          <w:rFonts w:hint="eastAsia" w:eastAsia="仿宋_GB2312"/>
          <w:color w:val="auto"/>
          <w:szCs w:val="28"/>
          <w:vertAlign w:val="subscript"/>
        </w:rPr>
        <w:t>2</w:t>
      </w:r>
      <w:r>
        <w:rPr>
          <w:rFonts w:hint="eastAsia" w:eastAsia="仿宋_GB2312"/>
          <w:color w:val="auto"/>
          <w:szCs w:val="28"/>
        </w:rPr>
        <w:t>）、颗粒物（包括PM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）、氮氧化物（NOx）排放，其次是挥发性有机物（VOCs）排放；当首要污染物为臭氧（O</w:t>
      </w:r>
      <w:r>
        <w:rPr>
          <w:rFonts w:hint="eastAsia" w:eastAsia="仿宋_GB2312"/>
          <w:color w:val="auto"/>
          <w:szCs w:val="28"/>
          <w:vertAlign w:val="subscript"/>
        </w:rPr>
        <w:t>3</w:t>
      </w:r>
      <w:r>
        <w:rPr>
          <w:rFonts w:hint="eastAsia" w:eastAsia="仿宋_GB2312"/>
          <w:color w:val="auto"/>
          <w:szCs w:val="28"/>
        </w:rPr>
        <w:t>）时，重点控制挥发性有机物（VOCs）和氮氧化物（NOx）排放。</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（2）要在保障团场和企业正常运行的前提下实施减排措施，确保二氧化硫（（SO</w:t>
      </w:r>
      <w:r>
        <w:rPr>
          <w:rFonts w:hint="eastAsia" w:eastAsia="仿宋_GB2312"/>
          <w:color w:val="auto"/>
          <w:szCs w:val="28"/>
          <w:vertAlign w:val="subscript"/>
        </w:rPr>
        <w:t>2</w:t>
      </w:r>
      <w:r>
        <w:rPr>
          <w:rFonts w:hint="eastAsia" w:eastAsia="仿宋_GB2312"/>
          <w:color w:val="auto"/>
          <w:szCs w:val="28"/>
        </w:rPr>
        <w:t>）、颗粒物（PM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）、氮氧化物（NOx）、挥发性有机物（VOCs）等污染物减排比例。在启动Ⅲ、Ⅱ、Ⅰ级应急响应时分别不低于10%、20%和30%；</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根据本地污染物排放构成，可调整二氧化硫和氮氧化物减排比例，但二者比例之和不低于总体要求；分解的污染物减排目标须落实到工业源、移动源和扬尘源减排项目清单中。</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（3）各重大大气企业要根据本预案要求督促相关企业制定“一厂一策”应急操作方案并留存备案，企业“一厂一策”应急操作方案报第一师生态环境局备案。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细化企业“一厂一策”应急操作方案。重点大气企业应急操作方案应包含企业基本情况、主要生产工艺流程、主要涉气产污环节及污染物排放情况，并载明不同级别预警等级下的应急减排措施，明确具体的停产生产线及工艺环节和各类减排措施的关键性指标。制定“公示牌”，安装在厂区入口等显要位置。对于简易工序或重污染预警期间实施全厂、整条生产线停产和轮流停产的工业企业，可只制定“公示牌”。重点企业名单</w:t>
      </w:r>
      <w:r>
        <w:rPr>
          <w:rFonts w:hint="eastAsia" w:eastAsia="仿宋_GB2312"/>
          <w:color w:val="auto"/>
          <w:szCs w:val="28"/>
          <w:lang w:val="en-US" w:eastAsia="zh-CN"/>
        </w:rPr>
        <w:t>和减排措施见附件</w:t>
      </w:r>
      <w:r>
        <w:rPr>
          <w:rFonts w:hint="eastAsia" w:eastAsia="仿宋_GB2312"/>
          <w:color w:val="auto"/>
          <w:szCs w:val="28"/>
        </w:rPr>
        <w:t>。</w:t>
      </w:r>
    </w:p>
    <w:p>
      <w:pPr>
        <w:spacing w:before="78" w:beforeLines="25" w:after="78" w:afterLines="25" w:line="500" w:lineRule="exact"/>
        <w:outlineLvl w:val="2"/>
        <w:rPr>
          <w:b/>
          <w:bCs/>
          <w:color w:val="auto"/>
          <w:szCs w:val="24"/>
          <w:lang w:val="zh-CN"/>
        </w:rPr>
      </w:pPr>
      <w:r>
        <w:rPr>
          <w:rFonts w:hint="eastAsia"/>
          <w:b/>
          <w:bCs/>
          <w:color w:val="auto"/>
          <w:szCs w:val="24"/>
          <w:lang w:val="zh-CN"/>
        </w:rPr>
        <w:t>4.3.1Ⅲ级应急响应措施</w:t>
      </w:r>
    </w:p>
    <w:p>
      <w:pPr>
        <w:spacing w:before="78" w:beforeLines="25" w:after="78" w:afterLines="25" w:line="500" w:lineRule="exact"/>
        <w:outlineLvl w:val="2"/>
        <w:rPr>
          <w:b/>
          <w:bCs/>
          <w:color w:val="auto"/>
          <w:szCs w:val="24"/>
          <w:lang w:val="zh-CN"/>
        </w:rPr>
      </w:pPr>
      <w:r>
        <w:rPr>
          <w:rFonts w:hint="eastAsia"/>
          <w:b/>
          <w:bCs/>
          <w:color w:val="auto"/>
          <w:szCs w:val="24"/>
          <w:lang w:val="zh-CN"/>
        </w:rPr>
        <w:t>4.3.1.1健康防护措施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（1）儿童、老年人和呼吸道、心脑血管病及其他慢性疾病患者等易感人群应尽量留在室内、避免户外活动，确需外出的应尽量采取防护措施。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（2）中小学、幼儿园应减少户外活动。</w:t>
      </w:r>
    </w:p>
    <w:p>
      <w:pPr>
        <w:spacing w:before="78" w:beforeLines="25" w:after="78" w:afterLines="25" w:line="500" w:lineRule="exact"/>
        <w:outlineLvl w:val="2"/>
        <w:rPr>
          <w:b/>
          <w:bCs/>
          <w:color w:val="auto"/>
          <w:szCs w:val="24"/>
          <w:lang w:val="zh-CN"/>
        </w:rPr>
      </w:pPr>
      <w:r>
        <w:rPr>
          <w:rFonts w:hint="eastAsia"/>
          <w:b/>
          <w:bCs/>
          <w:color w:val="auto"/>
          <w:szCs w:val="24"/>
          <w:lang w:val="zh-CN"/>
        </w:rPr>
        <w:t>4.3.1.2倡议性污染减排措施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（1）倡导公众尽量乘坐公共交通工具出行，减少燃油私家车出行，驻车及时熄火，减少车辆原地怠速运行时间，有条件的尽量选择电动汽车等方式出行。</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（2）倡导民用源减排。倡导停止一切装修、喷漆等民用排放挥发性有机物行为。</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（3）倡导排放大气污染物的单位自觉采取措施，控制污染工序生产，减少污染物排放，具体措施包括：尽量减少使用含VOCs的涂料、油漆、溶剂等原材料及产品。</w:t>
      </w:r>
    </w:p>
    <w:p>
      <w:pPr>
        <w:spacing w:before="78" w:beforeLines="25" w:after="78" w:afterLines="25" w:line="500" w:lineRule="exact"/>
        <w:outlineLvl w:val="2"/>
        <w:rPr>
          <w:b/>
          <w:bCs/>
          <w:color w:val="auto"/>
          <w:szCs w:val="24"/>
          <w:lang w:val="zh-CN"/>
        </w:rPr>
      </w:pPr>
      <w:r>
        <w:rPr>
          <w:rFonts w:hint="eastAsia"/>
          <w:b/>
          <w:bCs/>
          <w:color w:val="auto"/>
          <w:szCs w:val="24"/>
          <w:lang w:val="zh-CN"/>
        </w:rPr>
        <w:t>4.3.1.3强制性污染减排措施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辖区内二氧化硫（（SO</w:t>
      </w:r>
      <w:r>
        <w:rPr>
          <w:rFonts w:hint="eastAsia" w:eastAsia="仿宋_GB2312"/>
          <w:color w:val="auto"/>
          <w:szCs w:val="28"/>
          <w:vertAlign w:val="subscript"/>
        </w:rPr>
        <w:t>2</w:t>
      </w:r>
      <w:r>
        <w:rPr>
          <w:rFonts w:hint="eastAsia" w:eastAsia="仿宋_GB2312"/>
          <w:color w:val="auto"/>
          <w:szCs w:val="28"/>
        </w:rPr>
        <w:t>）、颗粒物（PM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）、氮氧化物（NOx）、挥发性有机物（VOCs）等主要污染物减排比例分别不低于10%，应急指挥办公室可结合实际调整二氧化硫和氮氧化物的减排比例，但二者减排比例之和不低于总体要求。</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（1）工业源控制措施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对纳入重污染天气黄色预警期间重点大气污染名单的企业实施停产限产措施，持排污许可证的有关单位应及时根据重污染天气停产限产措施情况执行排污许可证中“特殊情况下许可限值”等相关内容。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①减排SO</w:t>
      </w:r>
      <w:r>
        <w:rPr>
          <w:rFonts w:hint="eastAsia" w:eastAsia="仿宋_GB2312"/>
          <w:color w:val="auto"/>
          <w:szCs w:val="28"/>
          <w:vertAlign w:val="subscript"/>
        </w:rPr>
        <w:t>2</w:t>
      </w:r>
      <w:r>
        <w:rPr>
          <w:rFonts w:hint="eastAsia" w:eastAsia="仿宋_GB2312"/>
          <w:color w:val="auto"/>
          <w:szCs w:val="28"/>
        </w:rPr>
        <w:t>、颗粒物、NO</w:t>
      </w:r>
      <w:r>
        <w:rPr>
          <w:rFonts w:hint="eastAsia" w:eastAsia="仿宋_GB2312"/>
          <w:color w:val="auto"/>
          <w:szCs w:val="28"/>
          <w:vertAlign w:val="subscript"/>
        </w:rPr>
        <w:t>X</w:t>
      </w:r>
      <w:r>
        <w:rPr>
          <w:rFonts w:hint="eastAsia" w:eastAsia="仿宋_GB2312"/>
          <w:color w:val="auto"/>
          <w:szCs w:val="28"/>
        </w:rPr>
        <w:t>。在确保安全生产的前提下，对涉工业炉窑重点行业加强厂区内保洁力度和无组织排放管控，企业有计划地实施生产调整和大宗物料错峰运输，减少污染物排放。</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②减排VOCs。对</w:t>
      </w:r>
      <w:r>
        <w:rPr>
          <w:rFonts w:hint="eastAsia" w:eastAsia="仿宋_GB2312"/>
          <w:color w:val="auto"/>
          <w:szCs w:val="28"/>
          <w:lang w:val="en-US" w:eastAsia="zh-CN"/>
        </w:rPr>
        <w:t>辖区内</w:t>
      </w:r>
      <w:r>
        <w:rPr>
          <w:rFonts w:hint="eastAsia" w:eastAsia="仿宋_GB2312"/>
          <w:color w:val="auto"/>
          <w:szCs w:val="28"/>
        </w:rPr>
        <w:t>包装印刷、制鞋、家具制造、人造板制造、工业涂装、电子元件制造、橡胶和塑料制品等使用溶剂型涂料、油墨、胶粘剂等高VOCs含量原辅材料，且采用低温等离子、光催化、光氧化等低效治理技术的企业首先实施限产或停产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③各重点企业严格落实“一厂一策”应急操作方案。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（2）移动源控制措施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①除保障正常生产、生活的机动车外，建成区内禁行重型载货柴油车（限值出入）。</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②加强交通管理及机动车污染控制，减少交通拥堵。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③涉及大宗原材料及产品运输的重点用车企业，制定实施错峰运输方案。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（3）施工源控制措施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①加大施工工地洒水降尘频次，严格落实“6个100%”。</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②减少土石方作业、建筑拆除、喷涂粉刷、护坡喷浆、混凝土搅拌和渣土外运工作。</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③停止矿山、砂石料厂、石材厂、石板厂露天作业。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④未安装密闭装置易产生遗撒的煤炭、渣土、砂石料等运输车辆停止上路。</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⑤加强道路扬尘治理，加大城市主干道冲洗保洁频次和作业范围。</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（4）市容环境控制措施</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①全面开展针对露天焚烧（垃圾、树叶、秸秆）、露天烧烤的执法检查。</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②严格执行《烟花爆竹安全管理规定》，且禁放区域外其他团场建成区禁止燃放烟花爆竹。</w:t>
      </w:r>
    </w:p>
    <w:p>
      <w:pPr>
        <w:adjustRightInd w:val="0"/>
        <w:snapToGrid w:val="0"/>
        <w:spacing w:line="500" w:lineRule="exact"/>
        <w:ind w:firstLine="562" w:firstLineChars="200"/>
        <w:rPr>
          <w:rFonts w:eastAsia="仿宋_GB2312"/>
          <w:b/>
          <w:bCs/>
          <w:color w:val="auto"/>
          <w:szCs w:val="28"/>
        </w:rPr>
      </w:pPr>
      <w:r>
        <w:rPr>
          <w:rFonts w:hint="eastAsia" w:eastAsia="仿宋_GB2312"/>
          <w:b/>
          <w:bCs/>
          <w:color w:val="auto"/>
          <w:szCs w:val="28"/>
        </w:rPr>
        <w:t>4.3.1.3.1颗粒物因子超标的控制措施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执行上述强制性污染减排措施外，增加以下控制措施：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（1）工业源控制措施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①重点行业错峰生产。对重点行业实施错峰生产。</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②</w:t>
      </w:r>
      <w:r>
        <w:rPr>
          <w:rFonts w:hint="eastAsia" w:eastAsia="仿宋_GB2312"/>
          <w:color w:val="0000FF"/>
          <w:szCs w:val="28"/>
          <w:lang w:val="en-US" w:eastAsia="zh-CN"/>
        </w:rPr>
        <w:t>监管部门日常加强</w:t>
      </w:r>
      <w:r>
        <w:rPr>
          <w:rFonts w:hint="eastAsia" w:eastAsia="仿宋_GB2312"/>
          <w:color w:val="0000FF"/>
          <w:szCs w:val="28"/>
        </w:rPr>
        <w:t>辖区内重点企业检查</w:t>
      </w:r>
      <w:r>
        <w:rPr>
          <w:rFonts w:hint="eastAsia" w:eastAsia="仿宋_GB2312"/>
          <w:color w:val="0000FF"/>
          <w:szCs w:val="28"/>
          <w:lang w:val="en-US" w:eastAsia="zh-CN"/>
        </w:rPr>
        <w:t>和监管</w:t>
      </w:r>
      <w:r>
        <w:rPr>
          <w:rFonts w:hint="eastAsia" w:eastAsia="仿宋_GB2312"/>
          <w:color w:val="0000FF"/>
          <w:szCs w:val="28"/>
        </w:rPr>
        <w:t>，确保污染物治理设施尤其是颗粒物收集设施、除尘设施的正常运作，并检查在线监测系统是否正常运行。责令企业减少涉无组织排放的原辅材料的运输，并现场检查露天堆场扬尘抑制措施的落实情况。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（2）移动源控制措施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进一步增加对公路行驶的大型运输车辆尤其是建筑垃圾、工程渣土运输车辆的路检频次，严厉整治运输车辆“跑冒滴漏”现象。</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（3）施工源控制措施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停止混凝土搅拌、建筑拆除、渣土车运输、土石方作业（应急、抢险、救灾工程、塔吊、地下工程除外）。</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（4）市容环境控制措施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①环卫主管部门加强辖区内主次干道保洁、清扫工作，适当增加主干道路和易产生扬尘路段的机扫、洒水频次，洒水作业每天不少于6次，保持道路、绿化带地表湿润；所有渣土、垃圾清运车必须密闭运输。</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②城管部门出动雾炮车至中心城区实施喷雾降尘，作业频率为每天不少于6次。</w:t>
      </w:r>
    </w:p>
    <w:p>
      <w:pPr>
        <w:adjustRightInd w:val="0"/>
        <w:snapToGrid w:val="0"/>
        <w:spacing w:line="500" w:lineRule="exact"/>
        <w:ind w:firstLine="562" w:firstLineChars="200"/>
        <w:rPr>
          <w:rFonts w:eastAsia="仿宋_GB2312"/>
          <w:b/>
          <w:bCs/>
          <w:color w:val="auto"/>
          <w:szCs w:val="28"/>
        </w:rPr>
      </w:pPr>
      <w:r>
        <w:rPr>
          <w:rFonts w:hint="eastAsia" w:eastAsia="仿宋_GB2312"/>
          <w:b/>
          <w:bCs/>
          <w:color w:val="auto"/>
          <w:szCs w:val="28"/>
        </w:rPr>
        <w:t>4.3.1.3.2臭氧因子超标的控制措施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执行上述强制性污染减排措施外，增加以下控制措施：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（1）工业源控制措施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对包装印刷、制鞋、家具制造、人造板制造、工业涂装、电子元件制造、橡胶和塑料制品等使用溶剂型涂料、油墨、胶黏剂等高VOCs含量原辅材料，且采用低温等离子、光催化、光氧化等低效治理技术的企业首先实施限产或停产措施。已实施“油改水”方案的企业不限制生产。</w:t>
      </w:r>
    </w:p>
    <w:p>
      <w:pPr>
        <w:adjustRightInd w:val="0"/>
        <w:snapToGrid w:val="0"/>
        <w:spacing w:line="500" w:lineRule="exact"/>
        <w:ind w:firstLine="560" w:firstLineChars="200"/>
        <w:rPr>
          <w:rFonts w:eastAsia="仿宋_GB2312"/>
          <w:color w:val="0000FF"/>
          <w:szCs w:val="28"/>
        </w:rPr>
      </w:pPr>
      <w:r>
        <w:rPr>
          <w:rFonts w:hint="eastAsia" w:eastAsia="仿宋_GB2312"/>
          <w:color w:val="auto"/>
          <w:szCs w:val="28"/>
        </w:rPr>
        <w:t>②</w:t>
      </w:r>
      <w:r>
        <w:rPr>
          <w:rFonts w:hint="eastAsia" w:eastAsia="仿宋_GB2312"/>
          <w:color w:val="0000FF"/>
          <w:szCs w:val="28"/>
        </w:rPr>
        <w:t>重点行业错峰生产。对化学原料和化学制品制造、家具制造、金属表面涂装、印刷等重点行业实施错峰生产，在6时至16时期间停止生产。</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③生态环境局赴辖区内重点企业进行现场检查，确保污染物治理设施特别</w:t>
      </w:r>
      <w:r>
        <w:rPr>
          <w:rFonts w:hint="eastAsia" w:eastAsia="仿宋_GB2312"/>
          <w:color w:val="0000FF"/>
          <w:szCs w:val="28"/>
        </w:rPr>
        <w:t>是降氮</w:t>
      </w:r>
      <w:r>
        <w:rPr>
          <w:rFonts w:hint="eastAsia" w:eastAsia="仿宋_GB2312"/>
          <w:color w:val="0000FF"/>
          <w:szCs w:val="28"/>
          <w:lang w:eastAsia="zh-CN"/>
        </w:rPr>
        <w:t>脱硝</w:t>
      </w:r>
      <w:r>
        <w:rPr>
          <w:rFonts w:hint="eastAsia" w:eastAsia="仿宋_GB2312"/>
          <w:color w:val="0000FF"/>
          <w:szCs w:val="28"/>
        </w:rPr>
        <w:t>设施的正</w:t>
      </w:r>
      <w:r>
        <w:rPr>
          <w:rFonts w:hint="eastAsia" w:eastAsia="仿宋_GB2312"/>
          <w:color w:val="auto"/>
          <w:szCs w:val="28"/>
        </w:rPr>
        <w:t>常运作，并检查在线监测系统是否正常运作。</w:t>
      </w:r>
    </w:p>
    <w:p>
      <w:pPr>
        <w:adjustRightInd w:val="0"/>
        <w:snapToGrid w:val="0"/>
        <w:spacing w:line="500" w:lineRule="exact"/>
        <w:ind w:firstLine="560" w:firstLineChars="200"/>
        <w:rPr>
          <w:rFonts w:eastAsia="仿宋_GB2312"/>
          <w:color w:val="0000FF"/>
          <w:szCs w:val="28"/>
        </w:rPr>
      </w:pPr>
      <w:r>
        <w:rPr>
          <w:rFonts w:hint="eastAsia" w:eastAsia="仿宋_GB2312"/>
          <w:color w:val="auto"/>
          <w:szCs w:val="28"/>
        </w:rPr>
        <w:t>④</w:t>
      </w:r>
      <w:r>
        <w:rPr>
          <w:rFonts w:hint="eastAsia" w:eastAsia="仿宋_GB2312"/>
          <w:color w:val="0000FF"/>
          <w:szCs w:val="28"/>
        </w:rPr>
        <w:t>生态环境局通过开展对辖区内涉VOCs</w:t>
      </w:r>
      <w:r>
        <w:rPr>
          <w:rFonts w:hint="eastAsia" w:eastAsia="仿宋_GB2312"/>
          <w:color w:val="0000FF"/>
          <w:szCs w:val="28"/>
          <w:lang w:val="en-US" w:eastAsia="zh-CN"/>
        </w:rPr>
        <w:t>重点</w:t>
      </w:r>
      <w:r>
        <w:rPr>
          <w:rFonts w:hint="eastAsia" w:eastAsia="仿宋_GB2312"/>
          <w:color w:val="0000FF"/>
          <w:szCs w:val="28"/>
        </w:rPr>
        <w:t>企业的专项巡查，检查重点企业是否落实VOCs“一企一策”措施，检查企业台账是否存在违规使用油性涂料或油墨行为，并对排气筒及厂界无组织VOCs进行抽样监测检查。</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（2）移动源控制措施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强化加油站油气排放监管。加强辖区内加油站油气回收设施运营情况的监督检查，暂停油气回收设施不符合规范要求的加油站的运营。中心团场内加油站实施夜间卸油。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（3）施工源控制措施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①停止室外喷涂、建筑粉刷、切割、护坡喷浆作业。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②镇街住建部门对辖区内建筑、水利和市政施工项目进行施工时间调控，除了抢险、抢修等必须施工的项目外，暂停40%需要使用燃油机械设备进行施工项目的施工。</w:t>
      </w:r>
    </w:p>
    <w:p>
      <w:pPr>
        <w:adjustRightInd w:val="0"/>
        <w:snapToGrid w:val="0"/>
        <w:spacing w:line="500" w:lineRule="exact"/>
        <w:ind w:firstLine="562" w:firstLineChars="200"/>
        <w:rPr>
          <w:rFonts w:eastAsia="仿宋_GB2312"/>
          <w:b/>
          <w:bCs/>
          <w:color w:val="auto"/>
          <w:szCs w:val="28"/>
        </w:rPr>
      </w:pPr>
      <w:r>
        <w:rPr>
          <w:rFonts w:hint="eastAsia" w:eastAsia="仿宋_GB2312"/>
          <w:b/>
          <w:bCs/>
          <w:color w:val="auto"/>
          <w:szCs w:val="28"/>
        </w:rPr>
        <w:t>4.3.1.3.3颗粒物和臭氧因子均超标的控制措施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当Ⅲ级污染天气预警启动，颗粒物和臭氧因子均超标时，同时实施上述颗粒物、臭氧因子超标时采取的控制措施。</w:t>
      </w:r>
    </w:p>
    <w:p>
      <w:pPr>
        <w:spacing w:before="78" w:beforeLines="25" w:after="78" w:afterLines="25" w:line="500" w:lineRule="exact"/>
        <w:outlineLvl w:val="2"/>
        <w:rPr>
          <w:b/>
          <w:bCs/>
          <w:color w:val="auto"/>
          <w:szCs w:val="24"/>
          <w:lang w:val="zh-CN"/>
        </w:rPr>
      </w:pPr>
      <w:r>
        <w:rPr>
          <w:rFonts w:hint="eastAsia"/>
          <w:b/>
          <w:bCs/>
          <w:color w:val="auto"/>
          <w:szCs w:val="24"/>
          <w:lang w:val="zh-CN"/>
        </w:rPr>
        <w:t>4.3.2Ⅱ级应急响应措施</w:t>
      </w:r>
    </w:p>
    <w:p>
      <w:pPr>
        <w:spacing w:before="78" w:beforeLines="25" w:after="78" w:afterLines="25" w:line="500" w:lineRule="exact"/>
        <w:outlineLvl w:val="2"/>
        <w:rPr>
          <w:b/>
          <w:bCs/>
          <w:color w:val="auto"/>
          <w:szCs w:val="24"/>
          <w:lang w:val="zh-CN"/>
        </w:rPr>
      </w:pPr>
      <w:r>
        <w:rPr>
          <w:rFonts w:hint="eastAsia"/>
          <w:b/>
          <w:bCs/>
          <w:color w:val="auto"/>
          <w:szCs w:val="24"/>
          <w:lang w:val="zh-CN"/>
        </w:rPr>
        <w:t>4.3.2.1健康防护措施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（1）儿童、孕妇、老年人和呼吸道疾病、心脑血管疾病及其他慢性疾病患者等易感人群尽量留在室内，避免户外活动，确需外出尽量采取防护措施。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（2）中小学、幼儿园停止体育课、课间操、运动会等户外活动。</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（3）减少露天体育比赛活动及其他露天举办的群体性活动。</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（4）一般人群应减少户外活动；户外作业者应开展防护并缩短户外作业时间。</w:t>
      </w:r>
    </w:p>
    <w:p>
      <w:pPr>
        <w:spacing w:before="78" w:beforeLines="25" w:after="78" w:afterLines="25" w:line="500" w:lineRule="exact"/>
        <w:outlineLvl w:val="2"/>
        <w:rPr>
          <w:b/>
          <w:bCs/>
          <w:color w:val="auto"/>
          <w:szCs w:val="24"/>
          <w:lang w:val="zh-CN"/>
        </w:rPr>
      </w:pPr>
      <w:r>
        <w:rPr>
          <w:rFonts w:hint="eastAsia"/>
          <w:b/>
          <w:bCs/>
          <w:color w:val="auto"/>
          <w:szCs w:val="24"/>
          <w:lang w:val="zh-CN"/>
        </w:rPr>
        <w:t>4.3.2.2倡议性污染减排措施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（1）倡导公众尽量乘坐公共交通工具出行，减少燃油私家车出行，驻车及时熄火，减少车辆原地怠速运行时间，有条件的尽量选择电动汽车等方式出行。</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（2）倡导民用源减排。倡导停止一切装修、喷漆等民用排放挥发性有机物行为。</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（3）倡导排放大气污染物的单位自觉采取措施，控制污染工序生产，减少污染物排放，具体措施包括：尽量减少使用含VOCs的涂料、油漆、溶剂等原材料及产品。</w:t>
      </w:r>
    </w:p>
    <w:p>
      <w:pPr>
        <w:spacing w:before="78" w:beforeLines="25" w:after="78" w:afterLines="25" w:line="500" w:lineRule="exact"/>
        <w:outlineLvl w:val="2"/>
        <w:rPr>
          <w:b/>
          <w:bCs/>
          <w:color w:val="auto"/>
          <w:szCs w:val="24"/>
          <w:lang w:val="zh-CN"/>
        </w:rPr>
      </w:pPr>
      <w:r>
        <w:rPr>
          <w:rFonts w:hint="eastAsia"/>
          <w:b/>
          <w:bCs/>
          <w:color w:val="auto"/>
          <w:szCs w:val="24"/>
          <w:lang w:val="zh-CN"/>
        </w:rPr>
        <w:t>4.3.2.3强制性污染减排措施</w:t>
      </w:r>
    </w:p>
    <w:p>
      <w:pPr>
        <w:widowControl/>
        <w:shd w:val="clear" w:color="auto" w:fill="FFFFFF"/>
        <w:ind w:firstLine="560" w:firstLineChars="200"/>
        <w:jc w:val="left"/>
        <w:rPr>
          <w:rFonts w:ascii="微软雅黑" w:hAnsi="微软雅黑" w:eastAsia="微软雅黑" w:cs="宋体"/>
          <w:color w:val="auto"/>
          <w:kern w:val="0"/>
          <w:sz w:val="24"/>
          <w:szCs w:val="24"/>
        </w:rPr>
      </w:pPr>
      <w:r>
        <w:rPr>
          <w:rFonts w:hint="eastAsia" w:eastAsia="仿宋_GB2312"/>
          <w:color w:val="auto"/>
          <w:szCs w:val="28"/>
        </w:rPr>
        <w:t>辖区内二氧化硫（（SO</w:t>
      </w:r>
      <w:r>
        <w:rPr>
          <w:rFonts w:hint="eastAsia" w:eastAsia="仿宋_GB2312"/>
          <w:color w:val="auto"/>
          <w:szCs w:val="28"/>
          <w:vertAlign w:val="subscript"/>
        </w:rPr>
        <w:t>2</w:t>
      </w:r>
      <w:r>
        <w:rPr>
          <w:rFonts w:hint="eastAsia" w:eastAsia="仿宋_GB2312"/>
          <w:color w:val="auto"/>
          <w:szCs w:val="28"/>
        </w:rPr>
        <w:t>）、颗粒物（PM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）、氮氧化物（NOx）、挥发性有机物（VOCs）等主要污染物减排比例分别不低于</w:t>
      </w:r>
      <w:r>
        <w:rPr>
          <w:rFonts w:eastAsia="仿宋_GB2312"/>
          <w:color w:val="auto"/>
          <w:szCs w:val="28"/>
        </w:rPr>
        <w:t>2</w:t>
      </w:r>
      <w:r>
        <w:rPr>
          <w:rFonts w:hint="eastAsia" w:eastAsia="仿宋_GB2312"/>
          <w:color w:val="auto"/>
          <w:szCs w:val="28"/>
        </w:rPr>
        <w:t>0%，应急指挥办公室可结合实际调整二氧化硫和氮氧化物的减排比例，但二者减排比例之和不低于总体要求</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（1）工业源控制措施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对纳入重污染天气橙色预警期间工业企业停产限产名单的企业实施停产限产措施，持排污许可证的有关单位应及时根据重污染天气停产限产措施情况执行排污许可证中“特殊情况下许可限值”等相关内容。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①减排SO</w:t>
      </w:r>
      <w:r>
        <w:rPr>
          <w:rFonts w:hint="eastAsia" w:eastAsia="仿宋_GB2312"/>
          <w:color w:val="auto"/>
          <w:szCs w:val="28"/>
          <w:vertAlign w:val="subscript"/>
        </w:rPr>
        <w:t>2</w:t>
      </w:r>
      <w:r>
        <w:rPr>
          <w:rFonts w:hint="eastAsia" w:eastAsia="仿宋_GB2312"/>
          <w:color w:val="auto"/>
          <w:szCs w:val="28"/>
        </w:rPr>
        <w:t>、颗粒物、NO</w:t>
      </w:r>
      <w:r>
        <w:rPr>
          <w:rFonts w:hint="eastAsia" w:eastAsia="仿宋_GB2312"/>
          <w:color w:val="auto"/>
          <w:szCs w:val="28"/>
          <w:vertAlign w:val="subscript"/>
        </w:rPr>
        <w:t>X</w:t>
      </w:r>
      <w:r>
        <w:rPr>
          <w:rFonts w:hint="eastAsia" w:eastAsia="仿宋_GB2312"/>
          <w:color w:val="auto"/>
          <w:szCs w:val="28"/>
        </w:rPr>
        <w:t>。在确保安全生产的前提下，对涉工业炉窑重点行业加强厂区内保洁力度和无组织排放管控，首先停产产能落后企业，对企业有计划地实施生产调整和大宗物料错峰运输，减少污染物排放。</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减排VOCs。对包装印刷、制鞋、家具制造、人造板制造、工业涂装、电子元件制造、橡胶和塑料制品等使用溶剂型涂料、油墨、胶粘剂等高VOCs含量原辅材料企业首先实施限产或停产措施。制造涂料、油墨、胶粘剂企业涉VOCs排放工序实施限产或停产措施。制药、农药等不能立即停产的化工企业提前调整发酵罐、反应罐、提取罐等生产设备投用比例，降低生产负荷。</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③</w:t>
      </w:r>
      <w:r>
        <w:rPr>
          <w:rFonts w:hint="eastAsia" w:eastAsia="仿宋_GB2312"/>
          <w:color w:val="0000FF"/>
          <w:szCs w:val="28"/>
          <w:lang w:val="en-US" w:eastAsia="zh-CN"/>
        </w:rPr>
        <w:t>监管部门加强对涉气行业的日常管理</w:t>
      </w:r>
      <w:r>
        <w:rPr>
          <w:rFonts w:hint="eastAsia" w:eastAsia="仿宋_GB2312"/>
          <w:color w:val="0000FF"/>
          <w:szCs w:val="28"/>
        </w:rPr>
        <w:t>，确保污染物治理设施尤其是颗粒物收集设施、除尘设施、脱硫脱硝设施、挥发性有机物（VOCs）治理设施的正常运作，并检查在线监测系统是否正常运作。责令企业减少涉无组织排放的原辅材料运输，并现场检查露天堆场扬尘抑制措施的落实情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④各重点企业严格落实“一厂一策”应急操作方案。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（2）移动源控制措施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①进一步增加对公路行驶的大型运输车辆的路检频次，严厉整治运输车辆“跑冒滴漏”现象。</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②在主要团场建成区内禁止通行货车等大型汽车，停止使用以柴油为燃料的非道路工程机械。建筑垃圾和渣土运输车、砂石运输车辆禁止上路行驶。</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③除保障正常生产、生活的机动车外，建成区内禁止</w:t>
      </w:r>
      <w:r>
        <w:rPr>
          <w:rFonts w:hint="eastAsia" w:eastAsia="仿宋_GB2312"/>
          <w:color w:val="0000FF"/>
          <w:szCs w:val="28"/>
          <w:lang w:val="en-US" w:eastAsia="zh-CN"/>
        </w:rPr>
        <w:t>国五</w:t>
      </w:r>
      <w:r>
        <w:rPr>
          <w:rFonts w:hint="eastAsia" w:eastAsia="仿宋_GB2312"/>
          <w:color w:val="0000FF"/>
          <w:szCs w:val="28"/>
        </w:rPr>
        <w:t>及以下轻型、中型和重型载货柴油车。</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④对大型企业和物流园区的柴油货车进行运营调控，仅保留国五及以上排放标准车辆必要的货物运输（特种车辆、危化品车辆等除外）。</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⑤强化加油站油气排放监管。加强辖区内加油站油气回收设施运营情况的监督检查，暂停油气回收设施不符合规范要求的加油站的运营。全市储油库、加油站8时至18时停止装卸油作业。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⑥加强交通管理及机动车污染控制，减少交通拥堵。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⑦涉及大宗原材料及产品运输的重点用车企业，制定实施错峰运输方案。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（3）施工源控制措施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①停止城区建筑、道路工地、河道工程、绿化工程等涉土基础施工、爆破、破碎作业。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②停止混凝土搅拌、建筑拆除、渣土车运输、土石方作业（应急、抢险、救灾工程、塔吊、地下工程除外）、喷涂粉刷、护坡喷浆等作业。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③住建部门进一步加大对施工现场扬尘抑制措施的检查频次，提高洒水降尘频次，对出入口道路实施机械化冲洗，对裸露地面、物料堆场等加强遮盖。</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④产生扬尘污染的堆场停止作业，并做好场地洒水降尘工作。</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⑤矿山、砂石料厂、石材厂、石板厂停止露天作业。</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⑥未安装密闭装置易产生遗撒的煤炭、渣土、砂石料等运输车辆停止上路。</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（4）市容环境控制措施</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①全面开展针对露天焚烧（垃圾、树叶、秸秆）、露天烧烤的执法检查。</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lang w:val="en-US" w:eastAsia="zh-CN"/>
        </w:rPr>
        <w:t>②</w:t>
      </w:r>
      <w:r>
        <w:rPr>
          <w:rFonts w:hint="eastAsia" w:eastAsia="仿宋_GB2312"/>
          <w:color w:val="0000FF"/>
          <w:szCs w:val="28"/>
        </w:rPr>
        <w:t>环卫主管部门加强辖区内主次干道保洁、清扫工作，适当增加主干道路和易产生扬尘路段的机扫和洒水频次，日洒水频次每天不少于6次，保持道路、绿化带地表湿润。</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lang w:val="en-US" w:eastAsia="zh-CN"/>
        </w:rPr>
        <w:t>③</w:t>
      </w:r>
      <w:r>
        <w:rPr>
          <w:rFonts w:hint="eastAsia" w:eastAsia="仿宋_GB2312"/>
          <w:color w:val="0000FF"/>
          <w:szCs w:val="28"/>
        </w:rPr>
        <w:t>城管部门出动雾炮车至中心城区实施喷雾降尘，作业频率为每天不少于6次。</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lang w:val="en-US" w:eastAsia="zh-CN"/>
        </w:rPr>
        <w:t>④</w:t>
      </w:r>
      <w:r>
        <w:rPr>
          <w:rFonts w:hint="eastAsia" w:eastAsia="仿宋_GB2312"/>
          <w:color w:val="0000FF"/>
          <w:szCs w:val="28"/>
        </w:rPr>
        <w:t>机械和机动车等维修企业减少喷涂作业。</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lang w:val="en-US" w:eastAsia="zh-CN"/>
        </w:rPr>
        <w:t>⑤</w:t>
      </w:r>
      <w:r>
        <w:rPr>
          <w:rFonts w:hint="eastAsia" w:eastAsia="仿宋_GB2312"/>
          <w:color w:val="0000FF"/>
          <w:szCs w:val="28"/>
        </w:rPr>
        <w:t>建成区内禁止燃放烟花爆竹。</w:t>
      </w:r>
    </w:p>
    <w:p>
      <w:pPr>
        <w:spacing w:before="78" w:beforeLines="25" w:after="78" w:afterLines="25" w:line="500" w:lineRule="exact"/>
        <w:outlineLvl w:val="2"/>
        <w:rPr>
          <w:b/>
          <w:bCs/>
          <w:color w:val="auto"/>
          <w:szCs w:val="24"/>
          <w:lang w:val="zh-CN"/>
        </w:rPr>
      </w:pPr>
      <w:r>
        <w:rPr>
          <w:rFonts w:hint="eastAsia"/>
          <w:b/>
          <w:bCs/>
          <w:color w:val="auto"/>
          <w:szCs w:val="24"/>
          <w:lang w:val="zh-CN"/>
        </w:rPr>
        <w:t>4.3.3Ⅰ级应急响应措施</w:t>
      </w:r>
    </w:p>
    <w:p>
      <w:pPr>
        <w:spacing w:before="78" w:beforeLines="25" w:after="78" w:afterLines="25" w:line="500" w:lineRule="exact"/>
        <w:outlineLvl w:val="2"/>
        <w:rPr>
          <w:b/>
          <w:bCs/>
          <w:color w:val="auto"/>
          <w:szCs w:val="24"/>
          <w:lang w:val="zh-CN"/>
        </w:rPr>
      </w:pPr>
      <w:r>
        <w:rPr>
          <w:rFonts w:hint="eastAsia"/>
          <w:b/>
          <w:bCs/>
          <w:color w:val="auto"/>
          <w:szCs w:val="24"/>
          <w:lang w:val="zh-CN"/>
        </w:rPr>
        <w:t>4.3.3.1健康防护措施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（1）儿童、孕妇、老年人和呼吸道疾病、心脑血管疾病及其他慢性疾病患者尽量留在室内、避免户外活动，确需外出的强烈建议采取防护措施。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（2）一般人群避免户外活动；户外作业者临时停止作业。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（3）学校和幼儿园停止户外活动，中小学和幼儿园必要时可以临时停课。</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（4）建议停止所有户外大型活动。</w:t>
      </w:r>
    </w:p>
    <w:p>
      <w:pPr>
        <w:spacing w:before="78" w:beforeLines="25" w:after="78" w:afterLines="25" w:line="500" w:lineRule="exact"/>
        <w:outlineLvl w:val="2"/>
        <w:rPr>
          <w:b/>
          <w:bCs/>
          <w:color w:val="auto"/>
          <w:szCs w:val="24"/>
          <w:lang w:val="zh-CN"/>
        </w:rPr>
      </w:pPr>
      <w:r>
        <w:rPr>
          <w:rFonts w:hint="eastAsia"/>
          <w:b/>
          <w:bCs/>
          <w:color w:val="auto"/>
          <w:szCs w:val="24"/>
          <w:lang w:val="zh-CN"/>
        </w:rPr>
        <w:t>4.3.3.2倡议性污染减排措施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（1）倡导公众绿色出行，自觉减少车辆日间加油，尽量乘坐公共交通工具或电动汽车等方式出行。适当增加公共交通的班次和服务时长。</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（2）倡导民用源减排。倡导停止一切装修、喷漆等民用排放挥发性有机物行为。</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倡导排放大气污染物的单位自觉采取措施，控制污染工序生产，减少污染物排放，具体措施包括：尽量减少使用含VOCs的涂料、油漆、溶剂等原材料及产品，在排放达标的基础上进一步提高污染治理设施效率等。</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（4）倡导企事业单位根据空气重污染实际情况、应急强制响应措施，采取调休、错峰上下班、远程办公等弹性工作制。</w:t>
      </w:r>
    </w:p>
    <w:p>
      <w:pPr>
        <w:spacing w:before="78" w:beforeLines="25" w:after="78" w:afterLines="25" w:line="500" w:lineRule="exact"/>
        <w:outlineLvl w:val="2"/>
        <w:rPr>
          <w:b/>
          <w:bCs/>
          <w:color w:val="auto"/>
          <w:szCs w:val="24"/>
          <w:lang w:val="zh-CN"/>
        </w:rPr>
      </w:pPr>
      <w:r>
        <w:rPr>
          <w:rFonts w:hint="eastAsia"/>
          <w:b/>
          <w:bCs/>
          <w:color w:val="auto"/>
          <w:szCs w:val="24"/>
          <w:lang w:val="zh-CN"/>
        </w:rPr>
        <w:t>4.3.3.3强制性污染减排措施</w:t>
      </w:r>
    </w:p>
    <w:p>
      <w:pPr>
        <w:widowControl/>
        <w:shd w:val="clear" w:color="auto" w:fill="FFFFFF"/>
        <w:ind w:firstLine="560" w:firstLineChars="200"/>
        <w:jc w:val="left"/>
        <w:rPr>
          <w:rFonts w:ascii="微软雅黑" w:hAnsi="微软雅黑" w:eastAsia="微软雅黑" w:cs="宋体"/>
          <w:color w:val="auto"/>
          <w:kern w:val="0"/>
          <w:sz w:val="24"/>
          <w:szCs w:val="24"/>
        </w:rPr>
      </w:pPr>
      <w:r>
        <w:rPr>
          <w:rFonts w:hint="eastAsia" w:eastAsia="仿宋_GB2312"/>
          <w:color w:val="auto"/>
          <w:szCs w:val="28"/>
        </w:rPr>
        <w:t>辖区内二氧化硫（（SO</w:t>
      </w:r>
      <w:r>
        <w:rPr>
          <w:rFonts w:hint="eastAsia" w:eastAsia="仿宋_GB2312"/>
          <w:color w:val="auto"/>
          <w:szCs w:val="28"/>
          <w:vertAlign w:val="subscript"/>
        </w:rPr>
        <w:t>2</w:t>
      </w:r>
      <w:r>
        <w:rPr>
          <w:rFonts w:hint="eastAsia" w:eastAsia="仿宋_GB2312"/>
          <w:color w:val="auto"/>
          <w:szCs w:val="28"/>
        </w:rPr>
        <w:t>）、颗粒物（PM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）、氮氧化物（NOx）、挥发性有机物（VOCs）等主要污染物减排比例分别不低于</w:t>
      </w:r>
      <w:r>
        <w:rPr>
          <w:rFonts w:eastAsia="仿宋_GB2312"/>
          <w:color w:val="auto"/>
          <w:szCs w:val="28"/>
        </w:rPr>
        <w:t>3</w:t>
      </w:r>
      <w:r>
        <w:rPr>
          <w:rFonts w:hint="eastAsia" w:eastAsia="仿宋_GB2312"/>
          <w:color w:val="auto"/>
          <w:szCs w:val="28"/>
        </w:rPr>
        <w:t>0%，应急指挥办公室可结合实际调整二氧化硫和氮氧化物的减排比例，但二者减排比例之和不低于总体要求</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（1）工业源控制措施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对纳入重污染天气红色预警期间工业企业停产限产名单的企业实施停产限产措施，持排污许可证的有关单位应及时根据重污染天气停产限产措施情况执行排污许可证中“特殊情况下许可限值”等相关内容。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①减排SO</w:t>
      </w:r>
      <w:r>
        <w:rPr>
          <w:rFonts w:hint="eastAsia" w:eastAsia="仿宋_GB2312"/>
          <w:color w:val="auto"/>
          <w:szCs w:val="28"/>
          <w:vertAlign w:val="subscript"/>
        </w:rPr>
        <w:t>2</w:t>
      </w:r>
      <w:r>
        <w:rPr>
          <w:rFonts w:hint="eastAsia" w:eastAsia="仿宋_GB2312"/>
          <w:color w:val="auto"/>
          <w:szCs w:val="28"/>
        </w:rPr>
        <w:t>、颗粒物、NO</w:t>
      </w:r>
      <w:r>
        <w:rPr>
          <w:rFonts w:hint="eastAsia" w:eastAsia="仿宋_GB2312"/>
          <w:color w:val="auto"/>
          <w:szCs w:val="28"/>
          <w:vertAlign w:val="subscript"/>
        </w:rPr>
        <w:t>X</w:t>
      </w:r>
      <w:r>
        <w:rPr>
          <w:rFonts w:hint="eastAsia" w:eastAsia="仿宋_GB2312"/>
          <w:color w:val="auto"/>
          <w:szCs w:val="28"/>
        </w:rPr>
        <w:t>。在确保安全生产的前提下，对涉工业炉窑重点行业加强厂区内保洁力度和无组织排放管控，首先停产企业有计划地实施生产调整，企业停止大宗物料运输，鼓励企业自主减排，减少污染物排放。</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减排VOCs。对包装印刷、制鞋、家具制造、人造板制造、工业涂装、电子元件制造、橡胶和塑料制品及制造涂料、油墨、胶粘剂制造企业首先实施停产。制药、农药等不能立即停产的化工企业提前调整发酵罐、反应罐、提取罐等生产设备投用比例，降低生产负荷。有机化学品生产、合成树脂、合成纤维、合成橡胶等化工企业有序调整重点生产装置生产负荷，辅助设施（加热炉、锅炉等）根据实际生产负荷进行配比，并减少油品及化学品装卸和运输量。挥发性有机物排放重点企业和区域停止各类开停车、放空作业。</w:t>
      </w:r>
    </w:p>
    <w:p>
      <w:pPr>
        <w:adjustRightInd w:val="0"/>
        <w:snapToGrid w:val="0"/>
        <w:spacing w:line="500" w:lineRule="exact"/>
        <w:ind w:firstLine="560" w:firstLineChars="200"/>
        <w:rPr>
          <w:rFonts w:eastAsia="仿宋_GB2312"/>
          <w:color w:val="0000FF"/>
          <w:szCs w:val="28"/>
        </w:rPr>
      </w:pPr>
      <w:r>
        <w:rPr>
          <w:rFonts w:hint="eastAsia" w:eastAsia="仿宋_GB2312"/>
          <w:color w:val="0000FF"/>
          <w:szCs w:val="28"/>
        </w:rPr>
        <w:t>③</w:t>
      </w:r>
      <w:r>
        <w:rPr>
          <w:rFonts w:hint="eastAsia" w:eastAsia="仿宋_GB2312"/>
          <w:color w:val="0000FF"/>
          <w:szCs w:val="28"/>
          <w:lang w:val="en-US" w:eastAsia="zh-CN"/>
        </w:rPr>
        <w:t>监管部门加强日常监管</w:t>
      </w:r>
      <w:r>
        <w:rPr>
          <w:rFonts w:hint="eastAsia" w:eastAsia="仿宋_GB2312"/>
          <w:color w:val="0000FF"/>
          <w:szCs w:val="28"/>
        </w:rPr>
        <w:t>，确保污染物治理设施尤其是颗粒物收集设施、除尘设施、脱硫脱硝设施、挥发性有机物（VOCs）治理设施的正常运作，并检查在线监测系统是否正常运作。责令企业减少涉无组织排放的原辅材料运输，并现场检查露天堆场扬尘抑制措施的落实情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④各重点企业严格落实“一厂一策”应急操作方案。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（2）移动源控制措施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①进一步增加对公路行驶的大型运输车辆的路检频次，严厉整治运输车辆“跑冒滴漏”现象。</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②在主要建成区禁止通行货车等大型汽车，建筑垃圾和渣土运输车、砂石运输车辆禁止上路行驶。</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③对建成区柴油货车、农用运输车实施禁行。对重型柴油货车实行限时穿城。</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④用车大户燃油燃气运输车辆停止运营。运输散装物料燃油燃气车辆全面禁行。</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⑤燃油工程机械、农业机械（农作物抢收抢种期间除外）、林业机械、园林机械等非道路移动机械全部停用。</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⑥强化加油站油气排放监管。加强建成区内加油站油气回收设施运营情况的监督检查，暂停油气回收设施不符合规范要求的加油站的运营。全市储油库、加油站8时至18时停止装卸油作业。引导城市建成区加油站优化调整日间加油时间。</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⑦加大物流集散地等区域货运汽车的抽检和查处力度，强化用车大户管理。</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⑧加强交通管理及机动车污染控制，减少交通拥堵。</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⑨涉及大宗原材料及产品运输的重点用车企业，实施错峰运输方案。</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（3）施工源控制措施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①停止所有施工工地作业（应急、抢险、救灾工程、塔吊、地下工程除外）和混凝土运输。</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②住建部门进一步加大对施工现场扬尘抑制措施的检查频次，提高洒水降尘频次，对出入口道路实施机械化冲洗，对裸露地面、物料堆场等加强遮盖。</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③企业物料堆场全部覆盖并视情况洒水降尘。</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④水泥粉磨站、混凝土搅拌站和砂浆搅拌站全面停止生产（具备全封闭且不进行原料运输的除外）。</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⑤产生扬尘污染的堆场停止作业，并做好场地洒水降尘工作。</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⑥矿山、砂石料厂、石材厂、石板厂停止露天作业。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⑦未安装密闭装置易产生遗撒的煤炭、渣土、砂石料等运输车辆停止上路。</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（4）市容环境控制措施</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①全面开展针对露天焚烧（垃圾、树叶、秸秆）、露天烧烤的执法检查。</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②生态环境局加强对辖区内餐饮业的巡查，未安装油烟净化措施的餐饮单位强制停业。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③环卫主管部门加强辖区内主次干道保洁、清扫工作，适当增加主干道路和易产生扬尘路段的机扫和洒水频次，日洒水频次每天不少于6次，保持道路、绿化带地表湿润。</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④城管部门出动雾炮车至中心城区实施喷雾降尘，作业频率为每天不少于6次。</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⑤机械和机动车等维修企业暂停喷涂作业。</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⑥全市禁止燃放烟花爆竹。</w:t>
      </w:r>
    </w:p>
    <w:p>
      <w:pPr>
        <w:pStyle w:val="7"/>
        <w:keepNext w:val="0"/>
        <w:keepLines w:val="0"/>
        <w:topLinePunct/>
        <w:spacing w:before="156" w:beforeLines="50" w:after="156" w:afterLines="50" w:line="500" w:lineRule="exact"/>
        <w:jc w:val="left"/>
        <w:rPr>
          <w:bCs w:val="0"/>
          <w:color w:val="auto"/>
          <w:kern w:val="0"/>
          <w:sz w:val="32"/>
          <w:lang w:val="zh-CN"/>
        </w:rPr>
      </w:pPr>
      <w:bookmarkStart w:id="36" w:name="_Toc6587"/>
      <w:r>
        <w:rPr>
          <w:rFonts w:hint="eastAsia"/>
          <w:bCs w:val="0"/>
          <w:color w:val="auto"/>
          <w:kern w:val="0"/>
          <w:sz w:val="32"/>
          <w:lang w:val="zh-CN"/>
        </w:rPr>
        <w:t>4.4响应终止</w:t>
      </w:r>
      <w:bookmarkEnd w:id="36"/>
    </w:p>
    <w:p>
      <w:pPr>
        <w:spacing w:before="78" w:beforeLines="25" w:after="78" w:afterLines="25" w:line="500" w:lineRule="exact"/>
        <w:outlineLvl w:val="2"/>
        <w:rPr>
          <w:b/>
          <w:bCs/>
          <w:color w:val="auto"/>
          <w:szCs w:val="24"/>
          <w:lang w:val="zh-CN"/>
        </w:rPr>
      </w:pPr>
      <w:r>
        <w:rPr>
          <w:rFonts w:hint="eastAsia"/>
          <w:b/>
          <w:bCs/>
          <w:color w:val="auto"/>
          <w:szCs w:val="24"/>
          <w:lang w:val="zh-CN"/>
        </w:rPr>
        <w:t>4.4.1应急响应终止的条件</w:t>
      </w:r>
    </w:p>
    <w:p>
      <w:pPr>
        <w:adjustRightInd w:val="0"/>
        <w:snapToGrid w:val="0"/>
        <w:spacing w:line="500" w:lineRule="exact"/>
        <w:ind w:firstLine="560" w:firstLineChars="200"/>
        <w:rPr>
          <w:rFonts w:ascii="微软雅黑" w:hAnsi="微软雅黑" w:eastAsia="微软雅黑" w:cs="宋体"/>
          <w:color w:val="auto"/>
          <w:kern w:val="0"/>
          <w:sz w:val="24"/>
          <w:szCs w:val="24"/>
        </w:rPr>
      </w:pPr>
      <w:r>
        <w:rPr>
          <w:rFonts w:hint="eastAsia" w:eastAsia="仿宋_GB2312"/>
          <w:color w:val="auto"/>
          <w:szCs w:val="28"/>
        </w:rPr>
        <w:t>当空气质量持续好转，且预测将持续36小时以上不再达到黄色预警条件时。</w:t>
      </w:r>
    </w:p>
    <w:p>
      <w:pPr>
        <w:spacing w:before="78" w:beforeLines="25" w:after="78" w:afterLines="25" w:line="500" w:lineRule="exact"/>
        <w:outlineLvl w:val="2"/>
        <w:rPr>
          <w:b/>
          <w:bCs/>
          <w:color w:val="auto"/>
          <w:szCs w:val="24"/>
          <w:lang w:val="zh-CN"/>
        </w:rPr>
      </w:pPr>
      <w:r>
        <w:rPr>
          <w:rFonts w:hint="eastAsia"/>
          <w:b/>
          <w:bCs/>
          <w:color w:val="auto"/>
          <w:szCs w:val="24"/>
          <w:lang w:val="zh-CN"/>
        </w:rPr>
        <w:t>4.4.2应急响应终止的程序</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当应急指挥办公室发布预警解除通知后，应急响应终止，各级部门、企事业单位恢复正常生产、生活。</w:t>
      </w:r>
    </w:p>
    <w:p>
      <w:pPr>
        <w:adjustRightInd w:val="0"/>
        <w:snapToGrid w:val="0"/>
        <w:spacing w:line="500" w:lineRule="exact"/>
        <w:ind w:firstLine="560" w:firstLineChars="200"/>
        <w:rPr>
          <w:rFonts w:eastAsia="仿宋_GB2312"/>
          <w:color w:val="auto"/>
          <w:szCs w:val="28"/>
        </w:rPr>
        <w:sectPr>
          <w:pgSz w:w="11906" w:h="16838"/>
          <w:pgMar w:top="1440" w:right="1800" w:bottom="1440" w:left="1800" w:header="851" w:footer="992" w:gutter="0"/>
          <w:cols w:space="425" w:num="1"/>
          <w:docGrid w:type="lines" w:linePitch="312" w:charSpace="0"/>
        </w:sectPr>
      </w:pPr>
    </w:p>
    <w:p>
      <w:pPr>
        <w:pStyle w:val="6"/>
        <w:keepNext w:val="0"/>
        <w:keepLines w:val="0"/>
        <w:spacing w:before="312" w:beforeLines="100" w:after="312" w:afterLines="100" w:line="500" w:lineRule="exact"/>
        <w:jc w:val="left"/>
        <w:rPr>
          <w:rFonts w:hint="default" w:eastAsia="仿宋"/>
          <w:color w:val="auto"/>
          <w:kern w:val="0"/>
          <w:sz w:val="36"/>
          <w:szCs w:val="36"/>
          <w:lang w:val="en-US" w:eastAsia="zh-CN"/>
        </w:rPr>
      </w:pPr>
      <w:bookmarkStart w:id="37" w:name="_Toc9118"/>
      <w:r>
        <w:rPr>
          <w:color w:val="auto"/>
          <w:kern w:val="0"/>
          <w:sz w:val="36"/>
          <w:szCs w:val="36"/>
        </w:rPr>
        <w:t>5</w:t>
      </w:r>
      <w:r>
        <w:rPr>
          <w:rFonts w:hint="eastAsia"/>
          <w:color w:val="auto"/>
          <w:kern w:val="0"/>
          <w:sz w:val="36"/>
          <w:szCs w:val="36"/>
        </w:rPr>
        <w:t>信息</w:t>
      </w:r>
      <w:r>
        <w:rPr>
          <w:rFonts w:hint="eastAsia"/>
          <w:color w:val="auto"/>
          <w:kern w:val="0"/>
          <w:sz w:val="36"/>
          <w:szCs w:val="36"/>
          <w:lang w:val="en-US" w:eastAsia="zh-CN"/>
        </w:rPr>
        <w:t>上报和总结评估</w:t>
      </w:r>
      <w:bookmarkEnd w:id="37"/>
    </w:p>
    <w:p>
      <w:pPr>
        <w:pStyle w:val="7"/>
        <w:keepNext w:val="0"/>
        <w:keepLines w:val="0"/>
        <w:topLinePunct/>
        <w:spacing w:before="156" w:beforeLines="50" w:after="156" w:afterLines="50" w:line="500" w:lineRule="exact"/>
        <w:jc w:val="left"/>
        <w:rPr>
          <w:bCs w:val="0"/>
          <w:color w:val="auto"/>
          <w:kern w:val="0"/>
          <w:sz w:val="32"/>
          <w:lang w:val="zh-CN"/>
        </w:rPr>
      </w:pPr>
      <w:bookmarkStart w:id="38" w:name="_Toc69747925"/>
      <w:bookmarkStart w:id="39" w:name="_Toc7869"/>
      <w:bookmarkStart w:id="40" w:name="_Toc40975749"/>
      <w:bookmarkStart w:id="41" w:name="_Toc28980"/>
      <w:r>
        <w:rPr>
          <w:rFonts w:hint="eastAsia"/>
          <w:bCs w:val="0"/>
          <w:color w:val="auto"/>
          <w:kern w:val="0"/>
          <w:sz w:val="32"/>
          <w:lang w:val="zh-CN"/>
        </w:rPr>
        <w:t>5.1</w:t>
      </w:r>
      <w:bookmarkEnd w:id="38"/>
      <w:r>
        <w:rPr>
          <w:rFonts w:hint="eastAsia"/>
          <w:bCs w:val="0"/>
          <w:color w:val="auto"/>
          <w:kern w:val="0"/>
          <w:sz w:val="32"/>
          <w:lang w:val="zh-CN"/>
        </w:rPr>
        <w:t>信息发布</w:t>
      </w:r>
      <w:bookmarkEnd w:id="39"/>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（1）信息发布的内容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信息公开内容包括当前环境空气质量和污染程度，重污染天气预警和响应的时间、地点和级别，潜在的危害，健康防护措施和应急减排措施，机动车禁限行区域和时间，大型活动停办通知，应急工作进展等。</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2）信息发布的组织和形式</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应急指挥办公室负责重污染天气应急信息发布的指导协调，信息公开和宣传组负责新闻宣传和舆情引导处置，确保发布信息的准确性和权威性，正确引导舆论，注重社会效果，防止产生负面影响。重污染天气预警信息应以信息发布、科普宣传、情况通报、专家访谈等形式通过报纸、广播电台、电视台、互联网、政务新媒体、移动通讯等媒体或平台多种渠道向社会发布。</w:t>
      </w:r>
    </w:p>
    <w:p>
      <w:pPr>
        <w:pStyle w:val="7"/>
        <w:keepNext w:val="0"/>
        <w:keepLines w:val="0"/>
        <w:topLinePunct/>
        <w:spacing w:before="156" w:beforeLines="50" w:after="156" w:afterLines="50" w:line="500" w:lineRule="exact"/>
        <w:jc w:val="left"/>
        <w:rPr>
          <w:bCs w:val="0"/>
          <w:color w:val="auto"/>
          <w:kern w:val="0"/>
          <w:sz w:val="32"/>
          <w:lang w:val="zh-CN"/>
        </w:rPr>
      </w:pPr>
      <w:bookmarkStart w:id="42" w:name="_Toc22842"/>
      <w:r>
        <w:rPr>
          <w:rFonts w:hint="eastAsia"/>
          <w:bCs w:val="0"/>
          <w:color w:val="auto"/>
          <w:kern w:val="0"/>
          <w:sz w:val="32"/>
          <w:lang w:val="zh-CN"/>
        </w:rPr>
        <w:t>5.2信息报送</w:t>
      </w:r>
      <w:bookmarkEnd w:id="42"/>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重污染天气应急响应终止2日内，各单位按职责要求，向应急指挥办公室报送本次应对工作信息。报送内容包括但不限于应急响应启动和终止情况、采取的应急响应措施及效果评估情况等。</w:t>
      </w:r>
    </w:p>
    <w:p>
      <w:pPr>
        <w:pStyle w:val="7"/>
        <w:keepNext w:val="0"/>
        <w:keepLines w:val="0"/>
        <w:topLinePunct/>
        <w:spacing w:before="156" w:beforeLines="50" w:after="156" w:afterLines="50" w:line="500" w:lineRule="exact"/>
        <w:jc w:val="left"/>
        <w:rPr>
          <w:bCs w:val="0"/>
          <w:color w:val="auto"/>
          <w:kern w:val="0"/>
          <w:sz w:val="32"/>
          <w:lang w:val="zh-CN"/>
        </w:rPr>
      </w:pPr>
      <w:bookmarkStart w:id="43" w:name="_Toc937"/>
      <w:r>
        <w:rPr>
          <w:rFonts w:hint="default"/>
          <w:bCs w:val="0"/>
          <w:color w:val="auto"/>
          <w:kern w:val="0"/>
          <w:sz w:val="32"/>
          <w:lang w:val="en-US"/>
        </w:rPr>
        <w:t>5.3</w:t>
      </w:r>
      <w:r>
        <w:rPr>
          <w:rFonts w:hint="eastAsia"/>
          <w:bCs w:val="0"/>
          <w:color w:val="auto"/>
          <w:kern w:val="0"/>
          <w:sz w:val="32"/>
          <w:lang w:val="zh-CN"/>
        </w:rPr>
        <w:t>总结评估</w:t>
      </w:r>
      <w:bookmarkEnd w:id="43"/>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重污染天气应急响应终止后10日内，</w:t>
      </w:r>
      <w:r>
        <w:rPr>
          <w:rFonts w:hint="eastAsia" w:eastAsia="仿宋_GB2312"/>
          <w:color w:val="auto"/>
          <w:szCs w:val="28"/>
          <w:lang w:eastAsia="zh-CN"/>
        </w:rPr>
        <w:t>应急处置组</w:t>
      </w:r>
      <w:r>
        <w:rPr>
          <w:rFonts w:hint="eastAsia" w:eastAsia="仿宋_GB2312"/>
          <w:color w:val="auto"/>
          <w:szCs w:val="28"/>
        </w:rPr>
        <w:t>应及时组织开展重污染天气应急准备、监测、预警、响应等职责落实以及应对工作效果等情况的调查评估。对未按要求履行职责的有关单位或个人进行责任追究。总结的内容主要包括：</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（1）本次重污染天气的成因；</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（2）收集应急响应措施实施情况信息，分析响应措施的实际效果及产生的社会影响；</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（3）应急响应措施的实施是否到位；</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（4）应急响应措施在实际操作过程中遇到的问题，有否需要改进的地方。</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根据调查评估结果，向应急指挥办公室提交应急总结报告。应急指挥办公室应将有关情况向各有关单位进行通报，对成员单位的人员、资金、物资、监测、预警、通信等提出应急保障调整要求。各有关单位应根据要求，落实相应的应急保障调整工作。</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每年，应急指挥办公室总结上一年度重污染天气应急情况，内容包括重污染天气发生的频次、应急响应措施及取得的工作经验与成效等，以书面报告形式报兵团重污染天气应急办公室，有关部门和企业应做好重污染天气应急过程记录，建立台账制度。</w:t>
      </w:r>
    </w:p>
    <w:p>
      <w:pPr>
        <w:adjustRightInd w:val="0"/>
        <w:snapToGrid w:val="0"/>
        <w:spacing w:line="500" w:lineRule="exact"/>
        <w:ind w:firstLine="560" w:firstLineChars="200"/>
        <w:rPr>
          <w:rFonts w:eastAsia="仿宋_GB2312"/>
          <w:color w:val="auto"/>
          <w:szCs w:val="28"/>
        </w:rPr>
        <w:sectPr>
          <w:pgSz w:w="11906" w:h="16838"/>
          <w:pgMar w:top="1440" w:right="1800" w:bottom="1440" w:left="1800" w:header="851" w:footer="992" w:gutter="0"/>
          <w:cols w:space="425" w:num="1"/>
          <w:docGrid w:type="lines" w:linePitch="312" w:charSpace="0"/>
        </w:sectPr>
      </w:pPr>
    </w:p>
    <w:p>
      <w:pPr>
        <w:pStyle w:val="6"/>
        <w:keepNext w:val="0"/>
        <w:keepLines w:val="0"/>
        <w:spacing w:before="312" w:beforeLines="100" w:after="312" w:afterLines="100" w:line="500" w:lineRule="exact"/>
        <w:jc w:val="left"/>
        <w:rPr>
          <w:color w:val="auto"/>
          <w:kern w:val="0"/>
          <w:sz w:val="36"/>
          <w:szCs w:val="36"/>
        </w:rPr>
      </w:pPr>
      <w:bookmarkStart w:id="44" w:name="_Toc7769"/>
      <w:r>
        <w:rPr>
          <w:rFonts w:hint="eastAsia"/>
          <w:color w:val="auto"/>
          <w:kern w:val="0"/>
          <w:sz w:val="36"/>
          <w:szCs w:val="36"/>
        </w:rPr>
        <w:t>6应急保障</w:t>
      </w:r>
      <w:bookmarkEnd w:id="44"/>
    </w:p>
    <w:p>
      <w:pPr>
        <w:pStyle w:val="7"/>
        <w:keepNext w:val="0"/>
        <w:keepLines w:val="0"/>
        <w:topLinePunct/>
        <w:spacing w:before="156" w:beforeLines="50" w:after="156" w:afterLines="50" w:line="500" w:lineRule="exact"/>
        <w:jc w:val="left"/>
        <w:rPr>
          <w:rFonts w:hint="eastAsia"/>
          <w:bCs w:val="0"/>
          <w:color w:val="auto"/>
          <w:kern w:val="0"/>
          <w:sz w:val="32"/>
          <w:lang w:val="zh-CN"/>
        </w:rPr>
      </w:pPr>
      <w:bookmarkStart w:id="45" w:name="_Toc18752"/>
      <w:r>
        <w:rPr>
          <w:rFonts w:hint="eastAsia"/>
          <w:bCs w:val="0"/>
          <w:color w:val="auto"/>
          <w:kern w:val="0"/>
          <w:sz w:val="32"/>
          <w:lang w:val="zh-CN"/>
        </w:rPr>
        <w:t>6.1人力资源保障</w:t>
      </w:r>
      <w:bookmarkEnd w:id="45"/>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lang w:val="zh-CN"/>
        </w:rPr>
        <w:t>指挥部办公室设专职人员，确保日常工作的顺利开展。</w:t>
      </w:r>
      <w:r>
        <w:rPr>
          <w:rFonts w:hint="eastAsia" w:eastAsia="仿宋_GB2312"/>
          <w:color w:val="auto"/>
          <w:szCs w:val="28"/>
        </w:rPr>
        <w:t>应急指挥办公室要组织有关成员单位及相关人员组成技术支撑、督导考核等组织机构，加强重污染天气应急人才队伍建设，提高环境与气象监测预报人员技术水平，建立健全重污染天气应急专家库，并做好业务指导。各团场应成立独立的重污染天气应急办公室，统筹重污染天气的应急工作。</w:t>
      </w:r>
    </w:p>
    <w:p>
      <w:pPr>
        <w:pStyle w:val="7"/>
        <w:keepNext w:val="0"/>
        <w:keepLines w:val="0"/>
        <w:topLinePunct/>
        <w:spacing w:before="156" w:beforeLines="50" w:after="156" w:afterLines="50" w:line="500" w:lineRule="exact"/>
        <w:jc w:val="left"/>
        <w:rPr>
          <w:bCs w:val="0"/>
          <w:color w:val="auto"/>
          <w:kern w:val="0"/>
          <w:sz w:val="32"/>
          <w:lang w:val="zh-CN"/>
        </w:rPr>
      </w:pPr>
      <w:bookmarkStart w:id="46" w:name="_Toc15574"/>
      <w:r>
        <w:rPr>
          <w:rFonts w:hint="eastAsia"/>
          <w:bCs w:val="0"/>
          <w:color w:val="auto"/>
          <w:kern w:val="0"/>
          <w:sz w:val="32"/>
          <w:lang w:val="zh-CN"/>
        </w:rPr>
        <w:t>6.</w:t>
      </w:r>
      <w:r>
        <w:rPr>
          <w:rFonts w:hint="default"/>
          <w:bCs w:val="0"/>
          <w:color w:val="auto"/>
          <w:kern w:val="0"/>
          <w:sz w:val="32"/>
          <w:lang w:val="en-US"/>
        </w:rPr>
        <w:t>2</w:t>
      </w:r>
      <w:r>
        <w:rPr>
          <w:rFonts w:hint="eastAsia"/>
          <w:bCs w:val="0"/>
          <w:color w:val="auto"/>
          <w:kern w:val="0"/>
          <w:sz w:val="32"/>
          <w:lang w:val="zh-CN"/>
        </w:rPr>
        <w:t>监测</w:t>
      </w:r>
      <w:r>
        <w:rPr>
          <w:rFonts w:hint="eastAsia"/>
          <w:bCs w:val="0"/>
          <w:color w:val="auto"/>
          <w:kern w:val="0"/>
          <w:sz w:val="32"/>
          <w:lang w:val="en-US" w:eastAsia="zh-CN"/>
        </w:rPr>
        <w:t>与</w:t>
      </w:r>
      <w:r>
        <w:rPr>
          <w:rFonts w:hint="eastAsia"/>
          <w:bCs w:val="0"/>
          <w:color w:val="auto"/>
          <w:kern w:val="0"/>
          <w:sz w:val="32"/>
          <w:lang w:val="zh-CN"/>
        </w:rPr>
        <w:t>预警能力保障</w:t>
      </w:r>
      <w:bookmarkEnd w:id="46"/>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第一师生态环境局和阿拉尔市气象站要加强环境空气质量预报、预警能力建设，完善环境空气质量监测仪器设备、预报预警模型等软硬件配备，建设重污染天气应急管理数据库。</w:t>
      </w:r>
    </w:p>
    <w:p>
      <w:pPr>
        <w:pStyle w:val="7"/>
        <w:keepNext w:val="0"/>
        <w:keepLines w:val="0"/>
        <w:topLinePunct/>
        <w:spacing w:before="156" w:beforeLines="50" w:after="156" w:afterLines="50" w:line="500" w:lineRule="exact"/>
        <w:jc w:val="left"/>
        <w:rPr>
          <w:bCs w:val="0"/>
          <w:color w:val="auto"/>
          <w:kern w:val="0"/>
          <w:sz w:val="32"/>
          <w:lang w:val="zh-CN"/>
        </w:rPr>
      </w:pPr>
      <w:bookmarkStart w:id="47" w:name="_Toc5543"/>
      <w:r>
        <w:rPr>
          <w:rFonts w:hint="eastAsia"/>
          <w:bCs w:val="0"/>
          <w:color w:val="auto"/>
          <w:kern w:val="0"/>
          <w:sz w:val="32"/>
          <w:lang w:val="zh-CN"/>
        </w:rPr>
        <w:t>6.3物资保障</w:t>
      </w:r>
      <w:bookmarkEnd w:id="47"/>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应急指挥办公室成员单位要根据职责分工，做好重污染天气期间相关应急物资的生产、储备、调拨和紧急配送工作，保障公众基本生活和市场供应；配备种类齐全、数量充足的应急仪器、车辆和防护器材等硬件装备，加强日常管理和维护保养，保持良好工作状态。</w:t>
      </w:r>
    </w:p>
    <w:p>
      <w:pPr>
        <w:pStyle w:val="7"/>
        <w:keepNext w:val="0"/>
        <w:keepLines w:val="0"/>
        <w:topLinePunct/>
        <w:spacing w:before="156" w:beforeLines="50" w:after="156" w:afterLines="50" w:line="500" w:lineRule="exact"/>
        <w:jc w:val="left"/>
        <w:rPr>
          <w:bCs w:val="0"/>
          <w:color w:val="auto"/>
          <w:kern w:val="0"/>
          <w:sz w:val="32"/>
          <w:lang w:val="zh-CN"/>
        </w:rPr>
      </w:pPr>
      <w:bookmarkStart w:id="48" w:name="_Toc32551"/>
      <w:r>
        <w:rPr>
          <w:rFonts w:hint="eastAsia"/>
          <w:bCs w:val="0"/>
          <w:color w:val="auto"/>
          <w:kern w:val="0"/>
          <w:sz w:val="32"/>
          <w:lang w:val="zh-CN"/>
        </w:rPr>
        <w:t>6.4预报能力保障</w:t>
      </w:r>
      <w:bookmarkEnd w:id="48"/>
    </w:p>
    <w:p>
      <w:pPr>
        <w:adjustRightInd w:val="0"/>
        <w:snapToGrid w:val="0"/>
        <w:spacing w:line="500" w:lineRule="exact"/>
        <w:ind w:firstLine="560" w:firstLineChars="200"/>
        <w:rPr>
          <w:rFonts w:hint="eastAsia" w:eastAsia="仿宋_GB2312"/>
          <w:color w:val="auto"/>
          <w:szCs w:val="28"/>
          <w:lang w:eastAsia="zh-CN"/>
        </w:rPr>
      </w:pPr>
      <w:r>
        <w:rPr>
          <w:rFonts w:hint="eastAsia" w:eastAsia="仿宋_GB2312"/>
          <w:color w:val="auto"/>
          <w:szCs w:val="28"/>
          <w:lang w:val="en-US" w:eastAsia="zh-CN"/>
        </w:rPr>
        <w:t>第一师气象部门</w:t>
      </w:r>
      <w:r>
        <w:rPr>
          <w:rFonts w:hint="eastAsia" w:eastAsia="仿宋_GB2312"/>
          <w:color w:val="auto"/>
          <w:szCs w:val="28"/>
        </w:rPr>
        <w:t>加强环境空气质量和气象条件预报能力建设</w:t>
      </w:r>
      <w:r>
        <w:rPr>
          <w:rFonts w:hint="eastAsia" w:eastAsia="仿宋_GB2312"/>
          <w:color w:val="auto"/>
          <w:szCs w:val="28"/>
          <w:lang w:eastAsia="zh-CN"/>
        </w:rPr>
        <w:t>，</w:t>
      </w:r>
      <w:r>
        <w:rPr>
          <w:rFonts w:hint="eastAsia" w:eastAsia="仿宋_GB2312"/>
          <w:color w:val="auto"/>
          <w:szCs w:val="28"/>
        </w:rPr>
        <w:t>加强环境空气质量、气象条件预测预报等相关领域研究</w:t>
      </w:r>
      <w:r>
        <w:rPr>
          <w:rFonts w:hint="eastAsia" w:eastAsia="仿宋_GB2312"/>
          <w:color w:val="auto"/>
          <w:szCs w:val="28"/>
          <w:lang w:eastAsia="zh-CN"/>
        </w:rPr>
        <w:t>。</w:t>
      </w:r>
    </w:p>
    <w:p>
      <w:pPr>
        <w:pStyle w:val="7"/>
        <w:keepNext w:val="0"/>
        <w:keepLines w:val="0"/>
        <w:topLinePunct/>
        <w:spacing w:before="156" w:beforeLines="50" w:after="156" w:afterLines="50" w:line="500" w:lineRule="exact"/>
        <w:jc w:val="left"/>
        <w:rPr>
          <w:rFonts w:hint="eastAsia"/>
          <w:bCs w:val="0"/>
          <w:color w:val="auto"/>
          <w:kern w:val="0"/>
          <w:sz w:val="32"/>
          <w:lang w:val="zh-CN"/>
        </w:rPr>
      </w:pPr>
      <w:bookmarkStart w:id="49" w:name="_Toc31420"/>
      <w:r>
        <w:rPr>
          <w:rFonts w:hint="eastAsia"/>
          <w:bCs w:val="0"/>
          <w:color w:val="auto"/>
          <w:kern w:val="0"/>
          <w:sz w:val="32"/>
          <w:lang w:val="zh-CN"/>
        </w:rPr>
        <w:t>6.</w:t>
      </w:r>
      <w:r>
        <w:rPr>
          <w:rFonts w:hint="default"/>
          <w:bCs w:val="0"/>
          <w:color w:val="auto"/>
          <w:kern w:val="0"/>
          <w:sz w:val="32"/>
          <w:lang w:val="en-US"/>
        </w:rPr>
        <w:t>5</w:t>
      </w:r>
      <w:r>
        <w:rPr>
          <w:rFonts w:hint="eastAsia"/>
          <w:bCs w:val="0"/>
          <w:color w:val="auto"/>
          <w:kern w:val="0"/>
          <w:sz w:val="32"/>
          <w:lang w:val="zh-CN"/>
        </w:rPr>
        <w:t>组织保障</w:t>
      </w:r>
      <w:bookmarkEnd w:id="49"/>
    </w:p>
    <w:p>
      <w:pPr>
        <w:adjustRightInd w:val="0"/>
        <w:snapToGrid w:val="0"/>
        <w:spacing w:line="500" w:lineRule="exact"/>
        <w:ind w:firstLine="560" w:firstLineChars="200"/>
        <w:rPr>
          <w:rFonts w:hint="default" w:eastAsia="仿宋_GB2312"/>
          <w:color w:val="auto"/>
          <w:szCs w:val="28"/>
          <w:lang w:val="en-US" w:eastAsia="zh-CN"/>
        </w:rPr>
      </w:pPr>
      <w:r>
        <w:rPr>
          <w:rFonts w:hint="eastAsia" w:eastAsia="仿宋_GB2312"/>
          <w:color w:val="auto"/>
          <w:szCs w:val="28"/>
          <w:lang w:val="en-US" w:eastAsia="zh-CN"/>
        </w:rPr>
        <w:t>应急</w:t>
      </w:r>
      <w:r>
        <w:rPr>
          <w:rFonts w:hint="eastAsia" w:eastAsia="仿宋_GB2312"/>
          <w:color w:val="auto"/>
          <w:szCs w:val="28"/>
        </w:rPr>
        <w:t>指挥部负责统一领导、指挥</w:t>
      </w:r>
      <w:r>
        <w:rPr>
          <w:rFonts w:hint="eastAsia" w:eastAsia="仿宋_GB2312"/>
          <w:color w:val="auto"/>
          <w:szCs w:val="28"/>
          <w:lang w:val="en-US" w:eastAsia="zh-CN"/>
        </w:rPr>
        <w:t>一师</w:t>
      </w:r>
      <w:r>
        <w:rPr>
          <w:rFonts w:hint="eastAsia" w:eastAsia="仿宋_GB2312"/>
          <w:color w:val="auto"/>
          <w:szCs w:val="28"/>
        </w:rPr>
        <w:t>重污染天气应急处置工作。</w:t>
      </w:r>
      <w:r>
        <w:rPr>
          <w:rFonts w:hint="eastAsia" w:eastAsia="仿宋_GB2312"/>
          <w:color w:val="auto"/>
          <w:szCs w:val="28"/>
          <w:lang w:val="en-US" w:eastAsia="zh-CN"/>
        </w:rPr>
        <w:t>设立完善机构，</w:t>
      </w:r>
      <w:r>
        <w:rPr>
          <w:rFonts w:hint="eastAsia" w:eastAsia="仿宋_GB2312"/>
          <w:color w:val="auto"/>
          <w:szCs w:val="28"/>
        </w:rPr>
        <w:t>指挥</w:t>
      </w:r>
      <w:r>
        <w:rPr>
          <w:rFonts w:hint="eastAsia" w:eastAsia="仿宋_GB2312"/>
          <w:color w:val="auto"/>
          <w:szCs w:val="28"/>
          <w:lang w:val="en-US" w:eastAsia="zh-CN"/>
        </w:rPr>
        <w:t>一师</w:t>
      </w:r>
      <w:r>
        <w:rPr>
          <w:rFonts w:hint="eastAsia" w:eastAsia="仿宋_GB2312"/>
          <w:color w:val="auto"/>
          <w:szCs w:val="28"/>
        </w:rPr>
        <w:t>重污染天气应急处置工作，依法指挥协调</w:t>
      </w:r>
      <w:r>
        <w:rPr>
          <w:rFonts w:hint="eastAsia" w:eastAsia="仿宋_GB2312"/>
          <w:color w:val="auto"/>
          <w:szCs w:val="28"/>
          <w:lang w:val="en-US" w:eastAsia="zh-CN"/>
        </w:rPr>
        <w:t>一师</w:t>
      </w:r>
      <w:r>
        <w:rPr>
          <w:rFonts w:hint="eastAsia" w:eastAsia="仿宋_GB2312"/>
          <w:color w:val="auto"/>
          <w:szCs w:val="28"/>
        </w:rPr>
        <w:t>各级</w:t>
      </w:r>
      <w:r>
        <w:rPr>
          <w:rFonts w:hint="eastAsia" w:eastAsia="仿宋_GB2312"/>
          <w:color w:val="auto"/>
          <w:szCs w:val="28"/>
          <w:lang w:val="en-US" w:eastAsia="zh-CN"/>
        </w:rPr>
        <w:t>单位和部门</w:t>
      </w:r>
      <w:r>
        <w:rPr>
          <w:rFonts w:hint="eastAsia" w:eastAsia="仿宋_GB2312"/>
          <w:color w:val="auto"/>
          <w:szCs w:val="28"/>
        </w:rPr>
        <w:t>做好工作</w:t>
      </w:r>
      <w:r>
        <w:rPr>
          <w:rFonts w:hint="eastAsia" w:eastAsia="仿宋_GB2312"/>
          <w:color w:val="auto"/>
          <w:szCs w:val="28"/>
          <w:lang w:eastAsia="zh-CN"/>
        </w:rPr>
        <w:t>，</w:t>
      </w:r>
      <w:r>
        <w:rPr>
          <w:rFonts w:hint="eastAsia" w:eastAsia="仿宋_GB2312"/>
          <w:color w:val="auto"/>
          <w:szCs w:val="28"/>
          <w:lang w:val="en-US" w:eastAsia="zh-CN"/>
        </w:rPr>
        <w:t>应对一师重污染天气。</w:t>
      </w:r>
    </w:p>
    <w:p>
      <w:pPr>
        <w:pStyle w:val="7"/>
        <w:keepNext w:val="0"/>
        <w:keepLines w:val="0"/>
        <w:topLinePunct/>
        <w:spacing w:before="156" w:beforeLines="50" w:after="156" w:afterLines="50" w:line="500" w:lineRule="exact"/>
        <w:jc w:val="left"/>
        <w:rPr>
          <w:bCs w:val="0"/>
          <w:color w:val="auto"/>
          <w:kern w:val="0"/>
          <w:sz w:val="32"/>
          <w:lang w:val="zh-CN"/>
        </w:rPr>
      </w:pPr>
      <w:bookmarkStart w:id="50" w:name="_Toc25587"/>
      <w:r>
        <w:rPr>
          <w:rFonts w:hint="eastAsia"/>
          <w:bCs w:val="0"/>
          <w:color w:val="auto"/>
          <w:kern w:val="0"/>
          <w:sz w:val="32"/>
          <w:lang w:val="zh-CN"/>
        </w:rPr>
        <w:t>6.</w:t>
      </w:r>
      <w:r>
        <w:rPr>
          <w:rFonts w:hint="default"/>
          <w:bCs w:val="0"/>
          <w:color w:val="auto"/>
          <w:kern w:val="0"/>
          <w:sz w:val="32"/>
          <w:lang w:val="en-US"/>
        </w:rPr>
        <w:t>6</w:t>
      </w:r>
      <w:r>
        <w:rPr>
          <w:rFonts w:hint="eastAsia"/>
          <w:bCs w:val="0"/>
          <w:color w:val="auto"/>
          <w:kern w:val="0"/>
          <w:sz w:val="32"/>
          <w:lang w:val="en-US" w:eastAsia="zh-CN"/>
        </w:rPr>
        <w:t>经费</w:t>
      </w:r>
      <w:r>
        <w:rPr>
          <w:rFonts w:hint="eastAsia"/>
          <w:bCs w:val="0"/>
          <w:color w:val="auto"/>
          <w:kern w:val="0"/>
          <w:sz w:val="32"/>
          <w:lang w:val="zh-CN"/>
        </w:rPr>
        <w:t>保障</w:t>
      </w:r>
      <w:bookmarkEnd w:id="50"/>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各级各部门要加大对重污染天气资金的投入力度，将重污染天气监测、预警、应急处置、监督检查以及应急技术支持和应急演练等所需资金按规定程序及财力等实际情况列入各有关职能部门年度预算。</w:t>
      </w:r>
    </w:p>
    <w:p>
      <w:pPr>
        <w:pStyle w:val="7"/>
        <w:keepNext w:val="0"/>
        <w:keepLines w:val="0"/>
        <w:topLinePunct/>
        <w:spacing w:before="156" w:beforeLines="50" w:after="156" w:afterLines="50" w:line="500" w:lineRule="exact"/>
        <w:jc w:val="left"/>
        <w:rPr>
          <w:bCs w:val="0"/>
          <w:color w:val="auto"/>
          <w:kern w:val="0"/>
          <w:sz w:val="32"/>
          <w:lang w:val="zh-CN"/>
        </w:rPr>
      </w:pPr>
      <w:bookmarkStart w:id="51" w:name="_Toc18395"/>
      <w:r>
        <w:rPr>
          <w:rFonts w:hint="eastAsia"/>
          <w:bCs w:val="0"/>
          <w:color w:val="auto"/>
          <w:kern w:val="0"/>
          <w:sz w:val="32"/>
          <w:lang w:val="zh-CN"/>
        </w:rPr>
        <w:t>6.7制度保障</w:t>
      </w:r>
      <w:bookmarkEnd w:id="51"/>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建立健全大气污染减排、社会动员以及监督检查等</w:t>
      </w:r>
      <w:r>
        <w:rPr>
          <w:rFonts w:hint="eastAsia" w:eastAsia="仿宋_GB2312"/>
          <w:color w:val="auto"/>
          <w:szCs w:val="28"/>
          <w:lang w:eastAsia="zh-CN"/>
        </w:rPr>
        <w:t>，</w:t>
      </w:r>
      <w:r>
        <w:rPr>
          <w:rFonts w:hint="eastAsia" w:eastAsia="仿宋_GB2312"/>
          <w:color w:val="auto"/>
          <w:szCs w:val="28"/>
        </w:rPr>
        <w:t>各级有关部门要进一步加强重污染天气工作制度建设，按照职责分工制定相应的应急预案或方案，重点建立健全工业大气污染源减排、机动车限行、道路和施工工地扬尘管理、社会动员以及监督检查等工作机制。</w:t>
      </w:r>
    </w:p>
    <w:p>
      <w:pPr>
        <w:pStyle w:val="7"/>
        <w:keepNext w:val="0"/>
        <w:keepLines w:val="0"/>
        <w:topLinePunct/>
        <w:spacing w:before="156" w:beforeLines="50" w:after="156" w:afterLines="50" w:line="500" w:lineRule="exact"/>
        <w:jc w:val="left"/>
        <w:rPr>
          <w:rFonts w:hint="eastAsia"/>
          <w:bCs w:val="0"/>
          <w:color w:val="auto"/>
          <w:kern w:val="0"/>
          <w:sz w:val="32"/>
          <w:lang w:val="zh-CN"/>
        </w:rPr>
      </w:pPr>
      <w:bookmarkStart w:id="52" w:name="_Toc25387"/>
      <w:r>
        <w:rPr>
          <w:rFonts w:hint="eastAsia"/>
          <w:bCs w:val="0"/>
          <w:color w:val="auto"/>
          <w:kern w:val="0"/>
          <w:sz w:val="32"/>
          <w:lang w:val="zh-CN"/>
        </w:rPr>
        <w:t>6.8信息联络保障</w:t>
      </w:r>
      <w:bookmarkEnd w:id="52"/>
    </w:p>
    <w:p>
      <w:pPr>
        <w:adjustRightInd w:val="0"/>
        <w:snapToGrid w:val="0"/>
        <w:spacing w:line="500" w:lineRule="exact"/>
        <w:ind w:firstLine="560" w:firstLineChars="200"/>
        <w:rPr>
          <w:rFonts w:hint="eastAsia" w:eastAsia="仿宋_GB2312"/>
          <w:color w:val="auto"/>
          <w:szCs w:val="28"/>
          <w:lang w:val="en-US" w:eastAsia="zh-CN"/>
        </w:rPr>
      </w:pPr>
      <w:r>
        <w:rPr>
          <w:rFonts w:hint="eastAsia" w:eastAsia="仿宋_GB2312"/>
          <w:color w:val="auto"/>
          <w:szCs w:val="28"/>
        </w:rPr>
        <w:t>建立重污染天气应急值守制度，健全通信和信息保障机制</w:t>
      </w:r>
      <w:r>
        <w:rPr>
          <w:rFonts w:hint="eastAsia" w:eastAsia="仿宋_GB2312"/>
          <w:color w:val="auto"/>
          <w:szCs w:val="28"/>
          <w:lang w:eastAsia="zh-CN"/>
        </w:rPr>
        <w:t>，</w:t>
      </w:r>
      <w:r>
        <w:rPr>
          <w:rFonts w:hint="eastAsia" w:eastAsia="仿宋_GB2312"/>
          <w:color w:val="auto"/>
          <w:szCs w:val="28"/>
        </w:rPr>
        <w:t>重污染天气应急过程记录，建立台账制度</w:t>
      </w:r>
      <w:r>
        <w:rPr>
          <w:rFonts w:hint="eastAsia" w:eastAsia="仿宋_GB2312"/>
          <w:color w:val="auto"/>
          <w:szCs w:val="28"/>
          <w:lang w:eastAsia="zh-CN"/>
        </w:rPr>
        <w:t>。</w:t>
      </w:r>
      <w:r>
        <w:rPr>
          <w:rFonts w:hint="default" w:ascii="Times New Roman" w:hAnsi="Times New Roman" w:eastAsia="仿宋" w:cs="Times New Roman"/>
          <w:color w:val="auto"/>
          <w:kern w:val="2"/>
          <w:sz w:val="28"/>
          <w:szCs w:val="24"/>
          <w:lang w:eastAsia="zh-CN"/>
        </w:rPr>
        <w:t>各主要涉及单位要建立和完善重污染天气应急指挥通信机制，确定联络人（包括负责人和联络员），并保持24小时通信畅通，如联络人有调整，请于调整后5个工作日内报指挥部办公室。建立空气质量监测数据、气象预报和监测数据、工业污染源情况、施工工地情况、道路交通流量等数据实时共享数据平台，保证应急决策数据快速、及时传递。</w:t>
      </w:r>
    </w:p>
    <w:p>
      <w:pPr>
        <w:adjustRightInd w:val="0"/>
        <w:snapToGrid w:val="0"/>
        <w:spacing w:line="500" w:lineRule="exact"/>
        <w:ind w:firstLine="560" w:firstLineChars="200"/>
        <w:rPr>
          <w:rFonts w:eastAsia="仿宋_GB2312"/>
          <w:color w:val="auto"/>
          <w:szCs w:val="28"/>
        </w:rPr>
        <w:sectPr>
          <w:pgSz w:w="11906" w:h="16838"/>
          <w:pgMar w:top="1440" w:right="1800" w:bottom="1440" w:left="1800" w:header="851" w:footer="992" w:gutter="0"/>
          <w:cols w:space="425" w:num="1"/>
          <w:docGrid w:type="lines" w:linePitch="312" w:charSpace="0"/>
        </w:sectPr>
      </w:pPr>
    </w:p>
    <w:p>
      <w:pPr>
        <w:pStyle w:val="6"/>
        <w:keepNext w:val="0"/>
        <w:keepLines w:val="0"/>
        <w:spacing w:before="312" w:beforeLines="100" w:after="312" w:afterLines="100" w:line="500" w:lineRule="exact"/>
        <w:jc w:val="left"/>
        <w:rPr>
          <w:rFonts w:hint="default"/>
          <w:color w:val="auto"/>
          <w:kern w:val="0"/>
          <w:sz w:val="36"/>
          <w:szCs w:val="36"/>
          <w:lang w:val="en-US" w:eastAsia="zh-CN"/>
        </w:rPr>
      </w:pPr>
      <w:bookmarkStart w:id="53" w:name="_Toc2838"/>
      <w:r>
        <w:rPr>
          <w:color w:val="auto"/>
          <w:kern w:val="0"/>
          <w:sz w:val="36"/>
          <w:szCs w:val="36"/>
        </w:rPr>
        <w:t>7</w:t>
      </w:r>
      <w:r>
        <w:rPr>
          <w:rFonts w:hint="eastAsia"/>
          <w:color w:val="auto"/>
          <w:kern w:val="0"/>
          <w:sz w:val="36"/>
          <w:szCs w:val="36"/>
          <w:lang w:val="en-US" w:eastAsia="zh-CN"/>
        </w:rPr>
        <w:t>监督问责</w:t>
      </w:r>
      <w:bookmarkEnd w:id="53"/>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对因工作不力、履职缺位等导致未有效应对重污染天气的，依法依规追究有关单位及人员责任。对应急响应期间未落实减排措施、自动监测数据造假、生产记录造假等行为，依法严厉查处。对已评定绩效等级的工业企业、绿色标杆工地等，未达到相应指标要求的，按规定降级处理。</w:t>
      </w:r>
    </w:p>
    <w:p>
      <w:pPr>
        <w:pStyle w:val="2"/>
        <w:rPr>
          <w:rFonts w:hint="default" w:eastAsia="仿宋"/>
          <w:lang w:val="en-US" w:eastAsia="zh-CN"/>
        </w:rPr>
      </w:pPr>
      <w:r>
        <w:rPr>
          <w:rFonts w:hint="eastAsia" w:eastAsia="仿宋_GB2312"/>
          <w:color w:val="auto"/>
          <w:szCs w:val="28"/>
          <w:lang w:val="en-US" w:eastAsia="zh-CN"/>
        </w:rPr>
        <w:t>要求如下：</w:t>
      </w:r>
    </w:p>
    <w:p>
      <w:pPr>
        <w:adjustRightInd w:val="0"/>
        <w:snapToGrid w:val="0"/>
        <w:spacing w:line="500" w:lineRule="exact"/>
        <w:ind w:firstLine="560" w:firstLineChars="200"/>
        <w:rPr>
          <w:rFonts w:hint="default" w:ascii="Times New Roman" w:hAnsi="Times New Roman" w:eastAsia="仿宋_GB2312" w:cs="Times New Roman"/>
          <w:color w:val="auto"/>
          <w:szCs w:val="28"/>
          <w:lang w:eastAsia="zh-CN"/>
        </w:rPr>
      </w:pP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1</w:t>
      </w:r>
      <w:r>
        <w:rPr>
          <w:rFonts w:hint="default" w:ascii="Times New Roman" w:hAnsi="Times New Roman" w:eastAsia="仿宋_GB2312" w:cs="Times New Roman"/>
          <w:color w:val="auto"/>
          <w:szCs w:val="28"/>
          <w:lang w:eastAsia="zh-CN"/>
        </w:rPr>
        <w:t>）各</w:t>
      </w:r>
      <w:r>
        <w:rPr>
          <w:rFonts w:hint="eastAsia" w:ascii="Times New Roman" w:hAnsi="Times New Roman" w:eastAsia="仿宋_GB2312" w:cs="Times New Roman"/>
          <w:color w:val="auto"/>
          <w:szCs w:val="28"/>
          <w:lang w:val="en-US" w:eastAsia="zh-CN"/>
        </w:rPr>
        <w:t>团场</w:t>
      </w:r>
      <w:r>
        <w:rPr>
          <w:rFonts w:hint="default" w:ascii="Times New Roman" w:hAnsi="Times New Roman" w:eastAsia="仿宋_GB2312" w:cs="Times New Roman"/>
          <w:color w:val="auto"/>
          <w:szCs w:val="28"/>
          <w:lang w:eastAsia="zh-CN"/>
        </w:rPr>
        <w:t>（工业园区）及指挥部成员单位要认真落实各自的工作职责，加大对辖区和</w:t>
      </w:r>
      <w:r>
        <w:rPr>
          <w:rFonts w:hint="default" w:ascii="Times New Roman" w:hAnsi="Times New Roman" w:eastAsia="仿宋_GB2312" w:cs="Times New Roman"/>
          <w:color w:val="auto"/>
          <w:szCs w:val="28"/>
          <w:lang w:val="en-US" w:eastAsia="zh-CN"/>
        </w:rPr>
        <w:t>单位</w:t>
      </w:r>
      <w:r>
        <w:rPr>
          <w:rFonts w:hint="default" w:ascii="Times New Roman" w:hAnsi="Times New Roman" w:eastAsia="仿宋_GB2312" w:cs="Times New Roman"/>
          <w:color w:val="auto"/>
          <w:szCs w:val="28"/>
          <w:lang w:eastAsia="zh-CN"/>
        </w:rPr>
        <w:t>应急响应措施落实情况的督察力度，对未做好应急响应工作的企业和部门，依法依规追究责任。</w:t>
      </w:r>
    </w:p>
    <w:p>
      <w:pPr>
        <w:adjustRightInd w:val="0"/>
        <w:snapToGrid w:val="0"/>
        <w:spacing w:line="500" w:lineRule="exact"/>
        <w:ind w:firstLine="560" w:firstLineChars="200"/>
        <w:rPr>
          <w:rFonts w:hint="default" w:ascii="Times New Roman" w:hAnsi="Times New Roman" w:eastAsia="仿宋_GB2312" w:cs="Times New Roman"/>
          <w:color w:val="auto"/>
          <w:szCs w:val="28"/>
          <w:lang w:val="en-US" w:eastAsia="zh-CN"/>
        </w:rPr>
      </w:pP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2</w:t>
      </w:r>
      <w:r>
        <w:rPr>
          <w:rFonts w:hint="default" w:ascii="Times New Roman" w:hAnsi="Times New Roman" w:eastAsia="仿宋_GB2312" w:cs="Times New Roman"/>
          <w:color w:val="auto"/>
          <w:szCs w:val="28"/>
          <w:lang w:eastAsia="zh-CN"/>
        </w:rPr>
        <w:t>）指挥部办公室负责对各</w:t>
      </w:r>
      <w:r>
        <w:rPr>
          <w:rFonts w:hint="eastAsia" w:ascii="Times New Roman" w:hAnsi="Times New Roman" w:eastAsia="仿宋_GB2312" w:cs="Times New Roman"/>
          <w:color w:val="auto"/>
          <w:szCs w:val="28"/>
          <w:lang w:val="en-US" w:eastAsia="zh-CN"/>
        </w:rPr>
        <w:t>团场</w:t>
      </w:r>
      <w:r>
        <w:rPr>
          <w:rFonts w:hint="default" w:ascii="Times New Roman" w:hAnsi="Times New Roman" w:eastAsia="仿宋_GB2312" w:cs="Times New Roman"/>
          <w:color w:val="auto"/>
          <w:szCs w:val="28"/>
          <w:lang w:eastAsia="zh-CN"/>
        </w:rPr>
        <w:t>（工业园区）及指挥部成员单位在重污染天气应急准备、监测、预警、响应等职责落实情况进行监督考核，对工作不力的部门（单位）及责任人由纪委监委采取约谈、</w:t>
      </w:r>
      <w:r>
        <w:rPr>
          <w:rFonts w:hint="default" w:ascii="Times New Roman" w:hAnsi="Times New Roman" w:eastAsia="仿宋_GB2312" w:cs="Times New Roman"/>
          <w:color w:val="auto"/>
          <w:szCs w:val="28"/>
          <w:lang w:val="en-US" w:eastAsia="zh-CN"/>
        </w:rPr>
        <w:t>对渎职、失职失责给与</w:t>
      </w:r>
      <w:r>
        <w:rPr>
          <w:rFonts w:hint="default" w:ascii="Times New Roman" w:hAnsi="Times New Roman" w:eastAsia="仿宋_GB2312" w:cs="Times New Roman"/>
          <w:color w:val="auto"/>
          <w:szCs w:val="28"/>
          <w:lang w:eastAsia="zh-CN"/>
        </w:rPr>
        <w:t>党纪政纪责任</w:t>
      </w:r>
      <w:r>
        <w:rPr>
          <w:rFonts w:hint="default" w:ascii="Times New Roman" w:hAnsi="Times New Roman" w:eastAsia="仿宋_GB2312" w:cs="Times New Roman"/>
          <w:color w:val="auto"/>
          <w:szCs w:val="28"/>
          <w:lang w:val="en-US" w:eastAsia="zh-CN"/>
        </w:rPr>
        <w:t>处分。</w:t>
      </w:r>
    </w:p>
    <w:p>
      <w:pPr>
        <w:adjustRightInd w:val="0"/>
        <w:snapToGrid w:val="0"/>
        <w:spacing w:line="500" w:lineRule="exact"/>
        <w:ind w:firstLine="560" w:firstLineChars="200"/>
        <w:rPr>
          <w:rFonts w:hint="default" w:ascii="Times New Roman" w:hAnsi="Times New Roman" w:eastAsia="仿宋_GB2312" w:cs="Times New Roman"/>
          <w:color w:val="auto"/>
          <w:szCs w:val="28"/>
          <w:lang w:eastAsia="zh-CN"/>
        </w:rPr>
      </w:pP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3</w:t>
      </w:r>
      <w:r>
        <w:rPr>
          <w:rFonts w:hint="default" w:ascii="Times New Roman" w:hAnsi="Times New Roman" w:eastAsia="仿宋_GB2312" w:cs="Times New Roman"/>
          <w:color w:val="auto"/>
          <w:szCs w:val="28"/>
          <w:lang w:eastAsia="zh-CN"/>
        </w:rPr>
        <w:t>）重污染天气应急响应期间，对拒不执行限（停）产规定的重点排污企业，一律报请</w:t>
      </w:r>
      <w:r>
        <w:rPr>
          <w:rFonts w:hint="default" w:ascii="Times New Roman" w:hAnsi="Times New Roman" w:eastAsia="仿宋_GB2312" w:cs="Times New Roman"/>
          <w:color w:val="auto"/>
          <w:szCs w:val="28"/>
          <w:lang w:val="en-US" w:eastAsia="zh-CN"/>
        </w:rPr>
        <w:t>人民</w:t>
      </w:r>
      <w:r>
        <w:rPr>
          <w:rFonts w:hint="default" w:ascii="Times New Roman" w:hAnsi="Times New Roman" w:eastAsia="仿宋_GB2312" w:cs="Times New Roman"/>
          <w:color w:val="auto"/>
          <w:szCs w:val="28"/>
          <w:lang w:eastAsia="zh-CN"/>
        </w:rPr>
        <w:t>政府责令停产整顿；其他有违法违规污染大气环境行为的企业和单位，依据《</w:t>
      </w:r>
      <w:r>
        <w:rPr>
          <w:rFonts w:hint="default" w:ascii="Times New Roman" w:hAnsi="Times New Roman" w:eastAsia="仿宋_GB2312" w:cs="Times New Roman"/>
          <w:color w:val="auto"/>
          <w:szCs w:val="28"/>
          <w:lang w:val="en-US" w:eastAsia="zh-CN"/>
        </w:rPr>
        <w:t>中华人民共和国</w:t>
      </w:r>
      <w:r>
        <w:rPr>
          <w:rFonts w:hint="default" w:ascii="Times New Roman" w:hAnsi="Times New Roman" w:eastAsia="仿宋_GB2312" w:cs="Times New Roman"/>
          <w:color w:val="auto"/>
          <w:szCs w:val="28"/>
          <w:lang w:eastAsia="zh-CN"/>
        </w:rPr>
        <w:t>环境保护法》、《</w:t>
      </w:r>
      <w:r>
        <w:rPr>
          <w:rFonts w:hint="default" w:ascii="Times New Roman" w:hAnsi="Times New Roman" w:eastAsia="仿宋_GB2312" w:cs="Times New Roman"/>
          <w:color w:val="auto"/>
          <w:szCs w:val="28"/>
          <w:lang w:val="en-US" w:eastAsia="zh-CN"/>
        </w:rPr>
        <w:t>新疆维吾尔自治区环境保护条例</w:t>
      </w: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中华人民共和国</w:t>
      </w:r>
      <w:r>
        <w:rPr>
          <w:rFonts w:hint="default" w:ascii="Times New Roman" w:hAnsi="Times New Roman" w:eastAsia="仿宋_GB2312" w:cs="Times New Roman"/>
          <w:color w:val="auto"/>
          <w:szCs w:val="28"/>
          <w:lang w:eastAsia="zh-CN"/>
        </w:rPr>
        <w:t>大气污染防治法》等</w:t>
      </w:r>
      <w:r>
        <w:rPr>
          <w:rFonts w:hint="default" w:ascii="Times New Roman" w:hAnsi="Times New Roman" w:eastAsia="仿宋_GB2312" w:cs="Times New Roman"/>
          <w:color w:val="auto"/>
          <w:szCs w:val="28"/>
          <w:lang w:val="en-US" w:eastAsia="zh-CN"/>
        </w:rPr>
        <w:t>相关</w:t>
      </w:r>
      <w:r>
        <w:rPr>
          <w:rFonts w:hint="default" w:ascii="Times New Roman" w:hAnsi="Times New Roman" w:eastAsia="仿宋_GB2312" w:cs="Times New Roman"/>
          <w:color w:val="auto"/>
          <w:szCs w:val="28"/>
          <w:lang w:eastAsia="zh-CN"/>
        </w:rPr>
        <w:t>法律法规，按上限予以处罚，</w:t>
      </w:r>
      <w:r>
        <w:rPr>
          <w:rFonts w:hint="default" w:ascii="Times New Roman" w:hAnsi="Times New Roman" w:eastAsia="仿宋_GB2312" w:cs="Times New Roman"/>
          <w:color w:val="auto"/>
          <w:szCs w:val="28"/>
          <w:lang w:val="en-US" w:eastAsia="zh-CN"/>
        </w:rPr>
        <w:t>情节严重的移交司法机关，</w:t>
      </w:r>
      <w:r>
        <w:rPr>
          <w:rFonts w:hint="default" w:ascii="Times New Roman" w:hAnsi="Times New Roman" w:eastAsia="仿宋_GB2312" w:cs="Times New Roman"/>
          <w:color w:val="auto"/>
          <w:szCs w:val="28"/>
          <w:lang w:eastAsia="zh-CN"/>
        </w:rPr>
        <w:t>追究</w:t>
      </w:r>
      <w:r>
        <w:rPr>
          <w:rFonts w:hint="default" w:ascii="Times New Roman" w:hAnsi="Times New Roman" w:eastAsia="仿宋_GB2312" w:cs="Times New Roman"/>
          <w:color w:val="auto"/>
          <w:szCs w:val="28"/>
          <w:lang w:val="en-US" w:eastAsia="zh-CN"/>
        </w:rPr>
        <w:t>其刑事</w:t>
      </w:r>
      <w:r>
        <w:rPr>
          <w:rFonts w:hint="default" w:ascii="Times New Roman" w:hAnsi="Times New Roman" w:eastAsia="仿宋_GB2312" w:cs="Times New Roman"/>
          <w:color w:val="auto"/>
          <w:szCs w:val="28"/>
          <w:lang w:eastAsia="zh-CN"/>
        </w:rPr>
        <w:t>责任。</w:t>
      </w:r>
    </w:p>
    <w:p>
      <w:pPr>
        <w:adjustRightInd w:val="0"/>
        <w:snapToGrid w:val="0"/>
        <w:spacing w:line="500" w:lineRule="exact"/>
        <w:ind w:firstLine="560" w:firstLineChars="200"/>
        <w:rPr>
          <w:rFonts w:hint="default" w:ascii="Times New Roman" w:hAnsi="Times New Roman" w:eastAsia="仿宋_GB2312" w:cs="Times New Roman"/>
          <w:color w:val="auto"/>
          <w:szCs w:val="28"/>
          <w:lang w:eastAsia="zh-CN"/>
        </w:rPr>
      </w:pP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4</w:t>
      </w:r>
      <w:r>
        <w:rPr>
          <w:rFonts w:hint="default" w:ascii="Times New Roman" w:hAnsi="Times New Roman" w:eastAsia="仿宋_GB2312" w:cs="Times New Roman"/>
          <w:color w:val="auto"/>
          <w:szCs w:val="28"/>
          <w:lang w:eastAsia="zh-CN"/>
        </w:rPr>
        <w:t>）重点区域及有关文件规定的特别排放限值执行区域和行业，在重污染天气应急响应期间发生的各类污染大气环境的违法违规行为实施顶格处罚。</w:t>
      </w:r>
    </w:p>
    <w:p>
      <w:pPr>
        <w:adjustRightInd w:val="0"/>
        <w:snapToGrid w:val="0"/>
        <w:spacing w:line="500" w:lineRule="exact"/>
        <w:ind w:firstLine="560" w:firstLineChars="200"/>
        <w:rPr>
          <w:rFonts w:hint="default" w:ascii="Times New Roman" w:hAnsi="Times New Roman" w:eastAsia="仿宋_GB2312" w:cs="Times New Roman"/>
          <w:color w:val="auto"/>
          <w:szCs w:val="28"/>
          <w:lang w:eastAsia="zh-CN"/>
        </w:rPr>
        <w:sectPr>
          <w:pgSz w:w="11906" w:h="16838"/>
          <w:pgMar w:top="1440" w:right="1860" w:bottom="1440" w:left="1800" w:header="851" w:footer="992" w:gutter="0"/>
          <w:cols w:space="425" w:num="1"/>
          <w:docGrid w:type="lines" w:linePitch="312" w:charSpace="0"/>
        </w:sectPr>
      </w:pPr>
      <w:r>
        <w:rPr>
          <w:rFonts w:hint="default" w:ascii="Times New Roman" w:hAnsi="Times New Roman" w:eastAsia="仿宋_GB2312" w:cs="Times New Roman"/>
          <w:color w:val="auto"/>
          <w:szCs w:val="28"/>
          <w:lang w:eastAsia="zh-CN"/>
        </w:rPr>
        <w:t>（</w:t>
      </w:r>
      <w:r>
        <w:rPr>
          <w:rFonts w:hint="default" w:ascii="Times New Roman" w:hAnsi="Times New Roman" w:eastAsia="仿宋_GB2312" w:cs="Times New Roman"/>
          <w:color w:val="auto"/>
          <w:szCs w:val="28"/>
          <w:lang w:val="en-US" w:eastAsia="zh-CN"/>
        </w:rPr>
        <w:t>5</w:t>
      </w:r>
      <w:r>
        <w:rPr>
          <w:rFonts w:hint="default" w:ascii="Times New Roman" w:hAnsi="Times New Roman" w:eastAsia="仿宋_GB2312" w:cs="Times New Roman"/>
          <w:color w:val="auto"/>
          <w:szCs w:val="28"/>
          <w:lang w:eastAsia="zh-CN"/>
        </w:rPr>
        <w:t>）为确保分级响应措施执行到位，在发布橙色、红色预警时，由生态环境、工信、公安、住建、自然资源、交通和应急管理等部门，开展针对限（停）产工业废气排放、城市建筑及交通运输扬尘、高排放车辆限行、燃放烟花爆竹和露天烧烤等强制性减排措施的联合督查，其余部门按职责开展专项督查。在发布黄色预警时，由各职能部门按照各自工作职责，开展重污染天气应急措施执行情况专项检查。</w:t>
      </w:r>
    </w:p>
    <w:p>
      <w:pPr>
        <w:pStyle w:val="6"/>
        <w:keepNext w:val="0"/>
        <w:keepLines w:val="0"/>
        <w:spacing w:before="312" w:beforeLines="100" w:after="312" w:afterLines="100" w:line="500" w:lineRule="exact"/>
        <w:jc w:val="left"/>
        <w:rPr>
          <w:color w:val="auto"/>
          <w:kern w:val="0"/>
          <w:sz w:val="36"/>
          <w:szCs w:val="36"/>
        </w:rPr>
      </w:pPr>
      <w:bookmarkStart w:id="54" w:name="_Toc30962"/>
      <w:r>
        <w:rPr>
          <w:rFonts w:hint="default"/>
          <w:color w:val="auto"/>
          <w:kern w:val="0"/>
          <w:sz w:val="36"/>
          <w:szCs w:val="36"/>
          <w:lang w:val="en-US"/>
        </w:rPr>
        <w:t>8</w:t>
      </w:r>
      <w:r>
        <w:rPr>
          <w:rFonts w:hint="eastAsia"/>
          <w:color w:val="auto"/>
          <w:kern w:val="0"/>
          <w:sz w:val="36"/>
          <w:szCs w:val="36"/>
        </w:rPr>
        <w:t>预案管理</w:t>
      </w:r>
      <w:bookmarkEnd w:id="54"/>
    </w:p>
    <w:p>
      <w:pPr>
        <w:pStyle w:val="7"/>
        <w:keepNext w:val="0"/>
        <w:keepLines w:val="0"/>
        <w:topLinePunct/>
        <w:spacing w:before="156" w:beforeLines="50" w:after="156" w:afterLines="50" w:line="500" w:lineRule="exact"/>
        <w:jc w:val="left"/>
        <w:rPr>
          <w:rFonts w:hint="default" w:eastAsia="仿宋"/>
          <w:bCs w:val="0"/>
          <w:color w:val="auto"/>
          <w:kern w:val="0"/>
          <w:sz w:val="32"/>
          <w:lang w:val="en-US" w:eastAsia="zh-CN"/>
        </w:rPr>
      </w:pPr>
      <w:bookmarkStart w:id="55" w:name="_Toc17651"/>
      <w:r>
        <w:rPr>
          <w:rFonts w:hint="default"/>
          <w:bCs w:val="0"/>
          <w:color w:val="auto"/>
          <w:kern w:val="0"/>
          <w:sz w:val="32"/>
          <w:lang w:val="en-US"/>
        </w:rPr>
        <w:t>8.1</w:t>
      </w:r>
      <w:r>
        <w:rPr>
          <w:rFonts w:hint="eastAsia"/>
          <w:bCs w:val="0"/>
          <w:color w:val="auto"/>
          <w:kern w:val="0"/>
          <w:sz w:val="32"/>
          <w:lang w:val="en-US" w:eastAsia="zh-CN"/>
        </w:rPr>
        <w:t>预案编制</w:t>
      </w:r>
      <w:bookmarkEnd w:id="55"/>
    </w:p>
    <w:p>
      <w:pPr>
        <w:adjustRightInd w:val="0"/>
        <w:snapToGrid w:val="0"/>
        <w:spacing w:line="500" w:lineRule="exact"/>
        <w:ind w:firstLine="560" w:firstLineChars="200"/>
        <w:rPr>
          <w:rFonts w:hint="default" w:ascii="Times New Roman" w:hAnsi="Times New Roman" w:eastAsia="仿宋_GB2312" w:cs="Times New Roman"/>
          <w:color w:val="auto"/>
          <w:szCs w:val="28"/>
          <w:lang w:val="en-US" w:eastAsia="zh-CN"/>
        </w:rPr>
      </w:pPr>
      <w:r>
        <w:rPr>
          <w:rFonts w:hint="eastAsia" w:ascii="Times New Roman" w:hAnsi="Times New Roman" w:eastAsia="仿宋_GB2312" w:cs="Times New Roman"/>
          <w:color w:val="auto"/>
          <w:szCs w:val="28"/>
          <w:lang w:val="en-US" w:eastAsia="zh-CN"/>
        </w:rPr>
        <w:t>由第一师生态环境局负责牵头，组织相关人员编制《第一师阿拉尔市重污染天气应急预案》。</w:t>
      </w:r>
    </w:p>
    <w:p>
      <w:pPr>
        <w:pStyle w:val="7"/>
        <w:keepNext w:val="0"/>
        <w:keepLines w:val="0"/>
        <w:topLinePunct/>
        <w:spacing w:before="156" w:beforeLines="50" w:after="156" w:afterLines="50" w:line="500" w:lineRule="exact"/>
        <w:jc w:val="left"/>
        <w:rPr>
          <w:rFonts w:hint="default" w:eastAsia="仿宋"/>
          <w:bCs w:val="0"/>
          <w:color w:val="auto"/>
          <w:kern w:val="0"/>
          <w:sz w:val="32"/>
          <w:lang w:val="en-US" w:eastAsia="zh-CN"/>
        </w:rPr>
      </w:pPr>
      <w:bookmarkStart w:id="56" w:name="_Toc3302"/>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2</w:t>
      </w:r>
      <w:r>
        <w:rPr>
          <w:rFonts w:hint="eastAsia"/>
          <w:bCs w:val="0"/>
          <w:color w:val="auto"/>
          <w:kern w:val="0"/>
          <w:sz w:val="32"/>
          <w:lang w:val="en-US" w:eastAsia="zh-CN"/>
        </w:rPr>
        <w:t>预案宣传</w:t>
      </w:r>
      <w:bookmarkEnd w:id="56"/>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充分利用互联网、电视台、广播电台、报刊等新闻媒体及信息网络，普及预案以及重污染天气应急相关法律法规知识和预防常识，及时、准确发布重污染天气有关信息，正确引导舆论；建立健全重污染天气应急管理培训制度，定期开展重污染天气应急预案的宣传和教育工作。</w:t>
      </w:r>
    </w:p>
    <w:p>
      <w:pPr>
        <w:pStyle w:val="7"/>
        <w:keepNext w:val="0"/>
        <w:keepLines w:val="0"/>
        <w:topLinePunct/>
        <w:spacing w:before="156" w:beforeLines="50" w:after="156" w:afterLines="50" w:line="500" w:lineRule="exact"/>
        <w:jc w:val="left"/>
        <w:rPr>
          <w:bCs w:val="0"/>
          <w:color w:val="auto"/>
          <w:kern w:val="0"/>
          <w:sz w:val="32"/>
          <w:lang w:val="zh-CN"/>
        </w:rPr>
      </w:pPr>
      <w:bookmarkStart w:id="57" w:name="_Toc11034"/>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3</w:t>
      </w:r>
      <w:r>
        <w:rPr>
          <w:rFonts w:hint="eastAsia"/>
          <w:bCs w:val="0"/>
          <w:color w:val="auto"/>
          <w:kern w:val="0"/>
          <w:sz w:val="32"/>
          <w:lang w:val="zh-CN"/>
        </w:rPr>
        <w:t>预案演练</w:t>
      </w:r>
      <w:bookmarkEnd w:id="57"/>
    </w:p>
    <w:p>
      <w:pPr>
        <w:widowControl w:val="0"/>
        <w:adjustRightInd/>
        <w:snapToGrid/>
        <w:spacing w:after="0" w:line="500" w:lineRule="exact"/>
        <w:ind w:firstLine="560" w:firstLineChars="200"/>
        <w:jc w:val="both"/>
        <w:rPr>
          <w:rFonts w:hint="default" w:ascii="Times New Roman" w:hAnsi="Times New Roman" w:eastAsia="仿宋" w:cs="Times New Roman"/>
          <w:color w:val="auto"/>
          <w:kern w:val="2"/>
          <w:sz w:val="28"/>
          <w:szCs w:val="24"/>
          <w:lang w:eastAsia="zh-CN"/>
        </w:rPr>
      </w:pPr>
      <w:r>
        <w:rPr>
          <w:rFonts w:hint="eastAsia" w:eastAsia="仿宋_GB2312"/>
          <w:color w:val="auto"/>
          <w:szCs w:val="28"/>
        </w:rPr>
        <w:t>应急指挥办公室应定期组织开展预案应急演练，演练后应及时进行总结评估，完善应急预案。</w:t>
      </w:r>
      <w:r>
        <w:rPr>
          <w:rFonts w:hint="default" w:ascii="Times New Roman" w:hAnsi="Times New Roman" w:eastAsia="仿宋" w:cs="Times New Roman"/>
          <w:color w:val="auto"/>
          <w:kern w:val="2"/>
          <w:sz w:val="28"/>
          <w:szCs w:val="24"/>
          <w:lang w:eastAsia="zh-CN"/>
        </w:rPr>
        <w:t>各</w:t>
      </w:r>
      <w:r>
        <w:rPr>
          <w:rFonts w:hint="eastAsia" w:ascii="Times New Roman" w:hAnsi="Times New Roman" w:cs="Times New Roman"/>
          <w:color w:val="auto"/>
          <w:kern w:val="2"/>
          <w:sz w:val="28"/>
          <w:szCs w:val="24"/>
          <w:lang w:val="en-US" w:eastAsia="zh-CN"/>
        </w:rPr>
        <w:t>团场</w:t>
      </w:r>
      <w:r>
        <w:rPr>
          <w:rFonts w:hint="default" w:ascii="Times New Roman" w:hAnsi="Times New Roman" w:eastAsia="仿宋" w:cs="Times New Roman"/>
          <w:color w:val="auto"/>
          <w:kern w:val="2"/>
          <w:sz w:val="28"/>
          <w:szCs w:val="24"/>
          <w:lang w:eastAsia="zh-CN"/>
        </w:rPr>
        <w:t>（工业园区）和指挥部成员单位应定期组织预案演练，明确演练目的、方式、参与人员、内容、规则以及场景等，重点检验重污染天气预警信息发布、应急响应措施落实、监督检查执行等情况，演练后要及时进行总结评估，提出改进建议，完善应急措施和机制。</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bookmarkStart w:id="58" w:name="_Toc16515"/>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4</w:t>
      </w:r>
      <w:r>
        <w:rPr>
          <w:rFonts w:hint="eastAsia"/>
          <w:bCs w:val="0"/>
          <w:color w:val="auto"/>
          <w:kern w:val="0"/>
          <w:sz w:val="32"/>
          <w:lang w:val="en-US" w:eastAsia="zh-CN"/>
        </w:rPr>
        <w:t>预案备案</w:t>
      </w:r>
      <w:bookmarkEnd w:id="58"/>
    </w:p>
    <w:p>
      <w:pPr>
        <w:widowControl w:val="0"/>
        <w:adjustRightInd/>
        <w:snapToGrid/>
        <w:spacing w:after="0" w:line="500" w:lineRule="exact"/>
        <w:ind w:firstLine="560" w:firstLineChars="200"/>
        <w:jc w:val="both"/>
        <w:rPr>
          <w:rFonts w:hint="default" w:ascii="Times New Roman" w:hAnsi="Times New Roman" w:eastAsia="仿宋" w:cs="Times New Roman"/>
          <w:color w:val="auto"/>
          <w:kern w:val="2"/>
          <w:sz w:val="28"/>
          <w:szCs w:val="24"/>
          <w:lang w:val="en-US" w:eastAsia="zh-CN"/>
        </w:rPr>
      </w:pPr>
      <w:r>
        <w:rPr>
          <w:rFonts w:hint="eastAsia" w:ascii="Times New Roman" w:hAnsi="Times New Roman" w:eastAsia="仿宋" w:cs="Times New Roman"/>
          <w:color w:val="auto"/>
          <w:kern w:val="2"/>
          <w:sz w:val="28"/>
          <w:szCs w:val="24"/>
          <w:lang w:val="en-US" w:eastAsia="zh-CN"/>
        </w:rPr>
        <w:t>预案完成后，经评审，提交上级部门进行备案。</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bookmarkStart w:id="59" w:name="_Toc31149"/>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5</w:t>
      </w:r>
      <w:r>
        <w:rPr>
          <w:rFonts w:hint="eastAsia"/>
          <w:bCs w:val="0"/>
          <w:color w:val="auto"/>
          <w:kern w:val="0"/>
          <w:sz w:val="32"/>
          <w:lang w:val="en-US" w:eastAsia="zh-CN"/>
        </w:rPr>
        <w:t>预案修订</w:t>
      </w:r>
      <w:bookmarkEnd w:id="59"/>
    </w:p>
    <w:p>
      <w:pPr>
        <w:adjustRightInd w:val="0"/>
        <w:snapToGrid w:val="0"/>
        <w:spacing w:line="500" w:lineRule="exact"/>
        <w:ind w:firstLine="560" w:firstLineChars="200"/>
        <w:rPr>
          <w:rFonts w:hint="eastAsia"/>
          <w:lang w:val="en-US" w:eastAsia="zh-CN"/>
        </w:rPr>
      </w:pPr>
      <w:r>
        <w:rPr>
          <w:rFonts w:hint="eastAsia" w:eastAsia="仿宋_GB2312"/>
          <w:color w:val="auto"/>
          <w:szCs w:val="28"/>
        </w:rPr>
        <w:t>本预案由第一师阿拉尔市人民政府办公室批准发布。根据国家环境空气质量标准调整情况、预案实施过程中发现的问题及其他特殊情况，区应急指挥部办公室适时对本预案进行修订和完善。</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bookmarkStart w:id="60" w:name="_Toc17838"/>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6</w:t>
      </w:r>
      <w:r>
        <w:rPr>
          <w:rFonts w:hint="eastAsia"/>
          <w:bCs w:val="0"/>
          <w:color w:val="auto"/>
          <w:kern w:val="0"/>
          <w:sz w:val="32"/>
          <w:lang w:val="en-US" w:eastAsia="zh-CN"/>
        </w:rPr>
        <w:t>预案解释</w:t>
      </w:r>
      <w:bookmarkEnd w:id="60"/>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本预案由第一师生态环境局组织制订，由第一师生态环境局负责解释，根据国家和兵团的相关要求适时开展修订工作。</w:t>
      </w:r>
    </w:p>
    <w:p>
      <w:pPr>
        <w:adjustRightInd w:val="0"/>
        <w:snapToGrid w:val="0"/>
        <w:spacing w:line="500" w:lineRule="exact"/>
        <w:ind w:firstLine="560" w:firstLineChars="200"/>
        <w:rPr>
          <w:rFonts w:hint="eastAsia" w:eastAsia="仿宋_GB2312"/>
          <w:color w:val="auto"/>
          <w:szCs w:val="28"/>
        </w:rPr>
      </w:pPr>
      <w:r>
        <w:rPr>
          <w:rFonts w:hint="eastAsia" w:eastAsia="仿宋_GB2312"/>
          <w:color w:val="auto"/>
          <w:szCs w:val="28"/>
        </w:rPr>
        <w:t>本预案应急减排项目清单由生态环境主管部门根据国家及地方发布的应急减排措施制定技术指南制定。第一师生态环境局每年可根据实际执行情况，对清单进行一次调整。</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bookmarkStart w:id="61" w:name="_Toc4122"/>
      <w:r>
        <w:rPr>
          <w:rFonts w:hint="default"/>
          <w:bCs w:val="0"/>
          <w:color w:val="auto"/>
          <w:kern w:val="0"/>
          <w:sz w:val="32"/>
          <w:lang w:val="en-US"/>
        </w:rPr>
        <w:t>8</w:t>
      </w:r>
      <w:r>
        <w:rPr>
          <w:rFonts w:hint="eastAsia"/>
          <w:bCs w:val="0"/>
          <w:color w:val="auto"/>
          <w:kern w:val="0"/>
          <w:sz w:val="32"/>
          <w:lang w:val="zh-CN"/>
        </w:rPr>
        <w:t>.</w:t>
      </w:r>
      <w:r>
        <w:rPr>
          <w:rFonts w:hint="default"/>
          <w:bCs w:val="0"/>
          <w:color w:val="auto"/>
          <w:kern w:val="0"/>
          <w:sz w:val="32"/>
          <w:lang w:val="en-US"/>
        </w:rPr>
        <w:t>7</w:t>
      </w:r>
      <w:r>
        <w:rPr>
          <w:rFonts w:hint="eastAsia"/>
          <w:bCs w:val="0"/>
          <w:color w:val="auto"/>
          <w:kern w:val="0"/>
          <w:sz w:val="32"/>
          <w:lang w:val="en-US" w:eastAsia="zh-CN"/>
        </w:rPr>
        <w:t>预案实施</w:t>
      </w:r>
      <w:bookmarkEnd w:id="61"/>
    </w:p>
    <w:p>
      <w:pPr>
        <w:adjustRightInd w:val="0"/>
        <w:snapToGrid w:val="0"/>
        <w:spacing w:line="500" w:lineRule="exact"/>
        <w:ind w:firstLine="560" w:firstLineChars="200"/>
        <w:rPr>
          <w:rFonts w:hint="default" w:ascii="Times New Roman" w:hAnsi="Times New Roman" w:eastAsia="仿宋_GB2312" w:cs="Times New Roman"/>
          <w:color w:val="auto"/>
          <w:szCs w:val="28"/>
          <w:lang w:val="en-US" w:eastAsia="zh-CN"/>
        </w:rPr>
      </w:pPr>
      <w:r>
        <w:rPr>
          <w:rFonts w:hint="default" w:ascii="Times New Roman" w:hAnsi="Times New Roman" w:eastAsia="仿宋_GB2312" w:cs="Times New Roman"/>
          <w:color w:val="auto"/>
          <w:szCs w:val="28"/>
          <w:lang w:val="en-US" w:eastAsia="zh-CN"/>
        </w:rPr>
        <w:t>本预案自发布之日起正式实施。</w:t>
      </w:r>
    </w:p>
    <w:p>
      <w:pPr>
        <w:rPr>
          <w:rFonts w:hint="default"/>
          <w:lang w:val="en-US" w:eastAsia="zh-CN"/>
        </w:rPr>
        <w:sectPr>
          <w:pgSz w:w="11906" w:h="16838"/>
          <w:pgMar w:top="1440" w:right="1860" w:bottom="1440" w:left="1800" w:header="851" w:footer="992" w:gutter="0"/>
          <w:cols w:space="425" w:num="1"/>
          <w:docGrid w:type="lines" w:linePitch="312" w:charSpace="0"/>
        </w:sectPr>
      </w:pPr>
    </w:p>
    <w:p>
      <w:pPr>
        <w:pStyle w:val="6"/>
        <w:keepNext w:val="0"/>
        <w:keepLines w:val="0"/>
        <w:spacing w:before="312" w:beforeLines="100" w:after="312" w:afterLines="100" w:line="500" w:lineRule="exact"/>
        <w:jc w:val="left"/>
        <w:rPr>
          <w:color w:val="auto"/>
          <w:kern w:val="0"/>
          <w:sz w:val="36"/>
          <w:szCs w:val="36"/>
        </w:rPr>
      </w:pPr>
      <w:bookmarkStart w:id="62" w:name="_Toc9914"/>
      <w:r>
        <w:rPr>
          <w:rFonts w:hint="default"/>
          <w:color w:val="auto"/>
          <w:kern w:val="0"/>
          <w:sz w:val="36"/>
          <w:szCs w:val="36"/>
          <w:lang w:val="en-US"/>
        </w:rPr>
        <w:t>9</w:t>
      </w:r>
      <w:r>
        <w:rPr>
          <w:rFonts w:hint="eastAsia"/>
          <w:color w:val="auto"/>
          <w:kern w:val="0"/>
          <w:sz w:val="36"/>
          <w:szCs w:val="36"/>
        </w:rPr>
        <w:t>附则</w:t>
      </w:r>
      <w:bookmarkEnd w:id="62"/>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r>
        <w:rPr>
          <w:rFonts w:hint="default"/>
          <w:bCs w:val="0"/>
          <w:color w:val="auto"/>
          <w:kern w:val="0"/>
          <w:sz w:val="32"/>
          <w:lang w:val="en-US" w:eastAsia="zh-CN"/>
        </w:rPr>
        <w:t>9.1</w:t>
      </w:r>
      <w:r>
        <w:rPr>
          <w:rFonts w:hint="eastAsia"/>
          <w:bCs w:val="0"/>
          <w:color w:val="auto"/>
          <w:kern w:val="0"/>
          <w:sz w:val="32"/>
          <w:lang w:val="en-US" w:eastAsia="zh-CN"/>
        </w:rPr>
        <w:t>名词解释</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1.环境空气质量指数</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简称AQI(AirQualityIndex)，是定量描述空气质量状况的无量纲指数。主要包括二氧化硫、二氧化氮、PM</w:t>
      </w:r>
      <w:r>
        <w:rPr>
          <w:rFonts w:hint="eastAsia" w:eastAsia="仿宋_GB2312"/>
          <w:color w:val="auto"/>
          <w:szCs w:val="28"/>
          <w:vertAlign w:val="subscript"/>
        </w:rPr>
        <w:t>10</w:t>
      </w:r>
      <w:r>
        <w:rPr>
          <w:rFonts w:hint="eastAsia" w:eastAsia="仿宋_GB2312"/>
          <w:color w:val="auto"/>
          <w:szCs w:val="28"/>
        </w:rPr>
        <w:t>、PM</w:t>
      </w:r>
      <w:r>
        <w:rPr>
          <w:rFonts w:hint="eastAsia" w:eastAsia="仿宋_GB2312"/>
          <w:color w:val="auto"/>
          <w:szCs w:val="28"/>
          <w:vertAlign w:val="subscript"/>
        </w:rPr>
        <w:t>2.5</w:t>
      </w:r>
      <w:r>
        <w:rPr>
          <w:rFonts w:hint="eastAsia" w:eastAsia="仿宋_GB2312"/>
          <w:color w:val="auto"/>
          <w:szCs w:val="28"/>
        </w:rPr>
        <w:t>、一氧化碳以及臭氧指标。本预案中AQI指全市总体环境空气质量指数日均值。</w:t>
      </w:r>
    </w:p>
    <w:p>
      <w:pPr>
        <w:adjustRightInd w:val="0"/>
        <w:snapToGrid w:val="0"/>
        <w:spacing w:line="500" w:lineRule="exact"/>
        <w:ind w:firstLine="560" w:firstLineChars="200"/>
        <w:rPr>
          <w:rFonts w:eastAsia="仿宋_GB2312"/>
          <w:color w:val="auto"/>
          <w:szCs w:val="28"/>
        </w:rPr>
      </w:pPr>
      <w:r>
        <w:rPr>
          <w:rFonts w:eastAsia="仿宋_GB2312"/>
          <w:color w:val="auto"/>
          <w:szCs w:val="28"/>
        </w:rPr>
        <w:t>2</w:t>
      </w:r>
      <w:r>
        <w:rPr>
          <w:rFonts w:hint="eastAsia" w:eastAsia="仿宋_GB2312"/>
          <w:color w:val="auto"/>
          <w:szCs w:val="28"/>
        </w:rPr>
        <w:t>.挥发性有机物</w:t>
      </w:r>
    </w:p>
    <w:p>
      <w:pPr>
        <w:adjustRightInd w:val="0"/>
        <w:snapToGrid w:val="0"/>
        <w:spacing w:line="500" w:lineRule="exact"/>
        <w:ind w:firstLine="560" w:firstLineChars="200"/>
        <w:rPr>
          <w:rFonts w:eastAsia="仿宋_GB2312"/>
          <w:color w:val="auto"/>
          <w:szCs w:val="28"/>
        </w:rPr>
      </w:pPr>
      <w:r>
        <w:rPr>
          <w:rFonts w:hint="eastAsia" w:eastAsia="仿宋_GB2312"/>
          <w:color w:val="auto"/>
          <w:szCs w:val="28"/>
        </w:rPr>
        <w:t>简称VOCs(VolatileOrganicCompounds)，是指在常温下饱和蒸汽压大于70Pa、常压下沸点在260℃以内的化合物。</w:t>
      </w:r>
    </w:p>
    <w:p>
      <w:pPr>
        <w:widowControl w:val="0"/>
        <w:numPr>
          <w:ilvl w:val="0"/>
          <w:numId w:val="4"/>
        </w:numPr>
        <w:adjustRightInd/>
        <w:snapToGrid/>
        <w:spacing w:after="0" w:line="500" w:lineRule="exact"/>
        <w:ind w:firstLine="560" w:firstLineChars="200"/>
        <w:jc w:val="both"/>
        <w:rPr>
          <w:rFonts w:hint="default" w:ascii="Times New Roman" w:hAnsi="Times New Roman" w:eastAsia="仿宋" w:cs="Times New Roman"/>
          <w:color w:val="0000FF"/>
          <w:kern w:val="2"/>
          <w:sz w:val="28"/>
          <w:szCs w:val="24"/>
          <w:highlight w:val="none"/>
          <w:lang w:val="en-US" w:eastAsia="zh-CN"/>
        </w:rPr>
      </w:pPr>
      <w:r>
        <w:rPr>
          <w:rFonts w:hint="default" w:ascii="Times New Roman" w:hAnsi="Times New Roman" w:eastAsia="仿宋" w:cs="Times New Roman"/>
          <w:color w:val="0000FF"/>
          <w:kern w:val="2"/>
          <w:sz w:val="28"/>
          <w:szCs w:val="24"/>
          <w:highlight w:val="none"/>
          <w:lang w:val="en-US" w:eastAsia="zh-CN"/>
        </w:rPr>
        <w:t>氮氧化物（NOx）：</w:t>
      </w:r>
    </w:p>
    <w:p>
      <w:pPr>
        <w:widowControl w:val="0"/>
        <w:numPr>
          <w:ilvl w:val="0"/>
          <w:numId w:val="0"/>
        </w:numPr>
        <w:adjustRightInd/>
        <w:snapToGrid/>
        <w:spacing w:after="0" w:line="500" w:lineRule="exact"/>
        <w:ind w:firstLine="560" w:firstLineChars="200"/>
        <w:jc w:val="both"/>
        <w:rPr>
          <w:rFonts w:hint="default" w:ascii="Times New Roman" w:hAnsi="Times New Roman" w:eastAsia="仿宋" w:cs="Times New Roman"/>
          <w:color w:val="0000FF"/>
          <w:kern w:val="2"/>
          <w:sz w:val="28"/>
          <w:szCs w:val="24"/>
          <w:highlight w:val="none"/>
          <w:lang w:val="en-US" w:eastAsia="zh-CN"/>
        </w:rPr>
      </w:pPr>
      <w:r>
        <w:rPr>
          <w:rFonts w:hint="default" w:ascii="Times New Roman" w:hAnsi="Times New Roman" w:eastAsia="仿宋" w:cs="Times New Roman"/>
          <w:color w:val="0000FF"/>
          <w:kern w:val="2"/>
          <w:sz w:val="28"/>
          <w:szCs w:val="24"/>
          <w:highlight w:val="none"/>
          <w:lang w:val="en-US" w:eastAsia="zh-CN"/>
        </w:rPr>
        <w:t>指只由氮、氧两种元素组成的化合物，包括多种化合物，如</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"https://baike.baidu.com/item/%E4%B8%80%E6%B0%A7%E5%8C%96%E4%BA%8C%E6%B0%AE/166151?fromModule=lemma_inlink"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一氧化二氮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w:t>
      </w:r>
      <w:r>
        <w:rPr>
          <w:rFonts w:hint="default" w:ascii="Times New Roman" w:hAnsi="Times New Roman" w:eastAsia="仿宋" w:cs="Times New Roman"/>
          <w:color w:val="0000FF"/>
          <w:kern w:val="2"/>
          <w:sz w:val="28"/>
          <w:szCs w:val="24"/>
          <w:highlight w:val="none"/>
          <w:vertAlign w:val="subscript"/>
          <w:lang w:val="en-US" w:eastAsia="zh-CN"/>
        </w:rPr>
        <w:t>2</w:t>
      </w:r>
      <w:r>
        <w:rPr>
          <w:rFonts w:hint="default" w:ascii="Times New Roman" w:hAnsi="Times New Roman" w:eastAsia="仿宋" w:cs="Times New Roman"/>
          <w:color w:val="0000FF"/>
          <w:kern w:val="2"/>
          <w:sz w:val="28"/>
          <w:szCs w:val="24"/>
          <w:highlight w:val="none"/>
          <w:lang w:val="en-US" w:eastAsia="zh-CN"/>
        </w:rPr>
        <w:t>O）、</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"https://baike.baidu.com/item/%E4%B8%80%E6%B0%A7%E5%8C%96%E6%B0%AE/1403234?fromModule=lemma_inlink"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一氧化氮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（NO）、</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"https://baike.baidu.com/item/%E4%BA%8C%E6%B0%A7%E5%8C%96%E6%B0%AE/1403762?fromModule=lemma_inlink"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二氧化氮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（NO</w:t>
      </w:r>
      <w:r>
        <w:rPr>
          <w:rFonts w:hint="default" w:ascii="Times New Roman" w:hAnsi="Times New Roman" w:eastAsia="仿宋" w:cs="Times New Roman"/>
          <w:color w:val="0000FF"/>
          <w:kern w:val="2"/>
          <w:sz w:val="28"/>
          <w:szCs w:val="24"/>
          <w:highlight w:val="none"/>
          <w:vertAlign w:val="subscript"/>
          <w:lang w:val="en-US" w:eastAsia="zh-CN"/>
        </w:rPr>
        <w:t>2</w:t>
      </w:r>
      <w:r>
        <w:rPr>
          <w:rFonts w:hint="default" w:ascii="Times New Roman" w:hAnsi="Times New Roman" w:eastAsia="仿宋" w:cs="Times New Roman"/>
          <w:color w:val="0000FF"/>
          <w:kern w:val="2"/>
          <w:sz w:val="28"/>
          <w:szCs w:val="24"/>
          <w:highlight w:val="none"/>
          <w:lang w:val="en-US" w:eastAsia="zh-CN"/>
        </w:rPr>
        <w:t>）、</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"https://baike.baidu.com/item/%E4%B8%89%E6%B0%A7%E5%8C%96%E4%BA%8C%E6%B0%AE/2311279?fromModule=lemma_inlink"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三氧化二氮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w:t>
      </w:r>
      <w:r>
        <w:rPr>
          <w:rFonts w:hint="default" w:ascii="Times New Roman" w:hAnsi="Times New Roman" w:eastAsia="仿宋" w:cs="Times New Roman"/>
          <w:color w:val="0000FF"/>
          <w:kern w:val="2"/>
          <w:sz w:val="28"/>
          <w:szCs w:val="24"/>
          <w:highlight w:val="none"/>
          <w:vertAlign w:val="subscript"/>
          <w:lang w:val="en-US" w:eastAsia="zh-CN"/>
        </w:rPr>
        <w:t>2</w:t>
      </w:r>
      <w:r>
        <w:rPr>
          <w:rFonts w:hint="default" w:ascii="Times New Roman" w:hAnsi="Times New Roman" w:eastAsia="仿宋" w:cs="Times New Roman"/>
          <w:color w:val="0000FF"/>
          <w:kern w:val="2"/>
          <w:sz w:val="28"/>
          <w:szCs w:val="24"/>
          <w:highlight w:val="none"/>
          <w:lang w:val="en-US" w:eastAsia="zh-CN"/>
        </w:rPr>
        <w:t>O</w:t>
      </w:r>
      <w:r>
        <w:rPr>
          <w:rFonts w:hint="default" w:ascii="Times New Roman" w:hAnsi="Times New Roman" w:eastAsia="仿宋" w:cs="Times New Roman"/>
          <w:color w:val="0000FF"/>
          <w:kern w:val="2"/>
          <w:sz w:val="28"/>
          <w:szCs w:val="24"/>
          <w:highlight w:val="none"/>
          <w:vertAlign w:val="subscript"/>
          <w:lang w:val="en-US" w:eastAsia="zh-CN"/>
        </w:rPr>
        <w:t>3</w:t>
      </w:r>
      <w:r>
        <w:rPr>
          <w:rFonts w:hint="default" w:ascii="Times New Roman" w:hAnsi="Times New Roman" w:eastAsia="仿宋" w:cs="Times New Roman"/>
          <w:color w:val="0000FF"/>
          <w:kern w:val="2"/>
          <w:sz w:val="28"/>
          <w:szCs w:val="24"/>
          <w:highlight w:val="none"/>
          <w:lang w:val="en-US" w:eastAsia="zh-CN"/>
        </w:rPr>
        <w:t>）、</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"https://baike.baidu.com/item/%E5%9B%9B%E6%B0%A7%E5%8C%96%E4%BA%8C%E6%B0%AE/6632280?fromModule=lemma_inlink"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四氧化二氮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w:t>
      </w:r>
      <w:r>
        <w:rPr>
          <w:rFonts w:hint="default" w:ascii="Times New Roman" w:hAnsi="Times New Roman" w:eastAsia="仿宋" w:cs="Times New Roman"/>
          <w:color w:val="0000FF"/>
          <w:kern w:val="2"/>
          <w:sz w:val="28"/>
          <w:szCs w:val="24"/>
          <w:highlight w:val="none"/>
          <w:vertAlign w:val="subscript"/>
          <w:lang w:val="en-US" w:eastAsia="zh-CN"/>
        </w:rPr>
        <w:t>2</w:t>
      </w:r>
      <w:r>
        <w:rPr>
          <w:rFonts w:hint="default" w:ascii="Times New Roman" w:hAnsi="Times New Roman" w:eastAsia="仿宋" w:cs="Times New Roman"/>
          <w:color w:val="0000FF"/>
          <w:kern w:val="2"/>
          <w:sz w:val="28"/>
          <w:szCs w:val="24"/>
          <w:highlight w:val="none"/>
          <w:lang w:val="en-US" w:eastAsia="zh-CN"/>
        </w:rPr>
        <w:t>O</w:t>
      </w:r>
      <w:r>
        <w:rPr>
          <w:rFonts w:hint="default" w:ascii="Times New Roman" w:hAnsi="Times New Roman" w:eastAsia="仿宋" w:cs="Times New Roman"/>
          <w:color w:val="0000FF"/>
          <w:kern w:val="2"/>
          <w:sz w:val="28"/>
          <w:szCs w:val="24"/>
          <w:highlight w:val="none"/>
          <w:vertAlign w:val="subscript"/>
          <w:lang w:val="en-US" w:eastAsia="zh-CN"/>
        </w:rPr>
        <w:t>4</w:t>
      </w:r>
      <w:r>
        <w:rPr>
          <w:rFonts w:hint="default" w:ascii="Times New Roman" w:hAnsi="Times New Roman" w:eastAsia="仿宋" w:cs="Times New Roman"/>
          <w:color w:val="0000FF"/>
          <w:kern w:val="2"/>
          <w:sz w:val="28"/>
          <w:szCs w:val="24"/>
          <w:highlight w:val="none"/>
          <w:lang w:val="en-US" w:eastAsia="zh-CN"/>
        </w:rPr>
        <w:t>）和</w:t>
      </w:r>
      <w:r>
        <w:rPr>
          <w:rFonts w:hint="default" w:ascii="Times New Roman" w:hAnsi="Times New Roman" w:eastAsia="仿宋" w:cs="Times New Roman"/>
          <w:color w:val="0000FF"/>
          <w:kern w:val="2"/>
          <w:sz w:val="28"/>
          <w:szCs w:val="24"/>
          <w:highlight w:val="none"/>
          <w:lang w:val="en-US" w:eastAsia="zh-CN"/>
        </w:rPr>
        <w:fldChar w:fldCharType="begin"/>
      </w:r>
      <w:r>
        <w:rPr>
          <w:rFonts w:hint="default" w:ascii="Times New Roman" w:hAnsi="Times New Roman" w:eastAsia="仿宋" w:cs="Times New Roman"/>
          <w:color w:val="0000FF"/>
          <w:kern w:val="2"/>
          <w:sz w:val="28"/>
          <w:szCs w:val="24"/>
          <w:highlight w:val="none"/>
          <w:lang w:val="en-US" w:eastAsia="zh-CN"/>
        </w:rPr>
        <w:instrText xml:space="preserve"> HYPERLINK "https://baike.baidu.com/item/%E4%BA%94%E6%B0%A7%E5%8C%96%E4%BA%8C%E6%B0%AE/1058975?fromModule=lemma_inlink" \t "https://baike.baidu.com/item/%E6%B0%AE%E6%B0%A7%E5%8C%96%E7%89%A9/_blank" </w:instrText>
      </w:r>
      <w:r>
        <w:rPr>
          <w:rFonts w:hint="default" w:ascii="Times New Roman" w:hAnsi="Times New Roman" w:eastAsia="仿宋" w:cs="Times New Roman"/>
          <w:color w:val="0000FF"/>
          <w:kern w:val="2"/>
          <w:sz w:val="28"/>
          <w:szCs w:val="24"/>
          <w:highlight w:val="none"/>
          <w:lang w:val="en-US" w:eastAsia="zh-CN"/>
        </w:rPr>
        <w:fldChar w:fldCharType="separate"/>
      </w:r>
      <w:r>
        <w:rPr>
          <w:rFonts w:hint="default" w:ascii="Times New Roman" w:hAnsi="Times New Roman" w:eastAsia="仿宋" w:cs="Times New Roman"/>
          <w:color w:val="0000FF"/>
          <w:kern w:val="2"/>
          <w:sz w:val="28"/>
          <w:szCs w:val="24"/>
          <w:highlight w:val="none"/>
          <w:lang w:val="en-US" w:eastAsia="zh-CN"/>
        </w:rPr>
        <w:t>五氧化二氮</w:t>
      </w:r>
      <w:r>
        <w:rPr>
          <w:rFonts w:hint="default" w:ascii="Times New Roman" w:hAnsi="Times New Roman" w:eastAsia="仿宋" w:cs="Times New Roman"/>
          <w:color w:val="0000FF"/>
          <w:kern w:val="2"/>
          <w:sz w:val="28"/>
          <w:szCs w:val="24"/>
          <w:highlight w:val="none"/>
          <w:lang w:val="en-US" w:eastAsia="zh-CN"/>
        </w:rPr>
        <w:fldChar w:fldCharType="end"/>
      </w:r>
      <w:r>
        <w:rPr>
          <w:rFonts w:hint="default" w:ascii="Times New Roman" w:hAnsi="Times New Roman" w:eastAsia="仿宋" w:cs="Times New Roman"/>
          <w:color w:val="0000FF"/>
          <w:kern w:val="2"/>
          <w:sz w:val="28"/>
          <w:szCs w:val="24"/>
          <w:highlight w:val="none"/>
          <w:lang w:val="en-US" w:eastAsia="zh-CN"/>
        </w:rPr>
        <w:t>（N</w:t>
      </w:r>
      <w:r>
        <w:rPr>
          <w:rFonts w:hint="default" w:ascii="Times New Roman" w:hAnsi="Times New Roman" w:eastAsia="仿宋" w:cs="Times New Roman"/>
          <w:color w:val="0000FF"/>
          <w:kern w:val="2"/>
          <w:sz w:val="28"/>
          <w:szCs w:val="24"/>
          <w:highlight w:val="none"/>
          <w:vertAlign w:val="subscript"/>
          <w:lang w:val="en-US" w:eastAsia="zh-CN"/>
        </w:rPr>
        <w:t>2</w:t>
      </w:r>
      <w:r>
        <w:rPr>
          <w:rFonts w:hint="default" w:ascii="Times New Roman" w:hAnsi="Times New Roman" w:eastAsia="仿宋" w:cs="Times New Roman"/>
          <w:color w:val="0000FF"/>
          <w:kern w:val="2"/>
          <w:sz w:val="28"/>
          <w:szCs w:val="24"/>
          <w:highlight w:val="none"/>
          <w:lang w:val="en-US" w:eastAsia="zh-CN"/>
        </w:rPr>
        <w:t>O</w:t>
      </w:r>
      <w:r>
        <w:rPr>
          <w:rFonts w:hint="default" w:ascii="Times New Roman" w:hAnsi="Times New Roman" w:eastAsia="仿宋" w:cs="Times New Roman"/>
          <w:color w:val="0000FF"/>
          <w:kern w:val="2"/>
          <w:sz w:val="28"/>
          <w:szCs w:val="24"/>
          <w:highlight w:val="none"/>
          <w:vertAlign w:val="subscript"/>
          <w:lang w:val="en-US" w:eastAsia="zh-CN"/>
        </w:rPr>
        <w:t>5</w:t>
      </w:r>
      <w:r>
        <w:rPr>
          <w:rFonts w:hint="default" w:ascii="Times New Roman" w:hAnsi="Times New Roman" w:eastAsia="仿宋" w:cs="Times New Roman"/>
          <w:color w:val="0000FF"/>
          <w:kern w:val="2"/>
          <w:sz w:val="28"/>
          <w:szCs w:val="24"/>
          <w:highlight w:val="none"/>
          <w:lang w:val="en-US" w:eastAsia="zh-CN"/>
        </w:rPr>
        <w:t>）等。</w:t>
      </w:r>
    </w:p>
    <w:p>
      <w:pPr>
        <w:numPr>
          <w:ilvl w:val="0"/>
          <w:numId w:val="4"/>
        </w:numPr>
        <w:adjustRightInd w:val="0"/>
        <w:snapToGrid w:val="0"/>
        <w:spacing w:line="500" w:lineRule="exact"/>
        <w:ind w:left="0" w:leftChars="0" w:firstLine="560" w:firstLineChars="200"/>
        <w:rPr>
          <w:rFonts w:hint="eastAsia" w:eastAsia="仿宋_GB2312"/>
          <w:color w:val="auto"/>
          <w:szCs w:val="28"/>
        </w:rPr>
      </w:pPr>
      <w:r>
        <w:rPr>
          <w:rFonts w:hint="eastAsia" w:eastAsia="仿宋_GB2312"/>
          <w:color w:val="auto"/>
          <w:szCs w:val="28"/>
        </w:rPr>
        <w:t>本预案中对数量的表述，所称“以上”、“以下”均不含本数。</w:t>
      </w:r>
      <w:bookmarkEnd w:id="40"/>
      <w:bookmarkEnd w:id="41"/>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r>
        <w:rPr>
          <w:rFonts w:hint="default"/>
          <w:bCs w:val="0"/>
          <w:color w:val="auto"/>
          <w:kern w:val="0"/>
          <w:sz w:val="32"/>
          <w:lang w:val="en-US" w:eastAsia="zh-CN"/>
        </w:rPr>
        <w:t>9</w:t>
      </w:r>
      <w:r>
        <w:rPr>
          <w:rFonts w:hint="eastAsia"/>
          <w:bCs w:val="0"/>
          <w:color w:val="auto"/>
          <w:kern w:val="0"/>
          <w:sz w:val="32"/>
          <w:lang w:val="en-US" w:eastAsia="zh-CN"/>
        </w:rPr>
        <w:t>.2预案解释</w:t>
      </w:r>
    </w:p>
    <w:p>
      <w:pPr>
        <w:numPr>
          <w:ilvl w:val="0"/>
          <w:numId w:val="0"/>
        </w:numPr>
        <w:adjustRightInd w:val="0"/>
        <w:snapToGrid w:val="0"/>
        <w:spacing w:line="500" w:lineRule="exact"/>
        <w:ind w:leftChars="200"/>
        <w:rPr>
          <w:rFonts w:hint="eastAsia" w:eastAsia="仿宋_GB2312"/>
          <w:color w:val="auto"/>
          <w:szCs w:val="28"/>
        </w:rPr>
      </w:pPr>
      <w:r>
        <w:rPr>
          <w:rFonts w:hint="eastAsia" w:eastAsia="仿宋_GB2312"/>
          <w:color w:val="auto"/>
          <w:szCs w:val="28"/>
        </w:rPr>
        <w:t>本预案由第</w:t>
      </w:r>
      <w:r>
        <w:rPr>
          <w:rFonts w:hint="eastAsia" w:eastAsia="仿宋_GB2312"/>
          <w:color w:val="auto"/>
          <w:szCs w:val="28"/>
          <w:lang w:val="en-US" w:eastAsia="zh-CN"/>
        </w:rPr>
        <w:t>一</w:t>
      </w:r>
      <w:r>
        <w:rPr>
          <w:rFonts w:hint="eastAsia" w:eastAsia="仿宋_GB2312"/>
          <w:color w:val="auto"/>
          <w:szCs w:val="28"/>
        </w:rPr>
        <w:t>师重污染天气应急指挥部办公室负责解释。</w:t>
      </w:r>
    </w:p>
    <w:p>
      <w:pPr>
        <w:pStyle w:val="7"/>
        <w:keepNext w:val="0"/>
        <w:keepLines w:val="0"/>
        <w:topLinePunct/>
        <w:spacing w:before="156" w:beforeLines="50" w:after="156" w:afterLines="50" w:line="500" w:lineRule="exact"/>
        <w:jc w:val="left"/>
        <w:rPr>
          <w:rFonts w:hint="eastAsia"/>
          <w:bCs w:val="0"/>
          <w:color w:val="auto"/>
          <w:kern w:val="0"/>
          <w:sz w:val="32"/>
          <w:lang w:val="en-US" w:eastAsia="zh-CN"/>
        </w:rPr>
      </w:pPr>
      <w:r>
        <w:rPr>
          <w:rFonts w:hint="default"/>
          <w:bCs w:val="0"/>
          <w:color w:val="auto"/>
          <w:kern w:val="0"/>
          <w:sz w:val="32"/>
          <w:lang w:val="en-US" w:eastAsia="zh-CN"/>
        </w:rPr>
        <w:t>9</w:t>
      </w:r>
      <w:r>
        <w:rPr>
          <w:rFonts w:hint="eastAsia"/>
          <w:bCs w:val="0"/>
          <w:color w:val="auto"/>
          <w:kern w:val="0"/>
          <w:sz w:val="32"/>
          <w:lang w:val="en-US" w:eastAsia="zh-CN"/>
        </w:rPr>
        <w:t>.3实施时间</w:t>
      </w:r>
    </w:p>
    <w:p>
      <w:pPr>
        <w:numPr>
          <w:ilvl w:val="0"/>
          <w:numId w:val="0"/>
        </w:numPr>
        <w:adjustRightInd w:val="0"/>
        <w:snapToGrid w:val="0"/>
        <w:spacing w:line="500" w:lineRule="exact"/>
        <w:ind w:leftChars="200"/>
        <w:rPr>
          <w:rFonts w:hint="eastAsia" w:eastAsia="仿宋_GB2312"/>
          <w:color w:val="auto"/>
          <w:szCs w:val="28"/>
        </w:rPr>
      </w:pPr>
      <w:r>
        <w:rPr>
          <w:rFonts w:hint="eastAsia" w:eastAsia="仿宋_GB2312"/>
          <w:color w:val="auto"/>
          <w:szCs w:val="28"/>
        </w:rPr>
        <w:t>本预案自发布之日起实施。</w:t>
      </w:r>
    </w:p>
    <w:p>
      <w:pPr>
        <w:pStyle w:val="2"/>
        <w:numPr>
          <w:ilvl w:val="0"/>
          <w:numId w:val="0"/>
        </w:numPr>
        <w:ind w:leftChars="200"/>
      </w:pPr>
    </w:p>
    <w:sectPr>
      <w:pgSz w:w="11906" w:h="16838"/>
      <w:pgMar w:top="1440" w:right="186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4"/>
                            <w:snapToGrid/>
                            <w:jc w:val="center"/>
                          </w:pPr>
                          <w:r>
                            <w:fldChar w:fldCharType="begin"/>
                          </w:r>
                          <w:r>
                            <w:instrText xml:space="preserve">PAGE   \* MERGEFORMAT</w:instrText>
                          </w:r>
                          <w:r>
                            <w:fldChar w:fldCharType="separate"/>
                          </w:r>
                          <w:r>
                            <w:rPr>
                              <w:lang w:val="zh-CN"/>
                            </w:rPr>
                            <w:t>-</w:t>
                          </w:r>
                          <w:r>
                            <w:t xml:space="preserve">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24"/>
                      <w:snapToGrid/>
                      <w:jc w:val="center"/>
                    </w:pPr>
                    <w:r>
                      <w:fldChar w:fldCharType="begin"/>
                    </w:r>
                    <w:r>
                      <w:instrText xml:space="preserve">PAGE   \* MERGEFORMAT</w:instrText>
                    </w:r>
                    <w:r>
                      <w:fldChar w:fldCharType="separate"/>
                    </w:r>
                    <w:r>
                      <w:rPr>
                        <w:lang w:val="zh-CN"/>
                      </w:rPr>
                      <w:t>-</w:t>
                    </w:r>
                    <w:r>
                      <w:t xml:space="preserve">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4" w:space="1"/>
      </w:pBdr>
      <w:rPr>
        <w:sz w:val="21"/>
        <w:szCs w:val="21"/>
      </w:rPr>
    </w:pPr>
    <w:r>
      <w:rPr>
        <w:rFonts w:hint="eastAsia"/>
        <w:sz w:val="21"/>
        <w:szCs w:val="21"/>
      </w:rPr>
      <w:t>第一师阿拉尔市重污染天气应急预案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7CFA9"/>
    <w:multiLevelType w:val="singleLevel"/>
    <w:tmpl w:val="86B7CFA9"/>
    <w:lvl w:ilvl="0" w:tentative="0">
      <w:start w:val="3"/>
      <w:numFmt w:val="decimal"/>
      <w:lvlText w:val="%1."/>
      <w:lvlJc w:val="left"/>
      <w:pPr>
        <w:tabs>
          <w:tab w:val="left" w:pos="312"/>
        </w:tabs>
      </w:pPr>
    </w:lvl>
  </w:abstractNum>
  <w:abstractNum w:abstractNumId="1">
    <w:nsid w:val="DA866E62"/>
    <w:multiLevelType w:val="singleLevel"/>
    <w:tmpl w:val="DA866E62"/>
    <w:lvl w:ilvl="0" w:tentative="0">
      <w:start w:val="1"/>
      <w:numFmt w:val="decimal"/>
      <w:suff w:val="nothing"/>
      <w:lvlText w:val="（%1）"/>
      <w:lvlJc w:val="left"/>
    </w:lvl>
  </w:abstractNum>
  <w:abstractNum w:abstractNumId="2">
    <w:nsid w:val="EA3556C1"/>
    <w:multiLevelType w:val="singleLevel"/>
    <w:tmpl w:val="EA3556C1"/>
    <w:lvl w:ilvl="0" w:tentative="0">
      <w:start w:val="1"/>
      <w:numFmt w:val="decimal"/>
      <w:suff w:val="nothing"/>
      <w:lvlText w:val="（%1）"/>
      <w:lvlJc w:val="left"/>
    </w:lvl>
  </w:abstractNum>
  <w:abstractNum w:abstractNumId="3">
    <w:nsid w:val="054C778C"/>
    <w:multiLevelType w:val="singleLevel"/>
    <w:tmpl w:val="054C778C"/>
    <w:lvl w:ilvl="0" w:tentative="0">
      <w:start w:val="4"/>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zODdhZDFmYzk5ODE2MmE3OTk4OTBkMjc2NjcxZTIifQ=="/>
  </w:docVars>
  <w:rsids>
    <w:rsidRoot w:val="00D06D46"/>
    <w:rsid w:val="00041248"/>
    <w:rsid w:val="00381559"/>
    <w:rsid w:val="004A4054"/>
    <w:rsid w:val="004C4A6E"/>
    <w:rsid w:val="00AD21B3"/>
    <w:rsid w:val="00D06D46"/>
    <w:rsid w:val="00E10EBB"/>
    <w:rsid w:val="00F31F1A"/>
    <w:rsid w:val="02DB7E3E"/>
    <w:rsid w:val="04467741"/>
    <w:rsid w:val="087738AC"/>
    <w:rsid w:val="0C5B1AAC"/>
    <w:rsid w:val="0E89282B"/>
    <w:rsid w:val="0EE266BA"/>
    <w:rsid w:val="0EEB3457"/>
    <w:rsid w:val="0F0E473E"/>
    <w:rsid w:val="124A069A"/>
    <w:rsid w:val="13FB50B5"/>
    <w:rsid w:val="146A6A7C"/>
    <w:rsid w:val="19A459D1"/>
    <w:rsid w:val="1A8B6195"/>
    <w:rsid w:val="1B0D48B9"/>
    <w:rsid w:val="1BD26433"/>
    <w:rsid w:val="1BDD66D3"/>
    <w:rsid w:val="1C3761BD"/>
    <w:rsid w:val="273C13DB"/>
    <w:rsid w:val="29A04A05"/>
    <w:rsid w:val="29FE1D04"/>
    <w:rsid w:val="2AD35F44"/>
    <w:rsid w:val="31792877"/>
    <w:rsid w:val="3286121F"/>
    <w:rsid w:val="354344AA"/>
    <w:rsid w:val="383B7E4B"/>
    <w:rsid w:val="3CB02131"/>
    <w:rsid w:val="3D2D5327"/>
    <w:rsid w:val="40E611BA"/>
    <w:rsid w:val="41D62E3D"/>
    <w:rsid w:val="420A2928"/>
    <w:rsid w:val="4485770B"/>
    <w:rsid w:val="4900741C"/>
    <w:rsid w:val="4EAB1100"/>
    <w:rsid w:val="4F7A1A84"/>
    <w:rsid w:val="514C1BBC"/>
    <w:rsid w:val="515E70CD"/>
    <w:rsid w:val="51DF5F47"/>
    <w:rsid w:val="55473C9C"/>
    <w:rsid w:val="558E3384"/>
    <w:rsid w:val="567836F7"/>
    <w:rsid w:val="576C266E"/>
    <w:rsid w:val="57967EFB"/>
    <w:rsid w:val="5AA75857"/>
    <w:rsid w:val="5D397E27"/>
    <w:rsid w:val="61AE7262"/>
    <w:rsid w:val="62407496"/>
    <w:rsid w:val="63D24E23"/>
    <w:rsid w:val="647D38E1"/>
    <w:rsid w:val="6C047412"/>
    <w:rsid w:val="6C23383D"/>
    <w:rsid w:val="71C31235"/>
    <w:rsid w:val="73490EAB"/>
    <w:rsid w:val="766B2DE1"/>
    <w:rsid w:val="7705360E"/>
    <w:rsid w:val="79745486"/>
    <w:rsid w:val="7999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2"/>
      <w:lang w:val="en-US" w:eastAsia="zh-CN" w:bidi="ar-SA"/>
    </w:rPr>
  </w:style>
  <w:style w:type="paragraph" w:styleId="6">
    <w:name w:val="heading 1"/>
    <w:basedOn w:val="1"/>
    <w:next w:val="1"/>
    <w:link w:val="47"/>
    <w:qFormat/>
    <w:uiPriority w:val="9"/>
    <w:pPr>
      <w:keepNext/>
      <w:keepLines/>
      <w:spacing w:line="360" w:lineRule="auto"/>
      <w:outlineLvl w:val="0"/>
    </w:pPr>
    <w:rPr>
      <w:b/>
      <w:bCs/>
      <w:kern w:val="44"/>
      <w:sz w:val="32"/>
      <w:szCs w:val="44"/>
    </w:rPr>
  </w:style>
  <w:style w:type="paragraph" w:styleId="7">
    <w:name w:val="heading 2"/>
    <w:basedOn w:val="1"/>
    <w:next w:val="1"/>
    <w:link w:val="48"/>
    <w:qFormat/>
    <w:uiPriority w:val="9"/>
    <w:pPr>
      <w:keepNext/>
      <w:keepLines/>
      <w:spacing w:line="360" w:lineRule="auto"/>
      <w:outlineLvl w:val="1"/>
    </w:pPr>
    <w:rPr>
      <w:b/>
      <w:bCs/>
      <w:sz w:val="30"/>
      <w:szCs w:val="32"/>
    </w:rPr>
  </w:style>
  <w:style w:type="paragraph" w:styleId="8">
    <w:name w:val="heading 3"/>
    <w:basedOn w:val="1"/>
    <w:next w:val="1"/>
    <w:link w:val="49"/>
    <w:qFormat/>
    <w:uiPriority w:val="9"/>
    <w:pPr>
      <w:keepNext/>
      <w:keepLines/>
      <w:spacing w:line="360" w:lineRule="auto"/>
      <w:outlineLvl w:val="2"/>
    </w:pPr>
    <w:rPr>
      <w:b/>
      <w:bCs/>
      <w:szCs w:val="32"/>
    </w:rPr>
  </w:style>
  <w:style w:type="paragraph" w:styleId="9">
    <w:name w:val="heading 4"/>
    <w:basedOn w:val="1"/>
    <w:next w:val="1"/>
    <w:link w:val="50"/>
    <w:qFormat/>
    <w:uiPriority w:val="9"/>
    <w:pPr>
      <w:keepNext/>
      <w:keepLines/>
      <w:spacing w:line="360" w:lineRule="auto"/>
      <w:outlineLvl w:val="3"/>
    </w:pPr>
    <w:rPr>
      <w:b/>
      <w:bCs/>
      <w:szCs w:val="28"/>
    </w:rPr>
  </w:style>
  <w:style w:type="paragraph" w:styleId="10">
    <w:name w:val="heading 5"/>
    <w:basedOn w:val="1"/>
    <w:next w:val="1"/>
    <w:link w:val="51"/>
    <w:qFormat/>
    <w:uiPriority w:val="9"/>
    <w:pPr>
      <w:keepNext/>
      <w:keepLines/>
      <w:spacing w:line="360" w:lineRule="auto"/>
      <w:outlineLvl w:val="4"/>
    </w:pPr>
    <w:rPr>
      <w:b/>
      <w:bCs/>
      <w:szCs w:val="28"/>
    </w:rPr>
  </w:style>
  <w:style w:type="paragraph" w:styleId="11">
    <w:name w:val="heading 8"/>
    <w:basedOn w:val="1"/>
    <w:next w:val="1"/>
    <w:link w:val="52"/>
    <w:qFormat/>
    <w:uiPriority w:val="9"/>
    <w:pPr>
      <w:keepNext/>
      <w:keepLines/>
      <w:spacing w:before="240" w:after="64" w:line="320" w:lineRule="auto"/>
      <w:outlineLvl w:val="7"/>
    </w:pPr>
    <w:rPr>
      <w:rFonts w:ascii="Calibri Light" w:hAnsi="Calibri Light" w:eastAsia="宋体"/>
      <w:sz w:val="24"/>
      <w:szCs w:val="24"/>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63"/>
    <w:qFormat/>
    <w:uiPriority w:val="0"/>
    <w:rPr>
      <w:szCs w:val="20"/>
    </w:rPr>
  </w:style>
  <w:style w:type="paragraph" w:styleId="3">
    <w:name w:val="Body Text Indent"/>
    <w:basedOn w:val="1"/>
    <w:link w:val="56"/>
    <w:unhideWhenUsed/>
    <w:qFormat/>
    <w:uiPriority w:val="99"/>
    <w:pPr>
      <w:spacing w:after="120"/>
      <w:ind w:left="420" w:leftChars="200"/>
    </w:pPr>
  </w:style>
  <w:style w:type="paragraph" w:styleId="4">
    <w:name w:val="Body Text First Indent"/>
    <w:basedOn w:val="5"/>
    <w:link w:val="62"/>
    <w:unhideWhenUsed/>
    <w:qFormat/>
    <w:uiPriority w:val="99"/>
    <w:pPr>
      <w:autoSpaceDE/>
      <w:autoSpaceDN/>
      <w:snapToGrid w:val="0"/>
      <w:spacing w:after="120" w:line="540" w:lineRule="exact"/>
      <w:ind w:firstLine="420" w:firstLineChars="100"/>
    </w:pPr>
    <w:rPr>
      <w:rFonts w:cs="Times New Roman"/>
      <w:kern w:val="2"/>
      <w:szCs w:val="22"/>
    </w:rPr>
  </w:style>
  <w:style w:type="paragraph" w:styleId="5">
    <w:name w:val="Body Text"/>
    <w:basedOn w:val="1"/>
    <w:next w:val="2"/>
    <w:link w:val="55"/>
    <w:qFormat/>
    <w:uiPriority w:val="1"/>
    <w:pPr>
      <w:autoSpaceDE w:val="0"/>
      <w:autoSpaceDN w:val="0"/>
      <w:spacing w:line="360" w:lineRule="auto"/>
    </w:pPr>
    <w:rPr>
      <w:rFonts w:cs="宋体"/>
      <w:kern w:val="0"/>
      <w:szCs w:val="28"/>
    </w:rPr>
  </w:style>
  <w:style w:type="paragraph" w:styleId="12">
    <w:name w:val="toc 7"/>
    <w:basedOn w:val="1"/>
    <w:next w:val="1"/>
    <w:unhideWhenUsed/>
    <w:qFormat/>
    <w:uiPriority w:val="39"/>
    <w:pPr>
      <w:ind w:left="2520" w:leftChars="1200"/>
    </w:pPr>
    <w:rPr>
      <w:rFonts w:ascii="Calibri" w:hAnsi="Calibri" w:eastAsia="宋体"/>
      <w:sz w:val="21"/>
    </w:rPr>
  </w:style>
  <w:style w:type="paragraph" w:styleId="13">
    <w:name w:val="Normal Indent"/>
    <w:basedOn w:val="1"/>
    <w:qFormat/>
    <w:uiPriority w:val="0"/>
    <w:pPr>
      <w:ind w:firstLine="420" w:firstLineChars="200"/>
    </w:pPr>
    <w:rPr>
      <w:rFonts w:eastAsia="宋体"/>
      <w:sz w:val="21"/>
      <w:szCs w:val="24"/>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53"/>
    <w:semiHidden/>
    <w:qFormat/>
    <w:uiPriority w:val="0"/>
    <w:pPr>
      <w:shd w:val="clear" w:color="auto" w:fill="000080"/>
    </w:pPr>
    <w:rPr>
      <w:rFonts w:ascii="Calibri" w:hAnsi="Calibri" w:eastAsia="宋体"/>
      <w:sz w:val="21"/>
      <w:szCs w:val="24"/>
    </w:rPr>
  </w:style>
  <w:style w:type="paragraph" w:styleId="16">
    <w:name w:val="annotation text"/>
    <w:basedOn w:val="1"/>
    <w:link w:val="54"/>
    <w:unhideWhenUsed/>
    <w:qFormat/>
    <w:uiPriority w:val="99"/>
    <w:pPr>
      <w:jc w:val="left"/>
    </w:pPr>
  </w:style>
  <w:style w:type="paragraph" w:styleId="17">
    <w:name w:val="List Bullet 3"/>
    <w:basedOn w:val="1"/>
    <w:qFormat/>
    <w:uiPriority w:val="0"/>
    <w:pPr>
      <w:tabs>
        <w:tab w:val="left" w:pos="1200"/>
        <w:tab w:val="left" w:pos="1770"/>
      </w:tabs>
      <w:ind w:left="1200" w:leftChars="400" w:hanging="360" w:hangingChars="200"/>
    </w:pPr>
    <w:rPr>
      <w:rFonts w:eastAsia="宋体"/>
      <w:sz w:val="21"/>
      <w:szCs w:val="21"/>
    </w:rPr>
  </w:style>
  <w:style w:type="paragraph" w:styleId="18">
    <w:name w:val="toc 5"/>
    <w:basedOn w:val="1"/>
    <w:next w:val="1"/>
    <w:unhideWhenUsed/>
    <w:qFormat/>
    <w:uiPriority w:val="39"/>
    <w:pPr>
      <w:ind w:left="1680" w:leftChars="800"/>
    </w:pPr>
    <w:rPr>
      <w:rFonts w:ascii="Calibri" w:hAnsi="Calibri" w:eastAsia="宋体"/>
      <w:sz w:val="21"/>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Calibri" w:hAnsi="Calibri" w:eastAsia="宋体"/>
      <w:szCs w:val="28"/>
    </w:rPr>
  </w:style>
  <w:style w:type="paragraph" w:styleId="21">
    <w:name w:val="toc 8"/>
    <w:basedOn w:val="1"/>
    <w:next w:val="1"/>
    <w:unhideWhenUsed/>
    <w:qFormat/>
    <w:uiPriority w:val="39"/>
    <w:pPr>
      <w:ind w:left="2940" w:leftChars="1400"/>
    </w:pPr>
    <w:rPr>
      <w:rFonts w:ascii="Calibri" w:hAnsi="Calibri" w:eastAsia="宋体"/>
      <w:sz w:val="21"/>
    </w:rPr>
  </w:style>
  <w:style w:type="paragraph" w:styleId="22">
    <w:name w:val="Date"/>
    <w:basedOn w:val="1"/>
    <w:next w:val="1"/>
    <w:link w:val="58"/>
    <w:qFormat/>
    <w:uiPriority w:val="0"/>
    <w:pPr>
      <w:ind w:left="100" w:leftChars="2500"/>
    </w:pPr>
    <w:rPr>
      <w:rFonts w:eastAsia="宋体"/>
      <w:sz w:val="21"/>
      <w:szCs w:val="24"/>
    </w:rPr>
  </w:style>
  <w:style w:type="paragraph" w:styleId="23">
    <w:name w:val="Balloon Text"/>
    <w:basedOn w:val="1"/>
    <w:link w:val="59"/>
    <w:unhideWhenUsed/>
    <w:qFormat/>
    <w:uiPriority w:val="99"/>
    <w:rPr>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ind w:left="1260" w:leftChars="600"/>
    </w:pPr>
    <w:rPr>
      <w:rFonts w:ascii="Calibri" w:hAnsi="Calibri" w:eastAsia="宋体"/>
      <w:sz w:val="21"/>
    </w:rPr>
  </w:style>
  <w:style w:type="paragraph" w:styleId="28">
    <w:name w:val="List"/>
    <w:basedOn w:val="1"/>
    <w:next w:val="1"/>
    <w:qFormat/>
    <w:uiPriority w:val="0"/>
    <w:pPr>
      <w:ind w:left="200" w:hanging="200" w:hangingChars="200"/>
    </w:pPr>
  </w:style>
  <w:style w:type="paragraph" w:styleId="29">
    <w:name w:val="toc 6"/>
    <w:basedOn w:val="1"/>
    <w:next w:val="1"/>
    <w:unhideWhenUsed/>
    <w:qFormat/>
    <w:uiPriority w:val="39"/>
    <w:pPr>
      <w:ind w:left="2100" w:leftChars="1000"/>
    </w:pPr>
    <w:rPr>
      <w:rFonts w:ascii="Calibri" w:hAnsi="Calibri" w:eastAsia="宋体"/>
      <w:sz w:val="21"/>
    </w:rPr>
  </w:style>
  <w:style w:type="paragraph" w:styleId="30">
    <w:name w:val="table of figures"/>
    <w:basedOn w:val="1"/>
    <w:next w:val="1"/>
    <w:qFormat/>
    <w:uiPriority w:val="0"/>
    <w:pPr>
      <w:autoSpaceDE w:val="0"/>
      <w:autoSpaceDN w:val="0"/>
      <w:adjustRightInd w:val="0"/>
      <w:spacing w:line="240" w:lineRule="auto"/>
      <w:ind w:left="840" w:leftChars="200" w:hanging="420" w:hangingChars="200"/>
      <w:jc w:val="left"/>
    </w:pPr>
    <w:rPr>
      <w:rFonts w:ascii="宋体" w:hAnsi="宋体"/>
      <w:iCs/>
      <w:kern w:val="0"/>
      <w:sz w:val="28"/>
      <w:szCs w:val="21"/>
    </w:rPr>
  </w:style>
  <w:style w:type="paragraph" w:styleId="31">
    <w:name w:val="toc 2"/>
    <w:basedOn w:val="1"/>
    <w:next w:val="1"/>
    <w:unhideWhenUsed/>
    <w:qFormat/>
    <w:uiPriority w:val="39"/>
    <w:pPr>
      <w:ind w:left="420" w:leftChars="200"/>
    </w:pPr>
  </w:style>
  <w:style w:type="paragraph" w:styleId="32">
    <w:name w:val="toc 9"/>
    <w:basedOn w:val="1"/>
    <w:next w:val="1"/>
    <w:unhideWhenUsed/>
    <w:qFormat/>
    <w:uiPriority w:val="39"/>
    <w:pPr>
      <w:ind w:left="3360" w:leftChars="1600"/>
    </w:pPr>
    <w:rPr>
      <w:rFonts w:ascii="Calibri" w:hAnsi="Calibri" w:eastAsia="宋体"/>
      <w:sz w:val="21"/>
    </w:rPr>
  </w:style>
  <w:style w:type="paragraph" w:styleId="33">
    <w:name w:val="Normal (Web)"/>
    <w:basedOn w:val="1"/>
    <w:link w:val="60"/>
    <w:qFormat/>
    <w:uiPriority w:val="99"/>
    <w:pPr>
      <w:widowControl/>
      <w:spacing w:before="100" w:beforeAutospacing="1" w:after="100" w:afterAutospacing="1"/>
      <w:jc w:val="left"/>
    </w:pPr>
    <w:rPr>
      <w:rFonts w:ascii="宋体" w:hAnsi="宋体" w:eastAsia="宋体"/>
      <w:kern w:val="0"/>
      <w:sz w:val="24"/>
      <w:szCs w:val="24"/>
    </w:rPr>
  </w:style>
  <w:style w:type="paragraph" w:styleId="34">
    <w:name w:val="annotation subject"/>
    <w:basedOn w:val="16"/>
    <w:next w:val="16"/>
    <w:link w:val="61"/>
    <w:unhideWhenUsed/>
    <w:qFormat/>
    <w:uiPriority w:val="99"/>
    <w:rPr>
      <w:b/>
      <w:bCs/>
    </w:rPr>
  </w:style>
  <w:style w:type="table" w:styleId="36">
    <w:name w:val="Table Grid"/>
    <w:basedOn w:val="35"/>
    <w:qFormat/>
    <w:uiPriority w:val="59"/>
    <w:rPr>
      <w:rFonts w:ascii="Times New Roman" w:hAnsi="Times New Roman" w:eastAsia="宋体" w:cs="Times New Roman"/>
      <w:kern w:val="0"/>
      <w:sz w:val="20"/>
      <w:szCs w:val="20"/>
    </w:rPr>
    <w:tblPr>
      <w:jc w:val="center"/>
      <w:tblBorders>
        <w:top w:val="double" w:color="auto" w:sz="4" w:space="0"/>
        <w:bottom w:val="double" w:color="auto" w:sz="4" w:space="0"/>
        <w:insideH w:val="single" w:color="auto" w:sz="4" w:space="0"/>
        <w:insideV w:val="single" w:color="auto" w:sz="4" w:space="0"/>
      </w:tblBorders>
      <w:tblCellMar>
        <w:left w:w="57" w:type="dxa"/>
        <w:right w:w="57" w:type="dxa"/>
      </w:tblCellMar>
    </w:tblPr>
    <w:trPr>
      <w:jc w:val="center"/>
    </w:trPr>
    <w:tcPr>
      <w:vAlign w:val="center"/>
    </w:tcPr>
  </w:style>
  <w:style w:type="table" w:styleId="37">
    <w:name w:val="Table Simple 1"/>
    <w:basedOn w:val="35"/>
    <w:qFormat/>
    <w:uiPriority w:val="0"/>
    <w:pPr>
      <w:widowControl w:val="0"/>
      <w:jc w:val="both"/>
    </w:pPr>
    <w:rPr>
      <w:rFonts w:ascii="Times New Roman" w:hAnsi="Times New Roman" w:eastAsia="仿宋" w:cs="Times New Roman"/>
      <w:color w:val="000000"/>
      <w:kern w:val="0"/>
      <w:sz w:val="24"/>
      <w:szCs w:val="20"/>
    </w:rPr>
    <w:tblPr>
      <w:jc w:val="center"/>
      <w:tblBorders>
        <w:top w:val="double" w:color="000000" w:sz="4" w:space="0"/>
        <w:bottom w:val="double" w:color="000000" w:sz="4" w:space="0"/>
        <w:insideH w:val="single" w:color="000000" w:sz="4" w:space="0"/>
        <w:insideV w:val="single" w:color="000000" w:sz="4" w:space="0"/>
      </w:tblBorders>
      <w:tblCellMar>
        <w:left w:w="57" w:type="dxa"/>
        <w:right w:w="57" w:type="dxa"/>
      </w:tblCellMar>
    </w:tblPr>
    <w:trPr>
      <w:jc w:val="center"/>
    </w:trPr>
    <w:tcPr>
      <w:vAlign w:val="center"/>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39">
    <w:name w:val="Strong"/>
    <w:qFormat/>
    <w:uiPriority w:val="22"/>
    <w:rPr>
      <w:b/>
      <w:bCs/>
    </w:rPr>
  </w:style>
  <w:style w:type="character" w:styleId="40">
    <w:name w:val="page number"/>
    <w:qFormat/>
    <w:uiPriority w:val="0"/>
  </w:style>
  <w:style w:type="character" w:styleId="41">
    <w:name w:val="FollowedHyperlink"/>
    <w:unhideWhenUsed/>
    <w:qFormat/>
    <w:uiPriority w:val="99"/>
    <w:rPr>
      <w:color w:val="800080"/>
      <w:u w:val="single"/>
    </w:rPr>
  </w:style>
  <w:style w:type="character" w:styleId="42">
    <w:name w:val="Emphasis"/>
    <w:qFormat/>
    <w:uiPriority w:val="0"/>
    <w:rPr>
      <w:i/>
      <w:iCs/>
    </w:rPr>
  </w:style>
  <w:style w:type="character" w:styleId="43">
    <w:name w:val="Hyperlink"/>
    <w:unhideWhenUsed/>
    <w:qFormat/>
    <w:uiPriority w:val="99"/>
    <w:rPr>
      <w:color w:val="0563C1"/>
      <w:u w:val="single"/>
    </w:rPr>
  </w:style>
  <w:style w:type="character" w:styleId="44">
    <w:name w:val="annotation reference"/>
    <w:unhideWhenUsed/>
    <w:qFormat/>
    <w:uiPriority w:val="99"/>
    <w:rPr>
      <w:sz w:val="21"/>
      <w:szCs w:val="21"/>
    </w:rPr>
  </w:style>
  <w:style w:type="character" w:customStyle="1" w:styleId="45">
    <w:name w:val="页眉 字符"/>
    <w:basedOn w:val="38"/>
    <w:link w:val="25"/>
    <w:qFormat/>
    <w:uiPriority w:val="99"/>
    <w:rPr>
      <w:sz w:val="18"/>
      <w:szCs w:val="18"/>
    </w:rPr>
  </w:style>
  <w:style w:type="character" w:customStyle="1" w:styleId="46">
    <w:name w:val="页脚 字符"/>
    <w:basedOn w:val="38"/>
    <w:link w:val="24"/>
    <w:qFormat/>
    <w:uiPriority w:val="99"/>
    <w:rPr>
      <w:sz w:val="18"/>
      <w:szCs w:val="18"/>
    </w:rPr>
  </w:style>
  <w:style w:type="character" w:customStyle="1" w:styleId="47">
    <w:name w:val="标题 1 字符"/>
    <w:basedOn w:val="38"/>
    <w:link w:val="6"/>
    <w:qFormat/>
    <w:uiPriority w:val="9"/>
    <w:rPr>
      <w:rFonts w:ascii="Times New Roman" w:hAnsi="Times New Roman" w:eastAsia="仿宋" w:cs="Times New Roman"/>
      <w:b/>
      <w:bCs/>
      <w:kern w:val="44"/>
      <w:sz w:val="32"/>
      <w:szCs w:val="44"/>
    </w:rPr>
  </w:style>
  <w:style w:type="character" w:customStyle="1" w:styleId="48">
    <w:name w:val="标题 2 字符"/>
    <w:basedOn w:val="38"/>
    <w:link w:val="7"/>
    <w:qFormat/>
    <w:uiPriority w:val="9"/>
    <w:rPr>
      <w:rFonts w:ascii="Times New Roman" w:hAnsi="Times New Roman" w:eastAsia="仿宋" w:cs="Times New Roman"/>
      <w:b/>
      <w:bCs/>
      <w:sz w:val="30"/>
      <w:szCs w:val="32"/>
    </w:rPr>
  </w:style>
  <w:style w:type="character" w:customStyle="1" w:styleId="49">
    <w:name w:val="标题 3 字符"/>
    <w:basedOn w:val="38"/>
    <w:link w:val="8"/>
    <w:qFormat/>
    <w:uiPriority w:val="9"/>
    <w:rPr>
      <w:rFonts w:ascii="Times New Roman" w:hAnsi="Times New Roman" w:eastAsia="仿宋" w:cs="Times New Roman"/>
      <w:b/>
      <w:bCs/>
      <w:sz w:val="28"/>
      <w:szCs w:val="32"/>
    </w:rPr>
  </w:style>
  <w:style w:type="character" w:customStyle="1" w:styleId="50">
    <w:name w:val="标题 4 字符"/>
    <w:basedOn w:val="38"/>
    <w:link w:val="9"/>
    <w:qFormat/>
    <w:uiPriority w:val="9"/>
    <w:rPr>
      <w:rFonts w:ascii="Times New Roman" w:hAnsi="Times New Roman" w:eastAsia="仿宋" w:cs="Times New Roman"/>
      <w:b/>
      <w:bCs/>
      <w:sz w:val="28"/>
      <w:szCs w:val="28"/>
    </w:rPr>
  </w:style>
  <w:style w:type="character" w:customStyle="1" w:styleId="51">
    <w:name w:val="标题 5 字符"/>
    <w:basedOn w:val="38"/>
    <w:link w:val="10"/>
    <w:qFormat/>
    <w:uiPriority w:val="9"/>
    <w:rPr>
      <w:rFonts w:ascii="Times New Roman" w:hAnsi="Times New Roman" w:eastAsia="仿宋" w:cs="Times New Roman"/>
      <w:b/>
      <w:bCs/>
      <w:sz w:val="28"/>
      <w:szCs w:val="28"/>
    </w:rPr>
  </w:style>
  <w:style w:type="character" w:customStyle="1" w:styleId="52">
    <w:name w:val="标题 8 字符"/>
    <w:basedOn w:val="38"/>
    <w:link w:val="11"/>
    <w:qFormat/>
    <w:uiPriority w:val="9"/>
    <w:rPr>
      <w:rFonts w:ascii="Calibri Light" w:hAnsi="Calibri Light" w:eastAsia="宋体" w:cs="Times New Roman"/>
      <w:sz w:val="24"/>
      <w:szCs w:val="24"/>
    </w:rPr>
  </w:style>
  <w:style w:type="character" w:customStyle="1" w:styleId="53">
    <w:name w:val="文档结构图 字符"/>
    <w:basedOn w:val="38"/>
    <w:link w:val="15"/>
    <w:semiHidden/>
    <w:qFormat/>
    <w:uiPriority w:val="0"/>
    <w:rPr>
      <w:rFonts w:ascii="Calibri" w:hAnsi="Calibri" w:eastAsia="宋体" w:cs="Times New Roman"/>
      <w:szCs w:val="24"/>
      <w:shd w:val="clear" w:color="auto" w:fill="000080"/>
    </w:rPr>
  </w:style>
  <w:style w:type="character" w:customStyle="1" w:styleId="54">
    <w:name w:val="批注文字 字符"/>
    <w:basedOn w:val="38"/>
    <w:link w:val="16"/>
    <w:qFormat/>
    <w:uiPriority w:val="99"/>
    <w:rPr>
      <w:rFonts w:ascii="Times New Roman" w:hAnsi="Times New Roman" w:eastAsia="仿宋" w:cs="Times New Roman"/>
      <w:sz w:val="28"/>
    </w:rPr>
  </w:style>
  <w:style w:type="character" w:customStyle="1" w:styleId="55">
    <w:name w:val="正文文本 字符"/>
    <w:basedOn w:val="38"/>
    <w:link w:val="5"/>
    <w:qFormat/>
    <w:uiPriority w:val="1"/>
    <w:rPr>
      <w:rFonts w:ascii="Times New Roman" w:hAnsi="Times New Roman" w:eastAsia="仿宋" w:cs="宋体"/>
      <w:kern w:val="0"/>
      <w:sz w:val="28"/>
      <w:szCs w:val="28"/>
    </w:rPr>
  </w:style>
  <w:style w:type="character" w:customStyle="1" w:styleId="56">
    <w:name w:val="正文文本缩进 字符"/>
    <w:basedOn w:val="38"/>
    <w:link w:val="3"/>
    <w:qFormat/>
    <w:uiPriority w:val="99"/>
    <w:rPr>
      <w:rFonts w:ascii="Times New Roman" w:hAnsi="Times New Roman" w:eastAsia="仿宋" w:cs="Times New Roman"/>
      <w:sz w:val="28"/>
    </w:rPr>
  </w:style>
  <w:style w:type="character" w:customStyle="1" w:styleId="57">
    <w:name w:val="纯文本 字符"/>
    <w:basedOn w:val="38"/>
    <w:link w:val="20"/>
    <w:qFormat/>
    <w:uiPriority w:val="0"/>
    <w:rPr>
      <w:rFonts w:ascii="Calibri" w:hAnsi="Calibri" w:eastAsia="宋体" w:cs="Times New Roman"/>
      <w:sz w:val="28"/>
      <w:szCs w:val="28"/>
    </w:rPr>
  </w:style>
  <w:style w:type="character" w:customStyle="1" w:styleId="58">
    <w:name w:val="日期 字符"/>
    <w:basedOn w:val="38"/>
    <w:link w:val="22"/>
    <w:qFormat/>
    <w:uiPriority w:val="0"/>
    <w:rPr>
      <w:rFonts w:ascii="Times New Roman" w:hAnsi="Times New Roman" w:eastAsia="宋体" w:cs="Times New Roman"/>
      <w:szCs w:val="24"/>
    </w:rPr>
  </w:style>
  <w:style w:type="character" w:customStyle="1" w:styleId="59">
    <w:name w:val="批注框文本 字符"/>
    <w:basedOn w:val="38"/>
    <w:link w:val="23"/>
    <w:qFormat/>
    <w:uiPriority w:val="99"/>
    <w:rPr>
      <w:rFonts w:ascii="Times New Roman" w:hAnsi="Times New Roman" w:eastAsia="仿宋" w:cs="Times New Roman"/>
      <w:sz w:val="18"/>
      <w:szCs w:val="18"/>
    </w:rPr>
  </w:style>
  <w:style w:type="character" w:customStyle="1" w:styleId="60">
    <w:name w:val="普通(网站) 字符"/>
    <w:link w:val="33"/>
    <w:qFormat/>
    <w:uiPriority w:val="99"/>
    <w:rPr>
      <w:rFonts w:ascii="宋体" w:hAnsi="宋体" w:eastAsia="宋体" w:cs="Times New Roman"/>
      <w:kern w:val="0"/>
      <w:sz w:val="24"/>
      <w:szCs w:val="24"/>
    </w:rPr>
  </w:style>
  <w:style w:type="character" w:customStyle="1" w:styleId="61">
    <w:name w:val="批注主题 字符"/>
    <w:basedOn w:val="54"/>
    <w:link w:val="34"/>
    <w:qFormat/>
    <w:uiPriority w:val="99"/>
    <w:rPr>
      <w:rFonts w:ascii="Times New Roman" w:hAnsi="Times New Roman" w:eastAsia="仿宋" w:cs="Times New Roman"/>
      <w:b/>
      <w:bCs/>
      <w:sz w:val="28"/>
    </w:rPr>
  </w:style>
  <w:style w:type="character" w:customStyle="1" w:styleId="62">
    <w:name w:val="正文文本首行缩进 字符"/>
    <w:basedOn w:val="55"/>
    <w:link w:val="4"/>
    <w:qFormat/>
    <w:uiPriority w:val="99"/>
    <w:rPr>
      <w:rFonts w:ascii="Times New Roman" w:hAnsi="Times New Roman" w:eastAsia="仿宋" w:cs="Times New Roman"/>
      <w:kern w:val="0"/>
      <w:sz w:val="28"/>
      <w:szCs w:val="28"/>
    </w:rPr>
  </w:style>
  <w:style w:type="character" w:customStyle="1" w:styleId="63">
    <w:name w:val="正文文本首行缩进 2 字符"/>
    <w:basedOn w:val="56"/>
    <w:link w:val="2"/>
    <w:qFormat/>
    <w:uiPriority w:val="0"/>
    <w:rPr>
      <w:rFonts w:ascii="Times New Roman" w:hAnsi="Times New Roman" w:eastAsia="仿宋" w:cs="Times New Roman"/>
      <w:sz w:val="28"/>
      <w:szCs w:val="20"/>
    </w:rPr>
  </w:style>
  <w:style w:type="paragraph" w:customStyle="1" w:styleId="64">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65">
    <w:name w:val="正文格式"/>
    <w:basedOn w:val="1"/>
    <w:qFormat/>
    <w:uiPriority w:val="0"/>
    <w:pPr>
      <w:spacing w:beforeLines="25" w:afterLines="25" w:line="360" w:lineRule="auto"/>
      <w:ind w:firstLine="40"/>
    </w:pPr>
    <w:rPr>
      <w:kern w:val="0"/>
      <w:sz w:val="24"/>
    </w:rPr>
  </w:style>
  <w:style w:type="paragraph" w:customStyle="1" w:styleId="66">
    <w:name w:val="TOC 标题1"/>
    <w:basedOn w:val="6"/>
    <w:next w:val="1"/>
    <w:unhideWhenUsed/>
    <w:qFormat/>
    <w:uiPriority w:val="39"/>
    <w:pPr>
      <w:widowControl/>
      <w:spacing w:before="240" w:line="259" w:lineRule="auto"/>
      <w:jc w:val="left"/>
      <w:outlineLvl w:val="9"/>
    </w:pPr>
    <w:rPr>
      <w:rFonts w:ascii="Calibri Light" w:hAnsi="Calibri Light" w:eastAsia="宋体"/>
      <w:b w:val="0"/>
      <w:bCs w:val="0"/>
      <w:color w:val="2E75B5"/>
      <w:kern w:val="0"/>
      <w:szCs w:val="32"/>
    </w:rPr>
  </w:style>
  <w:style w:type="character" w:customStyle="1" w:styleId="67">
    <w:name w:val="fontstyle01"/>
    <w:qFormat/>
    <w:uiPriority w:val="0"/>
    <w:rPr>
      <w:rFonts w:hint="eastAsia" w:ascii="宋体" w:hAnsi="宋体" w:eastAsia="宋体"/>
      <w:color w:val="000000"/>
      <w:sz w:val="24"/>
      <w:szCs w:val="24"/>
    </w:rPr>
  </w:style>
  <w:style w:type="character" w:customStyle="1" w:styleId="68">
    <w:name w:val="正文-1 Char1"/>
    <w:link w:val="69"/>
    <w:qFormat/>
    <w:uiPriority w:val="0"/>
    <w:rPr>
      <w:rFonts w:eastAsia="宋体"/>
      <w:sz w:val="24"/>
      <w:szCs w:val="24"/>
    </w:rPr>
  </w:style>
  <w:style w:type="paragraph" w:customStyle="1" w:styleId="69">
    <w:name w:val="正文-1"/>
    <w:basedOn w:val="1"/>
    <w:link w:val="68"/>
    <w:qFormat/>
    <w:uiPriority w:val="0"/>
    <w:pPr>
      <w:spacing w:before="60" w:line="460" w:lineRule="exact"/>
      <w:ind w:firstLine="480" w:firstLineChars="200"/>
    </w:pPr>
    <w:rPr>
      <w:rFonts w:eastAsia="宋体" w:asciiTheme="minorHAnsi" w:hAnsiTheme="minorHAnsi" w:cstheme="minorBidi"/>
      <w:sz w:val="24"/>
      <w:szCs w:val="24"/>
    </w:rPr>
  </w:style>
  <w:style w:type="paragraph" w:customStyle="1" w:styleId="70">
    <w:name w:val="Table Paragraph"/>
    <w:basedOn w:val="1"/>
    <w:link w:val="71"/>
    <w:qFormat/>
    <w:uiPriority w:val="1"/>
    <w:pPr>
      <w:autoSpaceDE w:val="0"/>
      <w:autoSpaceDN w:val="0"/>
      <w:adjustRightInd w:val="0"/>
      <w:jc w:val="left"/>
    </w:pPr>
    <w:rPr>
      <w:rFonts w:eastAsia="宋体"/>
      <w:kern w:val="0"/>
      <w:sz w:val="24"/>
      <w:szCs w:val="24"/>
    </w:rPr>
  </w:style>
  <w:style w:type="character" w:customStyle="1" w:styleId="71">
    <w:name w:val="Table Paragraph 字符"/>
    <w:link w:val="70"/>
    <w:qFormat/>
    <w:uiPriority w:val="1"/>
    <w:rPr>
      <w:rFonts w:ascii="Times New Roman" w:hAnsi="Times New Roman" w:eastAsia="宋体" w:cs="Times New Roman"/>
      <w:kern w:val="0"/>
      <w:sz w:val="24"/>
      <w:szCs w:val="24"/>
    </w:rPr>
  </w:style>
  <w:style w:type="paragraph" w:customStyle="1" w:styleId="72">
    <w:name w:val="表头"/>
    <w:basedOn w:val="1"/>
    <w:link w:val="73"/>
    <w:qFormat/>
    <w:uiPriority w:val="0"/>
    <w:pPr>
      <w:kinsoku w:val="0"/>
      <w:overflowPunct w:val="0"/>
      <w:spacing w:line="360" w:lineRule="auto"/>
      <w:jc w:val="center"/>
    </w:pPr>
    <w:rPr>
      <w:b/>
      <w:sz w:val="24"/>
      <w:szCs w:val="28"/>
    </w:rPr>
  </w:style>
  <w:style w:type="character" w:customStyle="1" w:styleId="73">
    <w:name w:val="表头 字符"/>
    <w:link w:val="72"/>
    <w:qFormat/>
    <w:uiPriority w:val="0"/>
    <w:rPr>
      <w:rFonts w:ascii="Times New Roman" w:hAnsi="Times New Roman" w:eastAsia="仿宋" w:cs="Times New Roman"/>
      <w:b/>
      <w:sz w:val="24"/>
      <w:szCs w:val="28"/>
    </w:rPr>
  </w:style>
  <w:style w:type="paragraph" w:customStyle="1" w:styleId="74">
    <w:name w:val="表内文字"/>
    <w:basedOn w:val="70"/>
    <w:link w:val="75"/>
    <w:qFormat/>
    <w:uiPriority w:val="0"/>
    <w:pPr>
      <w:kinsoku w:val="0"/>
      <w:overflowPunct w:val="0"/>
      <w:snapToGrid w:val="0"/>
      <w:jc w:val="center"/>
    </w:pPr>
    <w:rPr>
      <w:rFonts w:eastAsia="仿宋" w:cs="宋体"/>
      <w:bCs/>
    </w:rPr>
  </w:style>
  <w:style w:type="character" w:customStyle="1" w:styleId="75">
    <w:name w:val="表内文字 字符"/>
    <w:link w:val="74"/>
    <w:qFormat/>
    <w:uiPriority w:val="0"/>
    <w:rPr>
      <w:rFonts w:ascii="Times New Roman" w:hAnsi="Times New Roman" w:eastAsia="仿宋" w:cs="宋体"/>
      <w:bCs/>
      <w:kern w:val="0"/>
      <w:sz w:val="24"/>
      <w:szCs w:val="24"/>
    </w:rPr>
  </w:style>
  <w:style w:type="paragraph" w:customStyle="1" w:styleId="76">
    <w:name w:val="Char Char"/>
    <w:basedOn w:val="1"/>
    <w:qFormat/>
    <w:uiPriority w:val="0"/>
    <w:rPr>
      <w:rFonts w:eastAsia="宋体"/>
      <w:sz w:val="21"/>
      <w:szCs w:val="24"/>
    </w:rPr>
  </w:style>
  <w:style w:type="paragraph" w:customStyle="1" w:styleId="77">
    <w:name w:val="Char Char Char Char Char Char Char"/>
    <w:basedOn w:val="1"/>
    <w:qFormat/>
    <w:uiPriority w:val="0"/>
    <w:rPr>
      <w:rFonts w:eastAsia="宋体"/>
      <w:sz w:val="21"/>
      <w:szCs w:val="24"/>
    </w:rPr>
  </w:style>
  <w:style w:type="paragraph" w:customStyle="1" w:styleId="78">
    <w:name w:val="表格正文8"/>
    <w:basedOn w:val="1"/>
    <w:qFormat/>
    <w:uiPriority w:val="0"/>
    <w:pPr>
      <w:spacing w:line="360" w:lineRule="exact"/>
      <w:jc w:val="center"/>
    </w:pPr>
    <w:rPr>
      <w:snapToGrid w:val="0"/>
      <w:kern w:val="0"/>
      <w:sz w:val="21"/>
      <w:szCs w:val="21"/>
    </w:rPr>
  </w:style>
  <w:style w:type="character" w:customStyle="1" w:styleId="79">
    <w:name w:val="正文01 Char2"/>
    <w:link w:val="80"/>
    <w:qFormat/>
    <w:uiPriority w:val="0"/>
    <w:rPr>
      <w:sz w:val="24"/>
      <w:szCs w:val="24"/>
    </w:rPr>
  </w:style>
  <w:style w:type="paragraph" w:customStyle="1" w:styleId="80">
    <w:name w:val="正文01"/>
    <w:basedOn w:val="1"/>
    <w:link w:val="79"/>
    <w:qFormat/>
    <w:uiPriority w:val="0"/>
    <w:pPr>
      <w:spacing w:before="60" w:line="460" w:lineRule="exact"/>
      <w:ind w:firstLine="200" w:firstLineChars="200"/>
    </w:pPr>
    <w:rPr>
      <w:rFonts w:asciiTheme="minorHAnsi" w:hAnsiTheme="minorHAnsi" w:eastAsiaTheme="minorEastAsia" w:cstheme="minorBidi"/>
      <w:sz w:val="24"/>
      <w:szCs w:val="24"/>
    </w:rPr>
  </w:style>
  <w:style w:type="character" w:customStyle="1" w:styleId="81">
    <w:name w:val="表格正文 Char"/>
    <w:link w:val="82"/>
    <w:qFormat/>
    <w:locked/>
    <w:uiPriority w:val="0"/>
    <w:rPr>
      <w:szCs w:val="21"/>
    </w:rPr>
  </w:style>
  <w:style w:type="paragraph" w:customStyle="1" w:styleId="82">
    <w:name w:val="表格正文"/>
    <w:basedOn w:val="1"/>
    <w:link w:val="81"/>
    <w:qFormat/>
    <w:uiPriority w:val="0"/>
    <w:pPr>
      <w:spacing w:line="360" w:lineRule="exact"/>
      <w:jc w:val="center"/>
    </w:pPr>
    <w:rPr>
      <w:rFonts w:asciiTheme="minorHAnsi" w:hAnsiTheme="minorHAnsi" w:eastAsiaTheme="minorEastAsia" w:cstheme="minorBidi"/>
      <w:sz w:val="21"/>
      <w:szCs w:val="21"/>
    </w:rPr>
  </w:style>
  <w:style w:type="character" w:customStyle="1" w:styleId="83">
    <w:name w:val="表格标题 Char1"/>
    <w:link w:val="84"/>
    <w:qFormat/>
    <w:uiPriority w:val="0"/>
    <w:rPr>
      <w:rFonts w:ascii="宋体"/>
      <w:sz w:val="24"/>
      <w:szCs w:val="24"/>
    </w:rPr>
  </w:style>
  <w:style w:type="paragraph" w:customStyle="1" w:styleId="84">
    <w:name w:val="表格标题"/>
    <w:basedOn w:val="1"/>
    <w:link w:val="83"/>
    <w:qFormat/>
    <w:uiPriority w:val="0"/>
    <w:pPr>
      <w:spacing w:before="60" w:line="460" w:lineRule="exact"/>
      <w:jc w:val="center"/>
    </w:pPr>
    <w:rPr>
      <w:rFonts w:ascii="宋体" w:hAnsiTheme="minorHAnsi" w:eastAsiaTheme="minorEastAsia" w:cstheme="minorBidi"/>
      <w:sz w:val="24"/>
      <w:szCs w:val="24"/>
    </w:rPr>
  </w:style>
  <w:style w:type="character" w:customStyle="1" w:styleId="85">
    <w:name w:val="表格下方正文 Char1"/>
    <w:link w:val="86"/>
    <w:qFormat/>
    <w:uiPriority w:val="0"/>
    <w:rPr>
      <w:rFonts w:ascii="宋体"/>
      <w:sz w:val="24"/>
      <w:szCs w:val="24"/>
    </w:rPr>
  </w:style>
  <w:style w:type="paragraph" w:customStyle="1" w:styleId="86">
    <w:name w:val="表格下方正文"/>
    <w:basedOn w:val="84"/>
    <w:link w:val="85"/>
    <w:qFormat/>
    <w:uiPriority w:val="0"/>
    <w:pPr>
      <w:spacing w:before="400"/>
      <w:ind w:firstLine="200" w:firstLineChars="200"/>
      <w:jc w:val="both"/>
    </w:pPr>
  </w:style>
  <w:style w:type="paragraph" w:styleId="87">
    <w:name w:val="No Spacing"/>
    <w:link w:val="88"/>
    <w:qFormat/>
    <w:uiPriority w:val="1"/>
    <w:pPr>
      <w:widowControl w:val="0"/>
      <w:adjustRightInd w:val="0"/>
      <w:snapToGrid w:val="0"/>
      <w:spacing w:line="300" w:lineRule="exact"/>
      <w:jc w:val="both"/>
    </w:pPr>
    <w:rPr>
      <w:rFonts w:ascii="Times New Roman" w:hAnsi="Times New Roman" w:eastAsia="宋体" w:cs="Times New Roman"/>
      <w:kern w:val="2"/>
      <w:sz w:val="21"/>
      <w:szCs w:val="22"/>
      <w:lang w:val="en-US" w:eastAsia="zh-CN" w:bidi="ar-SA"/>
    </w:rPr>
  </w:style>
  <w:style w:type="character" w:customStyle="1" w:styleId="88">
    <w:name w:val="无间隔 字符"/>
    <w:link w:val="87"/>
    <w:qFormat/>
    <w:uiPriority w:val="1"/>
    <w:rPr>
      <w:rFonts w:ascii="Times New Roman" w:hAnsi="Times New Roman" w:eastAsia="宋体" w:cs="Times New Roman"/>
    </w:rPr>
  </w:style>
  <w:style w:type="paragraph" w:styleId="89">
    <w:name w:val="List Paragraph"/>
    <w:basedOn w:val="1"/>
    <w:qFormat/>
    <w:uiPriority w:val="34"/>
    <w:pPr>
      <w:ind w:firstLine="420" w:firstLineChars="200"/>
    </w:pPr>
    <w:rPr>
      <w:rFonts w:ascii="Calibri" w:hAnsi="Calibri" w:eastAsia="宋体"/>
      <w:sz w:val="21"/>
    </w:rPr>
  </w:style>
  <w:style w:type="character" w:customStyle="1" w:styleId="90">
    <w:name w:val="正文-1 Char"/>
    <w:qFormat/>
    <w:uiPriority w:val="0"/>
    <w:rPr>
      <w:rFonts w:eastAsia="宋体"/>
      <w:szCs w:val="24"/>
    </w:rPr>
  </w:style>
  <w:style w:type="paragraph" w:customStyle="1" w:styleId="91">
    <w:name w:val="正文文"/>
    <w:basedOn w:val="1"/>
    <w:semiHidden/>
    <w:qFormat/>
    <w:uiPriority w:val="99"/>
    <w:pPr>
      <w:adjustRightInd w:val="0"/>
      <w:snapToGrid w:val="0"/>
      <w:spacing w:line="288" w:lineRule="auto"/>
      <w:ind w:firstLine="480" w:firstLineChars="200"/>
    </w:pPr>
    <w:rPr>
      <w:rFonts w:ascii="楷体_GB2312" w:hAnsi="Calibri" w:eastAsia="楷体_GB2312"/>
      <w:kern w:val="0"/>
      <w:sz w:val="24"/>
      <w:szCs w:val="24"/>
    </w:rPr>
  </w:style>
  <w:style w:type="table" w:customStyle="1" w:styleId="92">
    <w:name w:val="Table Normal"/>
    <w:unhideWhenUsed/>
    <w:qFormat/>
    <w:uiPriority w:val="2"/>
    <w:pPr>
      <w:widowControl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character" w:styleId="93">
    <w:name w:val="Placeholder Text"/>
    <w:semiHidden/>
    <w:qFormat/>
    <w:uiPriority w:val="99"/>
    <w:rPr>
      <w:color w:val="808080"/>
    </w:rPr>
  </w:style>
  <w:style w:type="character" w:customStyle="1" w:styleId="94">
    <w:name w:val="正文001 Char1"/>
    <w:link w:val="95"/>
    <w:qFormat/>
    <w:uiPriority w:val="0"/>
    <w:rPr>
      <w:rFonts w:eastAsia="宋体"/>
      <w:sz w:val="24"/>
      <w:szCs w:val="24"/>
    </w:rPr>
  </w:style>
  <w:style w:type="paragraph" w:customStyle="1" w:styleId="95">
    <w:name w:val="正文001"/>
    <w:basedOn w:val="1"/>
    <w:link w:val="94"/>
    <w:qFormat/>
    <w:uiPriority w:val="0"/>
    <w:pPr>
      <w:spacing w:before="60" w:line="420" w:lineRule="exact"/>
      <w:ind w:firstLine="482"/>
    </w:pPr>
    <w:rPr>
      <w:rFonts w:eastAsia="宋体" w:asciiTheme="minorHAnsi" w:hAnsiTheme="minorHAnsi" w:cstheme="minorBidi"/>
      <w:sz w:val="24"/>
      <w:szCs w:val="24"/>
    </w:rPr>
  </w:style>
  <w:style w:type="character" w:customStyle="1" w:styleId="96">
    <w:name w:val="未处理的提及1"/>
    <w:unhideWhenUsed/>
    <w:qFormat/>
    <w:uiPriority w:val="99"/>
    <w:rPr>
      <w:color w:val="605E5C"/>
      <w:shd w:val="clear" w:color="auto" w:fill="E1DFDD"/>
    </w:rPr>
  </w:style>
  <w:style w:type="paragraph" w:customStyle="1" w:styleId="97">
    <w:name w:val="正文-7"/>
    <w:basedOn w:val="1"/>
    <w:qFormat/>
    <w:uiPriority w:val="0"/>
    <w:pPr>
      <w:spacing w:line="440" w:lineRule="exact"/>
      <w:ind w:firstLine="200" w:firstLineChars="200"/>
    </w:pPr>
    <w:rPr>
      <w:rFonts w:eastAsia="宋体"/>
      <w:snapToGrid w:val="0"/>
      <w:kern w:val="0"/>
      <w:sz w:val="24"/>
      <w:szCs w:val="24"/>
    </w:rPr>
  </w:style>
  <w:style w:type="character" w:customStyle="1" w:styleId="98">
    <w:name w:val="表格题注 Char"/>
    <w:link w:val="99"/>
    <w:qFormat/>
    <w:uiPriority w:val="0"/>
    <w:rPr>
      <w:rFonts w:ascii="Arial" w:hAnsi="Arial"/>
      <w:b/>
      <w:kern w:val="24"/>
      <w:sz w:val="24"/>
      <w:szCs w:val="24"/>
    </w:rPr>
  </w:style>
  <w:style w:type="paragraph" w:customStyle="1" w:styleId="99">
    <w:name w:val="表格题注"/>
    <w:basedOn w:val="1"/>
    <w:link w:val="98"/>
    <w:qFormat/>
    <w:uiPriority w:val="0"/>
    <w:pPr>
      <w:adjustRightInd w:val="0"/>
      <w:snapToGrid w:val="0"/>
      <w:spacing w:line="480" w:lineRule="exact"/>
      <w:jc w:val="center"/>
    </w:pPr>
    <w:rPr>
      <w:rFonts w:ascii="Arial" w:hAnsi="Arial" w:eastAsiaTheme="minorEastAsia" w:cstheme="minorBidi"/>
      <w:b/>
      <w:kern w:val="24"/>
      <w:sz w:val="24"/>
      <w:szCs w:val="24"/>
    </w:rPr>
  </w:style>
  <w:style w:type="character" w:customStyle="1" w:styleId="100">
    <w:name w:val="首行缩进 Char"/>
    <w:qFormat/>
    <w:uiPriority w:val="0"/>
    <w:rPr>
      <w:kern w:val="2"/>
      <w:sz w:val="21"/>
      <w:szCs w:val="24"/>
    </w:rPr>
  </w:style>
  <w:style w:type="character" w:customStyle="1" w:styleId="101">
    <w:name w:val="！！表格文本 Char Char"/>
    <w:link w:val="102"/>
    <w:qFormat/>
    <w:uiPriority w:val="0"/>
  </w:style>
  <w:style w:type="paragraph" w:customStyle="1" w:styleId="102">
    <w:name w:val="！！表格文本"/>
    <w:basedOn w:val="1"/>
    <w:link w:val="101"/>
    <w:qFormat/>
    <w:uiPriority w:val="0"/>
    <w:pPr>
      <w:widowControl/>
      <w:spacing w:line="288" w:lineRule="auto"/>
      <w:jc w:val="left"/>
    </w:pPr>
    <w:rPr>
      <w:rFonts w:asciiTheme="minorHAnsi" w:hAnsiTheme="minorHAnsi" w:eastAsiaTheme="minorEastAsia" w:cstheme="minorBidi"/>
      <w:sz w:val="21"/>
    </w:rPr>
  </w:style>
  <w:style w:type="character" w:customStyle="1" w:styleId="103">
    <w:name w:val="正文首行缩进 2 + Times New Roman Char"/>
    <w:link w:val="104"/>
    <w:qFormat/>
    <w:uiPriority w:val="0"/>
    <w:rPr>
      <w:sz w:val="24"/>
      <w:szCs w:val="24"/>
    </w:rPr>
  </w:style>
  <w:style w:type="paragraph" w:customStyle="1" w:styleId="104">
    <w:name w:val="正文首行缩进 2 + Times New Roman"/>
    <w:basedOn w:val="1"/>
    <w:link w:val="103"/>
    <w:qFormat/>
    <w:uiPriority w:val="0"/>
    <w:pPr>
      <w:tabs>
        <w:tab w:val="left" w:pos="0"/>
        <w:tab w:val="left" w:pos="3150"/>
      </w:tabs>
      <w:autoSpaceDE w:val="0"/>
      <w:autoSpaceDN w:val="0"/>
      <w:spacing w:line="480" w:lineRule="exact"/>
      <w:ind w:firstLine="480" w:firstLineChars="200"/>
      <w:jc w:val="left"/>
    </w:pPr>
    <w:rPr>
      <w:rFonts w:asciiTheme="minorHAnsi" w:hAnsiTheme="minorHAnsi" w:eastAsiaTheme="minorEastAsia" w:cstheme="minorBidi"/>
      <w:sz w:val="24"/>
      <w:szCs w:val="24"/>
    </w:rPr>
  </w:style>
  <w:style w:type="character" w:customStyle="1" w:styleId="105">
    <w:name w:val="3级（次）标题 Char"/>
    <w:link w:val="106"/>
    <w:qFormat/>
    <w:uiPriority w:val="0"/>
    <w:rPr>
      <w:rFonts w:ascii="宋体" w:hAnsi="宋体" w:eastAsia="宋体"/>
      <w:b/>
      <w:sz w:val="24"/>
      <w:szCs w:val="28"/>
    </w:rPr>
  </w:style>
  <w:style w:type="paragraph" w:customStyle="1" w:styleId="106">
    <w:name w:val="3级（次）标题"/>
    <w:basedOn w:val="1"/>
    <w:link w:val="105"/>
    <w:qFormat/>
    <w:uiPriority w:val="0"/>
    <w:pPr>
      <w:spacing w:line="360" w:lineRule="auto"/>
      <w:outlineLvl w:val="2"/>
    </w:pPr>
    <w:rPr>
      <w:rFonts w:ascii="宋体" w:hAnsi="宋体" w:eastAsia="宋体" w:cstheme="minorBidi"/>
      <w:b/>
      <w:sz w:val="24"/>
      <w:szCs w:val="28"/>
    </w:rPr>
  </w:style>
  <w:style w:type="character" w:customStyle="1" w:styleId="107">
    <w:name w:val="style111"/>
    <w:qFormat/>
    <w:uiPriority w:val="0"/>
    <w:rPr>
      <w:b/>
      <w:bCs/>
      <w:color w:val="000000"/>
      <w:sz w:val="20"/>
      <w:szCs w:val="20"/>
    </w:rPr>
  </w:style>
  <w:style w:type="character" w:customStyle="1" w:styleId="108">
    <w:name w:val="文档结构图 Char1"/>
    <w:semiHidden/>
    <w:qFormat/>
    <w:uiPriority w:val="99"/>
    <w:rPr>
      <w:rFonts w:ascii="Microsoft YaHei UI" w:hAnsi="Times New Roman" w:eastAsia="Microsoft YaHei UI" w:cs="Times New Roman"/>
      <w:sz w:val="18"/>
      <w:szCs w:val="18"/>
    </w:rPr>
  </w:style>
  <w:style w:type="character" w:customStyle="1" w:styleId="109">
    <w:name w:val="纯文本 Char1"/>
    <w:semiHidden/>
    <w:qFormat/>
    <w:uiPriority w:val="99"/>
    <w:rPr>
      <w:rFonts w:ascii="宋体" w:hAnsi="Courier New" w:eastAsia="宋体" w:cs="Courier New"/>
      <w:szCs w:val="21"/>
    </w:rPr>
  </w:style>
  <w:style w:type="paragraph" w:customStyle="1" w:styleId="110">
    <w:name w:val="Char"/>
    <w:basedOn w:val="1"/>
    <w:qFormat/>
    <w:uiPriority w:val="0"/>
    <w:rPr>
      <w:rFonts w:eastAsia="宋体"/>
      <w:sz w:val="21"/>
      <w:szCs w:val="24"/>
    </w:rPr>
  </w:style>
  <w:style w:type="paragraph" w:customStyle="1" w:styleId="111">
    <w:name w:val="Char1"/>
    <w:basedOn w:val="1"/>
    <w:qFormat/>
    <w:uiPriority w:val="0"/>
    <w:pPr>
      <w:tabs>
        <w:tab w:val="left" w:pos="4665"/>
        <w:tab w:val="left" w:pos="8970"/>
      </w:tabs>
      <w:ind w:firstLine="400"/>
    </w:pPr>
    <w:rPr>
      <w:rFonts w:ascii="Tahoma" w:hAnsi="Tahoma" w:eastAsia="仿宋_GB2312"/>
      <w:sz w:val="24"/>
      <w:szCs w:val="20"/>
    </w:rPr>
  </w:style>
  <w:style w:type="paragraph" w:customStyle="1" w:styleId="112">
    <w:name w:val="4级（小）标题"/>
    <w:basedOn w:val="1"/>
    <w:link w:val="113"/>
    <w:qFormat/>
    <w:uiPriority w:val="0"/>
    <w:pPr>
      <w:spacing w:before="60" w:line="360" w:lineRule="auto"/>
      <w:ind w:firstLine="150" w:firstLineChars="150"/>
      <w:outlineLvl w:val="3"/>
    </w:pPr>
    <w:rPr>
      <w:b/>
    </w:rPr>
  </w:style>
  <w:style w:type="character" w:customStyle="1" w:styleId="113">
    <w:name w:val="4级（小）标题 Char"/>
    <w:link w:val="112"/>
    <w:qFormat/>
    <w:uiPriority w:val="0"/>
    <w:rPr>
      <w:rFonts w:ascii="Times New Roman" w:hAnsi="Times New Roman" w:eastAsia="仿宋" w:cs="Times New Roman"/>
      <w:b/>
      <w:sz w:val="28"/>
    </w:rPr>
  </w:style>
  <w:style w:type="paragraph" w:customStyle="1" w:styleId="114">
    <w:name w:val="font5"/>
    <w:basedOn w:val="1"/>
    <w:qFormat/>
    <w:uiPriority w:val="0"/>
    <w:pPr>
      <w:widowControl/>
      <w:spacing w:before="100" w:beforeAutospacing="1" w:after="100" w:afterAutospacing="1"/>
      <w:jc w:val="left"/>
    </w:pPr>
    <w:rPr>
      <w:rFonts w:ascii="仿宋" w:hAnsi="仿宋" w:cs="宋体"/>
      <w:b/>
      <w:bCs/>
      <w:color w:val="FF0000"/>
      <w:kern w:val="0"/>
      <w:sz w:val="24"/>
      <w:szCs w:val="24"/>
    </w:rPr>
  </w:style>
  <w:style w:type="paragraph" w:customStyle="1" w:styleId="115">
    <w:name w:val="font6"/>
    <w:basedOn w:val="1"/>
    <w:qFormat/>
    <w:uiPriority w:val="0"/>
    <w:pPr>
      <w:widowControl/>
      <w:spacing w:before="100" w:beforeAutospacing="1" w:after="100" w:afterAutospacing="1"/>
      <w:jc w:val="left"/>
    </w:pPr>
    <w:rPr>
      <w:rFonts w:eastAsia="宋体"/>
      <w:color w:val="FF0000"/>
      <w:kern w:val="0"/>
      <w:sz w:val="14"/>
      <w:szCs w:val="14"/>
    </w:rPr>
  </w:style>
  <w:style w:type="paragraph" w:customStyle="1" w:styleId="116">
    <w:name w:val="font7"/>
    <w:basedOn w:val="1"/>
    <w:qFormat/>
    <w:uiPriority w:val="0"/>
    <w:pPr>
      <w:widowControl/>
      <w:spacing w:before="100" w:beforeAutospacing="1" w:after="100" w:afterAutospacing="1"/>
      <w:jc w:val="left"/>
    </w:pPr>
    <w:rPr>
      <w:rFonts w:ascii="仿宋" w:hAnsi="仿宋" w:cs="宋体"/>
      <w:color w:val="FF0000"/>
      <w:kern w:val="0"/>
      <w:sz w:val="24"/>
      <w:szCs w:val="24"/>
    </w:rPr>
  </w:style>
  <w:style w:type="paragraph" w:customStyle="1" w:styleId="117">
    <w:name w:val="font8"/>
    <w:basedOn w:val="1"/>
    <w:qFormat/>
    <w:uiPriority w:val="0"/>
    <w:pPr>
      <w:widowControl/>
      <w:spacing w:before="100" w:beforeAutospacing="1" w:after="100" w:afterAutospacing="1"/>
      <w:jc w:val="left"/>
    </w:pPr>
    <w:rPr>
      <w:rFonts w:eastAsia="宋体"/>
      <w:color w:val="FF0000"/>
      <w:kern w:val="0"/>
      <w:sz w:val="24"/>
      <w:szCs w:val="24"/>
    </w:rPr>
  </w:style>
  <w:style w:type="paragraph" w:customStyle="1" w:styleId="118">
    <w:name w:val="font9"/>
    <w:basedOn w:val="1"/>
    <w:qFormat/>
    <w:uiPriority w:val="0"/>
    <w:pPr>
      <w:widowControl/>
      <w:spacing w:before="100" w:beforeAutospacing="1" w:after="100" w:afterAutospacing="1"/>
      <w:jc w:val="left"/>
    </w:pPr>
    <w:rPr>
      <w:rFonts w:eastAsia="宋体"/>
      <w:b/>
      <w:bCs/>
      <w:color w:val="FF0000"/>
      <w:kern w:val="0"/>
      <w:sz w:val="24"/>
      <w:szCs w:val="24"/>
    </w:rPr>
  </w:style>
  <w:style w:type="paragraph" w:customStyle="1" w:styleId="119">
    <w:name w:val="font10"/>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20">
    <w:name w:val="font11"/>
    <w:basedOn w:val="1"/>
    <w:qFormat/>
    <w:uiPriority w:val="0"/>
    <w:pPr>
      <w:widowControl/>
      <w:spacing w:before="100" w:beforeAutospacing="1" w:after="100" w:afterAutospacing="1"/>
      <w:jc w:val="left"/>
    </w:pPr>
    <w:rPr>
      <w:rFonts w:ascii="仿宋" w:hAnsi="仿宋" w:cs="宋体"/>
      <w:b/>
      <w:bCs/>
      <w:color w:val="FF0000"/>
      <w:kern w:val="0"/>
      <w:sz w:val="24"/>
      <w:szCs w:val="24"/>
    </w:rPr>
  </w:style>
  <w:style w:type="paragraph" w:customStyle="1" w:styleId="121">
    <w:name w:val="font12"/>
    <w:basedOn w:val="1"/>
    <w:qFormat/>
    <w:uiPriority w:val="0"/>
    <w:pPr>
      <w:widowControl/>
      <w:spacing w:before="100" w:beforeAutospacing="1" w:after="100" w:afterAutospacing="1"/>
      <w:jc w:val="left"/>
    </w:pPr>
    <w:rPr>
      <w:rFonts w:eastAsia="宋体"/>
      <w:color w:val="FF0000"/>
      <w:kern w:val="0"/>
      <w:sz w:val="24"/>
      <w:szCs w:val="24"/>
    </w:rPr>
  </w:style>
  <w:style w:type="paragraph" w:customStyle="1" w:styleId="122">
    <w:name w:val="xl65"/>
    <w:basedOn w:val="1"/>
    <w:qFormat/>
    <w:uiPriority w:val="0"/>
    <w:pPr>
      <w:widowControl/>
      <w:pBdr>
        <w:top w:val="double" w:color="auto" w:sz="6" w:space="0"/>
        <w:bottom w:val="single" w:color="auto" w:sz="8" w:space="0"/>
        <w:right w:val="single" w:color="auto" w:sz="8" w:space="0"/>
      </w:pBdr>
      <w:spacing w:before="100" w:beforeAutospacing="1" w:after="100" w:afterAutospacing="1"/>
      <w:jc w:val="center"/>
      <w:textAlignment w:val="center"/>
    </w:pPr>
    <w:rPr>
      <w:rFonts w:ascii="仿宋" w:hAnsi="仿宋" w:cs="宋体"/>
      <w:b/>
      <w:bCs/>
      <w:color w:val="FF0000"/>
      <w:kern w:val="0"/>
      <w:sz w:val="24"/>
      <w:szCs w:val="24"/>
    </w:rPr>
  </w:style>
  <w:style w:type="paragraph" w:customStyle="1" w:styleId="123">
    <w:name w:val="xl66"/>
    <w:basedOn w:val="1"/>
    <w:qFormat/>
    <w:uiPriority w:val="0"/>
    <w:pPr>
      <w:widowControl/>
      <w:pBdr>
        <w:top w:val="double" w:color="auto" w:sz="6" w:space="0"/>
        <w:bottom w:val="single" w:color="auto" w:sz="8" w:space="0"/>
        <w:right w:val="single" w:color="auto" w:sz="8" w:space="0"/>
      </w:pBdr>
      <w:spacing w:before="100" w:beforeAutospacing="1" w:after="100" w:afterAutospacing="1"/>
      <w:jc w:val="center"/>
      <w:textAlignment w:val="center"/>
    </w:pPr>
    <w:rPr>
      <w:rFonts w:ascii="仿宋" w:hAnsi="仿宋" w:cs="宋体"/>
      <w:b/>
      <w:bCs/>
      <w:color w:val="FF0000"/>
      <w:kern w:val="0"/>
      <w:sz w:val="24"/>
      <w:szCs w:val="24"/>
    </w:rPr>
  </w:style>
  <w:style w:type="paragraph" w:customStyle="1" w:styleId="124">
    <w:name w:val="xl6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25">
    <w:name w:val="xl6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2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27">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28">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29">
    <w:name w:val="xl72"/>
    <w:basedOn w:val="1"/>
    <w:qFormat/>
    <w:uiPriority w:val="0"/>
    <w:pPr>
      <w:widowControl/>
      <w:pBdr>
        <w:top w:val="double" w:color="auto" w:sz="6" w:space="0"/>
        <w:bottom w:val="single" w:color="auto" w:sz="8" w:space="0"/>
        <w:right w:val="single" w:color="auto" w:sz="8" w:space="0"/>
      </w:pBdr>
      <w:spacing w:before="100" w:beforeAutospacing="1" w:after="100" w:afterAutospacing="1"/>
      <w:jc w:val="center"/>
      <w:textAlignment w:val="center"/>
    </w:pPr>
    <w:rPr>
      <w:rFonts w:eastAsia="宋体"/>
      <w:b/>
      <w:bCs/>
      <w:color w:val="FF0000"/>
      <w:kern w:val="0"/>
      <w:sz w:val="24"/>
      <w:szCs w:val="24"/>
    </w:rPr>
  </w:style>
  <w:style w:type="paragraph" w:customStyle="1" w:styleId="130">
    <w:name w:val="xl73"/>
    <w:basedOn w:val="1"/>
    <w:qFormat/>
    <w:uiPriority w:val="0"/>
    <w:pPr>
      <w:widowControl/>
      <w:pBdr>
        <w:top w:val="double" w:color="auto" w:sz="6" w:space="0"/>
        <w:bottom w:val="single" w:color="auto" w:sz="8" w:space="0"/>
      </w:pBdr>
      <w:spacing w:before="100" w:beforeAutospacing="1" w:after="100" w:afterAutospacing="1"/>
      <w:jc w:val="center"/>
      <w:textAlignment w:val="center"/>
    </w:pPr>
    <w:rPr>
      <w:rFonts w:eastAsia="宋体"/>
      <w:b/>
      <w:bCs/>
      <w:color w:val="FF0000"/>
      <w:kern w:val="0"/>
      <w:sz w:val="24"/>
      <w:szCs w:val="24"/>
    </w:rPr>
  </w:style>
  <w:style w:type="paragraph" w:customStyle="1" w:styleId="131">
    <w:name w:val="xl74"/>
    <w:basedOn w:val="1"/>
    <w:qFormat/>
    <w:uiPriority w:val="0"/>
    <w:pPr>
      <w:widowControl/>
      <w:pBdr>
        <w:bottom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32">
    <w:name w:val="xl7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33">
    <w:name w:val="xl76"/>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eastAsia="宋体"/>
      <w:color w:val="FF0000"/>
      <w:kern w:val="0"/>
      <w:sz w:val="24"/>
      <w:szCs w:val="24"/>
    </w:rPr>
  </w:style>
  <w:style w:type="paragraph" w:customStyle="1" w:styleId="134">
    <w:name w:val="xl77"/>
    <w:basedOn w:val="1"/>
    <w:qFormat/>
    <w:uiPriority w:val="0"/>
    <w:pPr>
      <w:widowControl/>
      <w:pBdr>
        <w:bottom w:val="double" w:color="auto" w:sz="6"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35">
    <w:name w:val="xl78"/>
    <w:basedOn w:val="1"/>
    <w:qFormat/>
    <w:uiPriority w:val="0"/>
    <w:pPr>
      <w:widowControl/>
      <w:pBdr>
        <w:bottom w:val="double" w:color="auto" w:sz="6"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36">
    <w:name w:val="xl79"/>
    <w:basedOn w:val="1"/>
    <w:qFormat/>
    <w:uiPriority w:val="0"/>
    <w:pPr>
      <w:widowControl/>
      <w:pBdr>
        <w:top w:val="double" w:color="auto" w:sz="6" w:space="0"/>
        <w:left w:val="single" w:color="auto" w:sz="8" w:space="0"/>
        <w:bottom w:val="single" w:color="auto" w:sz="8" w:space="0"/>
      </w:pBdr>
      <w:spacing w:before="100" w:beforeAutospacing="1" w:after="100" w:afterAutospacing="1"/>
      <w:jc w:val="center"/>
      <w:textAlignment w:val="center"/>
    </w:pPr>
    <w:rPr>
      <w:rFonts w:ascii="仿宋" w:hAnsi="仿宋" w:cs="宋体"/>
      <w:b/>
      <w:bCs/>
      <w:color w:val="FF0000"/>
      <w:kern w:val="0"/>
      <w:sz w:val="24"/>
      <w:szCs w:val="24"/>
    </w:rPr>
  </w:style>
  <w:style w:type="paragraph" w:customStyle="1" w:styleId="137">
    <w:name w:val="xl80"/>
    <w:basedOn w:val="1"/>
    <w:qFormat/>
    <w:uiPriority w:val="0"/>
    <w:pPr>
      <w:widowControl/>
      <w:pBdr>
        <w:top w:val="double" w:color="auto" w:sz="6" w:space="0"/>
        <w:bottom w:val="single" w:color="auto" w:sz="8" w:space="0"/>
      </w:pBdr>
      <w:spacing w:before="100" w:beforeAutospacing="1" w:after="100" w:afterAutospacing="1"/>
      <w:jc w:val="center"/>
      <w:textAlignment w:val="center"/>
    </w:pPr>
    <w:rPr>
      <w:rFonts w:ascii="仿宋" w:hAnsi="仿宋" w:cs="宋体"/>
      <w:b/>
      <w:bCs/>
      <w:color w:val="FF0000"/>
      <w:kern w:val="0"/>
      <w:sz w:val="24"/>
      <w:szCs w:val="24"/>
    </w:rPr>
  </w:style>
  <w:style w:type="paragraph" w:customStyle="1" w:styleId="138">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39">
    <w:name w:val="xl82"/>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40">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4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42">
    <w:name w:val="xl8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43">
    <w:name w:val="xl8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44">
    <w:name w:val="xl87"/>
    <w:basedOn w:val="1"/>
    <w:qFormat/>
    <w:uiPriority w:val="0"/>
    <w:pPr>
      <w:widowControl/>
      <w:pBdr>
        <w:top w:val="single" w:color="auto" w:sz="8" w:space="0"/>
        <w:left w:val="single" w:color="auto" w:sz="8" w:space="0"/>
        <w:bottom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45">
    <w:name w:val="xl88"/>
    <w:basedOn w:val="1"/>
    <w:qFormat/>
    <w:uiPriority w:val="0"/>
    <w:pPr>
      <w:widowControl/>
      <w:pBdr>
        <w:top w:val="single" w:color="auto" w:sz="8" w:space="0"/>
        <w:bottom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46">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47">
    <w:name w:val="xl90"/>
    <w:basedOn w:val="1"/>
    <w:qFormat/>
    <w:uiPriority w:val="0"/>
    <w:pPr>
      <w:widowControl/>
      <w:pBdr>
        <w:top w:val="single" w:color="auto" w:sz="8" w:space="0"/>
        <w:left w:val="single" w:color="auto" w:sz="8" w:space="0"/>
        <w:bottom w:val="double" w:color="auto" w:sz="6"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48">
    <w:name w:val="xl91"/>
    <w:basedOn w:val="1"/>
    <w:qFormat/>
    <w:uiPriority w:val="0"/>
    <w:pPr>
      <w:widowControl/>
      <w:pBdr>
        <w:top w:val="single" w:color="auto" w:sz="8" w:space="0"/>
        <w:bottom w:val="double" w:color="auto" w:sz="6"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49">
    <w:name w:val="xl92"/>
    <w:basedOn w:val="1"/>
    <w:qFormat/>
    <w:uiPriority w:val="0"/>
    <w:pPr>
      <w:widowControl/>
      <w:pBdr>
        <w:top w:val="single" w:color="auto" w:sz="8" w:space="0"/>
        <w:bottom w:val="double" w:color="auto" w:sz="6"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50">
    <w:name w:val="xl93"/>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51">
    <w:name w:val="xl94"/>
    <w:basedOn w:val="1"/>
    <w:qFormat/>
    <w:uiPriority w:val="0"/>
    <w:pPr>
      <w:widowControl/>
      <w:pBdr>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52">
    <w:name w:val="xl95"/>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53">
    <w:name w:val="xl96"/>
    <w:basedOn w:val="1"/>
    <w:qFormat/>
    <w:uiPriority w:val="0"/>
    <w:pPr>
      <w:widowControl/>
      <w:pBdr>
        <w:right w:val="single" w:color="auto" w:sz="8" w:space="0"/>
      </w:pBdr>
      <w:spacing w:before="100" w:beforeAutospacing="1" w:after="100" w:afterAutospacing="1"/>
      <w:jc w:val="center"/>
      <w:textAlignment w:val="center"/>
    </w:pPr>
    <w:rPr>
      <w:rFonts w:eastAsia="宋体"/>
      <w:color w:val="FF0000"/>
      <w:kern w:val="0"/>
      <w:sz w:val="14"/>
      <w:szCs w:val="14"/>
    </w:rPr>
  </w:style>
  <w:style w:type="paragraph" w:customStyle="1" w:styleId="154">
    <w:name w:val="xl97"/>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55">
    <w:name w:val="xl98"/>
    <w:basedOn w:val="1"/>
    <w:qFormat/>
    <w:uiPriority w:val="0"/>
    <w:pPr>
      <w:widowControl/>
      <w:pBdr>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56">
    <w:name w:val="xl9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57">
    <w:name w:val="xl10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58">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59">
    <w:name w:val="xl102"/>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60">
    <w:name w:val="xl103"/>
    <w:basedOn w:val="1"/>
    <w:qFormat/>
    <w:uiPriority w:val="0"/>
    <w:pPr>
      <w:widowControl/>
      <w:pBdr>
        <w:left w:val="single" w:color="auto" w:sz="8" w:space="0"/>
        <w:right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61">
    <w:name w:val="xl104"/>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62">
    <w:name w:val="xl105"/>
    <w:basedOn w:val="1"/>
    <w:qFormat/>
    <w:uiPriority w:val="0"/>
    <w:pPr>
      <w:widowControl/>
      <w:pBdr>
        <w:left w:val="single" w:color="auto" w:sz="8" w:space="0"/>
        <w:bottom w:val="double" w:color="auto" w:sz="6"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63">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4">
    <w:name w:val="xl10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5">
    <w:name w:val="xl10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6">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7">
    <w:name w:val="xl11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8">
    <w:name w:val="xl11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69">
    <w:name w:val="xl11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0">
    <w:name w:val="xl113"/>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1">
    <w:name w:val="xl11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2">
    <w:name w:val="xl11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73">
    <w:name w:val="xl116"/>
    <w:basedOn w:val="1"/>
    <w:qFormat/>
    <w:uiPriority w:val="0"/>
    <w:pPr>
      <w:widowControl/>
      <w:pBdr>
        <w:right w:val="single" w:color="auto" w:sz="8"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74">
    <w:name w:val="xl117"/>
    <w:basedOn w:val="1"/>
    <w:qFormat/>
    <w:uiPriority w:val="0"/>
    <w:pPr>
      <w:widowControl/>
      <w:pBdr>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5">
    <w:name w:val="xl118"/>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6">
    <w:name w:val="xl119"/>
    <w:basedOn w:val="1"/>
    <w:qFormat/>
    <w:uiPriority w:val="0"/>
    <w:pPr>
      <w:widowControl/>
      <w:pBdr>
        <w:lef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7">
    <w:name w:val="xl120"/>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78">
    <w:name w:val="xl121"/>
    <w:basedOn w:val="1"/>
    <w:qFormat/>
    <w:uiPriority w:val="0"/>
    <w:pPr>
      <w:widowControl/>
      <w:spacing w:before="100" w:beforeAutospacing="1" w:after="100" w:afterAutospacing="1"/>
      <w:jc w:val="center"/>
      <w:textAlignment w:val="center"/>
    </w:pPr>
    <w:rPr>
      <w:rFonts w:eastAsia="宋体"/>
      <w:color w:val="FF0000"/>
      <w:kern w:val="0"/>
      <w:sz w:val="24"/>
      <w:szCs w:val="24"/>
    </w:rPr>
  </w:style>
  <w:style w:type="paragraph" w:customStyle="1" w:styleId="179">
    <w:name w:val="xl12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80">
    <w:name w:val="xl123"/>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81">
    <w:name w:val="xl12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82">
    <w:name w:val="xl125"/>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83">
    <w:name w:val="xl126"/>
    <w:basedOn w:val="1"/>
    <w:qFormat/>
    <w:uiPriority w:val="0"/>
    <w:pPr>
      <w:widowControl/>
      <w:pBdr>
        <w:lef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84">
    <w:name w:val="xl127"/>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85">
    <w:name w:val="xl128"/>
    <w:basedOn w:val="1"/>
    <w:qFormat/>
    <w:uiPriority w:val="0"/>
    <w:pPr>
      <w:widowControl/>
      <w:pBdr>
        <w:lef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86">
    <w:name w:val="xl129"/>
    <w:basedOn w:val="1"/>
    <w:qFormat/>
    <w:uiPriority w:val="0"/>
    <w:pPr>
      <w:widowControl/>
      <w:pBdr>
        <w:right w:val="single" w:color="auto" w:sz="8" w:space="0"/>
      </w:pBdr>
      <w:spacing w:before="100" w:beforeAutospacing="1" w:after="100" w:afterAutospacing="1"/>
      <w:jc w:val="center"/>
      <w:textAlignment w:val="center"/>
    </w:pPr>
    <w:rPr>
      <w:rFonts w:ascii="仿宋" w:hAnsi="仿宋" w:cs="宋体"/>
      <w:color w:val="FF0000"/>
      <w:kern w:val="0"/>
      <w:sz w:val="24"/>
      <w:szCs w:val="24"/>
    </w:rPr>
  </w:style>
  <w:style w:type="paragraph" w:customStyle="1" w:styleId="187">
    <w:name w:val="font1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8">
    <w:name w:val="xl130"/>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仿宋" w:hAnsi="仿宋" w:cs="宋体"/>
      <w:color w:val="FF0000"/>
      <w:kern w:val="0"/>
      <w:sz w:val="24"/>
      <w:szCs w:val="24"/>
    </w:rPr>
  </w:style>
  <w:style w:type="paragraph" w:customStyle="1" w:styleId="189">
    <w:name w:val="xl131"/>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eastAsia="宋体"/>
      <w:color w:val="FF0000"/>
      <w:kern w:val="0"/>
      <w:sz w:val="24"/>
      <w:szCs w:val="24"/>
    </w:rPr>
  </w:style>
  <w:style w:type="paragraph" w:customStyle="1" w:styleId="190">
    <w:name w:val="表"/>
    <w:basedOn w:val="1"/>
    <w:qFormat/>
    <w:uiPriority w:val="0"/>
    <w:pPr>
      <w:snapToGrid w:val="0"/>
      <w:jc w:val="center"/>
    </w:pPr>
    <w:rPr>
      <w:rFonts w:eastAsia="宋体"/>
      <w:spacing w:val="2"/>
      <w:sz w:val="21"/>
      <w:szCs w:val="21"/>
    </w:rPr>
  </w:style>
  <w:style w:type="paragraph" w:customStyle="1" w:styleId="191">
    <w:name w:val="表格"/>
    <w:link w:val="192"/>
    <w:qFormat/>
    <w:uiPriority w:val="0"/>
    <w:pPr>
      <w:spacing w:line="380" w:lineRule="exact"/>
      <w:jc w:val="center"/>
    </w:pPr>
    <w:rPr>
      <w:rFonts w:ascii="宋体" w:hAnsi="宋体" w:eastAsia="宋体" w:cs="Times New Roman"/>
      <w:kern w:val="0"/>
      <w:sz w:val="21"/>
      <w:szCs w:val="20"/>
      <w:lang w:val="en-US" w:eastAsia="zh-CN" w:bidi="ar-SA"/>
    </w:rPr>
  </w:style>
  <w:style w:type="character" w:customStyle="1" w:styleId="192">
    <w:name w:val="表格 Char"/>
    <w:link w:val="191"/>
    <w:qFormat/>
    <w:uiPriority w:val="0"/>
    <w:rPr>
      <w:rFonts w:ascii="宋体" w:hAnsi="宋体" w:eastAsia="宋体" w:cs="Times New Roman"/>
      <w:kern w:val="0"/>
      <w:szCs w:val="20"/>
    </w:rPr>
  </w:style>
  <w:style w:type="paragraph" w:customStyle="1" w:styleId="193">
    <w:name w:val="Char Char28"/>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4">
    <w:name w:val="默认段落字体 Para Char Char Char Char"/>
    <w:basedOn w:val="1"/>
    <w:qFormat/>
    <w:uiPriority w:val="0"/>
    <w:rPr>
      <w:rFonts w:eastAsia="宋体"/>
      <w:sz w:val="24"/>
      <w:szCs w:val="24"/>
    </w:rPr>
  </w:style>
  <w:style w:type="character" w:customStyle="1" w:styleId="195">
    <w:name w:val="正文01 Char"/>
    <w:qFormat/>
    <w:uiPriority w:val="0"/>
    <w:rPr>
      <w:rFonts w:ascii="Times New Roman" w:hAnsi="Times New Roman"/>
      <w:kern w:val="2"/>
      <w:sz w:val="27"/>
      <w:szCs w:val="27"/>
    </w:rPr>
  </w:style>
  <w:style w:type="paragraph" w:customStyle="1" w:styleId="196">
    <w:name w:val="3"/>
    <w:basedOn w:val="1"/>
    <w:link w:val="197"/>
    <w:qFormat/>
    <w:uiPriority w:val="0"/>
    <w:pPr>
      <w:tabs>
        <w:tab w:val="left" w:pos="7455"/>
      </w:tabs>
      <w:snapToGrid w:val="0"/>
      <w:spacing w:before="120" w:line="360" w:lineRule="auto"/>
      <w:outlineLvl w:val="2"/>
    </w:pPr>
    <w:rPr>
      <w:rFonts w:eastAsia="宋体"/>
      <w:sz w:val="24"/>
      <w:szCs w:val="24"/>
      <w:lang w:val="zh-CN"/>
    </w:rPr>
  </w:style>
  <w:style w:type="character" w:customStyle="1" w:styleId="197">
    <w:name w:val="3 Char1"/>
    <w:link w:val="196"/>
    <w:qFormat/>
    <w:uiPriority w:val="0"/>
    <w:rPr>
      <w:rFonts w:ascii="Times New Roman" w:hAnsi="Times New Roman" w:eastAsia="宋体" w:cs="Times New Roman"/>
      <w:sz w:val="24"/>
      <w:szCs w:val="24"/>
      <w:lang w:val="zh-CN"/>
    </w:rPr>
  </w:style>
  <w:style w:type="paragraph" w:customStyle="1" w:styleId="198">
    <w:name w:val="Char Char28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99">
    <w:name w:val="标题 3 Char Char"/>
    <w:qFormat/>
    <w:uiPriority w:val="0"/>
    <w:rPr>
      <w:rFonts w:eastAsia="楷体_GB2312"/>
      <w:b/>
      <w:bCs/>
      <w:kern w:val="2"/>
      <w:sz w:val="32"/>
      <w:szCs w:val="32"/>
      <w:lang w:val="en-US" w:eastAsia="zh-CN" w:bidi="ar-SA"/>
    </w:rPr>
  </w:style>
  <w:style w:type="paragraph" w:customStyle="1" w:styleId="200">
    <w:name w:val="样式 样式 样式 正文格式 + 宋体 小四 首行缩进:  2 字符 段后: 7.8 磅 行距: 1.5 倍行距 + 首行缩进: ..."/>
    <w:basedOn w:val="1"/>
    <w:qFormat/>
    <w:uiPriority w:val="0"/>
    <w:pPr>
      <w:spacing w:line="360" w:lineRule="auto"/>
      <w:ind w:firstLine="200"/>
    </w:pPr>
    <w:rPr>
      <w:rFonts w:ascii="宋体" w:hAnsi="宋体" w:cs="宋体"/>
      <w:sz w:val="24"/>
      <w:szCs w:val="20"/>
    </w:rPr>
  </w:style>
  <w:style w:type="character" w:customStyle="1" w:styleId="201">
    <w:name w:val="font01"/>
    <w:qFormat/>
    <w:uiPriority w:val="0"/>
    <w:rPr>
      <w:rFonts w:hint="default" w:ascii="Times New Roman" w:hAnsi="Times New Roman" w:cs="Times New Roman"/>
      <w:color w:val="000000"/>
      <w:sz w:val="21"/>
      <w:szCs w:val="21"/>
      <w:u w:val="none"/>
    </w:rPr>
  </w:style>
  <w:style w:type="character" w:customStyle="1" w:styleId="202">
    <w:name w:val="NormalCharacter"/>
    <w:qFormat/>
    <w:uiPriority w:val="0"/>
  </w:style>
  <w:style w:type="paragraph" w:customStyle="1" w:styleId="203">
    <w:name w:val="正文文字"/>
    <w:basedOn w:val="1"/>
    <w:qFormat/>
    <w:uiPriority w:val="0"/>
    <w:pPr>
      <w:spacing w:line="420" w:lineRule="exact"/>
      <w:ind w:firstLine="480" w:firstLineChars="200"/>
    </w:pPr>
    <w:rPr>
      <w:rFonts w:eastAsia="仿宋_GB2312" w:cs="Arial"/>
      <w:sz w:val="24"/>
    </w:rPr>
  </w:style>
  <w:style w:type="paragraph" w:customStyle="1" w:styleId="204">
    <w:name w:val="报告正文"/>
    <w:basedOn w:val="1"/>
    <w:qFormat/>
    <w:uiPriority w:val="0"/>
    <w:pPr>
      <w:spacing w:line="360" w:lineRule="auto"/>
      <w:ind w:firstLine="200" w:firstLineChars="200"/>
    </w:pPr>
    <w:rPr>
      <w:rFonts w:ascii="宋体" w:eastAsia="宋体"/>
      <w:sz w:val="24"/>
      <w:szCs w:val="20"/>
    </w:rPr>
  </w:style>
  <w:style w:type="character" w:customStyle="1" w:styleId="205">
    <w:name w:val="标题 1 Char Char"/>
    <w:qFormat/>
    <w:uiPriority w:val="0"/>
    <w:rPr>
      <w:b/>
      <w:bCs/>
      <w:sz w:val="44"/>
    </w:rPr>
  </w:style>
  <w:style w:type="paragraph" w:customStyle="1" w:styleId="206">
    <w:name w:val="表头样式"/>
    <w:basedOn w:val="1"/>
    <w:next w:val="1"/>
    <w:qFormat/>
    <w:uiPriority w:val="0"/>
    <w:pPr>
      <w:spacing w:before="50" w:beforeLines="50" w:after="50" w:afterLines="50"/>
      <w:jc w:val="center"/>
    </w:pPr>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6C872-0D9A-49A6-944D-F9E864F5571D}">
  <ds:schemaRefs/>
</ds:datastoreItem>
</file>

<file path=docProps/app.xml><?xml version="1.0" encoding="utf-8"?>
<Properties xmlns="http://schemas.openxmlformats.org/officeDocument/2006/extended-properties" xmlns:vt="http://schemas.openxmlformats.org/officeDocument/2006/docPropsVTypes">
  <Template>Normal</Template>
  <Pages>44</Pages>
  <Words>19355</Words>
  <Characters>20195</Characters>
  <Lines>127</Lines>
  <Paragraphs>35</Paragraphs>
  <TotalTime>8</TotalTime>
  <ScaleCrop>false</ScaleCrop>
  <LinksUpToDate>false</LinksUpToDate>
  <CharactersWithSpaces>20240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2022-11-15T06:51:00Z</dcterms:created>
  <dc:creator>123 456</dc:creator>
  <cp:lastModifiedBy>陌</cp:lastModifiedBy>
  <cp:lastPrinted>2023-07-12T10:54:00Z</cp:lastPrinted>
  <dcterms:modified xsi:type="dcterms:W3CDTF">2023-07-19T10:52:36Z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117CE52B686045559202627AA05C27F3_13</vt:lpwstr>
  </property>
</Properties>
</file>