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2022年提名</w:t>
      </w:r>
      <w:r>
        <w:rPr>
          <w:rFonts w:hint="eastAsia" w:ascii="方正小标宋简体" w:hAnsi="方正小标宋简体" w:eastAsia="方正小标宋简体" w:cs="方正小标宋简体"/>
          <w:sz w:val="44"/>
          <w:szCs w:val="44"/>
          <w:lang w:eastAsia="zh-CN"/>
        </w:rPr>
        <w:t>兵团科技进步奖项目公示</w:t>
      </w:r>
    </w:p>
    <w:p>
      <w:pPr>
        <w:rPr>
          <w:rFonts w:hint="eastAsia"/>
          <w:lang w:eastAsia="zh-CN"/>
        </w:rPr>
      </w:pPr>
    </w:p>
    <w:tbl>
      <w:tblPr>
        <w:tblStyle w:val="3"/>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6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项目名称</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联合超声内镜、放大内镜在上消化道早期癌术前评估中的价值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主要完成单位</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新疆生产建设兵团第一师医院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主要完成人</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梁新文、吴燕、徐月清、徐星莉、 李文萍、歌尔娜·吾麦尔、文静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项目简介</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该项目在新疆地区首次成功使用超声内镜联合放大内镜对早期消化道肿瘤诊断评估，病变进行研究，提高消化道早癌早诊早诊，符合国家十四五卫生健康战略，通过研究明确EUS、NBI-ME在消化道早癌中诊断是否具有普遍适用性及临床指导治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该项目通过早期诊断及治疗，特别是内镜下早癌诊治具有创伤小、恢复快、花费少，并发症少等优点，易操作，诊断准确率高、可控性好等优点并积极推广，提高人民群众健康水平，具有较强的创新性和探索性。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项目将超声内镜、放大内镜使用于消化道肿瘤早期诊断及治疗，技术研究成果在新疆生产建设兵团第一师医院、新疆生产建设兵团阿拉尔医院、阿克苏地区人民医院及南疆基层医院进行了推广应用，发现消化道早癌并内镜下治疗2019年60例手术，节约医疗成本300700.93元，2020年发现及诊断消化道早癌住院病人65例，节约费用428948.81元。2021年本项目在阿克苏地区人民医院、阿克苏市人民医院，沙雅县人民医院推广宣传，门诊检查超声内镜及放大内镜150例，发现早癌70例，医院内镜诊断水平明显提高，人民群众满意度大幅提升，特别消化道早癌早诊早诊率明显提高，使人民</w:t>
            </w:r>
            <w:bookmarkStart w:id="0" w:name="_GoBack"/>
            <w:bookmarkEnd w:id="0"/>
            <w:r>
              <w:rPr>
                <w:rFonts w:hint="eastAsia" w:ascii="仿宋_GB2312" w:hAnsi="仿宋_GB2312" w:eastAsia="仿宋_GB2312" w:cs="仿宋_GB2312"/>
                <w:sz w:val="28"/>
                <w:szCs w:val="28"/>
                <w:vertAlign w:val="baseline"/>
                <w:lang w:eastAsia="zh-CN"/>
              </w:rPr>
              <w:t>群众健康水平提高有重要意义。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提名者</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第一师阿拉尔市科学技术局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提名意见</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该项目在新疆首次使用超声内镜联合放大内镜对消化道早癌及其癌前病变进修研究，对上消化道肿瘤给于早诊早治，且联合评估及对于病变性质的诊断，对后续治疗中应用提供依据，从而降低新疆消化道肿瘤的病死率及改善患者的生存质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项目的研究与推广，使基层医院内镜诊断水平明显提高，人民群众满意度大幅提升，降低了医疗成本，取得了显著的社会与经济效益。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9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提名等级</w:t>
            </w:r>
          </w:p>
        </w:tc>
        <w:tc>
          <w:tcPr>
            <w:tcW w:w="6734" w:type="dxa"/>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eastAsia="zh-CN"/>
              </w:rPr>
              <w:t>兵团科技进步奖三等奖</w:t>
            </w:r>
          </w:p>
        </w:tc>
      </w:tr>
    </w:tbl>
    <w:p>
      <w:pPr>
        <w:rPr>
          <w:rFonts w:hint="eastAsia"/>
          <w:lang w:eastAsia="zh-CN"/>
        </w:rPr>
        <w:sectPr>
          <w:pgSz w:w="11906" w:h="16838"/>
          <w:pgMar w:top="1440" w:right="1800" w:bottom="1440" w:left="1800" w:header="851" w:footer="992" w:gutter="0"/>
          <w:cols w:space="425" w:num="1"/>
          <w:docGrid w:type="lines" w:linePitch="312" w:charSpace="0"/>
        </w:sectPr>
      </w:pPr>
    </w:p>
    <w:tbl>
      <w:tblPr>
        <w:tblStyle w:val="3"/>
        <w:tblpPr w:leftFromText="180" w:rightFromText="180" w:vertAnchor="text" w:horzAnchor="page" w:tblpX="1464" w:tblpY="6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3470"/>
        <w:gridCol w:w="2193"/>
        <w:gridCol w:w="2211"/>
        <w:gridCol w:w="1323"/>
        <w:gridCol w:w="2951"/>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blHeader/>
        </w:trPr>
        <w:tc>
          <w:tcPr>
            <w:tcW w:w="14174" w:type="dxa"/>
            <w:gridSpan w:val="7"/>
            <w:tcBorders>
              <w:top w:val="nil"/>
              <w:left w:val="nil"/>
              <w:right w:val="nil"/>
            </w:tcBorders>
            <w:vAlign w:val="center"/>
          </w:tcPr>
          <w:p>
            <w:pPr>
              <w:rPr>
                <w:rFonts w:asciiTheme="minorEastAsia" w:hAnsiTheme="minorEastAsia"/>
                <w:szCs w:val="21"/>
              </w:rPr>
            </w:pPr>
            <w:r>
              <w:rPr>
                <w:rFonts w:hint="eastAsia" w:ascii="黑体" w:hAnsi="黑体" w:eastAsia="黑体" w:cs="Times New Roman"/>
                <w:sz w:val="28"/>
                <w:szCs w:val="28"/>
              </w:rPr>
              <w:t>代表性论文和专著目录（不超过8篇）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647" w:type="dxa"/>
            <w:vAlign w:val="center"/>
          </w:tcPr>
          <w:p>
            <w:pPr>
              <w:spacing w:line="280" w:lineRule="exact"/>
              <w:jc w:val="center"/>
              <w:rPr>
                <w:rFonts w:asciiTheme="minorEastAsia" w:hAnsiTheme="minorEastAsia"/>
                <w:szCs w:val="21"/>
              </w:rPr>
            </w:pPr>
            <w:r>
              <w:rPr>
                <w:rFonts w:hint="eastAsia" w:asciiTheme="minorEastAsia" w:hAnsiTheme="minorEastAsia"/>
                <w:szCs w:val="21"/>
              </w:rPr>
              <w:t>序号</w:t>
            </w:r>
          </w:p>
        </w:tc>
        <w:tc>
          <w:tcPr>
            <w:tcW w:w="3470" w:type="dxa"/>
            <w:vAlign w:val="center"/>
          </w:tcPr>
          <w:p>
            <w:pPr>
              <w:spacing w:line="280" w:lineRule="exact"/>
              <w:jc w:val="center"/>
              <w:rPr>
                <w:rFonts w:asciiTheme="minorEastAsia" w:hAnsiTheme="minorEastAsia"/>
                <w:szCs w:val="21"/>
              </w:rPr>
            </w:pPr>
            <w:r>
              <w:rPr>
                <w:rFonts w:hint="eastAsia" w:asciiTheme="minorEastAsia" w:hAnsiTheme="minorEastAsia"/>
                <w:szCs w:val="21"/>
              </w:rPr>
              <w:t>论文/专著名称</w:t>
            </w:r>
          </w:p>
        </w:tc>
        <w:tc>
          <w:tcPr>
            <w:tcW w:w="2193" w:type="dxa"/>
            <w:vAlign w:val="center"/>
          </w:tcPr>
          <w:p>
            <w:pPr>
              <w:spacing w:line="280" w:lineRule="exact"/>
              <w:jc w:val="center"/>
              <w:rPr>
                <w:rFonts w:asciiTheme="minorEastAsia" w:hAnsiTheme="minorEastAsia"/>
                <w:szCs w:val="21"/>
              </w:rPr>
            </w:pPr>
            <w:r>
              <w:rPr>
                <w:rFonts w:hint="eastAsia" w:asciiTheme="minorEastAsia" w:hAnsiTheme="minorEastAsia"/>
                <w:szCs w:val="21"/>
              </w:rPr>
              <w:t>刊名/出版社</w:t>
            </w:r>
          </w:p>
        </w:tc>
        <w:tc>
          <w:tcPr>
            <w:tcW w:w="2211" w:type="dxa"/>
            <w:vAlign w:val="center"/>
          </w:tcPr>
          <w:p>
            <w:pPr>
              <w:spacing w:line="280" w:lineRule="exact"/>
              <w:jc w:val="center"/>
              <w:rPr>
                <w:rFonts w:asciiTheme="minorEastAsia" w:hAnsiTheme="minorEastAsia"/>
                <w:szCs w:val="21"/>
              </w:rPr>
            </w:pPr>
            <w:r>
              <w:rPr>
                <w:rFonts w:hint="eastAsia" w:asciiTheme="minorEastAsia" w:hAnsiTheme="minorEastAsia"/>
                <w:szCs w:val="21"/>
              </w:rPr>
              <w:t>期刊卷号/书号</w:t>
            </w:r>
          </w:p>
        </w:tc>
        <w:tc>
          <w:tcPr>
            <w:tcW w:w="1323" w:type="dxa"/>
            <w:vAlign w:val="center"/>
          </w:tcPr>
          <w:p>
            <w:pPr>
              <w:spacing w:line="280" w:lineRule="exact"/>
              <w:jc w:val="center"/>
              <w:rPr>
                <w:rFonts w:asciiTheme="minorEastAsia" w:hAnsiTheme="minorEastAsia"/>
                <w:szCs w:val="21"/>
              </w:rPr>
            </w:pPr>
            <w:r>
              <w:rPr>
                <w:rFonts w:hint="eastAsia" w:asciiTheme="minorEastAsia" w:hAnsiTheme="minorEastAsia"/>
                <w:szCs w:val="21"/>
              </w:rPr>
              <w:t>发表时间</w:t>
            </w:r>
          </w:p>
        </w:tc>
        <w:tc>
          <w:tcPr>
            <w:tcW w:w="2951" w:type="dxa"/>
            <w:vAlign w:val="center"/>
          </w:tcPr>
          <w:p>
            <w:pPr>
              <w:spacing w:line="280" w:lineRule="exact"/>
              <w:jc w:val="center"/>
              <w:rPr>
                <w:rFonts w:asciiTheme="minorEastAsia" w:hAnsiTheme="minorEastAsia"/>
                <w:szCs w:val="21"/>
              </w:rPr>
            </w:pPr>
            <w:r>
              <w:rPr>
                <w:rFonts w:hint="eastAsia" w:asciiTheme="minorEastAsia" w:hAnsiTheme="minorEastAsia"/>
                <w:szCs w:val="21"/>
              </w:rPr>
              <w:t>作者</w:t>
            </w:r>
          </w:p>
        </w:tc>
        <w:tc>
          <w:tcPr>
            <w:tcW w:w="1379" w:type="dxa"/>
            <w:vAlign w:val="center"/>
          </w:tcPr>
          <w:p>
            <w:pPr>
              <w:spacing w:line="280" w:lineRule="exact"/>
              <w:jc w:val="center"/>
              <w:rPr>
                <w:rFonts w:asciiTheme="minorEastAsia" w:hAnsiTheme="minorEastAsia"/>
                <w:szCs w:val="21"/>
              </w:rPr>
            </w:pPr>
            <w:r>
              <w:rPr>
                <w:rFonts w:hint="eastAsia" w:asciiTheme="minorEastAsia" w:hAnsiTheme="minorEastAsia"/>
                <w:szCs w:val="21"/>
              </w:rPr>
              <w:t>通讯作者</w:t>
            </w:r>
          </w:p>
          <w:p>
            <w:pPr>
              <w:spacing w:line="280" w:lineRule="exact"/>
              <w:jc w:val="center"/>
              <w:rPr>
                <w:rFonts w:asciiTheme="minorEastAsia" w:hAnsiTheme="minorEastAsia"/>
                <w:szCs w:val="21"/>
              </w:rPr>
            </w:pPr>
            <w:r>
              <w:rPr>
                <w:rFonts w:hint="eastAsia" w:asciiTheme="minorEastAsia" w:hAnsiTheme="minorEastAsia"/>
                <w:szCs w:val="21"/>
              </w:rPr>
              <w:t>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1</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老年上消化道隆起性病变电子内镜超声诊断与病理切片结果的差异性分析</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中国老年学</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宋体" w:hAnsi="宋体"/>
                <w:szCs w:val="21"/>
              </w:rPr>
              <w:t>2018年7期</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2018</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梁新文 徐星莉</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超声内镜联合放大内镜在上消化道早期癌术前评估中应用价值</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兵团医学</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2020年1期</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2020</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r>
              <w:rPr>
                <w:rFonts w:hint="eastAsia" w:asciiTheme="minorEastAsia" w:hAnsiTheme="minorEastAsia"/>
                <w:szCs w:val="21"/>
              </w:rPr>
              <w:t xml:space="preserve">  徐星莉  李静</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3</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超声内镜</w:t>
            </w:r>
            <w:r>
              <w:rPr>
                <w:rFonts w:hint="eastAsia" w:asciiTheme="minorEastAsia" w:hAnsiTheme="minorEastAsia"/>
                <w:szCs w:val="21"/>
              </w:rPr>
              <w:t>、</w:t>
            </w:r>
            <w:r>
              <w:rPr>
                <w:rFonts w:asciiTheme="minorEastAsia" w:hAnsiTheme="minorEastAsia"/>
                <w:szCs w:val="21"/>
              </w:rPr>
              <w:t>放大内镜对消化道粘膜病变诊断结果对比分析研究</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农垦医学</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2020年2期</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2020</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r>
              <w:rPr>
                <w:rFonts w:hint="eastAsia" w:asciiTheme="minorEastAsia" w:hAnsiTheme="minorEastAsia"/>
                <w:szCs w:val="21"/>
              </w:rPr>
              <w:t xml:space="preserve"> 徐星莉  李文萍</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4</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超声内镜对80例上消化道隆起性病变诊断价值及应用研究</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新疆医学</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宋体" w:hAnsi="宋体"/>
                <w:szCs w:val="21"/>
              </w:rPr>
              <w:t>2018卷1期</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2018</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梁新文 徐星莉</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5</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小探头超声内镜在隆起性病变中的举隅</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新疆医学</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宋体" w:hAnsi="宋体"/>
                <w:szCs w:val="21"/>
              </w:rPr>
              <w:t>2017卷6期</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2017</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梁新文 徐星莉</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6</w:t>
            </w:r>
          </w:p>
        </w:tc>
        <w:tc>
          <w:tcPr>
            <w:tcW w:w="3470" w:type="dxa"/>
            <w:vAlign w:val="center"/>
          </w:tcPr>
          <w:p>
            <w:pPr>
              <w:wordWrap w:val="0"/>
              <w:spacing w:line="280" w:lineRule="exact"/>
              <w:rPr>
                <w:rFonts w:asciiTheme="minorEastAsia" w:hAnsiTheme="minorEastAsia" w:eastAsiaTheme="minorEastAsia" w:cstheme="minorBidi"/>
                <w:kern w:val="2"/>
                <w:sz w:val="21"/>
                <w:szCs w:val="21"/>
                <w:lang w:val="en-US" w:eastAsia="zh-CN" w:bidi="ar-SA"/>
              </w:rPr>
            </w:pPr>
            <w:r>
              <w:rPr>
                <w:rFonts w:hint="eastAsia" w:ascii="宋体" w:hAnsi="宋体"/>
                <w:szCs w:val="21"/>
              </w:rPr>
              <w:t>临床内科原理与实践</w:t>
            </w:r>
          </w:p>
        </w:tc>
        <w:tc>
          <w:tcPr>
            <w:tcW w:w="219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宋体" w:hAnsi="宋体"/>
                <w:szCs w:val="21"/>
              </w:rPr>
              <w:t>吉林科技出版社</w:t>
            </w:r>
          </w:p>
        </w:tc>
        <w:tc>
          <w:tcPr>
            <w:tcW w:w="2211"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宋体" w:hAnsi="宋体"/>
                <w:szCs w:val="21"/>
              </w:rPr>
              <w:t>ISBN978-7-5384-7906</w:t>
            </w:r>
          </w:p>
        </w:tc>
        <w:tc>
          <w:tcPr>
            <w:tcW w:w="1323"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2016</w:t>
            </w:r>
          </w:p>
        </w:tc>
        <w:tc>
          <w:tcPr>
            <w:tcW w:w="2951" w:type="dxa"/>
            <w:vAlign w:val="center"/>
          </w:tcPr>
          <w:p>
            <w:pPr>
              <w:spacing w:line="280" w:lineRule="exact"/>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c>
          <w:tcPr>
            <w:tcW w:w="1379" w:type="dxa"/>
            <w:vAlign w:val="center"/>
          </w:tcPr>
          <w:p>
            <w:pPr>
              <w:spacing w:line="280" w:lineRule="exact"/>
              <w:jc w:val="center"/>
              <w:rPr>
                <w:rFonts w:asciiTheme="minorEastAsia" w:hAnsiTheme="minorEastAsia" w:eastAsiaTheme="minorEastAsia" w:cstheme="minorBidi"/>
                <w:kern w:val="2"/>
                <w:sz w:val="21"/>
                <w:szCs w:val="21"/>
                <w:lang w:val="en-US" w:eastAsia="zh-CN" w:bidi="ar-SA"/>
              </w:rPr>
            </w:pPr>
            <w:r>
              <w:rPr>
                <w:rFonts w:asciiTheme="minorEastAsia" w:hAnsiTheme="minorEastAsia"/>
                <w:szCs w:val="21"/>
              </w:rPr>
              <w:t>梁新文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647" w:type="dxa"/>
            <w:vAlign w:val="center"/>
          </w:tcPr>
          <w:p>
            <w:pPr>
              <w:spacing w:line="280" w:lineRule="exact"/>
              <w:jc w:val="center"/>
              <w:rPr>
                <w:rFonts w:asciiTheme="minorEastAsia" w:hAnsiTheme="minorEastAsia"/>
                <w:szCs w:val="21"/>
              </w:rPr>
            </w:pPr>
          </w:p>
        </w:tc>
        <w:tc>
          <w:tcPr>
            <w:tcW w:w="3470" w:type="dxa"/>
            <w:vAlign w:val="center"/>
          </w:tcPr>
          <w:p>
            <w:pPr>
              <w:wordWrap w:val="0"/>
              <w:spacing w:line="280" w:lineRule="exact"/>
              <w:rPr>
                <w:rFonts w:asciiTheme="minorEastAsia" w:hAnsiTheme="minorEastAsia"/>
                <w:szCs w:val="21"/>
              </w:rPr>
            </w:pPr>
          </w:p>
        </w:tc>
        <w:tc>
          <w:tcPr>
            <w:tcW w:w="2193" w:type="dxa"/>
            <w:vAlign w:val="center"/>
          </w:tcPr>
          <w:p>
            <w:pPr>
              <w:spacing w:line="280" w:lineRule="exact"/>
              <w:jc w:val="center"/>
              <w:rPr>
                <w:rFonts w:asciiTheme="minorEastAsia" w:hAnsiTheme="minorEastAsia"/>
                <w:szCs w:val="21"/>
              </w:rPr>
            </w:pPr>
          </w:p>
        </w:tc>
        <w:tc>
          <w:tcPr>
            <w:tcW w:w="2211" w:type="dxa"/>
            <w:vAlign w:val="center"/>
          </w:tcPr>
          <w:p>
            <w:pPr>
              <w:spacing w:line="280" w:lineRule="exact"/>
              <w:jc w:val="center"/>
              <w:rPr>
                <w:rFonts w:asciiTheme="minorEastAsia" w:hAnsiTheme="minorEastAsia"/>
                <w:szCs w:val="21"/>
              </w:rPr>
            </w:pPr>
          </w:p>
        </w:tc>
        <w:tc>
          <w:tcPr>
            <w:tcW w:w="1323" w:type="dxa"/>
            <w:vAlign w:val="center"/>
          </w:tcPr>
          <w:p>
            <w:pPr>
              <w:spacing w:line="280" w:lineRule="exact"/>
              <w:jc w:val="center"/>
              <w:rPr>
                <w:rFonts w:asciiTheme="minorEastAsia" w:hAnsiTheme="minorEastAsia"/>
                <w:szCs w:val="21"/>
              </w:rPr>
            </w:pPr>
          </w:p>
        </w:tc>
        <w:tc>
          <w:tcPr>
            <w:tcW w:w="2951" w:type="dxa"/>
            <w:vAlign w:val="center"/>
          </w:tcPr>
          <w:p>
            <w:pPr>
              <w:spacing w:line="280" w:lineRule="exact"/>
              <w:rPr>
                <w:rFonts w:asciiTheme="minorEastAsia" w:hAnsiTheme="minorEastAsia"/>
                <w:szCs w:val="21"/>
              </w:rPr>
            </w:pPr>
          </w:p>
        </w:tc>
        <w:tc>
          <w:tcPr>
            <w:tcW w:w="1379" w:type="dxa"/>
            <w:vAlign w:val="center"/>
          </w:tcPr>
          <w:p>
            <w:pPr>
              <w:spacing w:line="280" w:lineRule="exact"/>
              <w:jc w:val="center"/>
              <w:rPr>
                <w:rFonts w:asciiTheme="minorEastAsia" w:hAnsiTheme="minorEastAsia"/>
                <w:szCs w:val="21"/>
              </w:rPr>
            </w:pPr>
          </w:p>
        </w:tc>
      </w:tr>
    </w:tbl>
    <w:p>
      <w:pPr>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ZDJlODYzMjRhZmExYjg2OWRhNTczMWE3ZTliMjEifQ=="/>
  </w:docVars>
  <w:rsids>
    <w:rsidRoot w:val="74537DEA"/>
    <w:rsid w:val="0A77629C"/>
    <w:rsid w:val="249B5576"/>
    <w:rsid w:val="38837606"/>
    <w:rsid w:val="3D16640B"/>
    <w:rsid w:val="44834C43"/>
    <w:rsid w:val="74537DEA"/>
    <w:rsid w:val="7922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1067</Words>
  <Characters>1159</Characters>
  <Lines>0</Lines>
  <Paragraphs>0</Paragraphs>
  <TotalTime>1</TotalTime>
  <ScaleCrop>false</ScaleCrop>
  <LinksUpToDate>false</LinksUpToDate>
  <CharactersWithSpaces>1170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2020-03-25T05:16:00Z</dcterms:created>
  <dc:creator>1234</dc:creator>
  <cp:lastModifiedBy>有始无终</cp:lastModifiedBy>
  <dcterms:modified xsi:type="dcterms:W3CDTF">2022-12-15T07:49:38Z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F4EC6180BFA24C38BE39E77F6AE5A0A8</vt:lpwstr>
  </property>
</Properties>
</file>